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3"/>
          <w:szCs w:val="23"/>
          <w:b w:val="1"/>
          <w:bCs w:val="1"/>
          <w:color w:val="auto"/>
        </w:rPr>
        <w:t>FORM 10-K</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520" w:hanging="329"/>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83"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fiscal year ended December 26, 2021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76" w:lineRule="exact"/>
        <w:rPr>
          <w:sz w:val="24"/>
          <w:szCs w:val="24"/>
          <w:color w:val="auto"/>
        </w:rPr>
      </w:pPr>
    </w:p>
    <w:p>
      <w:pPr>
        <w:ind w:left="4580" w:right="3540" w:hanging="4389"/>
        <w:spacing w:after="0" w:line="268" w:lineRule="auto"/>
        <w:tabs>
          <w:tab w:leader="none" w:pos="552"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4"/>
          <w:szCs w:val="14"/>
          <w:b w:val="1"/>
          <w:bCs w:val="1"/>
          <w:color w:val="auto"/>
        </w:rPr>
        <w:t>TRANSITION REPORT PURSUANT TO SECTION 13 OR 15(d) OF THE SECURITIES EXCHANGE ACT OF 1934 Commission file number 001-04321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6350</wp:posOffset>
            </wp:positionV>
            <wp:extent cx="1347470" cy="707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7470" cy="707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tbl>
      <w:tblPr>
        <w:tblLayout w:type="fixed"/>
        <w:tblInd w:w="60" w:type="dxa"/>
        <w:tblCellMar>
          <w:top w:w="0" w:type="dxa"/>
          <w:left w:w="0" w:type="dxa"/>
          <w:bottom w:w="0" w:type="dxa"/>
          <w:right w:w="0" w:type="dxa"/>
        </w:tblCellMar>
      </w:tblPr>
      <w:tr>
        <w:trPr>
          <w:trHeight w:val="295"/>
        </w:trPr>
        <w:tc>
          <w:tcPr>
            <w:tcW w:w="3400" w:type="dxa"/>
            <w:vAlign w:val="bottom"/>
          </w:tcPr>
          <w:p>
            <w:pPr>
              <w:spacing w:after="0"/>
              <w:rPr>
                <w:sz w:val="24"/>
                <w:szCs w:val="24"/>
                <w:color w:val="auto"/>
              </w:rPr>
            </w:pPr>
          </w:p>
        </w:tc>
        <w:tc>
          <w:tcPr>
            <w:tcW w:w="4640" w:type="dxa"/>
            <w:vAlign w:val="bottom"/>
          </w:tcPr>
          <w:p>
            <w:pPr>
              <w:jc w:val="center"/>
              <w:ind w:right="208"/>
              <w:spacing w:after="0"/>
              <w:rPr>
                <w:sz w:val="20"/>
                <w:szCs w:val="20"/>
                <w:color w:val="auto"/>
              </w:rPr>
            </w:pPr>
            <w:r>
              <w:rPr>
                <w:rFonts w:ascii="Arial" w:cs="Arial" w:eastAsia="Arial" w:hAnsi="Arial"/>
                <w:sz w:val="24"/>
                <w:szCs w:val="24"/>
                <w:b w:val="1"/>
                <w:bCs w:val="1"/>
                <w:color w:val="auto"/>
                <w:w w:val="92"/>
              </w:rPr>
              <w:t>First Watch Restaurant Group, Inc.</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4640" w:type="dxa"/>
            <w:vAlign w:val="bottom"/>
          </w:tcPr>
          <w:p>
            <w:pPr>
              <w:jc w:val="center"/>
              <w:ind w:right="208"/>
              <w:spacing w:after="0"/>
              <w:rPr>
                <w:sz w:val="20"/>
                <w:szCs w:val="20"/>
                <w:color w:val="auto"/>
              </w:rPr>
            </w:pPr>
            <w:r>
              <w:rPr>
                <w:rFonts w:ascii="Arial" w:cs="Arial" w:eastAsia="Arial" w:hAnsi="Arial"/>
                <w:sz w:val="14"/>
                <w:szCs w:val="14"/>
                <w:color w:val="auto"/>
                <w:w w:val="91"/>
              </w:rPr>
              <w:t>(Exact name of registrant as specified in its charter)</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0" w:type="dxa"/>
            <w:vAlign w:val="bottom"/>
          </w:tcPr>
          <w:p>
            <w:pPr>
              <w:jc w:val="center"/>
              <w:ind w:left="856"/>
              <w:spacing w:after="0"/>
              <w:rPr>
                <w:sz w:val="20"/>
                <w:szCs w:val="20"/>
                <w:color w:val="auto"/>
              </w:rPr>
            </w:pPr>
            <w:r>
              <w:rPr>
                <w:rFonts w:ascii="Arial" w:cs="Arial" w:eastAsia="Arial" w:hAnsi="Arial"/>
                <w:sz w:val="13"/>
                <w:szCs w:val="13"/>
                <w:b w:val="1"/>
                <w:bCs w:val="1"/>
                <w:color w:val="auto"/>
                <w:w w:val="91"/>
              </w:rPr>
              <w:t>Delaware</w:t>
            </w:r>
          </w:p>
        </w:tc>
        <w:tc>
          <w:tcPr>
            <w:tcW w:w="4640" w:type="dxa"/>
            <w:vAlign w:val="bottom"/>
          </w:tcPr>
          <w:p>
            <w:pPr>
              <w:spacing w:after="0"/>
              <w:rPr>
                <w:sz w:val="22"/>
                <w:szCs w:val="22"/>
                <w:color w:val="auto"/>
              </w:rPr>
            </w:pPr>
          </w:p>
        </w:tc>
        <w:tc>
          <w:tcPr>
            <w:tcW w:w="2760" w:type="dxa"/>
            <w:vAlign w:val="bottom"/>
          </w:tcPr>
          <w:p>
            <w:pPr>
              <w:jc w:val="right"/>
              <w:ind w:right="576"/>
              <w:spacing w:after="0"/>
              <w:rPr>
                <w:sz w:val="20"/>
                <w:szCs w:val="20"/>
                <w:color w:val="auto"/>
              </w:rPr>
            </w:pPr>
            <w:r>
              <w:rPr>
                <w:rFonts w:ascii="Arial" w:cs="Arial" w:eastAsia="Arial" w:hAnsi="Arial"/>
                <w:sz w:val="13"/>
                <w:szCs w:val="13"/>
                <w:b w:val="1"/>
                <w:bCs w:val="1"/>
                <w:color w:val="auto"/>
              </w:rPr>
              <w:t>82-4271369</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Arial" w:cs="Arial" w:eastAsia="Arial" w:hAnsi="Arial"/>
                <w:sz w:val="13"/>
                <w:szCs w:val="13"/>
                <w:color w:val="auto"/>
              </w:rPr>
              <w:t>(State or other jurisdiction of incorporation or organization)</w:t>
            </w:r>
          </w:p>
        </w:tc>
        <w:tc>
          <w:tcPr>
            <w:tcW w:w="4640" w:type="dxa"/>
            <w:vAlign w:val="bottom"/>
          </w:tcPr>
          <w:p>
            <w:pPr>
              <w:spacing w:after="0"/>
              <w:rPr>
                <w:sz w:val="15"/>
                <w:szCs w:val="15"/>
                <w:color w:val="auto"/>
              </w:rPr>
            </w:pPr>
          </w:p>
        </w:tc>
        <w:tc>
          <w:tcPr>
            <w:tcW w:w="2760" w:type="dxa"/>
            <w:vAlign w:val="bottom"/>
          </w:tcPr>
          <w:p>
            <w:pPr>
              <w:jc w:val="center"/>
              <w:ind w:left="836"/>
              <w:spacing w:after="0"/>
              <w:rPr>
                <w:sz w:val="20"/>
                <w:szCs w:val="20"/>
                <w:color w:val="auto"/>
              </w:rPr>
            </w:pPr>
            <w:r>
              <w:rPr>
                <w:rFonts w:ascii="Arial" w:cs="Arial" w:eastAsia="Arial" w:hAnsi="Arial"/>
                <w:sz w:val="13"/>
                <w:szCs w:val="13"/>
                <w:color w:val="auto"/>
                <w:w w:val="92"/>
              </w:rPr>
              <w:t>(I.R.S. Employer Identification No.)</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4640" w:type="dxa"/>
            <w:vAlign w:val="bottom"/>
          </w:tcPr>
          <w:p>
            <w:pPr>
              <w:jc w:val="center"/>
              <w:ind w:left="1328"/>
              <w:spacing w:after="0"/>
              <w:rPr>
                <w:sz w:val="20"/>
                <w:szCs w:val="20"/>
                <w:color w:val="auto"/>
              </w:rPr>
            </w:pPr>
            <w:r>
              <w:rPr>
                <w:rFonts w:ascii="Arial" w:cs="Arial" w:eastAsia="Arial" w:hAnsi="Arial"/>
                <w:sz w:val="13"/>
                <w:szCs w:val="13"/>
                <w:b w:val="1"/>
                <w:bCs w:val="1"/>
                <w:color w:val="auto"/>
                <w:w w:val="88"/>
              </w:rPr>
              <w:t>8725 Pendery Place, Suite 201, Bradenton, FL 34201</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4640" w:type="dxa"/>
            <w:vAlign w:val="bottom"/>
          </w:tcPr>
          <w:p>
            <w:pPr>
              <w:jc w:val="center"/>
              <w:ind w:left="1348"/>
              <w:spacing w:after="0"/>
              <w:rPr>
                <w:sz w:val="20"/>
                <w:szCs w:val="20"/>
                <w:color w:val="auto"/>
              </w:rPr>
            </w:pPr>
            <w:r>
              <w:rPr>
                <w:rFonts w:ascii="Arial" w:cs="Arial" w:eastAsia="Arial" w:hAnsi="Arial"/>
                <w:sz w:val="13"/>
                <w:szCs w:val="13"/>
                <w:color w:val="auto"/>
                <w:w w:val="90"/>
              </w:rPr>
              <w:t>(Address of Principal Executive Offices) (Zip Code)</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4640" w:type="dxa"/>
            <w:vAlign w:val="bottom"/>
          </w:tcPr>
          <w:p>
            <w:pPr>
              <w:jc w:val="center"/>
              <w:ind w:right="208"/>
              <w:spacing w:after="0"/>
              <w:rPr>
                <w:sz w:val="20"/>
                <w:szCs w:val="20"/>
                <w:color w:val="auto"/>
              </w:rPr>
            </w:pPr>
            <w:r>
              <w:rPr>
                <w:rFonts w:ascii="Arial" w:cs="Arial" w:eastAsia="Arial" w:hAnsi="Arial"/>
                <w:sz w:val="13"/>
                <w:szCs w:val="13"/>
                <w:b w:val="1"/>
                <w:bCs w:val="1"/>
                <w:color w:val="auto"/>
                <w:w w:val="89"/>
              </w:rPr>
              <w:t>(941) 907-9800</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4640" w:type="dxa"/>
            <w:vAlign w:val="bottom"/>
          </w:tcPr>
          <w:p>
            <w:pPr>
              <w:jc w:val="center"/>
              <w:ind w:right="188"/>
              <w:spacing w:after="0"/>
              <w:rPr>
                <w:sz w:val="20"/>
                <w:szCs w:val="20"/>
                <w:color w:val="auto"/>
              </w:rPr>
            </w:pPr>
            <w:r>
              <w:rPr>
                <w:rFonts w:ascii="Arial" w:cs="Arial" w:eastAsia="Arial" w:hAnsi="Arial"/>
                <w:sz w:val="13"/>
                <w:szCs w:val="13"/>
                <w:color w:val="auto"/>
                <w:w w:val="88"/>
              </w:rPr>
              <w:t>Registrant’s telephone number, including area code</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0" w:type="dxa"/>
            <w:vAlign w:val="bottom"/>
          </w:tcPr>
          <w:p>
            <w:pPr>
              <w:jc w:val="center"/>
              <w:ind w:left="896"/>
              <w:spacing w:after="0"/>
              <w:rPr>
                <w:sz w:val="20"/>
                <w:szCs w:val="20"/>
                <w:color w:val="auto"/>
              </w:rPr>
            </w:pPr>
            <w:r>
              <w:rPr>
                <w:rFonts w:ascii="Arial" w:cs="Arial" w:eastAsia="Arial" w:hAnsi="Arial"/>
                <w:sz w:val="13"/>
                <w:szCs w:val="13"/>
                <w:color w:val="auto"/>
                <w:w w:val="88"/>
              </w:rPr>
              <w:t>Title of each class</w:t>
            </w:r>
          </w:p>
        </w:tc>
        <w:tc>
          <w:tcPr>
            <w:tcW w:w="4640" w:type="dxa"/>
            <w:vAlign w:val="bottom"/>
          </w:tcPr>
          <w:p>
            <w:pPr>
              <w:jc w:val="center"/>
              <w:ind w:left="368"/>
              <w:spacing w:after="0"/>
              <w:rPr>
                <w:sz w:val="20"/>
                <w:szCs w:val="20"/>
                <w:color w:val="auto"/>
              </w:rPr>
            </w:pPr>
            <w:r>
              <w:rPr>
                <w:rFonts w:ascii="Arial" w:cs="Arial" w:eastAsia="Arial" w:hAnsi="Arial"/>
                <w:sz w:val="13"/>
                <w:szCs w:val="13"/>
                <w:color w:val="auto"/>
                <w:w w:val="90"/>
              </w:rPr>
              <w:t>Trading Symbol(s)</w:t>
            </w:r>
          </w:p>
        </w:tc>
        <w:tc>
          <w:tcPr>
            <w:tcW w:w="2760" w:type="dxa"/>
            <w:vAlign w:val="bottom"/>
          </w:tcPr>
          <w:p>
            <w:pPr>
              <w:jc w:val="center"/>
              <w:ind w:right="76"/>
              <w:spacing w:after="0"/>
              <w:rPr>
                <w:sz w:val="20"/>
                <w:szCs w:val="20"/>
                <w:color w:val="auto"/>
              </w:rPr>
            </w:pPr>
            <w:r>
              <w:rPr>
                <w:rFonts w:ascii="Arial" w:cs="Arial" w:eastAsia="Arial" w:hAnsi="Arial"/>
                <w:sz w:val="13"/>
                <w:szCs w:val="13"/>
                <w:color w:val="auto"/>
                <w:w w:val="87"/>
              </w:rPr>
              <w:t>Name of each exchange on which registered</w:t>
            </w:r>
          </w:p>
        </w:tc>
        <w:tc>
          <w:tcPr>
            <w:tcW w:w="0" w:type="dxa"/>
            <w:vAlign w:val="bottom"/>
          </w:tcPr>
          <w:p>
            <w:pPr>
              <w:spacing w:after="0"/>
              <w:rPr>
                <w:sz w:val="1"/>
                <w:szCs w:val="1"/>
                <w:color w:val="auto"/>
              </w:rPr>
            </w:pPr>
          </w:p>
        </w:tc>
      </w:tr>
      <w:tr>
        <w:trPr>
          <w:trHeight w:val="132"/>
        </w:trPr>
        <w:tc>
          <w:tcPr>
            <w:tcW w:w="3400" w:type="dxa"/>
            <w:vAlign w:val="bottom"/>
            <w:vMerge w:val="restart"/>
          </w:tcPr>
          <w:p>
            <w:pPr>
              <w:jc w:val="center"/>
              <w:ind w:left="876"/>
              <w:spacing w:after="0"/>
              <w:rPr>
                <w:sz w:val="20"/>
                <w:szCs w:val="20"/>
                <w:color w:val="auto"/>
              </w:rPr>
            </w:pPr>
            <w:r>
              <w:rPr>
                <w:rFonts w:ascii="Arial" w:cs="Arial" w:eastAsia="Arial" w:hAnsi="Arial"/>
                <w:sz w:val="13"/>
                <w:szCs w:val="13"/>
                <w:b w:val="1"/>
                <w:bCs w:val="1"/>
                <w:color w:val="auto"/>
                <w:w w:val="88"/>
              </w:rPr>
              <w:t>Common Stock, $0.01 par value</w:t>
            </w:r>
          </w:p>
        </w:tc>
        <w:tc>
          <w:tcPr>
            <w:tcW w:w="4640" w:type="dxa"/>
            <w:vAlign w:val="bottom"/>
            <w:vMerge w:val="restart"/>
          </w:tcPr>
          <w:p>
            <w:pPr>
              <w:jc w:val="center"/>
              <w:ind w:left="368"/>
              <w:spacing w:after="0"/>
              <w:rPr>
                <w:sz w:val="20"/>
                <w:szCs w:val="20"/>
                <w:color w:val="auto"/>
              </w:rPr>
            </w:pPr>
            <w:r>
              <w:rPr>
                <w:rFonts w:ascii="Arial" w:cs="Arial" w:eastAsia="Arial" w:hAnsi="Arial"/>
                <w:sz w:val="13"/>
                <w:szCs w:val="13"/>
                <w:b w:val="1"/>
                <w:bCs w:val="1"/>
                <w:color w:val="auto"/>
              </w:rPr>
              <w:t>FWRG</w:t>
            </w:r>
          </w:p>
        </w:tc>
        <w:tc>
          <w:tcPr>
            <w:tcW w:w="2760" w:type="dxa"/>
            <w:vAlign w:val="bottom"/>
          </w:tcPr>
          <w:p>
            <w:pPr>
              <w:jc w:val="center"/>
              <w:ind w:right="96"/>
              <w:spacing w:after="0" w:line="132" w:lineRule="exact"/>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4640" w:type="dxa"/>
            <w:vAlign w:val="bottom"/>
            <w:vMerge w:val="continue"/>
          </w:tcPr>
          <w:p>
            <w:pPr>
              <w:spacing w:after="0"/>
              <w:rPr>
                <w:sz w:val="8"/>
                <w:szCs w:val="8"/>
                <w:color w:val="auto"/>
              </w:rPr>
            </w:pPr>
          </w:p>
        </w:tc>
        <w:tc>
          <w:tcPr>
            <w:tcW w:w="2760" w:type="dxa"/>
            <w:vAlign w:val="bottom"/>
            <w:vMerge w:val="restart"/>
          </w:tcPr>
          <w:p>
            <w:pPr>
              <w:jc w:val="center"/>
              <w:ind w:right="96"/>
              <w:spacing w:after="0"/>
              <w:rPr>
                <w:sz w:val="20"/>
                <w:szCs w:val="20"/>
                <w:color w:val="auto"/>
              </w:rPr>
            </w:pPr>
            <w:r>
              <w:rPr>
                <w:rFonts w:ascii="Arial" w:cs="Arial" w:eastAsia="Arial" w:hAnsi="Arial"/>
                <w:sz w:val="13"/>
                <w:szCs w:val="13"/>
                <w:b w:val="1"/>
                <w:bCs w:val="1"/>
                <w:color w:val="auto"/>
                <w:w w:val="89"/>
              </w:rPr>
              <w:t>(Nasdaq Global Select Market)</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 xml:space="preserve">Securities registered pursuant to Section 12(b) of the Act: </w:t>
      </w:r>
      <w:r>
        <w:rPr>
          <w:rFonts w:ascii="Arial" w:cs="Arial" w:eastAsia="Arial" w:hAnsi="Arial"/>
          <w:sz w:val="13"/>
          <w:szCs w:val="13"/>
          <w:b w:val="1"/>
          <w:bCs w:val="1"/>
          <w:color w:val="auto"/>
        </w:rPr>
        <w:t>None</w:t>
      </w:r>
    </w:p>
    <w:p>
      <w:pPr>
        <w:spacing w:after="0" w:line="11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5"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4"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4" w:lineRule="exact"/>
        <w:rPr>
          <w:sz w:val="24"/>
          <w:szCs w:val="24"/>
          <w:color w:val="auto"/>
        </w:rPr>
      </w:pPr>
    </w:p>
    <w:p>
      <w:pPr>
        <w:ind w:right="80"/>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50" w:lineRule="exact"/>
        <w:tabs>
          <w:tab w:leader="none" w:pos="1660" w:val="left"/>
          <w:tab w:leader="none" w:pos="3340" w:val="left"/>
          <w:tab w:leader="none" w:pos="5600" w:val="left"/>
          <w:tab w:leader="none" w:pos="7540" w:val="left"/>
          <w:tab w:leader="none" w:pos="986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220" w:lineRule="exact"/>
        <w:rPr>
          <w:sz w:val="24"/>
          <w:szCs w:val="24"/>
          <w:color w:val="auto"/>
        </w:rPr>
      </w:pPr>
    </w:p>
    <w:p>
      <w:pPr>
        <w:ind w:right="2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4" w:lineRule="exact"/>
        <w:rPr>
          <w:sz w:val="24"/>
          <w:szCs w:val="24"/>
          <w:color w:val="auto"/>
        </w:rPr>
      </w:pPr>
    </w:p>
    <w:p>
      <w:pPr>
        <w:ind w:right="16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343535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aggregate market value of the common stock held by non-affiliates of the registrant on December 26, 2021, based on the closing price of the registrant’s common stock as reported by The Nasdaq Stock Market on that date, was approximately $173.7 million. The registrant has elected to use December 26, 2021 as the calculation date because on June 26, 2021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As of March 21, 2022, 59,048,446 shares of common stock of the registrant were outstanding.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Portions of the registrant’s Definitive Proxy Statement relating to the 2022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373380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96520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30"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12"/>
          </w:tcPr>
          <w:p>
            <w:pPr>
              <w:ind w:left="20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gridSpan w:val="10"/>
          </w:tcPr>
          <w:p>
            <w:pPr>
              <w:jc w:val="center"/>
              <w:ind w:right="5200"/>
              <w:spacing w:after="0"/>
              <w:rPr>
                <w:rFonts w:ascii="Arial" w:cs="Arial" w:eastAsia="Arial" w:hAnsi="Arial"/>
                <w:sz w:val="14"/>
                <w:szCs w:val="14"/>
                <w:color w:val="0000FF"/>
                <w:w w:val="97"/>
              </w:rPr>
            </w:pPr>
            <w:r>
              <w:rPr>
                <w:rFonts w:ascii="Arial" w:cs="Arial" w:eastAsia="Arial" w:hAnsi="Arial"/>
                <w:sz w:val="14"/>
                <w:szCs w:val="14"/>
                <w:color w:val="0000FF"/>
                <w:w w:val="97"/>
              </w:rPr>
              <w:t xml:space="preserve">PART </w:t>
            </w:r>
            <w:hyperlink w:anchor="page3">
              <w:r>
                <w:rPr>
                  <w:rFonts w:ascii="Arial" w:cs="Arial" w:eastAsia="Arial" w:hAnsi="Arial"/>
                  <w:sz w:val="14"/>
                  <w:szCs w:val="14"/>
                  <w:color w:val="0000FF"/>
                  <w:w w:val="97"/>
                </w:rPr>
                <w:t>I</w:t>
              </w:r>
            </w:hyperlink>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940" w:type="dxa"/>
            <w:vAlign w:val="bottom"/>
            <w:tcBorders>
              <w:bottom w:val="single" w:sz="8" w:color="0E32E1"/>
            </w:tcBorders>
            <w:gridSpan w:val="4"/>
          </w:tcPr>
          <w:p>
            <w:pPr>
              <w:spacing w:after="0"/>
              <w:rPr>
                <w:rFonts w:ascii="Arial" w:cs="Arial" w:eastAsia="Arial" w:hAnsi="Arial"/>
                <w:sz w:val="14"/>
                <w:szCs w:val="14"/>
                <w:color w:val="0E32E1"/>
                <w:w w:val="88"/>
              </w:rPr>
            </w:pPr>
            <w:hyperlink w:anchor="page4">
              <w:r>
                <w:rPr>
                  <w:rFonts w:ascii="Arial" w:cs="Arial" w:eastAsia="Arial" w:hAnsi="Arial"/>
                  <w:sz w:val="14"/>
                  <w:szCs w:val="14"/>
                  <w:color w:val="0E32E1"/>
                  <w:w w:val="88"/>
                </w:rPr>
                <w:t>Item 1. Business</w:t>
              </w:r>
            </w:hyperlink>
          </w:p>
        </w:tc>
        <w:tc>
          <w:tcPr>
            <w:tcW w:w="4220" w:type="dxa"/>
            <w:vAlign w:val="bottom"/>
            <w:gridSpan w:val="19"/>
          </w:tcPr>
          <w:p>
            <w:pPr>
              <w:spacing w:after="0"/>
              <w:rPr>
                <w:sz w:val="16"/>
                <w:szCs w:val="16"/>
                <w:color w:val="auto"/>
              </w:rPr>
            </w:pPr>
          </w:p>
        </w:tc>
        <w:tc>
          <w:tcPr>
            <w:tcW w:w="440" w:type="dxa"/>
            <w:vAlign w:val="bottom"/>
            <w:tcBorders>
              <w:top w:val="single" w:sz="8" w:color="0000FF"/>
            </w:tcBorders>
            <w:gridSpan w:val="5"/>
          </w:tcPr>
          <w:p>
            <w:pPr>
              <w:spacing w:after="0"/>
              <w:rPr>
                <w:sz w:val="16"/>
                <w:szCs w:val="16"/>
                <w:color w:val="auto"/>
              </w:rPr>
            </w:pPr>
          </w:p>
        </w:tc>
        <w:tc>
          <w:tcPr>
            <w:tcW w:w="5200" w:type="dxa"/>
            <w:vAlign w:val="bottom"/>
            <w:gridSpan w:val="5"/>
          </w:tcPr>
          <w:p>
            <w:pPr>
              <w:spacing w:after="0"/>
              <w:rPr>
                <w:sz w:val="16"/>
                <w:szCs w:val="16"/>
                <w:color w:val="auto"/>
              </w:rPr>
            </w:pPr>
          </w:p>
        </w:tc>
        <w:tc>
          <w:tcPr>
            <w:tcW w:w="80" w:type="dxa"/>
            <w:vAlign w:val="bottom"/>
            <w:tcBorders>
              <w:bottom w:val="single" w:sz="8" w:color="0000FF"/>
            </w:tcBorders>
          </w:tcPr>
          <w:p>
            <w:pPr>
              <w:spacing w:after="0" w:line="151"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0E32E1"/>
            </w:tcBorders>
            <w:gridSpan w:val="6"/>
          </w:tcPr>
          <w:p>
            <w:pPr>
              <w:spacing w:after="0"/>
              <w:rPr>
                <w:rFonts w:ascii="Arial" w:cs="Arial" w:eastAsia="Arial" w:hAnsi="Arial"/>
                <w:sz w:val="14"/>
                <w:szCs w:val="14"/>
                <w:color w:val="0E32E1"/>
                <w:w w:val="94"/>
              </w:rPr>
            </w:pPr>
            <w:hyperlink w:anchor="page10">
              <w:r>
                <w:rPr>
                  <w:rFonts w:ascii="Arial" w:cs="Arial" w:eastAsia="Arial" w:hAnsi="Arial"/>
                  <w:sz w:val="14"/>
                  <w:szCs w:val="14"/>
                  <w:color w:val="0E32E1"/>
                  <w:w w:val="94"/>
                </w:rPr>
                <w:t>Item 1A. Risk Factors</w:t>
              </w:r>
            </w:hyperlink>
          </w:p>
        </w:tc>
        <w:tc>
          <w:tcPr>
            <w:tcW w:w="9200" w:type="dxa"/>
            <w:vAlign w:val="bottom"/>
            <w:gridSpan w:val="25"/>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10">
              <w:r>
                <w:rPr>
                  <w:rFonts w:ascii="Arial" w:cs="Arial" w:eastAsia="Arial" w:hAnsi="Arial"/>
                  <w:sz w:val="14"/>
                  <w:szCs w:val="14"/>
                  <w:color w:val="0000FF"/>
                  <w:w w:val="76"/>
                </w:rPr>
                <w:t>10</w:t>
              </w:r>
            </w:hyperlink>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bottom w:val="single" w:sz="8" w:color="0E32E1"/>
            </w:tcBorders>
            <w:gridSpan w:val="12"/>
          </w:tcPr>
          <w:p>
            <w:pPr>
              <w:spacing w:after="0"/>
              <w:rPr>
                <w:rFonts w:ascii="Arial" w:cs="Arial" w:eastAsia="Arial" w:hAnsi="Arial"/>
                <w:sz w:val="14"/>
                <w:szCs w:val="14"/>
                <w:color w:val="0E32E1"/>
                <w:w w:val="93"/>
              </w:rPr>
            </w:pPr>
            <w:hyperlink w:anchor="page37">
              <w:r>
                <w:rPr>
                  <w:rFonts w:ascii="Arial" w:cs="Arial" w:eastAsia="Arial" w:hAnsi="Arial"/>
                  <w:sz w:val="14"/>
                  <w:szCs w:val="14"/>
                  <w:color w:val="0E32E1"/>
                  <w:w w:val="93"/>
                </w:rPr>
                <w:t>Item 1B. Unresolved Staff Comments</w:t>
              </w:r>
            </w:hyperlink>
          </w:p>
        </w:tc>
        <w:tc>
          <w:tcPr>
            <w:tcW w:w="8300" w:type="dxa"/>
            <w:vAlign w:val="bottom"/>
            <w:gridSpan w:val="19"/>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36</w:t>
              </w:r>
            </w:hyperlink>
          </w:p>
        </w:tc>
        <w:tc>
          <w:tcPr>
            <w:tcW w:w="0" w:type="dxa"/>
            <w:vAlign w:val="bottom"/>
          </w:tcPr>
          <w:p>
            <w:pPr>
              <w:spacing w:after="0"/>
              <w:rPr>
                <w:sz w:val="1"/>
                <w:szCs w:val="1"/>
                <w:color w:val="auto"/>
              </w:rPr>
            </w:pPr>
          </w:p>
        </w:tc>
      </w:tr>
      <w:tr>
        <w:trPr>
          <w:trHeight w:val="182"/>
        </w:trPr>
        <w:tc>
          <w:tcPr>
            <w:tcW w:w="1040" w:type="dxa"/>
            <w:vAlign w:val="bottom"/>
            <w:tcBorders>
              <w:bottom w:val="single" w:sz="8" w:color="0E32E1"/>
            </w:tcBorders>
            <w:gridSpan w:val="6"/>
          </w:tcPr>
          <w:p>
            <w:pPr>
              <w:spacing w:after="0"/>
              <w:rPr>
                <w:rFonts w:ascii="Arial" w:cs="Arial" w:eastAsia="Arial" w:hAnsi="Arial"/>
                <w:sz w:val="14"/>
                <w:szCs w:val="14"/>
                <w:color w:val="0E32E1"/>
                <w:w w:val="92"/>
              </w:rPr>
            </w:pPr>
            <w:hyperlink w:anchor="page37">
              <w:r>
                <w:rPr>
                  <w:rFonts w:ascii="Arial" w:cs="Arial" w:eastAsia="Arial" w:hAnsi="Arial"/>
                  <w:sz w:val="14"/>
                  <w:szCs w:val="14"/>
                  <w:color w:val="0E32E1"/>
                  <w:w w:val="92"/>
                </w:rPr>
                <w:t>Item 2. Properties</w:t>
              </w:r>
            </w:hyperlink>
          </w:p>
        </w:tc>
        <w:tc>
          <w:tcPr>
            <w:tcW w:w="9760" w:type="dxa"/>
            <w:vAlign w:val="bottom"/>
            <w:gridSpan w:val="27"/>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36</w:t>
              </w:r>
            </w:hyperlink>
          </w:p>
        </w:tc>
        <w:tc>
          <w:tcPr>
            <w:tcW w:w="0" w:type="dxa"/>
            <w:vAlign w:val="bottom"/>
          </w:tcPr>
          <w:p>
            <w:pPr>
              <w:spacing w:after="0"/>
              <w:rPr>
                <w:sz w:val="1"/>
                <w:szCs w:val="1"/>
                <w:color w:val="auto"/>
              </w:rPr>
            </w:pPr>
          </w:p>
        </w:tc>
      </w:tr>
      <w:tr>
        <w:trPr>
          <w:trHeight w:val="162"/>
        </w:trPr>
        <w:tc>
          <w:tcPr>
            <w:tcW w:w="10800" w:type="dxa"/>
            <w:vAlign w:val="bottom"/>
            <w:gridSpan w:val="33"/>
          </w:tcPr>
          <w:p>
            <w:pPr>
              <w:spacing w:after="0"/>
              <w:rPr>
                <w:rFonts w:ascii="Arial" w:cs="Arial" w:eastAsia="Arial" w:hAnsi="Arial"/>
                <w:sz w:val="14"/>
                <w:szCs w:val="14"/>
                <w:color w:val="0E32E1"/>
              </w:rPr>
            </w:pPr>
            <w:hyperlink w:anchor="page38">
              <w:r>
                <w:rPr>
                  <w:rFonts w:ascii="Arial" w:cs="Arial" w:eastAsia="Arial" w:hAnsi="Arial"/>
                  <w:sz w:val="14"/>
                  <w:szCs w:val="14"/>
                  <w:color w:val="0E32E1"/>
                </w:rPr>
                <w:t>Item 3. Legal Proceedings</w:t>
              </w:r>
            </w:hyperlink>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38">
              <w:r>
                <w:rPr>
                  <w:rFonts w:ascii="Arial" w:cs="Arial" w:eastAsia="Arial" w:hAnsi="Arial"/>
                  <w:sz w:val="14"/>
                  <w:szCs w:val="14"/>
                  <w:color w:val="0000FF"/>
                  <w:w w:val="76"/>
                </w:rPr>
                <w:t>37</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520" w:type="dxa"/>
            <w:vAlign w:val="bottom"/>
            <w:gridSpan w:val="2"/>
            <w:shd w:val="clear" w:color="auto" w:fill="0E32E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gridSpan w:val="2"/>
            <w:vMerge w:val="restart"/>
          </w:tcPr>
          <w:p>
            <w:pPr>
              <w:spacing w:after="0"/>
              <w:rPr>
                <w:rFonts w:ascii="Arial" w:cs="Arial" w:eastAsia="Arial" w:hAnsi="Arial"/>
                <w:sz w:val="14"/>
                <w:szCs w:val="14"/>
                <w:color w:val="0000FF"/>
                <w:w w:val="76"/>
              </w:rPr>
            </w:pPr>
            <w:hyperlink w:anchor="page38">
              <w:r>
                <w:rPr>
                  <w:rFonts w:ascii="Arial" w:cs="Arial" w:eastAsia="Arial" w:hAnsi="Arial"/>
                  <w:sz w:val="14"/>
                  <w:szCs w:val="14"/>
                  <w:color w:val="0000FF"/>
                  <w:w w:val="76"/>
                </w:rPr>
                <w:t>37</w:t>
              </w:r>
            </w:hyperlink>
          </w:p>
        </w:tc>
        <w:tc>
          <w:tcPr>
            <w:tcW w:w="0" w:type="dxa"/>
            <w:vAlign w:val="bottom"/>
          </w:tcPr>
          <w:p>
            <w:pPr>
              <w:spacing w:after="0" w:line="20" w:lineRule="exact"/>
              <w:rPr>
                <w:sz w:val="1"/>
                <w:szCs w:val="1"/>
                <w:color w:val="auto"/>
              </w:rPr>
            </w:pPr>
          </w:p>
        </w:tc>
      </w:tr>
      <w:tr>
        <w:trPr>
          <w:trHeight w:val="163"/>
        </w:trPr>
        <w:tc>
          <w:tcPr>
            <w:tcW w:w="10800" w:type="dxa"/>
            <w:vAlign w:val="bottom"/>
            <w:gridSpan w:val="33"/>
          </w:tcPr>
          <w:p>
            <w:pPr>
              <w:spacing w:after="0"/>
              <w:rPr>
                <w:rFonts w:ascii="Arial" w:cs="Arial" w:eastAsia="Arial" w:hAnsi="Arial"/>
                <w:sz w:val="14"/>
                <w:szCs w:val="14"/>
                <w:color w:val="0E32E1"/>
              </w:rPr>
            </w:pPr>
            <w:hyperlink w:anchor="page38">
              <w:r>
                <w:rPr>
                  <w:rFonts w:ascii="Arial" w:cs="Arial" w:eastAsia="Arial" w:hAnsi="Arial"/>
                  <w:sz w:val="14"/>
                  <w:szCs w:val="14"/>
                  <w:color w:val="0E32E1"/>
                </w:rPr>
                <w:t>Item 4. Mine Safety Disclosures</w:t>
              </w:r>
            </w:hyperlink>
          </w:p>
        </w:tc>
        <w:tc>
          <w:tcPr>
            <w:tcW w:w="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0" w:type="dxa"/>
            <w:vAlign w:val="bottom"/>
            <w:tcBorders>
              <w:top w:val="single" w:sz="8" w:color="0E32E1"/>
            </w:tcBorders>
          </w:tcPr>
          <w:p>
            <w:pPr>
              <w:spacing w:after="0"/>
              <w:rPr>
                <w:sz w:val="16"/>
                <w:szCs w:val="16"/>
                <w:color w:val="auto"/>
              </w:rPr>
            </w:pPr>
          </w:p>
        </w:tc>
        <w:tc>
          <w:tcPr>
            <w:tcW w:w="20" w:type="dxa"/>
            <w:vAlign w:val="bottom"/>
            <w:tcBorders>
              <w:top w:val="single" w:sz="8" w:color="0E32E1"/>
            </w:tcBorders>
          </w:tcPr>
          <w:p>
            <w:pPr>
              <w:spacing w:after="0"/>
              <w:rPr>
                <w:sz w:val="16"/>
                <w:szCs w:val="16"/>
                <w:color w:val="auto"/>
              </w:rPr>
            </w:pPr>
          </w:p>
        </w:tc>
        <w:tc>
          <w:tcPr>
            <w:tcW w:w="280" w:type="dxa"/>
            <w:vAlign w:val="bottom"/>
            <w:tcBorders>
              <w:top w:val="single" w:sz="8" w:color="0E32E1"/>
            </w:tcBorders>
          </w:tcPr>
          <w:p>
            <w:pPr>
              <w:spacing w:after="0"/>
              <w:rPr>
                <w:sz w:val="16"/>
                <w:szCs w:val="16"/>
                <w:color w:val="auto"/>
              </w:rPr>
            </w:pPr>
          </w:p>
        </w:tc>
        <w:tc>
          <w:tcPr>
            <w:tcW w:w="340" w:type="dxa"/>
            <w:vAlign w:val="bottom"/>
            <w:tcBorders>
              <w:top w:val="single" w:sz="8" w:color="0E32E1"/>
            </w:tcBorders>
          </w:tcPr>
          <w:p>
            <w:pPr>
              <w:spacing w:after="0"/>
              <w:rPr>
                <w:sz w:val="16"/>
                <w:szCs w:val="16"/>
                <w:color w:val="auto"/>
              </w:rPr>
            </w:pPr>
          </w:p>
        </w:tc>
        <w:tc>
          <w:tcPr>
            <w:tcW w:w="20" w:type="dxa"/>
            <w:vAlign w:val="bottom"/>
            <w:tcBorders>
              <w:top w:val="single" w:sz="8" w:color="0E32E1"/>
            </w:tcBorders>
          </w:tcPr>
          <w:p>
            <w:pPr>
              <w:spacing w:after="0"/>
              <w:rPr>
                <w:sz w:val="16"/>
                <w:szCs w:val="16"/>
                <w:color w:val="auto"/>
              </w:rPr>
            </w:pPr>
          </w:p>
        </w:tc>
        <w:tc>
          <w:tcPr>
            <w:tcW w:w="80" w:type="dxa"/>
            <w:vAlign w:val="bottom"/>
            <w:tcBorders>
              <w:top w:val="single" w:sz="8" w:color="0E32E1"/>
            </w:tcBorders>
          </w:tcPr>
          <w:p>
            <w:pPr>
              <w:spacing w:after="0"/>
              <w:rPr>
                <w:sz w:val="16"/>
                <w:szCs w:val="16"/>
                <w:color w:val="auto"/>
              </w:rPr>
            </w:pPr>
          </w:p>
        </w:tc>
        <w:tc>
          <w:tcPr>
            <w:tcW w:w="440" w:type="dxa"/>
            <w:vAlign w:val="bottom"/>
            <w:tcBorders>
              <w:top w:val="single" w:sz="8" w:color="0E32E1"/>
            </w:tcBorders>
          </w:tcPr>
          <w:p>
            <w:pPr>
              <w:spacing w:after="0"/>
              <w:rPr>
                <w:sz w:val="16"/>
                <w:szCs w:val="16"/>
                <w:color w:val="auto"/>
              </w:rPr>
            </w:pPr>
          </w:p>
        </w:tc>
        <w:tc>
          <w:tcPr>
            <w:tcW w:w="120" w:type="dxa"/>
            <w:vAlign w:val="bottom"/>
            <w:tcBorders>
              <w:top w:val="single" w:sz="8" w:color="0E32E1"/>
            </w:tcBorders>
          </w:tcPr>
          <w:p>
            <w:pPr>
              <w:spacing w:after="0"/>
              <w:rPr>
                <w:sz w:val="16"/>
                <w:szCs w:val="16"/>
                <w:color w:val="auto"/>
              </w:rPr>
            </w:pPr>
          </w:p>
        </w:tc>
        <w:tc>
          <w:tcPr>
            <w:tcW w:w="160" w:type="dxa"/>
            <w:vAlign w:val="bottom"/>
            <w:tcBorders>
              <w:top w:val="single" w:sz="8" w:color="0E32E1"/>
            </w:tcBorders>
          </w:tcPr>
          <w:p>
            <w:pPr>
              <w:spacing w:after="0"/>
              <w:rPr>
                <w:sz w:val="16"/>
                <w:szCs w:val="16"/>
                <w:color w:val="auto"/>
              </w:rPr>
            </w:pPr>
          </w:p>
        </w:tc>
        <w:tc>
          <w:tcPr>
            <w:tcW w:w="100" w:type="dxa"/>
            <w:vAlign w:val="bottom"/>
            <w:tcBorders>
              <w:top w:val="single" w:sz="8" w:color="0E32E1"/>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60" w:type="dxa"/>
            <w:vAlign w:val="bottom"/>
            <w:gridSpan w:val="11"/>
          </w:tcPr>
          <w:p>
            <w:pPr>
              <w:jc w:val="center"/>
              <w:ind w:right="5180"/>
              <w:spacing w:after="0"/>
              <w:rPr>
                <w:rFonts w:ascii="Arial" w:cs="Arial" w:eastAsia="Arial" w:hAnsi="Arial"/>
                <w:sz w:val="14"/>
                <w:szCs w:val="14"/>
                <w:color w:val="0E32E1"/>
                <w:w w:val="97"/>
              </w:rPr>
            </w:pPr>
            <w:r>
              <w:rPr>
                <w:rFonts w:ascii="Arial" w:cs="Arial" w:eastAsia="Arial" w:hAnsi="Arial"/>
                <w:sz w:val="14"/>
                <w:szCs w:val="14"/>
                <w:color w:val="0E32E1"/>
                <w:w w:val="97"/>
              </w:rPr>
              <w:t xml:space="preserve">PART </w:t>
            </w:r>
            <w:hyperlink w:anchor="page38">
              <w:r>
                <w:rPr>
                  <w:rFonts w:ascii="Arial" w:cs="Arial" w:eastAsia="Arial" w:hAnsi="Arial"/>
                  <w:sz w:val="14"/>
                  <w:szCs w:val="14"/>
                  <w:color w:val="0E32E1"/>
                  <w:w w:val="97"/>
                </w:rPr>
                <w:t>II</w:t>
              </w:r>
            </w:hyperlink>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gridSpan w:val="2"/>
            <w:vMerge w:val="restart"/>
          </w:tcPr>
          <w:p>
            <w:pPr>
              <w:spacing w:after="0"/>
              <w:rPr>
                <w:rFonts w:ascii="Arial" w:cs="Arial" w:eastAsia="Arial" w:hAnsi="Arial"/>
                <w:sz w:val="14"/>
                <w:szCs w:val="14"/>
                <w:color w:val="0000FF"/>
                <w:w w:val="76"/>
              </w:rPr>
            </w:pPr>
            <w:hyperlink w:anchor="page39">
              <w:r>
                <w:rPr>
                  <w:rFonts w:ascii="Arial" w:cs="Arial" w:eastAsia="Arial" w:hAnsi="Arial"/>
                  <w:sz w:val="14"/>
                  <w:szCs w:val="14"/>
                  <w:color w:val="0000FF"/>
                  <w:w w:val="76"/>
                </w:rPr>
                <w:t>38</w:t>
              </w:r>
            </w:hyperlink>
          </w:p>
        </w:tc>
        <w:tc>
          <w:tcPr>
            <w:tcW w:w="0" w:type="dxa"/>
            <w:vAlign w:val="bottom"/>
          </w:tcPr>
          <w:p>
            <w:pPr>
              <w:spacing w:after="0" w:line="20" w:lineRule="exact"/>
              <w:rPr>
                <w:sz w:val="1"/>
                <w:szCs w:val="1"/>
                <w:color w:val="auto"/>
              </w:rPr>
            </w:pPr>
          </w:p>
        </w:tc>
      </w:tr>
      <w:tr>
        <w:trPr>
          <w:trHeight w:val="191"/>
        </w:trPr>
        <w:tc>
          <w:tcPr>
            <w:tcW w:w="10800" w:type="dxa"/>
            <w:vAlign w:val="bottom"/>
            <w:gridSpan w:val="33"/>
          </w:tcPr>
          <w:p>
            <w:pPr>
              <w:spacing w:after="0"/>
              <w:rPr>
                <w:rFonts w:ascii="Arial" w:cs="Arial" w:eastAsia="Arial" w:hAnsi="Arial"/>
                <w:sz w:val="14"/>
                <w:szCs w:val="14"/>
                <w:color w:val="0E32E1"/>
              </w:rPr>
            </w:pPr>
            <w:hyperlink w:anchor="page39">
              <w:r>
                <w:rPr>
                  <w:rFonts w:ascii="Arial" w:cs="Arial" w:eastAsia="Arial" w:hAnsi="Arial"/>
                  <w:sz w:val="14"/>
                  <w:szCs w:val="14"/>
                  <w:color w:val="0E32E1"/>
                </w:rPr>
                <w:t>Item 5. Market for Registrant's Common Equity, Related Stockholder Matters and Issuer Purchases of Equity Securities</w:t>
              </w:r>
            </w:hyperlink>
          </w:p>
        </w:tc>
        <w:tc>
          <w:tcPr>
            <w:tcW w:w="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60" w:type="dxa"/>
            <w:vAlign w:val="bottom"/>
            <w:tcBorders>
              <w:top w:val="single" w:sz="8" w:color="0E32E1"/>
            </w:tcBorders>
            <w:gridSpan w:val="32"/>
          </w:tcPr>
          <w:p>
            <w:pPr>
              <w:spacing w:after="0"/>
              <w:rPr>
                <w:rFonts w:ascii="Arial" w:cs="Arial" w:eastAsia="Arial" w:hAnsi="Arial"/>
                <w:sz w:val="14"/>
                <w:szCs w:val="14"/>
                <w:color w:val="0E32E1"/>
              </w:rPr>
            </w:pPr>
            <w:hyperlink w:anchor="page40">
              <w:r>
                <w:rPr>
                  <w:rFonts w:ascii="Arial" w:cs="Arial" w:eastAsia="Arial" w:hAnsi="Arial"/>
                  <w:sz w:val="14"/>
                  <w:szCs w:val="14"/>
                  <w:color w:val="0E32E1"/>
                </w:rPr>
                <w:t>Item 6. Reserved</w:t>
              </w:r>
            </w:hyperlink>
          </w:p>
        </w:tc>
        <w:tc>
          <w:tcPr>
            <w:tcW w:w="4040" w:type="dxa"/>
            <w:vAlign w:val="bottom"/>
          </w:tcPr>
          <w:p>
            <w:pPr>
              <w:spacing w:after="0"/>
              <w:rPr>
                <w:sz w:val="14"/>
                <w:szCs w:val="14"/>
                <w:color w:val="auto"/>
              </w:rPr>
            </w:pPr>
          </w:p>
        </w:tc>
        <w:tc>
          <w:tcPr>
            <w:tcW w:w="140" w:type="dxa"/>
            <w:vAlign w:val="bottom"/>
            <w:tcBorders>
              <w:top w:val="single" w:sz="8" w:color="0000FF"/>
              <w:bottom w:val="single" w:sz="8" w:color="0000FF"/>
            </w:tcBorders>
            <w:gridSpan w:val="2"/>
          </w:tcPr>
          <w:p>
            <w:pPr>
              <w:spacing w:after="0" w:line="151" w:lineRule="exact"/>
              <w:rPr>
                <w:rFonts w:ascii="Arial" w:cs="Arial" w:eastAsia="Arial" w:hAnsi="Arial"/>
                <w:sz w:val="14"/>
                <w:szCs w:val="14"/>
                <w:color w:val="0000FF"/>
                <w:w w:val="76"/>
              </w:rPr>
            </w:pPr>
            <w:hyperlink w:anchor="page40">
              <w:r>
                <w:rPr>
                  <w:rFonts w:ascii="Arial" w:cs="Arial" w:eastAsia="Arial" w:hAnsi="Arial"/>
                  <w:sz w:val="14"/>
                  <w:szCs w:val="14"/>
                  <w:color w:val="0000FF"/>
                  <w:w w:val="76"/>
                </w:rPr>
                <w:t>39</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gridSpan w:val="2"/>
            <w:vMerge w:val="restart"/>
          </w:tcPr>
          <w:p>
            <w:pPr>
              <w:spacing w:after="0"/>
              <w:rPr>
                <w:rFonts w:ascii="Arial" w:cs="Arial" w:eastAsia="Arial" w:hAnsi="Arial"/>
                <w:sz w:val="14"/>
                <w:szCs w:val="14"/>
                <w:color w:val="0000FF"/>
                <w:w w:val="76"/>
              </w:rPr>
            </w:pPr>
            <w:hyperlink w:anchor="page40">
              <w:r>
                <w:rPr>
                  <w:rFonts w:ascii="Arial" w:cs="Arial" w:eastAsia="Arial" w:hAnsi="Arial"/>
                  <w:sz w:val="14"/>
                  <w:szCs w:val="14"/>
                  <w:color w:val="0000FF"/>
                  <w:w w:val="76"/>
                </w:rPr>
                <w:t>40</w:t>
              </w:r>
            </w:hyperlink>
          </w:p>
        </w:tc>
        <w:tc>
          <w:tcPr>
            <w:tcW w:w="0" w:type="dxa"/>
            <w:vAlign w:val="bottom"/>
          </w:tcPr>
          <w:p>
            <w:pPr>
              <w:spacing w:after="0" w:line="20" w:lineRule="exact"/>
              <w:rPr>
                <w:sz w:val="1"/>
                <w:szCs w:val="1"/>
                <w:color w:val="auto"/>
              </w:rPr>
            </w:pPr>
          </w:p>
        </w:tc>
      </w:tr>
      <w:tr>
        <w:trPr>
          <w:trHeight w:val="192"/>
        </w:trPr>
        <w:tc>
          <w:tcPr>
            <w:tcW w:w="5540" w:type="dxa"/>
            <w:vAlign w:val="bottom"/>
            <w:tcBorders>
              <w:bottom w:val="single" w:sz="8" w:color="0E32E1"/>
            </w:tcBorders>
            <w:gridSpan w:val="26"/>
          </w:tcPr>
          <w:p>
            <w:pPr>
              <w:spacing w:after="0"/>
              <w:rPr>
                <w:rFonts w:ascii="Arial" w:cs="Arial" w:eastAsia="Arial" w:hAnsi="Arial"/>
                <w:sz w:val="14"/>
                <w:szCs w:val="14"/>
                <w:color w:val="0E32E1"/>
                <w:w w:val="92"/>
              </w:rPr>
            </w:pPr>
            <w:hyperlink w:anchor="page40">
              <w:r>
                <w:rPr>
                  <w:rFonts w:ascii="Arial" w:cs="Arial" w:eastAsia="Arial" w:hAnsi="Arial"/>
                  <w:sz w:val="14"/>
                  <w:szCs w:val="14"/>
                  <w:color w:val="0E32E1"/>
                  <w:w w:val="92"/>
                </w:rPr>
                <w:t>Item 7. Management's Discussion and Analysis of Financial Condition and Results of Operations</w:t>
              </w:r>
            </w:hyperlink>
          </w:p>
        </w:tc>
        <w:tc>
          <w:tcPr>
            <w:tcW w:w="5260" w:type="dxa"/>
            <w:vAlign w:val="bottom"/>
            <w:gridSpan w:val="7"/>
          </w:tcPr>
          <w:p>
            <w:pPr>
              <w:spacing w:after="0"/>
              <w:rPr>
                <w:sz w:val="16"/>
                <w:szCs w:val="16"/>
                <w:color w:val="auto"/>
              </w:rPr>
            </w:pPr>
          </w:p>
        </w:tc>
        <w:tc>
          <w:tcPr>
            <w:tcW w:w="14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000" w:type="dxa"/>
            <w:vAlign w:val="bottom"/>
            <w:tcBorders>
              <w:bottom w:val="single" w:sz="8" w:color="0E32E1"/>
            </w:tcBorders>
            <w:gridSpan w:val="18"/>
          </w:tcPr>
          <w:p>
            <w:pPr>
              <w:spacing w:after="0"/>
              <w:rPr>
                <w:rFonts w:ascii="Arial" w:cs="Arial" w:eastAsia="Arial" w:hAnsi="Arial"/>
                <w:sz w:val="14"/>
                <w:szCs w:val="14"/>
                <w:color w:val="0E32E1"/>
                <w:w w:val="94"/>
              </w:rPr>
            </w:pPr>
            <w:hyperlink w:anchor="page60">
              <w:r>
                <w:rPr>
                  <w:rFonts w:ascii="Arial" w:cs="Arial" w:eastAsia="Arial" w:hAnsi="Arial"/>
                  <w:sz w:val="14"/>
                  <w:szCs w:val="14"/>
                  <w:color w:val="0E32E1"/>
                  <w:w w:val="94"/>
                </w:rPr>
                <w:t>Item 7A. Quantitative and Qualitative Disclosures About Market Risk</w:t>
              </w:r>
            </w:hyperlink>
          </w:p>
        </w:tc>
        <w:tc>
          <w:tcPr>
            <w:tcW w:w="6500" w:type="dxa"/>
            <w:vAlign w:val="bottom"/>
            <w:gridSpan w:val="14"/>
          </w:tcPr>
          <w:p>
            <w:pPr>
              <w:spacing w:after="0"/>
              <w:rPr>
                <w:sz w:val="16"/>
                <w:szCs w:val="16"/>
                <w:color w:val="auto"/>
              </w:rPr>
            </w:pP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60">
              <w:r>
                <w:rPr>
                  <w:rFonts w:ascii="Arial" w:cs="Arial" w:eastAsia="Arial" w:hAnsi="Arial"/>
                  <w:sz w:val="14"/>
                  <w:szCs w:val="14"/>
                  <w:color w:val="0000FF"/>
                  <w:w w:val="76"/>
                </w:rPr>
                <w:t>60</w:t>
              </w:r>
            </w:hyperlink>
          </w:p>
        </w:tc>
        <w:tc>
          <w:tcPr>
            <w:tcW w:w="0" w:type="dxa"/>
            <w:vAlign w:val="bottom"/>
          </w:tcPr>
          <w:p>
            <w:pPr>
              <w:spacing w:after="0"/>
              <w:rPr>
                <w:sz w:val="1"/>
                <w:szCs w:val="1"/>
                <w:color w:val="auto"/>
              </w:rPr>
            </w:pPr>
          </w:p>
        </w:tc>
      </w:tr>
      <w:tr>
        <w:trPr>
          <w:trHeight w:val="192"/>
        </w:trPr>
        <w:tc>
          <w:tcPr>
            <w:tcW w:w="3060" w:type="dxa"/>
            <w:vAlign w:val="bottom"/>
            <w:tcBorders>
              <w:bottom w:val="single" w:sz="8" w:color="0E32E1"/>
            </w:tcBorders>
            <w:gridSpan w:val="17"/>
          </w:tcPr>
          <w:p>
            <w:pPr>
              <w:spacing w:after="0"/>
              <w:rPr>
                <w:rFonts w:ascii="Arial" w:cs="Arial" w:eastAsia="Arial" w:hAnsi="Arial"/>
                <w:sz w:val="14"/>
                <w:szCs w:val="14"/>
                <w:color w:val="0E32E1"/>
                <w:w w:val="90"/>
              </w:rPr>
            </w:pPr>
            <w:hyperlink w:anchor="page61">
              <w:r>
                <w:rPr>
                  <w:rFonts w:ascii="Arial" w:cs="Arial" w:eastAsia="Arial" w:hAnsi="Arial"/>
                  <w:sz w:val="14"/>
                  <w:szCs w:val="14"/>
                  <w:color w:val="0E32E1"/>
                  <w:w w:val="90"/>
                </w:rPr>
                <w:t>Item 8. Financial Statements and Supplementary Data</w:t>
              </w:r>
            </w:hyperlink>
          </w:p>
        </w:tc>
        <w:tc>
          <w:tcPr>
            <w:tcW w:w="7740" w:type="dxa"/>
            <w:vAlign w:val="bottom"/>
            <w:gridSpan w:val="16"/>
          </w:tcPr>
          <w:p>
            <w:pPr>
              <w:spacing w:after="0"/>
              <w:rPr>
                <w:sz w:val="16"/>
                <w:szCs w:val="16"/>
                <w:color w:val="auto"/>
              </w:rPr>
            </w:pPr>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61">
              <w:r>
                <w:rPr>
                  <w:rFonts w:ascii="Arial" w:cs="Arial" w:eastAsia="Arial" w:hAnsi="Arial"/>
                  <w:sz w:val="14"/>
                  <w:szCs w:val="14"/>
                  <w:color w:val="0000FF"/>
                  <w:w w:val="76"/>
                </w:rPr>
                <w:t>61</w:t>
              </w:r>
            </w:hyperlink>
          </w:p>
        </w:tc>
        <w:tc>
          <w:tcPr>
            <w:tcW w:w="0" w:type="dxa"/>
            <w:vAlign w:val="bottom"/>
          </w:tcPr>
          <w:p>
            <w:pPr>
              <w:spacing w:after="0"/>
              <w:rPr>
                <w:sz w:val="1"/>
                <w:szCs w:val="1"/>
                <w:color w:val="auto"/>
              </w:rPr>
            </w:pPr>
          </w:p>
        </w:tc>
      </w:tr>
      <w:tr>
        <w:trPr>
          <w:trHeight w:val="182"/>
        </w:trPr>
        <w:tc>
          <w:tcPr>
            <w:tcW w:w="5580" w:type="dxa"/>
            <w:vAlign w:val="bottom"/>
            <w:tcBorders>
              <w:bottom w:val="single" w:sz="8" w:color="0E32E1"/>
            </w:tcBorders>
            <w:gridSpan w:val="27"/>
          </w:tcPr>
          <w:p>
            <w:pPr>
              <w:spacing w:after="0"/>
              <w:rPr>
                <w:rFonts w:ascii="Arial" w:cs="Arial" w:eastAsia="Arial" w:hAnsi="Arial"/>
                <w:sz w:val="14"/>
                <w:szCs w:val="14"/>
                <w:color w:val="0E32E1"/>
                <w:w w:val="91"/>
              </w:rPr>
            </w:pPr>
            <w:hyperlink w:anchor="page94">
              <w:r>
                <w:rPr>
                  <w:rFonts w:ascii="Arial" w:cs="Arial" w:eastAsia="Arial" w:hAnsi="Arial"/>
                  <w:sz w:val="14"/>
                  <w:szCs w:val="14"/>
                  <w:color w:val="0E32E1"/>
                  <w:w w:val="91"/>
                </w:rPr>
                <w:t>Item 9. Changes in and Disagreements With Accountants on Accounting and Financial Disclosure</w:t>
              </w:r>
            </w:hyperlink>
          </w:p>
        </w:tc>
        <w:tc>
          <w:tcPr>
            <w:tcW w:w="5220" w:type="dxa"/>
            <w:vAlign w:val="bottom"/>
            <w:gridSpan w:val="6"/>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4">
              <w:r>
                <w:rPr>
                  <w:rFonts w:ascii="Arial" w:cs="Arial" w:eastAsia="Arial" w:hAnsi="Arial"/>
                  <w:sz w:val="14"/>
                  <w:szCs w:val="14"/>
                  <w:color w:val="0000FF"/>
                  <w:w w:val="76"/>
                </w:rPr>
                <w:t>94</w:t>
              </w:r>
            </w:hyperlink>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80" w:type="dxa"/>
            <w:vAlign w:val="bottom"/>
            <w:gridSpan w:val="31"/>
          </w:tcPr>
          <w:p>
            <w:pPr>
              <w:spacing w:after="0"/>
              <w:rPr>
                <w:rFonts w:ascii="Arial" w:cs="Arial" w:eastAsia="Arial" w:hAnsi="Arial"/>
                <w:sz w:val="14"/>
                <w:szCs w:val="14"/>
                <w:color w:val="0E32E1"/>
              </w:rPr>
            </w:pPr>
            <w:hyperlink w:anchor="page95">
              <w:r>
                <w:rPr>
                  <w:rFonts w:ascii="Arial" w:cs="Arial" w:eastAsia="Arial" w:hAnsi="Arial"/>
                  <w:sz w:val="14"/>
                  <w:szCs w:val="14"/>
                  <w:color w:val="0E32E1"/>
                </w:rPr>
                <w:t>Item 9A. Controls and Procedures</w:t>
              </w:r>
            </w:hyperlink>
          </w:p>
        </w:tc>
        <w:tc>
          <w:tcPr>
            <w:tcW w:w="140" w:type="dxa"/>
            <w:vAlign w:val="bottom"/>
            <w:tcBorders>
              <w:bottom w:val="single" w:sz="8" w:color="0000FF"/>
            </w:tcBorders>
            <w:gridSpan w:val="2"/>
          </w:tcPr>
          <w:p>
            <w:pPr>
              <w:spacing w:after="0"/>
              <w:rPr>
                <w:rFonts w:ascii="Arial" w:cs="Arial" w:eastAsia="Arial" w:hAnsi="Arial"/>
                <w:sz w:val="14"/>
                <w:szCs w:val="14"/>
                <w:color w:val="0000FF"/>
                <w:w w:val="76"/>
              </w:rPr>
            </w:pPr>
            <w:hyperlink w:anchor="page95">
              <w:r>
                <w:rPr>
                  <w:rFonts w:ascii="Arial" w:cs="Arial" w:eastAsia="Arial" w:hAnsi="Arial"/>
                  <w:sz w:val="14"/>
                  <w:szCs w:val="14"/>
                  <w:color w:val="0000FF"/>
                  <w:w w:val="76"/>
                </w:rPr>
                <w:t>94</w:t>
              </w:r>
            </w:hyperlink>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top w:val="single" w:sz="8" w:color="0E32E1"/>
            </w:tcBorders>
            <w:gridSpan w:val="11"/>
          </w:tcPr>
          <w:p>
            <w:pPr>
              <w:spacing w:after="0"/>
              <w:rPr>
                <w:rFonts w:ascii="Arial" w:cs="Arial" w:eastAsia="Arial" w:hAnsi="Arial"/>
                <w:sz w:val="14"/>
                <w:szCs w:val="14"/>
                <w:color w:val="0E32E1"/>
              </w:rPr>
            </w:pPr>
            <w:hyperlink w:anchor="page96">
              <w:r>
                <w:rPr>
                  <w:rFonts w:ascii="Arial" w:cs="Arial" w:eastAsia="Arial" w:hAnsi="Arial"/>
                  <w:sz w:val="14"/>
                  <w:szCs w:val="14"/>
                  <w:color w:val="0E32E1"/>
                </w:rPr>
                <w:t>Item 9B. Other Information</w:t>
              </w:r>
            </w:hyperlink>
          </w:p>
        </w:tc>
        <w:tc>
          <w:tcPr>
            <w:tcW w:w="8560" w:type="dxa"/>
            <w:vAlign w:val="bottom"/>
            <w:gridSpan w:val="20"/>
          </w:tcPr>
          <w:p>
            <w:pPr>
              <w:spacing w:after="0"/>
              <w:rPr>
                <w:sz w:val="14"/>
                <w:szCs w:val="14"/>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6">
              <w:r>
                <w:rPr>
                  <w:rFonts w:ascii="Arial" w:cs="Arial" w:eastAsia="Arial" w:hAnsi="Arial"/>
                  <w:sz w:val="14"/>
                  <w:szCs w:val="14"/>
                  <w:color w:val="0000FF"/>
                  <w:w w:val="76"/>
                </w:rPr>
                <w:t>95</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160" w:type="dxa"/>
            <w:vAlign w:val="bottom"/>
            <w:gridSpan w:val="6"/>
            <w:shd w:val="clear" w:color="auto" w:fill="0E32E1"/>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gridSpan w:val="2"/>
            <w:vMerge w:val="restart"/>
          </w:tcPr>
          <w:p>
            <w:pPr>
              <w:spacing w:after="0"/>
              <w:rPr>
                <w:rFonts w:ascii="Arial" w:cs="Arial" w:eastAsia="Arial" w:hAnsi="Arial"/>
                <w:sz w:val="14"/>
                <w:szCs w:val="14"/>
                <w:color w:val="0000FF"/>
                <w:w w:val="76"/>
              </w:rPr>
            </w:pPr>
            <w:hyperlink w:anchor="page96">
              <w:r>
                <w:rPr>
                  <w:rFonts w:ascii="Arial" w:cs="Arial" w:eastAsia="Arial" w:hAnsi="Arial"/>
                  <w:sz w:val="14"/>
                  <w:szCs w:val="14"/>
                  <w:color w:val="0000FF"/>
                  <w:w w:val="76"/>
                </w:rPr>
                <w:t>95</w:t>
              </w:r>
            </w:hyperlink>
          </w:p>
        </w:tc>
        <w:tc>
          <w:tcPr>
            <w:tcW w:w="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80" w:type="dxa"/>
            <w:vAlign w:val="bottom"/>
            <w:gridSpan w:val="31"/>
          </w:tcPr>
          <w:p>
            <w:pPr>
              <w:spacing w:after="0"/>
              <w:rPr>
                <w:rFonts w:ascii="Arial" w:cs="Arial" w:eastAsia="Arial" w:hAnsi="Arial"/>
                <w:sz w:val="14"/>
                <w:szCs w:val="14"/>
                <w:color w:val="0000FF"/>
              </w:rPr>
            </w:pPr>
            <w:hyperlink w:anchor="page96">
              <w:r>
                <w:rPr>
                  <w:rFonts w:ascii="Arial" w:cs="Arial" w:eastAsia="Arial" w:hAnsi="Arial"/>
                  <w:sz w:val="14"/>
                  <w:szCs w:val="14"/>
                  <w:color w:val="0000FF"/>
                </w:rPr>
                <w:t xml:space="preserve">Item </w:t>
              </w:r>
            </w:hyperlink>
            <w:r>
              <w:rPr>
                <w:rFonts w:ascii="Arial" w:cs="Arial" w:eastAsia="Arial" w:hAnsi="Arial"/>
                <w:sz w:val="14"/>
                <w:szCs w:val="14"/>
                <w:color w:val="0000FF"/>
              </w:rPr>
              <w:t xml:space="preserve">9C. </w:t>
            </w:r>
            <w:hyperlink w:anchor="page96">
              <w:r>
                <w:rPr>
                  <w:rFonts w:ascii="Arial" w:cs="Arial" w:eastAsia="Arial" w:hAnsi="Arial"/>
                  <w:sz w:val="14"/>
                  <w:szCs w:val="14"/>
                  <w:color w:val="0000FF"/>
                </w:rPr>
                <w:t xml:space="preserve">Disclosure Regarding </w:t>
              </w:r>
            </w:hyperlink>
            <w:r>
              <w:rPr>
                <w:rFonts w:ascii="Arial" w:cs="Arial" w:eastAsia="Arial" w:hAnsi="Arial"/>
                <w:sz w:val="14"/>
                <w:szCs w:val="14"/>
                <w:color w:val="0000FF"/>
              </w:rPr>
              <w:t xml:space="preserve">Foreign </w:t>
            </w:r>
            <w:hyperlink w:anchor="page96">
              <w:r>
                <w:rPr>
                  <w:rFonts w:ascii="Arial" w:cs="Arial" w:eastAsia="Arial" w:hAnsi="Arial"/>
                  <w:sz w:val="14"/>
                  <w:szCs w:val="14"/>
                  <w:color w:val="0000FF"/>
                </w:rPr>
                <w:t xml:space="preserve">Jurisdictions that </w:t>
              </w:r>
            </w:hyperlink>
            <w:r>
              <w:rPr>
                <w:rFonts w:ascii="Arial" w:cs="Arial" w:eastAsia="Arial" w:hAnsi="Arial"/>
                <w:sz w:val="14"/>
                <w:szCs w:val="14"/>
                <w:color w:val="0000FF"/>
              </w:rPr>
              <w:t xml:space="preserve">Prevent </w:t>
            </w:r>
            <w:hyperlink w:anchor="page96">
              <w:r>
                <w:rPr>
                  <w:rFonts w:ascii="Arial" w:cs="Arial" w:eastAsia="Arial" w:hAnsi="Arial"/>
                  <w:sz w:val="14"/>
                  <w:szCs w:val="14"/>
                  <w:color w:val="0000FF"/>
                </w:rPr>
                <w:t>Inspections</w:t>
              </w:r>
            </w:hyperlink>
          </w:p>
        </w:tc>
        <w:tc>
          <w:tcPr>
            <w:tcW w:w="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gridSpan w:val="8"/>
          </w:tcPr>
          <w:p>
            <w:pPr>
              <w:jc w:val="right"/>
              <w:ind w:right="5080"/>
              <w:spacing w:after="0"/>
              <w:rPr>
                <w:rFonts w:ascii="Arial" w:cs="Arial" w:eastAsia="Arial" w:hAnsi="Arial"/>
                <w:sz w:val="14"/>
                <w:szCs w:val="14"/>
                <w:color w:val="0E32E1"/>
                <w:w w:val="94"/>
              </w:rPr>
            </w:pPr>
            <w:hyperlink w:anchor="page96">
              <w:r>
                <w:rPr>
                  <w:rFonts w:ascii="Arial" w:cs="Arial" w:eastAsia="Arial" w:hAnsi="Arial"/>
                  <w:sz w:val="14"/>
                  <w:szCs w:val="14"/>
                  <w:color w:val="0E32E1"/>
                  <w:w w:val="94"/>
                </w:rPr>
                <w:t>PART III</w:t>
              </w:r>
            </w:hyperlink>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0E32E1"/>
            </w:tcBorders>
            <w:gridSpan w:val="18"/>
          </w:tcPr>
          <w:p>
            <w:pPr>
              <w:spacing w:after="0"/>
              <w:rPr>
                <w:rFonts w:ascii="Arial" w:cs="Arial" w:eastAsia="Arial" w:hAnsi="Arial"/>
                <w:sz w:val="14"/>
                <w:szCs w:val="14"/>
                <w:color w:val="0E32E1"/>
                <w:w w:val="92"/>
              </w:rPr>
            </w:pPr>
            <w:hyperlink w:anchor="page96">
              <w:r>
                <w:rPr>
                  <w:rFonts w:ascii="Arial" w:cs="Arial" w:eastAsia="Arial" w:hAnsi="Arial"/>
                  <w:sz w:val="14"/>
                  <w:szCs w:val="14"/>
                  <w:color w:val="0E32E1"/>
                  <w:w w:val="92"/>
                </w:rPr>
                <w:t>Item 10. Directors, Executive Officers and Corporate Governance</w:t>
              </w:r>
            </w:hyperlink>
          </w:p>
        </w:tc>
        <w:tc>
          <w:tcPr>
            <w:tcW w:w="1440" w:type="dxa"/>
            <w:vAlign w:val="bottom"/>
            <w:gridSpan w:val="7"/>
          </w:tcPr>
          <w:p>
            <w:pPr>
              <w:spacing w:after="0"/>
              <w:rPr>
                <w:sz w:val="16"/>
                <w:szCs w:val="16"/>
                <w:color w:val="auto"/>
              </w:rPr>
            </w:pPr>
          </w:p>
        </w:tc>
        <w:tc>
          <w:tcPr>
            <w:tcW w:w="520" w:type="dxa"/>
            <w:vAlign w:val="bottom"/>
            <w:tcBorders>
              <w:top w:val="single" w:sz="8" w:color="0E32E1"/>
            </w:tcBorders>
            <w:gridSpan w:val="5"/>
          </w:tcPr>
          <w:p>
            <w:pPr>
              <w:spacing w:after="0"/>
              <w:rPr>
                <w:sz w:val="16"/>
                <w:szCs w:val="16"/>
                <w:color w:val="auto"/>
              </w:rPr>
            </w:pPr>
          </w:p>
        </w:tc>
        <w:tc>
          <w:tcPr>
            <w:tcW w:w="5080" w:type="dxa"/>
            <w:vAlign w:val="bottom"/>
            <w:gridSpan w:val="3"/>
          </w:tcPr>
          <w:p>
            <w:pPr>
              <w:spacing w:after="0"/>
              <w:rPr>
                <w:sz w:val="16"/>
                <w:szCs w:val="16"/>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6">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82"/>
        </w:trPr>
        <w:tc>
          <w:tcPr>
            <w:tcW w:w="1960" w:type="dxa"/>
            <w:vAlign w:val="bottom"/>
            <w:tcBorders>
              <w:bottom w:val="single" w:sz="8" w:color="0E32E1"/>
            </w:tcBorders>
            <w:gridSpan w:val="12"/>
          </w:tcPr>
          <w:p>
            <w:pPr>
              <w:spacing w:after="0"/>
              <w:rPr>
                <w:rFonts w:ascii="Arial" w:cs="Arial" w:eastAsia="Arial" w:hAnsi="Arial"/>
                <w:sz w:val="14"/>
                <w:szCs w:val="14"/>
                <w:color w:val="0E32E1"/>
                <w:w w:val="92"/>
              </w:rPr>
            </w:pPr>
            <w:hyperlink w:anchor="page97">
              <w:r>
                <w:rPr>
                  <w:rFonts w:ascii="Arial" w:cs="Arial" w:eastAsia="Arial" w:hAnsi="Arial"/>
                  <w:sz w:val="14"/>
                  <w:szCs w:val="14"/>
                  <w:color w:val="0E32E1"/>
                  <w:w w:val="92"/>
                </w:rPr>
                <w:t>Item 11. Executive Compensation</w:t>
              </w:r>
            </w:hyperlink>
          </w:p>
        </w:tc>
        <w:tc>
          <w:tcPr>
            <w:tcW w:w="8840" w:type="dxa"/>
            <w:vAlign w:val="bottom"/>
            <w:gridSpan w:val="21"/>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7">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82"/>
        </w:trPr>
        <w:tc>
          <w:tcPr>
            <w:tcW w:w="6260" w:type="dxa"/>
            <w:vAlign w:val="bottom"/>
            <w:tcBorders>
              <w:bottom w:val="single" w:sz="8" w:color="0E32E1"/>
            </w:tcBorders>
            <w:gridSpan w:val="31"/>
          </w:tcPr>
          <w:p>
            <w:pPr>
              <w:spacing w:after="0"/>
              <w:rPr>
                <w:rFonts w:ascii="Arial" w:cs="Arial" w:eastAsia="Arial" w:hAnsi="Arial"/>
                <w:sz w:val="14"/>
                <w:szCs w:val="14"/>
                <w:color w:val="0E32E1"/>
                <w:w w:val="92"/>
              </w:rPr>
            </w:pPr>
            <w:hyperlink w:anchor="page97">
              <w:r>
                <w:rPr>
                  <w:rFonts w:ascii="Arial" w:cs="Arial" w:eastAsia="Arial" w:hAnsi="Arial"/>
                  <w:sz w:val="14"/>
                  <w:szCs w:val="14"/>
                  <w:color w:val="0E32E1"/>
                  <w:w w:val="92"/>
                </w:rPr>
                <w:t>Item 12. Security Ownership of Certain Beneficial Owners and Management and Related Stockholder Matters</w:t>
              </w:r>
            </w:hyperlink>
          </w:p>
        </w:tc>
        <w:tc>
          <w:tcPr>
            <w:tcW w:w="4540" w:type="dxa"/>
            <w:vAlign w:val="bottom"/>
            <w:gridSpan w:val="2"/>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7">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82"/>
        </w:trPr>
        <w:tc>
          <w:tcPr>
            <w:tcW w:w="10800" w:type="dxa"/>
            <w:vAlign w:val="bottom"/>
            <w:gridSpan w:val="33"/>
          </w:tcPr>
          <w:p>
            <w:pPr>
              <w:spacing w:after="0"/>
              <w:rPr>
                <w:rFonts w:ascii="Arial" w:cs="Arial" w:eastAsia="Arial" w:hAnsi="Arial"/>
                <w:sz w:val="14"/>
                <w:szCs w:val="14"/>
                <w:color w:val="0E32E1"/>
              </w:rPr>
            </w:pPr>
            <w:hyperlink w:anchor="page97">
              <w:r>
                <w:rPr>
                  <w:rFonts w:ascii="Arial" w:cs="Arial" w:eastAsia="Arial" w:hAnsi="Arial"/>
                  <w:sz w:val="14"/>
                  <w:szCs w:val="14"/>
                  <w:color w:val="0E32E1"/>
                </w:rPr>
                <w:t>Item 13. Certain Relationships and Related Transactions, and Director Independence</w:t>
              </w:r>
            </w:hyperlink>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7">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73"/>
        </w:trPr>
        <w:tc>
          <w:tcPr>
            <w:tcW w:w="4780" w:type="dxa"/>
            <w:vAlign w:val="bottom"/>
            <w:tcBorders>
              <w:top w:val="single" w:sz="8" w:color="0E32E1"/>
            </w:tcBorders>
            <w:gridSpan w:val="21"/>
          </w:tcPr>
          <w:p>
            <w:pPr>
              <w:spacing w:after="0"/>
              <w:rPr>
                <w:rFonts w:ascii="Arial" w:cs="Arial" w:eastAsia="Arial" w:hAnsi="Arial"/>
                <w:sz w:val="14"/>
                <w:szCs w:val="14"/>
                <w:color w:val="0E32E1"/>
              </w:rPr>
            </w:pPr>
            <w:hyperlink w:anchor="page97">
              <w:r>
                <w:rPr>
                  <w:rFonts w:ascii="Arial" w:cs="Arial" w:eastAsia="Arial" w:hAnsi="Arial"/>
                  <w:sz w:val="14"/>
                  <w:szCs w:val="14"/>
                  <w:color w:val="0E32E1"/>
                </w:rPr>
                <w:t xml:space="preserve">Item 14. Principal </w:t>
              </w:r>
            </w:hyperlink>
            <w:r>
              <w:rPr>
                <w:rFonts w:ascii="Arial" w:cs="Arial" w:eastAsia="Arial" w:hAnsi="Arial"/>
                <w:sz w:val="14"/>
                <w:szCs w:val="14"/>
                <w:color w:val="0E32E1"/>
              </w:rPr>
              <w:t xml:space="preserve">Accountant </w:t>
            </w:r>
            <w:hyperlink w:anchor="page97">
              <w:r>
                <w:rPr>
                  <w:rFonts w:ascii="Arial" w:cs="Arial" w:eastAsia="Arial" w:hAnsi="Arial"/>
                  <w:sz w:val="14"/>
                  <w:szCs w:val="14"/>
                  <w:color w:val="0E32E1"/>
                </w:rPr>
                <w:t>Fees and Services</w:t>
              </w:r>
            </w:hyperlink>
          </w:p>
        </w:tc>
        <w:tc>
          <w:tcPr>
            <w:tcW w:w="6020" w:type="dxa"/>
            <w:vAlign w:val="bottom"/>
            <w:gridSpan w:val="12"/>
          </w:tcPr>
          <w:p>
            <w:pPr>
              <w:spacing w:after="0"/>
              <w:rPr>
                <w:sz w:val="15"/>
                <w:szCs w:val="15"/>
                <w:color w:val="auto"/>
              </w:rPr>
            </w:pPr>
          </w:p>
        </w:tc>
        <w:tc>
          <w:tcPr>
            <w:tcW w:w="140" w:type="dxa"/>
            <w:vAlign w:val="bottom"/>
            <w:gridSpan w:val="2"/>
          </w:tcPr>
          <w:p>
            <w:pPr>
              <w:spacing w:after="0"/>
              <w:rPr>
                <w:rFonts w:ascii="Arial" w:cs="Arial" w:eastAsia="Arial" w:hAnsi="Arial"/>
                <w:sz w:val="14"/>
                <w:szCs w:val="14"/>
                <w:color w:val="0000FF"/>
                <w:w w:val="76"/>
              </w:rPr>
            </w:pPr>
            <w:hyperlink w:anchor="page97">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91"/>
        </w:trPr>
        <w:tc>
          <w:tcPr>
            <w:tcW w:w="300" w:type="dxa"/>
            <w:vAlign w:val="bottom"/>
            <w:tcBorders>
              <w:top w:val="single" w:sz="8" w:color="0E32E1"/>
            </w:tcBorders>
          </w:tcPr>
          <w:p>
            <w:pPr>
              <w:spacing w:after="0"/>
              <w:rPr>
                <w:sz w:val="16"/>
                <w:szCs w:val="16"/>
                <w:color w:val="auto"/>
              </w:rPr>
            </w:pPr>
          </w:p>
        </w:tc>
        <w:tc>
          <w:tcPr>
            <w:tcW w:w="20" w:type="dxa"/>
            <w:vAlign w:val="bottom"/>
            <w:tcBorders>
              <w:top w:val="single" w:sz="8" w:color="0E32E1"/>
            </w:tcBorders>
          </w:tcPr>
          <w:p>
            <w:pPr>
              <w:spacing w:after="0"/>
              <w:rPr>
                <w:sz w:val="16"/>
                <w:szCs w:val="16"/>
                <w:color w:val="auto"/>
              </w:rPr>
            </w:pPr>
          </w:p>
        </w:tc>
        <w:tc>
          <w:tcPr>
            <w:tcW w:w="280" w:type="dxa"/>
            <w:vAlign w:val="bottom"/>
            <w:tcBorders>
              <w:top w:val="single" w:sz="8" w:color="0E32E1"/>
            </w:tcBorders>
          </w:tcPr>
          <w:p>
            <w:pPr>
              <w:spacing w:after="0"/>
              <w:rPr>
                <w:sz w:val="16"/>
                <w:szCs w:val="16"/>
                <w:color w:val="auto"/>
              </w:rPr>
            </w:pPr>
          </w:p>
        </w:tc>
        <w:tc>
          <w:tcPr>
            <w:tcW w:w="340" w:type="dxa"/>
            <w:vAlign w:val="bottom"/>
            <w:tcBorders>
              <w:top w:val="single" w:sz="8" w:color="0E32E1"/>
            </w:tcBorders>
          </w:tcPr>
          <w:p>
            <w:pPr>
              <w:spacing w:after="0"/>
              <w:rPr>
                <w:sz w:val="16"/>
                <w:szCs w:val="16"/>
                <w:color w:val="auto"/>
              </w:rPr>
            </w:pPr>
          </w:p>
        </w:tc>
        <w:tc>
          <w:tcPr>
            <w:tcW w:w="20" w:type="dxa"/>
            <w:vAlign w:val="bottom"/>
            <w:tcBorders>
              <w:top w:val="single" w:sz="8" w:color="0E32E1"/>
            </w:tcBorders>
          </w:tcPr>
          <w:p>
            <w:pPr>
              <w:spacing w:after="0"/>
              <w:rPr>
                <w:sz w:val="16"/>
                <w:szCs w:val="16"/>
                <w:color w:val="auto"/>
              </w:rPr>
            </w:pPr>
          </w:p>
        </w:tc>
        <w:tc>
          <w:tcPr>
            <w:tcW w:w="80" w:type="dxa"/>
            <w:vAlign w:val="bottom"/>
            <w:tcBorders>
              <w:top w:val="single" w:sz="8" w:color="0E32E1"/>
            </w:tcBorders>
          </w:tcPr>
          <w:p>
            <w:pPr>
              <w:spacing w:after="0"/>
              <w:rPr>
                <w:sz w:val="16"/>
                <w:szCs w:val="16"/>
                <w:color w:val="auto"/>
              </w:rPr>
            </w:pPr>
          </w:p>
        </w:tc>
        <w:tc>
          <w:tcPr>
            <w:tcW w:w="440" w:type="dxa"/>
            <w:vAlign w:val="bottom"/>
            <w:tcBorders>
              <w:top w:val="single" w:sz="8" w:color="0E32E1"/>
            </w:tcBorders>
          </w:tcPr>
          <w:p>
            <w:pPr>
              <w:spacing w:after="0"/>
              <w:rPr>
                <w:sz w:val="16"/>
                <w:szCs w:val="16"/>
                <w:color w:val="auto"/>
              </w:rPr>
            </w:pPr>
          </w:p>
        </w:tc>
        <w:tc>
          <w:tcPr>
            <w:tcW w:w="120" w:type="dxa"/>
            <w:vAlign w:val="bottom"/>
            <w:tcBorders>
              <w:top w:val="single" w:sz="8" w:color="0E32E1"/>
            </w:tcBorders>
          </w:tcPr>
          <w:p>
            <w:pPr>
              <w:spacing w:after="0"/>
              <w:rPr>
                <w:sz w:val="16"/>
                <w:szCs w:val="16"/>
                <w:color w:val="auto"/>
              </w:rPr>
            </w:pPr>
          </w:p>
        </w:tc>
        <w:tc>
          <w:tcPr>
            <w:tcW w:w="160" w:type="dxa"/>
            <w:vAlign w:val="bottom"/>
            <w:tcBorders>
              <w:top w:val="single" w:sz="8" w:color="0E32E1"/>
            </w:tcBorders>
          </w:tcPr>
          <w:p>
            <w:pPr>
              <w:spacing w:after="0"/>
              <w:rPr>
                <w:sz w:val="16"/>
                <w:szCs w:val="16"/>
                <w:color w:val="auto"/>
              </w:rPr>
            </w:pPr>
          </w:p>
        </w:tc>
        <w:tc>
          <w:tcPr>
            <w:tcW w:w="100" w:type="dxa"/>
            <w:vAlign w:val="bottom"/>
            <w:tcBorders>
              <w:top w:val="single" w:sz="8" w:color="0E32E1"/>
            </w:tcBorders>
          </w:tcPr>
          <w:p>
            <w:pPr>
              <w:spacing w:after="0"/>
              <w:rPr>
                <w:sz w:val="16"/>
                <w:szCs w:val="16"/>
                <w:color w:val="auto"/>
              </w:rPr>
            </w:pPr>
          </w:p>
        </w:tc>
        <w:tc>
          <w:tcPr>
            <w:tcW w:w="20" w:type="dxa"/>
            <w:vAlign w:val="bottom"/>
            <w:tcBorders>
              <w:top w:val="single" w:sz="8" w:color="0E32E1"/>
            </w:tcBorders>
          </w:tcPr>
          <w:p>
            <w:pPr>
              <w:spacing w:after="0"/>
              <w:rPr>
                <w:sz w:val="16"/>
                <w:szCs w:val="16"/>
                <w:color w:val="auto"/>
              </w:rPr>
            </w:pPr>
          </w:p>
        </w:tc>
        <w:tc>
          <w:tcPr>
            <w:tcW w:w="80" w:type="dxa"/>
            <w:vAlign w:val="bottom"/>
            <w:tcBorders>
              <w:top w:val="single" w:sz="8" w:color="0E32E1"/>
            </w:tcBorders>
          </w:tcPr>
          <w:p>
            <w:pPr>
              <w:spacing w:after="0"/>
              <w:rPr>
                <w:sz w:val="16"/>
                <w:szCs w:val="16"/>
                <w:color w:val="auto"/>
              </w:rPr>
            </w:pPr>
          </w:p>
        </w:tc>
        <w:tc>
          <w:tcPr>
            <w:tcW w:w="280" w:type="dxa"/>
            <w:vAlign w:val="bottom"/>
            <w:tcBorders>
              <w:top w:val="single" w:sz="8" w:color="0E32E1"/>
            </w:tcBorders>
          </w:tcPr>
          <w:p>
            <w:pPr>
              <w:spacing w:after="0"/>
              <w:rPr>
                <w:sz w:val="16"/>
                <w:szCs w:val="16"/>
                <w:color w:val="auto"/>
              </w:rPr>
            </w:pPr>
          </w:p>
        </w:tc>
        <w:tc>
          <w:tcPr>
            <w:tcW w:w="260" w:type="dxa"/>
            <w:vAlign w:val="bottom"/>
            <w:tcBorders>
              <w:top w:val="single" w:sz="8" w:color="0E32E1"/>
            </w:tcBorders>
          </w:tcPr>
          <w:p>
            <w:pPr>
              <w:spacing w:after="0"/>
              <w:rPr>
                <w:sz w:val="16"/>
                <w:szCs w:val="16"/>
                <w:color w:val="auto"/>
              </w:rPr>
            </w:pPr>
          </w:p>
        </w:tc>
        <w:tc>
          <w:tcPr>
            <w:tcW w:w="280" w:type="dxa"/>
            <w:vAlign w:val="bottom"/>
            <w:tcBorders>
              <w:top w:val="single" w:sz="8" w:color="0E32E1"/>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20" w:type="dxa"/>
            <w:vAlign w:val="bottom"/>
            <w:gridSpan w:val="9"/>
          </w:tcPr>
          <w:p>
            <w:pPr>
              <w:jc w:val="right"/>
              <w:ind w:right="5080"/>
              <w:spacing w:after="0"/>
              <w:rPr>
                <w:rFonts w:ascii="Arial" w:cs="Arial" w:eastAsia="Arial" w:hAnsi="Arial"/>
                <w:sz w:val="14"/>
                <w:szCs w:val="14"/>
                <w:color w:val="0E32E1"/>
                <w:w w:val="95"/>
              </w:rPr>
            </w:pPr>
            <w:r>
              <w:rPr>
                <w:rFonts w:ascii="Arial" w:cs="Arial" w:eastAsia="Arial" w:hAnsi="Arial"/>
                <w:sz w:val="14"/>
                <w:szCs w:val="14"/>
                <w:color w:val="0E32E1"/>
                <w:w w:val="95"/>
              </w:rPr>
              <w:t xml:space="preserve">PART </w:t>
            </w:r>
            <w:hyperlink w:anchor="page97">
              <w:r>
                <w:rPr>
                  <w:rFonts w:ascii="Arial" w:cs="Arial" w:eastAsia="Arial" w:hAnsi="Arial"/>
                  <w:sz w:val="14"/>
                  <w:szCs w:val="14"/>
                  <w:color w:val="0E32E1"/>
                  <w:w w:val="95"/>
                </w:rPr>
                <w:t>IV</w:t>
              </w:r>
            </w:hyperlink>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bottom w:val="single" w:sz="8" w:color="0E32E1"/>
            </w:tcBorders>
            <w:gridSpan w:val="16"/>
          </w:tcPr>
          <w:p>
            <w:pPr>
              <w:spacing w:after="0"/>
              <w:rPr>
                <w:rFonts w:ascii="Arial" w:cs="Arial" w:eastAsia="Arial" w:hAnsi="Arial"/>
                <w:sz w:val="14"/>
                <w:szCs w:val="14"/>
                <w:color w:val="0E32E1"/>
                <w:w w:val="92"/>
              </w:rPr>
            </w:pPr>
            <w:hyperlink w:anchor="page97">
              <w:r>
                <w:rPr>
                  <w:rFonts w:ascii="Arial" w:cs="Arial" w:eastAsia="Arial" w:hAnsi="Arial"/>
                  <w:sz w:val="14"/>
                  <w:szCs w:val="14"/>
                  <w:color w:val="0E32E1"/>
                  <w:w w:val="92"/>
                </w:rPr>
                <w:t>Item 15. Exhibits, Financial Statement Schedules</w:t>
              </w:r>
            </w:hyperlink>
          </w:p>
        </w:tc>
        <w:tc>
          <w:tcPr>
            <w:tcW w:w="2360" w:type="dxa"/>
            <w:vAlign w:val="bottom"/>
            <w:gridSpan w:val="8"/>
          </w:tcPr>
          <w:p>
            <w:pPr>
              <w:spacing w:after="0"/>
              <w:rPr>
                <w:sz w:val="16"/>
                <w:szCs w:val="16"/>
                <w:color w:val="auto"/>
              </w:rPr>
            </w:pPr>
          </w:p>
        </w:tc>
        <w:tc>
          <w:tcPr>
            <w:tcW w:w="540" w:type="dxa"/>
            <w:vAlign w:val="bottom"/>
            <w:tcBorders>
              <w:top w:val="single" w:sz="8" w:color="0E32E1"/>
            </w:tcBorders>
            <w:gridSpan w:val="6"/>
          </w:tcPr>
          <w:p>
            <w:pPr>
              <w:spacing w:after="0"/>
              <w:rPr>
                <w:sz w:val="16"/>
                <w:szCs w:val="16"/>
                <w:color w:val="auto"/>
              </w:rPr>
            </w:pPr>
          </w:p>
        </w:tc>
        <w:tc>
          <w:tcPr>
            <w:tcW w:w="5080" w:type="dxa"/>
            <w:vAlign w:val="bottom"/>
            <w:gridSpan w:val="3"/>
          </w:tcPr>
          <w:p>
            <w:pPr>
              <w:spacing w:after="0"/>
              <w:rPr>
                <w:sz w:val="16"/>
                <w:szCs w:val="16"/>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7">
              <w:r>
                <w:rPr>
                  <w:rFonts w:ascii="Arial" w:cs="Arial" w:eastAsia="Arial" w:hAnsi="Arial"/>
                  <w:sz w:val="14"/>
                  <w:szCs w:val="14"/>
                  <w:color w:val="0000FF"/>
                  <w:w w:val="76"/>
                </w:rPr>
                <w:t>96</w:t>
              </w:r>
            </w:hyperlink>
          </w:p>
        </w:tc>
        <w:tc>
          <w:tcPr>
            <w:tcW w:w="0" w:type="dxa"/>
            <w:vAlign w:val="bottom"/>
          </w:tcPr>
          <w:p>
            <w:pPr>
              <w:spacing w:after="0"/>
              <w:rPr>
                <w:sz w:val="1"/>
                <w:szCs w:val="1"/>
                <w:color w:val="auto"/>
              </w:rPr>
            </w:pPr>
          </w:p>
        </w:tc>
      </w:tr>
      <w:tr>
        <w:trPr>
          <w:trHeight w:val="182"/>
        </w:trPr>
        <w:tc>
          <w:tcPr>
            <w:tcW w:w="1760" w:type="dxa"/>
            <w:vAlign w:val="bottom"/>
            <w:tcBorders>
              <w:bottom w:val="single" w:sz="8" w:color="0E32E1"/>
            </w:tcBorders>
            <w:gridSpan w:val="9"/>
          </w:tcPr>
          <w:p>
            <w:pPr>
              <w:spacing w:after="0"/>
              <w:rPr>
                <w:rFonts w:ascii="Arial" w:cs="Arial" w:eastAsia="Arial" w:hAnsi="Arial"/>
                <w:sz w:val="14"/>
                <w:szCs w:val="14"/>
                <w:color w:val="0E32E1"/>
                <w:w w:val="94"/>
              </w:rPr>
            </w:pPr>
            <w:hyperlink w:anchor="page99">
              <w:r>
                <w:rPr>
                  <w:rFonts w:ascii="Arial" w:cs="Arial" w:eastAsia="Arial" w:hAnsi="Arial"/>
                  <w:sz w:val="14"/>
                  <w:szCs w:val="14"/>
                  <w:color w:val="0E32E1"/>
                  <w:w w:val="94"/>
                </w:rPr>
                <w:t>Item 16. Form 10-K Summary</w:t>
              </w:r>
            </w:hyperlink>
          </w:p>
        </w:tc>
        <w:tc>
          <w:tcPr>
            <w:tcW w:w="9040" w:type="dxa"/>
            <w:vAlign w:val="bottom"/>
            <w:gridSpan w:val="24"/>
          </w:tcPr>
          <w:p>
            <w:pPr>
              <w:spacing w:after="0"/>
              <w:rPr>
                <w:sz w:val="15"/>
                <w:szCs w:val="15"/>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9">
              <w:r>
                <w:rPr>
                  <w:rFonts w:ascii="Arial" w:cs="Arial" w:eastAsia="Arial" w:hAnsi="Arial"/>
                  <w:sz w:val="14"/>
                  <w:szCs w:val="14"/>
                  <w:color w:val="0000FF"/>
                  <w:w w:val="76"/>
                </w:rPr>
                <w:t>98</w:t>
              </w:r>
            </w:hyperlink>
          </w:p>
        </w:tc>
        <w:tc>
          <w:tcPr>
            <w:tcW w:w="0" w:type="dxa"/>
            <w:vAlign w:val="bottom"/>
          </w:tcPr>
          <w:p>
            <w:pPr>
              <w:spacing w:after="0"/>
              <w:rPr>
                <w:sz w:val="1"/>
                <w:szCs w:val="1"/>
                <w:color w:val="auto"/>
              </w:rPr>
            </w:pPr>
          </w:p>
        </w:tc>
      </w:tr>
      <w:tr>
        <w:trPr>
          <w:trHeight w:val="163"/>
        </w:trPr>
        <w:tc>
          <w:tcPr>
            <w:tcW w:w="600" w:type="dxa"/>
            <w:vAlign w:val="bottom"/>
            <w:tcBorders>
              <w:bottom w:val="single" w:sz="8" w:color="0000FF"/>
            </w:tcBorders>
            <w:gridSpan w:val="3"/>
          </w:tcPr>
          <w:p>
            <w:pPr>
              <w:spacing w:after="0"/>
              <w:rPr>
                <w:rFonts w:ascii="Arial" w:cs="Arial" w:eastAsia="Arial" w:hAnsi="Arial"/>
                <w:sz w:val="14"/>
                <w:szCs w:val="14"/>
                <w:color w:val="0000FF"/>
                <w:w w:val="86"/>
              </w:rPr>
            </w:pPr>
            <w:hyperlink w:anchor="page99">
              <w:r>
                <w:rPr>
                  <w:rFonts w:ascii="Arial" w:cs="Arial" w:eastAsia="Arial" w:hAnsi="Arial"/>
                  <w:sz w:val="14"/>
                  <w:szCs w:val="14"/>
                  <w:color w:val="0000FF"/>
                  <w:w w:val="86"/>
                </w:rPr>
                <w:t>Signatures</w:t>
              </w:r>
            </w:hyperlink>
          </w:p>
        </w:tc>
        <w:tc>
          <w:tcPr>
            <w:tcW w:w="10200" w:type="dxa"/>
            <w:vAlign w:val="bottom"/>
            <w:gridSpan w:val="30"/>
          </w:tcPr>
          <w:p>
            <w:pPr>
              <w:spacing w:after="0"/>
              <w:rPr>
                <w:sz w:val="14"/>
                <w:szCs w:val="14"/>
                <w:color w:val="auto"/>
              </w:rPr>
            </w:pPr>
          </w:p>
        </w:tc>
        <w:tc>
          <w:tcPr>
            <w:tcW w:w="140" w:type="dxa"/>
            <w:vAlign w:val="bottom"/>
            <w:tcBorders>
              <w:bottom w:val="single" w:sz="8" w:color="0000FF"/>
            </w:tcBorders>
            <w:gridSpan w:val="2"/>
          </w:tcPr>
          <w:p>
            <w:pPr>
              <w:spacing w:after="0" w:line="151" w:lineRule="exact"/>
              <w:rPr>
                <w:rFonts w:ascii="Arial" w:cs="Arial" w:eastAsia="Arial" w:hAnsi="Arial"/>
                <w:sz w:val="14"/>
                <w:szCs w:val="14"/>
                <w:color w:val="0000FF"/>
                <w:w w:val="76"/>
              </w:rPr>
            </w:pPr>
            <w:hyperlink w:anchor="page99">
              <w:r>
                <w:rPr>
                  <w:rFonts w:ascii="Arial" w:cs="Arial" w:eastAsia="Arial" w:hAnsi="Arial"/>
                  <w:sz w:val="14"/>
                  <w:szCs w:val="14"/>
                  <w:color w:val="0000FF"/>
                  <w:w w:val="76"/>
                </w:rPr>
                <w:t>99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330" w:right="6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This Annual Report on Form 10-K (the “Annual Report on Form 10-K”)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the section titled “</w:t>
      </w:r>
      <w:r>
        <w:rPr>
          <w:rFonts w:ascii="Arial" w:cs="Arial" w:eastAsia="Arial" w:hAnsi="Arial"/>
          <w:sz w:val="13"/>
          <w:szCs w:val="13"/>
          <w:i w:val="1"/>
          <w:iCs w:val="1"/>
          <w:color w:val="auto"/>
        </w:rPr>
        <w:t>Management’s Discussion and Analysis of</w:t>
      </w:r>
      <w:r>
        <w:rPr>
          <w:rFonts w:ascii="Arial" w:cs="Arial" w:eastAsia="Arial" w:hAnsi="Arial"/>
          <w:sz w:val="13"/>
          <w:szCs w:val="13"/>
          <w:color w:val="auto"/>
        </w:rPr>
        <w:t xml:space="preserve"> </w:t>
      </w:r>
      <w:r>
        <w:rPr>
          <w:rFonts w:ascii="Arial" w:cs="Arial" w:eastAsia="Arial" w:hAnsi="Arial"/>
          <w:sz w:val="13"/>
          <w:szCs w:val="13"/>
          <w:i w:val="1"/>
          <w:iCs w:val="1"/>
          <w:color w:val="auto"/>
        </w:rPr>
        <w:t>Financial Condition and Results of Operations</w:t>
      </w:r>
      <w:r>
        <w:rPr>
          <w:rFonts w:ascii="Arial" w:cs="Arial" w:eastAsia="Arial" w:hAnsi="Arial"/>
          <w:sz w:val="13"/>
          <w:szCs w:val="13"/>
          <w:color w:val="auto"/>
        </w:rPr>
        <w:t>.” Forward-looking statements are based on our current expectations and assumptions regarding our business, the economy and other future conditions.</w:t>
      </w:r>
      <w:r>
        <w:rPr>
          <w:rFonts w:ascii="Arial" w:cs="Arial" w:eastAsia="Arial" w:hAnsi="Arial"/>
          <w:sz w:val="13"/>
          <w:szCs w:val="13"/>
          <w:i w:val="1"/>
          <w:iCs w:val="1"/>
          <w:color w:val="auto"/>
        </w:rPr>
        <w:t xml:space="preserve"> </w:t>
      </w:r>
      <w:r>
        <w:rPr>
          <w:rFonts w:ascii="Arial" w:cs="Arial" w:eastAsia="Arial" w:hAnsi="Arial"/>
          <w:sz w:val="13"/>
          <w:szCs w:val="13"/>
          <w:color w:val="auto"/>
        </w:rPr>
        <w:t>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58" w:lineRule="exact"/>
        <w:rPr>
          <w:sz w:val="20"/>
          <w:szCs w:val="20"/>
          <w:color w:val="auto"/>
        </w:rPr>
      </w:pPr>
    </w:p>
    <w:p>
      <w:pPr>
        <w:ind w:left="520" w:hanging="260"/>
        <w:spacing w:after="0" w:line="26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continued adverse effects of the COVID-19 pandemic, including the emergence of COVID-19 variants, or other infectious disease on our financial condition, results of operations, and supply chain;</w:t>
      </w: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vulnerability to changes in consumer preferences and economic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open new restaurants in new and existing markets;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number of visitors to areas where our restaurants are located may decline;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generate same-restaurant sales growth;</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marketing programs and limited-time menu offerings may fail to generate profits;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shortages or disruptions in the supply or delivery of frequently used food items or increases in the cost of our frequently used food items;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prevent instances of food-borne illness in our restaurants;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compete successfully with other breakfast and lunch restaurants;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hire, train, reward and retain employees;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issues with our existing franchisees, including their financial performance, our lack of control over their operations, and conflicting business interests;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vulnerability to adverse demographic, unemployment, economic, regulatory and weather conditions;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damage to our reputation and negative publicity, even if unwarranted;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a small number of suppliers for a substantial amount of our food and coffee;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inability to effectively manage our internal control over financial reporting;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failure to adequately protect our network security;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compliance with federal and local environmental, labor, employment and food safety laws and regulations;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level of indebtedness and our duty to comply with covenants under our credit agreement;</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uncertainty regarding ongoing conflict between Russia and Ukraine and the related impact on transportation and energy costs and other macroeconomic conditions as a result of such conflict; and</w:t>
      </w: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interests of Advent International Corporation, our controlling stockholder, may differ from those of our public stockholders.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See Item 1A. “</w:t>
      </w:r>
      <w:r>
        <w:rPr>
          <w:rFonts w:ascii="Arial" w:cs="Arial" w:eastAsia="Arial" w:hAnsi="Arial"/>
          <w:sz w:val="14"/>
          <w:szCs w:val="14"/>
          <w:i w:val="1"/>
          <w:iCs w:val="1"/>
          <w:color w:val="auto"/>
        </w:rPr>
        <w:t>Risk Factors</w:t>
      </w:r>
      <w:r>
        <w:rPr>
          <w:rFonts w:ascii="Arial" w:cs="Arial" w:eastAsia="Arial" w:hAnsi="Arial"/>
          <w:sz w:val="14"/>
          <w:szCs w:val="14"/>
          <w:color w:val="auto"/>
        </w:rPr>
        <w:t>”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on Form 10-K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First Watch Restaurant Group, Inc. (collectively with its wholly-owned subsidiaries) is a Delaware holding company which was acquired by funds affiliated with or managed by Advent International Corporation (“Advent”) pursuant to a merger transaction in August 2017, (the “Advent Acquisition”). Unless the context otherwise requires, “we,” “us,” “our,” “First Watch,” the “Company,” “Management” and other similar references refer to First Watch Restaurant Group, Inc. and, unless otherwise stated, all of its subsidiaries.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Since opening our doors in 1983, we have been a pioneer in the Daytime Dining restaurant segment, serving made-to-order breakfast, brunch and lunch using the freshest of ingredients. We have built our brand on our commitment to operational excellence, our culinary mission centered around a fresh, continuously evolving menu, and our “You First” culture. Our focus on one daytime shift enables us to optimize restaurant operations while generating average annual sales volumes of $1.8 million in 2021 per restaurant in only 7.5 hours per day. This daytime focus also allows us to attract and retain employees who are passionate about hospitality and drawn to our “No Night Shifts Ever” approach.</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First Watch was named “America’s Favorite Restaurant Brand” by Market Force in 2020, based on customer recommendations and brand satisfaction. In both 2020 and 2021, First Watch was recognized by FSR Magazine as the fastest-growing full-service restaurant company in the United States based on unit growth.</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26, 2021, we had 435 system-wide restaurants across 28 states, 341 of which were company-owned and 94 were franchise-owned.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Promise: Yeah, It’s Fresh!</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At First Watch, we take a creative approach to Daytime Dining led by our commitment to freshness. Every morning, we arrive at the crack of dawn to slice and juice vegetables and fresh fruits, bake muffins, brew our fresh coffee and whip up our French Toast batter from scratch. Each item is made-to-order and prepared with care. We do not use microwave ovens, heat lamps or deep fryers in our kitchens. While our menu constantly evolves, our promise of freshness never wavers. Our award-winning, chef-driven menu includes crave-able items like our Avocado Toast, Smoked Salmon Eggs Benedict, Farm Stand Breakfast Tacos and Lemon Ricotta Pancakes in addition to revolving seasonal items like The Trailblazer Bowl, Carnitas Breakfast Tacos, Superseed Protein Pancakes and a</w:t>
      </w:r>
    </w:p>
    <w:p>
      <w:pPr>
        <w:jc w:val="both"/>
        <w:spacing w:after="0" w:line="281" w:lineRule="auto"/>
        <w:rPr>
          <w:sz w:val="20"/>
          <w:szCs w:val="20"/>
          <w:color w:val="auto"/>
        </w:rPr>
      </w:pPr>
      <w:r>
        <w:rPr>
          <w:rFonts w:ascii="Arial" w:cs="Arial" w:eastAsia="Arial" w:hAnsi="Arial"/>
          <w:sz w:val="14"/>
          <w:szCs w:val="14"/>
          <w:color w:val="auto"/>
        </w:rPr>
        <w:t>rotating fresh, seasonal juice. This commitment to freshness and a culinary philosophy of “Following The Sun,” with our rotating seasonal menu, continues to differentiate the brand and attract an on-trend health-oriented customer while also serving the long-standing customer focused on the ritual and consistency of the breakfast occasion.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Mission: You First</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nearly four decades, we have cultivated an organizational culture built on our mission of “You First.” As a company, we put our employees first and empower them to do whatever it takes to put our customers first. We give back to the local communities where we operate and we support national and international causes we care about, such as our Project Sunrise partnership that supports women-owned coffee farms in Colombia, which in turn empowers them to reinvest in their communities.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Strategies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Restaurant Openings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significant unmet demand and trade-area development opportunities in both existing and new markets. In 2021, we opened 22 new company-owned restaurants generating annualized average unit volumes of $2.0 million, which is approximately 11.0% higher than our existing company-owned restaurant average unit volumes. Our experienced restaurant development team partnered with a third-party analytics firm to conduct an in-depth study determining our potential for more than 2,200 locations in the United States.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selecting new locations, we evaluate specific market characteristics, demographics, traffic patterns, co-tenants and growth potential. Our development approach has proven that First Watch has tremendous portability across markets, with new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restaurants boasting consistent and strong average unit volumes across geographies. We intend to open more than 130 company-owned restaurants from 2022 through 2024. While our existing franchisees are committed to developing restaurants in their territories, we expect company-owned restaurants will be the primary growth driver of our footprint over the long term.</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Drive Restaurant Traffic and Build Sales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Our attractive returns on invested capital in each restaurant starts with our focus on traffic and customer frequency in the building of our sales through:</w:t>
      </w:r>
    </w:p>
    <w:p>
      <w:pPr>
        <w:spacing w:after="0" w:line="179" w:lineRule="exact"/>
        <w:rPr>
          <w:sz w:val="20"/>
          <w:szCs w:val="20"/>
          <w:color w:val="auto"/>
        </w:rPr>
      </w:pPr>
    </w:p>
    <w:p>
      <w:pPr>
        <w:ind w:left="640" w:hanging="253"/>
        <w:spacing w:after="0" w:line="249" w:lineRule="auto"/>
        <w:tabs>
          <w:tab w:leader="none" w:pos="636"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Delivering an Excellent On-Premise Dining Experience. </w:t>
      </w:r>
      <w:r>
        <w:rPr>
          <w:rFonts w:ascii="Arial" w:cs="Arial" w:eastAsia="Arial" w:hAnsi="Arial"/>
          <w:sz w:val="14"/>
          <w:szCs w:val="14"/>
          <w:color w:val="auto"/>
        </w:rPr>
        <w:t>Excellence in restaurant-level execution, recognized by customers and reinforced by the hundreds of accolades we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received, increases the visit frequency of our customers, promotes trial by new consumers and ultimately encourages loyalty.</w:t>
      </w:r>
    </w:p>
    <w:p>
      <w:pPr>
        <w:spacing w:after="0" w:line="164" w:lineRule="exact"/>
        <w:rPr>
          <w:rFonts w:ascii="Arial" w:cs="Arial" w:eastAsia="Arial" w:hAnsi="Arial"/>
          <w:sz w:val="14"/>
          <w:szCs w:val="14"/>
          <w:b w:val="1"/>
          <w:bCs w:val="1"/>
          <w:i w:val="1"/>
          <w:iCs w:val="1"/>
          <w:color w:val="auto"/>
        </w:rPr>
      </w:pPr>
    </w:p>
    <w:p>
      <w:pPr>
        <w:jc w:val="both"/>
        <w:ind w:left="640" w:hanging="253"/>
        <w:spacing w:after="0" w:line="267"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Menu Innovation. </w:t>
      </w:r>
      <w:r>
        <w:rPr>
          <w:rFonts w:ascii="Arial" w:cs="Arial" w:eastAsia="Arial" w:hAnsi="Arial"/>
          <w:sz w:val="14"/>
          <w:szCs w:val="14"/>
          <w:color w:val="auto"/>
        </w:rPr>
        <w:t>We continuously evolve our menu to keep it fresh and exciting yet operationally efficient. Our five highly anticipated seasonal menus and the introduction of new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platforms drive customer frequency and incremental spending. When it comes to sourcing, we are guided by a core philosophy: “Follow The Sun.” This means that we welcome each season into our menu with exceptional ingredients harvested when they are most flavorful and fresh.</w:t>
      </w:r>
    </w:p>
    <w:p>
      <w:pPr>
        <w:spacing w:after="0" w:line="152" w:lineRule="exact"/>
        <w:rPr>
          <w:rFonts w:ascii="Arial" w:cs="Arial" w:eastAsia="Arial" w:hAnsi="Arial"/>
          <w:sz w:val="14"/>
          <w:szCs w:val="14"/>
          <w:color w:val="auto"/>
        </w:rPr>
      </w:pPr>
    </w:p>
    <w:p>
      <w:pPr>
        <w:ind w:left="640" w:hanging="253"/>
        <w:spacing w:after="0" w:line="249"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Convenience and Increased Accessibility of Our Off-Premises Offering. </w:t>
      </w:r>
      <w:r>
        <w:rPr>
          <w:rFonts w:ascii="Arial" w:cs="Arial" w:eastAsia="Arial" w:hAnsi="Arial"/>
          <w:sz w:val="14"/>
          <w:szCs w:val="14"/>
          <w:color w:val="auto"/>
        </w:rPr>
        <w:t>We believe our integrated technology and improvements continue to optimize our customers’ convenience when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ordering directly from us as well as our third-party delivery partners.</w:t>
      </w:r>
    </w:p>
    <w:p>
      <w:pPr>
        <w:spacing w:after="0" w:line="164" w:lineRule="exact"/>
        <w:rPr>
          <w:rFonts w:ascii="Arial" w:cs="Arial" w:eastAsia="Arial" w:hAnsi="Arial"/>
          <w:sz w:val="14"/>
          <w:szCs w:val="14"/>
          <w:color w:val="auto"/>
        </w:rPr>
      </w:pPr>
    </w:p>
    <w:p>
      <w:pPr>
        <w:jc w:val="both"/>
        <w:ind w:left="640" w:hanging="253"/>
        <w:spacing w:after="0" w:line="267"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Expand and Leverage Innovative Alcohol Offering. </w:t>
      </w:r>
      <w:r>
        <w:rPr>
          <w:rFonts w:ascii="Arial" w:cs="Arial" w:eastAsia="Arial" w:hAnsi="Arial"/>
          <w:sz w:val="14"/>
          <w:szCs w:val="14"/>
          <w:color w:val="auto"/>
        </w:rPr>
        <w:t>Our alcohol platform reflects our culinary philosophy by creating craft cocktails which combine fresh juices and ingredients with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variety of liquors. As of December 26, 2021, our craft cocktails were offered in 305 restaurants, including company-owned and franchise-owned restaurants, with clear plans to continue the expansion to all restaurants where feasible.</w:t>
      </w:r>
    </w:p>
    <w:p>
      <w:pPr>
        <w:spacing w:after="0" w:line="162" w:lineRule="exact"/>
        <w:rPr>
          <w:rFonts w:ascii="Arial" w:cs="Arial" w:eastAsia="Arial" w:hAnsi="Arial"/>
          <w:sz w:val="14"/>
          <w:szCs w:val="14"/>
          <w:color w:val="auto"/>
        </w:rPr>
      </w:pPr>
    </w:p>
    <w:p>
      <w:pPr>
        <w:ind w:left="640" w:hanging="253"/>
        <w:spacing w:after="0" w:line="368" w:lineRule="auto"/>
        <w:tabs>
          <w:tab w:leader="none" w:pos="636"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Increasing Our Brand Awareness. </w:t>
      </w:r>
      <w:r>
        <w:rPr>
          <w:rFonts w:ascii="Arial" w:cs="Arial" w:eastAsia="Arial" w:hAnsi="Arial"/>
          <w:sz w:val="12"/>
          <w:szCs w:val="12"/>
          <w:color w:val="auto"/>
        </w:rPr>
        <w:t>For nearly 40 years, our awareness has grown primarily through word-of-mouth as our service, menu and environment created loyal fans. While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that organic growth of awareness contributes to our local feel, we also recognize the potential of strategically marketing in appropriate channels to accelerate our brand awareness.</w:t>
      </w:r>
    </w:p>
    <w:p>
      <w:pPr>
        <w:spacing w:after="0" w:line="107" w:lineRule="exact"/>
        <w:rPr>
          <w:rFonts w:ascii="Arial" w:cs="Arial" w:eastAsia="Arial" w:hAnsi="Arial"/>
          <w:sz w:val="12"/>
          <w:szCs w:val="12"/>
          <w:color w:val="auto"/>
        </w:rPr>
      </w:pPr>
    </w:p>
    <w:p>
      <w:pPr>
        <w:ind w:left="640" w:hanging="253"/>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Platforms and Initiatives. </w:t>
      </w:r>
      <w:r>
        <w:rPr>
          <w:rFonts w:ascii="Arial" w:cs="Arial" w:eastAsia="Arial" w:hAnsi="Arial"/>
          <w:sz w:val="14"/>
          <w:szCs w:val="14"/>
          <w:color w:val="auto"/>
        </w:rPr>
        <w:t>We continue to evolve the First Watch concept and offerings via the implementation of initiatives that include:</w:t>
      </w:r>
    </w:p>
    <w:p>
      <w:pPr>
        <w:spacing w:after="0" w:line="93" w:lineRule="exact"/>
        <w:rPr>
          <w:rFonts w:ascii="Arial" w:cs="Arial" w:eastAsia="Arial" w:hAnsi="Arial"/>
          <w:sz w:val="14"/>
          <w:szCs w:val="14"/>
          <w:color w:val="auto"/>
        </w:rPr>
      </w:pPr>
    </w:p>
    <w:p>
      <w:pPr>
        <w:ind w:left="1020" w:hanging="255"/>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Weekday Lunch</w:t>
      </w:r>
      <w:r>
        <w:rPr>
          <w:rFonts w:ascii="Arial" w:cs="Arial" w:eastAsia="Arial" w:hAnsi="Arial"/>
          <w:sz w:val="14"/>
          <w:szCs w:val="14"/>
          <w:color w:val="auto"/>
        </w:rPr>
        <w:t>: With the evolution of a new optimized core menu, which includes fresh, convenient and differentiated lunch offerings, the presence of our off-premises channels and the opportunity to apply targeted marketing, we believe the weekday lunch occasion holds future opportunity to build sales and traffic.</w:t>
      </w:r>
    </w:p>
    <w:p>
      <w:pPr>
        <w:spacing w:after="0" w:line="47" w:lineRule="exact"/>
        <w:rPr>
          <w:rFonts w:ascii="Arial" w:cs="Arial" w:eastAsia="Arial" w:hAnsi="Arial"/>
          <w:sz w:val="14"/>
          <w:szCs w:val="14"/>
          <w:color w:val="auto"/>
        </w:rPr>
      </w:pPr>
    </w:p>
    <w:p>
      <w:pPr>
        <w:ind w:left="1020" w:hanging="255"/>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Customer Technology &amp; Customer Data:</w:t>
      </w:r>
      <w:r>
        <w:rPr>
          <w:rFonts w:ascii="Arial" w:cs="Arial" w:eastAsia="Arial" w:hAnsi="Arial"/>
          <w:sz w:val="14"/>
          <w:szCs w:val="14"/>
          <w:color w:val="auto"/>
        </w:rPr>
        <w:t xml:space="preserve"> Recent technology initiatives, including integrated remote waitlists, remote orders, tokenized credit card transactions and WiFi into one system, provide opportunity for the development of new advanced customer relationship management systems aimed at growing customer frequency.</w:t>
      </w:r>
    </w:p>
    <w:p>
      <w:pPr>
        <w:spacing w:after="0" w:line="47" w:lineRule="exact"/>
        <w:rPr>
          <w:rFonts w:ascii="Arial" w:cs="Arial" w:eastAsia="Arial" w:hAnsi="Arial"/>
          <w:sz w:val="14"/>
          <w:szCs w:val="14"/>
          <w:color w:val="auto"/>
        </w:rPr>
      </w:pPr>
    </w:p>
    <w:p>
      <w:pPr>
        <w:ind w:left="1020" w:hanging="255"/>
        <w:spacing w:after="0" w:line="258" w:lineRule="auto"/>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Restaurant Technology Unlocking Throughput &amp; Capacity:</w:t>
      </w:r>
      <w:r>
        <w:rPr>
          <w:rFonts w:ascii="Arial" w:cs="Arial" w:eastAsia="Arial" w:hAnsi="Arial"/>
          <w:sz w:val="14"/>
          <w:szCs w:val="14"/>
          <w:color w:val="auto"/>
        </w:rPr>
        <w:t xml:space="preserve"> We are implementing technologies that will help us further unlock in-restaurant efficiencies, enabling greater peak hour throughput and capacity, including new tools to enable optimal seating configurations, to reduce table turn times and to orchestrate more efficient order preparation. For example, we are installing kitchen display systems in our restaurants to automate our order routing.</w:t>
      </w:r>
    </w:p>
    <w:p>
      <w:pPr>
        <w:spacing w:after="0"/>
        <w:rPr>
          <w:sz w:val="20"/>
          <w:szCs w:val="20"/>
          <w:color w:val="auto"/>
        </w:rPr>
      </w:pPr>
      <w:r>
        <w:rPr>
          <w:rFonts w:ascii="Arial" w:cs="Arial" w:eastAsia="Arial" w:hAnsi="Arial"/>
          <w:sz w:val="14"/>
          <w:szCs w:val="14"/>
          <w:b w:val="1"/>
          <w:bCs w:val="1"/>
          <w:color w:val="auto"/>
        </w:rPr>
        <w:t>Operations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Quality and Food Safety</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First Watch emphasizes high food quality and a commitment to food safety in each restaurant through the careful training and supervision of personnel and by following rigorous quality and cleanliness standards. Food preparation and cleaning procedures are defined, monitored and maintained by our quality assurance department. We contract with third-party inspectors to regularly monitor restaurant performance through unannounced non-biased food safety assessments with program standards that meet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exceed those of local health departments. These inspections are intended to achieve active managerial control in our restaurants in an effort to reduce risk factors and maintain a strong food safety culture.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Restaurant management incentive plans provide strong motivation to meet and exceed standards. In addition, as part of our overall food quality assurance, we have a process in place to review vendors’ food safety practices to ensure they meet or exceed industry standards.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Restaurant Staff</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of December 26, 2021, we had approximately 10,000 employees. None of our employees are part of a collective bargaining agreement, and based upon independent surveys and our internal evaluations we believe our “You First” organizational culture continues to foster overall favorable relations with our employees.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Each restaurant operates with a staff of approximately 20 to 30 team members led by general manager(s).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a restaurant’s 7:00 a.m. to 2:30 p.m. shift, our staff focus on gracious service, food preparation, order accuracy and “instagrammable” plating. We employ a narrow span of control, which we believe contributes to the consistency of our restaurants’ performance across our system. The general managers interview each applicant and identify motivated employees who are friendly, service oriented, eager to prepare high-quality food and a fit for our “You First” culture.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Training</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training programs share our legacy and culture of operating excellence. We have established a training facility at our corporate headquarters named the F.A.R.M. (“First Watch Academy of Restaurant Management”), to which we invite managers-in-training for a week-long brand experience where they learn everything from our history and cultural pillars to leadership and management tools. We have enhanced this training program to also focus on building a more diverse and inclusive team. In addition, managers-in-training also complete a comprehensive 11-week C.A.F.E. (“Culture and Food Experience”) training program in the restaurants, alongside experienced managers. New hourly employees participate in at least three days of initial onboarding training and shadowing. Our general managers and directors of operations conduct in-restaurant training for our staff who also train online through our Virtual Learning Academy.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Purchasing and Distribution</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Supply Chain department manages and negotiates directly with qualified, national suppliers and distributors with the dual goals of securing the supply of high quality, fresh products and controlling cost. Our selected vendors undergo inspection to ensure that products purchased conform to our standards. Our Quality Assurance department requires third-party supplier audits or Global Food Safety Initiative certification for all food distributors and manufacturing facilities to ensure good manufacturing practices, food safety, pest control, sanitation, training, regulatory compliance and food defense systems are in place. To ensure freshness, most of our restaurants accept produce and broadline distribution deliveries at least three times per week.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 Information Systems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All our restaurants use digital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 and Advertising</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use a variety of marketing channels, including email communications, affiliate partnerships, social media interactions, digital marketing, direct mailers, public relations initiatives and local community sponsorships, promotions and partnerships. We focus on increasing our engagement with social media platforms in order to generate brand awareness and also to gather information we can then apply to future marketing efforts.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Franchise Program</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26, 2021, we had 15 franchisees that operated 94 restaurants and our existing franchisees had 49 total new restaurant development obligations. Typically, our franchise agreements provide an initial term of 10 years with additional renewal terms that total 10 years subject to various conditions that include upgrades to the restaurant facility and brand image.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All franchise agreements grant licenses to use our trademarks, trade secrets and proprietary methods, recipes and procedures. The initial franchise fee for each restaurant is $35,000 to $40,000. Franchisees are required to pay 4.0%-4.5% of franchised restaurant sales in royalties and contribute 1.0%-3.0% of franchised restaurant sales to a system fund, which is used for advertising, marketing and public relations programs and materials on a system-wide basis. Presently, we are not extending franchise agreements to new franchisees.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First” Culture Elevates Employee and Customer Satisfaction</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First Watch has a simple mission statement - “You First.” We have been people-focused from our inception as we have always believed our employees are our greatest asset. We believe that putting our employees first, in turn, leads them to put customers first. The Company’s culture and “You First” mission play a role in higher retention of all employees. During 2021, turnover of our general managers fell nearly 30% below the average of our respective segment of the restaurant industry as reported by Black Box Intelligence, a restaurant sales reporting firm (“Black Box”), and the average tenure of our general managers is approximately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Diversity and Inclusion</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September 2020, First Watch launched a new campaign, branded #beabetterhuman, which has taken our people-focused approach to a new level. The Company turned participation in the #beabetterhuman campaign into an opportunity for employees to give back to the community. The #beabetterhuman initiative includes a six-part live, interactive web series tackling sensitive topics such as unconscious bias, privilege and mental health. The #beabetterhuman campaign is designed to educate our entire workforce, raise awareness and influence change. In order to provide employees with a chance to make a difference, for each employee that participated in all six #beabetterhuman web sessions, First Watch made a donation to Bryan Stevenson’s Equal Justice Initiative (featured in the book and film “Just Mercy”). We continue to build upon the success of the program with an ongoing #beabetterhuman series on Facebook, Instagram and Glassdoor highlighting diverse employees within the restaurants and their unique and inspiring stories.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R.I.S.E. (Race Inclusion and Support Exchange) Council was created to engage high performing diverse leaders in monthly dialogue on how to best advance the Company’s diversity efforts. As a result of ideas that the R.I.S.E. Council surfaced, The Rising 20, a new mentor program was established in 2021 as an important step in the #beabetterhuman campaign to help accelerate the development and advancement of minorities within First Watch. In this mentoring program, employees are partnered with an executive for a six-month guided mentorship journey targeting personal development and professional growth. In addition, the program includes a self-assessment and career goal setting workshops.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2021, CEO and President, Chris Tomasso, and Chief People Officer, Laura Sorensen hosted seventeen separate 90 minute calls with hourly employees across the country for their inaugural W.H.Y. Tour – their “We Hear You” listening tour. The purpose of the in-depth sessions was to learn more about the issues that matter most to our hourly workforce. As a result of this tour, the Company was able to take swift action on the most meaningful issues. New employee benefits, practices and operational tools were introduced, along with a monthly recognition budget for each restaurant to devote to ongoing employee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Experienced, Passionate Leadership Team and Deep Bench of Talent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team is led by passionate executives who have an extensive mix of experience in our brand and with other leading national restaurant concepts and consumer facing businesses. We have a deep bench of talent throughout the organization. Our executives and key employees average more than 15 years of industry experience and our directors of operations have an average tenure at First Watch of approximately ten years. In addition, our restaurant staff includes dozens of fully-trained, tested, high-performing managers throughout our system who are positioned to step into the general manager role as we open new restaurants.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subject to extensive federal, state and local government laws and regulations, including those relating to, among others, public health and safety, zoning and fire codes, alcoholic beverage control and franchising.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we are also subject to the Fair Labor Standards Act, the Immigration Reform and Control Act of 1986, the Americans with Disabilities Act and various federal and state laws governing such matters as minimum wages, exempt versus non-exempt, overtime, unemployment tax rates, workers’ compensation rates, citizenship requirements and other working conditions. New laws, regulations or interpretations could impact our business or our cost of compliance.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the various risks we face from regulation and compliance matters, see Item 1A.“</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registered “First Watch the Daytime Cafe,” “You First,” “Yeah, It’s Fresh!” and certain other names used by our restaurants as trademarks or service marks with the United States Patent and Trademark Office (“USPTO”). In addition, the First Watch logo, website name and address and Facebook and Twitter accounts are our intellectual property. Our policy is to pursue and maintain registration of service marks and trademarks and to oppose vigorously any infringement or dilution of the service marks or trademarks. We maintain certain recipes for our menu items, as well as certain standards, specifications and operating procedures, as trade secrets or confidential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restaurant industry is highly competitive and fragmented, with restaurants competing directly and indirectly with regard to dining experience, food quality, service, price and location. We also compete with grocery store chains and meal subscription services. In addition, there is active competition for management personnel, real estate sites, supplies and restaurant employees. Competition is also influenced strongly by marketing and brand reputation.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consumers increasingly seek higher quality breakfast, brunch and lunch experiences, we believe we are well-positioned to compete with a wide range of national, regional and local establishments that operate during our hours of operation. More directly, we do not believe there is a comparable offering within our segment that operates at scale as First Watch does and we view our primary competition as a network of independent restaurants that also serve breakfast and lunch in neighborhoods across the United States.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4"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Our quarterly results of operations are subject to seasonal fluctuations. Additionally, the timing of holidays, weather conditions and the number of new restaurant openings may affect sales volumes seasonally. Furthermore, the COVID-19 pandemic may have an impact on consumer behaviors and customer traffic that may result in temporary changes in the seasonal fluctuations of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See Item 1A.“</w:t>
      </w:r>
      <w:r>
        <w:rPr>
          <w:rFonts w:ascii="Arial" w:cs="Arial" w:eastAsia="Arial" w:hAnsi="Arial"/>
          <w:sz w:val="14"/>
          <w:szCs w:val="14"/>
          <w:i w:val="1"/>
          <w:iCs w:val="1"/>
          <w:color w:val="auto"/>
        </w:rPr>
        <w:t>Risk Factors</w:t>
      </w:r>
      <w:r>
        <w:rPr>
          <w:rFonts w:ascii="Arial" w:cs="Arial" w:eastAsia="Arial" w:hAnsi="Arial"/>
          <w:sz w:val="14"/>
          <w:szCs w:val="14"/>
          <w:color w:val="auto"/>
        </w:rPr>
        <w:t>” for discussion of risks related to seasonal and periodic fluctuations.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We completed our initial public offering (“IPO”) in October 2021 and our common stock is listed on the Nasdaq Global Select Market (“Nasdaq”) under the symbol “FWRG.”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consumer website is located at www.firstwatch.com, and our investor relations website is located at https://investors.firstwatch.com. We make available, free of charge, through our internet website,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announce material information to the public about us, our products and services, and other matters through a variety of means, including filings with the SEC, press releases, public conference calls, webcasts and the investor relations website (https://investors.firstwatch.com) in order to achieve broad, non-exclusionary distribution of information to the public and for complying with our disclosure obligations under Regulation FD.</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You should carefully consider the risks described below in addition to the other information set forth in this Annual Report on Form 10-K, including the sections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and our consolidated financial statements and related notes. If any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risks and uncertainties described in the cautionary factors described below actually occur or continue to occur, our business, financial condition, results of operations, cash flow and the trading price of our common stock could be materially and adversely affected. The considerations and risks that follow are organized within relevant headings but may be relevant to other headings as well. Moreover, the risks below are not the only risks we face and additional risks not currently known to us or that we presently deem immaterial may emerge or become material at any time and may negatively impact our business, reputation, financial condition, results of operations, cash flow or the trading price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subject to numerous risks and uncertainties, including those outside of our control, that could cause our actual results to be harmed. These risks include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232" w:lineRule="exact"/>
        <w:rPr>
          <w:sz w:val="20"/>
          <w:szCs w:val="20"/>
          <w:color w:val="auto"/>
        </w:rPr>
      </w:pPr>
    </w:p>
    <w:p>
      <w:pPr>
        <w:ind w:left="520" w:hanging="324"/>
        <w:spacing w:after="0" w:line="235" w:lineRule="auto"/>
        <w:tabs>
          <w:tab w:leader="none" w:pos="516" w:val="left"/>
        </w:tabs>
        <w:numPr>
          <w:ilvl w:val="0"/>
          <w:numId w:val="5"/>
        </w:numPr>
        <w:rPr>
          <w:rFonts w:ascii="Arial" w:cs="Arial" w:eastAsia="Arial" w:hAnsi="Arial"/>
          <w:sz w:val="17"/>
          <w:szCs w:val="17"/>
          <w:color w:val="auto"/>
        </w:rPr>
      </w:pPr>
      <w:r>
        <w:rPr>
          <w:rFonts w:ascii="Arial" w:cs="Arial" w:eastAsia="Arial" w:hAnsi="Arial"/>
          <w:sz w:val="14"/>
          <w:szCs w:val="14"/>
          <w:color w:val="auto"/>
        </w:rPr>
        <w:t>continued adverse effects of the COVID-19 pandemic, including the potential impact of the emergence of COVID-19 variants, or other infectious disease on our financial condition, results of operations, and supply chain</w:t>
      </w:r>
    </w:p>
    <w:p>
      <w:pPr>
        <w:spacing w:after="0" w:line="6" w:lineRule="exact"/>
        <w:rPr>
          <w:rFonts w:ascii="Arial" w:cs="Arial" w:eastAsia="Arial" w:hAnsi="Arial"/>
          <w:sz w:val="17"/>
          <w:szCs w:val="17"/>
          <w:color w:val="auto"/>
        </w:rPr>
      </w:pPr>
    </w:p>
    <w:p>
      <w:pPr>
        <w:ind w:left="500" w:hanging="304"/>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vulnerability to changes in economic conditions and other factors, many of which are largely outside of our control</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inability to open new restaurants in new and existing markets or to operate them as profitably as we have experienced in the past</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inability to effectively manage our growth</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the number of visitors to areas where our restaurants are located may decline</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inability to generate same-restaurant sales growth</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marketing programs and limited-time menu offerings may fail to generate profits</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shortages or disruptions in the supply or delivery of frequently used food items or increases in the cost of our frequently used food items</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inability to compete successfully with other breakfast and lunch restaurants</w:t>
      </w:r>
    </w:p>
    <w:p>
      <w:pPr>
        <w:spacing w:after="0" w:line="2" w:lineRule="exact"/>
        <w:rPr>
          <w:rFonts w:ascii="Arial" w:cs="Arial" w:eastAsia="Arial" w:hAnsi="Arial"/>
          <w:sz w:val="17"/>
          <w:szCs w:val="17"/>
          <w:color w:val="auto"/>
        </w:rPr>
      </w:pPr>
    </w:p>
    <w:p>
      <w:pPr>
        <w:ind w:left="520" w:hanging="324"/>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vulnerability to food safety and food-borne illness concerns</w:t>
      </w:r>
    </w:p>
    <w:p>
      <w:pPr>
        <w:spacing w:after="0" w:line="13" w:lineRule="exact"/>
        <w:rPr>
          <w:rFonts w:ascii="Arial" w:cs="Arial" w:eastAsia="Arial" w:hAnsi="Arial"/>
          <w:sz w:val="14"/>
          <w:szCs w:val="14"/>
          <w:color w:val="auto"/>
        </w:rPr>
      </w:pPr>
    </w:p>
    <w:p>
      <w:pPr>
        <w:ind w:left="500" w:hanging="304"/>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issues with our existing franchisees, including their financial performance, our lack of control over their operations and conflicting business interests</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reliance on a small number of suppliers for a substantial amount of our food and coffee</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geographic concentration</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damage to our reputation and negative publicity, even if unwarranted</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inability to effectively manage the accelerated impact of social media</w:t>
      </w:r>
    </w:p>
    <w:p>
      <w:pPr>
        <w:spacing w:after="0" w:line="8" w:lineRule="exact"/>
        <w:rPr>
          <w:rFonts w:ascii="Arial" w:cs="Arial" w:eastAsia="Arial" w:hAnsi="Arial"/>
          <w:sz w:val="17"/>
          <w:szCs w:val="17"/>
          <w:color w:val="auto"/>
        </w:rPr>
      </w:pPr>
    </w:p>
    <w:p>
      <w:pPr>
        <w:ind w:left="500" w:hanging="304"/>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insurance may not provide adequate levels of coverage against claims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Information Technology and Intellectual Property</w:t>
      </w:r>
    </w:p>
    <w:p>
      <w:pPr>
        <w:spacing w:after="0" w:line="216"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our failure to adequately protect our network security</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compliance with federal and state laws and regulations relating to privacy, data protection, advertising and consumer protection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potential state property law liability with our gift cards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our failure to enforce and maintain our trademarks and other intellectual property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adverse litigation outcomes with respect to our intellectual property rights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Employees and the Workforce</w:t>
      </w:r>
    </w:p>
    <w:p>
      <w:pPr>
        <w:spacing w:after="0" w:line="216"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4"/>
          <w:szCs w:val="14"/>
          <w:color w:val="auto"/>
        </w:rPr>
        <w:t>the loss of our executive officers or other key employees</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4"/>
          <w:szCs w:val="14"/>
          <w:color w:val="auto"/>
        </w:rPr>
        <w:t>our inability to identify qualified individuals for our workforce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4"/>
          <w:szCs w:val="14"/>
          <w:color w:val="auto"/>
        </w:rPr>
        <w:t>our failure to maintain our corporate culture</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4"/>
          <w:szCs w:val="14"/>
          <w:color w:val="auto"/>
        </w:rPr>
        <w:t>potential unionization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and Regulatory Risks</w:t>
      </w:r>
    </w:p>
    <w:p>
      <w:pPr>
        <w:spacing w:after="0" w:line="216"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4"/>
          <w:szCs w:val="14"/>
          <w:color w:val="auto"/>
        </w:rPr>
        <w:t>compliance with federal and local environmental, labor, employment, food safety, franchise, zoning and other applicable laws and regulations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4"/>
          <w:szCs w:val="14"/>
          <w:color w:val="auto"/>
        </w:rPr>
        <w:t>the distraction and expense of litigation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4"/>
          <w:szCs w:val="14"/>
          <w:color w:val="auto"/>
        </w:rPr>
        <w:t>risks associated with leasing properties subject to long-term and non-cancelable leases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4"/>
          <w:szCs w:val="14"/>
          <w:color w:val="auto"/>
        </w:rPr>
        <w:t>risks related to our sale of alcoholic beverages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Accounting and Financial Reporting Matters</w:t>
      </w:r>
    </w:p>
    <w:p>
      <w:pPr>
        <w:spacing w:after="0" w:line="216"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4"/>
          <w:szCs w:val="14"/>
          <w:color w:val="auto"/>
        </w:rPr>
        <w:t>changes in accounting principles or estimates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4"/>
          <w:szCs w:val="14"/>
          <w:color w:val="auto"/>
        </w:rPr>
        <w:t>impairment in the carrying value of our goodwill or indefinite-lived intangible assets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4"/>
          <w:szCs w:val="14"/>
          <w:color w:val="auto"/>
        </w:rPr>
        <w:t>our inability to effectively manage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Indebtedness</w:t>
      </w:r>
    </w:p>
    <w:p>
      <w:pPr>
        <w:spacing w:after="0" w:line="21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4"/>
          <w:szCs w:val="14"/>
          <w:color w:val="auto"/>
        </w:rPr>
        <w:t>our inability to access additional capital to support business growth</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4"/>
          <w:szCs w:val="14"/>
          <w:color w:val="auto"/>
        </w:rPr>
        <w:t>our level of indebtedness and our duty to comply with covenants under our credit agreement</w:t>
      </w:r>
    </w:p>
    <w:p>
      <w:pPr>
        <w:spacing w:after="0" w:line="2" w:lineRule="exact"/>
        <w:rPr>
          <w:rFonts w:ascii="Arial" w:cs="Arial" w:eastAsia="Arial" w:hAnsi="Arial"/>
          <w:sz w:val="17"/>
          <w:szCs w:val="17"/>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uncertainties arising from our use of LIBOR, the London interbank offered rate, as a reference rate for loans under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Company and Organizational Structure</w:t>
      </w:r>
    </w:p>
    <w:p>
      <w:pPr>
        <w:spacing w:after="0" w:line="216"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the interests of Advent may differ from those of our public stockholders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our reliance on our operating subsidiaries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our lack of significant experience managing a public company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risks associated with our status as an emerging growth company and a Delaware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Common Stock</w:t>
      </w:r>
    </w:p>
    <w:p>
      <w:pPr>
        <w:spacing w:after="0" w:line="216"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the market price of our common stock could be reduced by future offerings of debt or equity securities</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risks associated with our status as a controlled company with highly concentrated ownership of common stock</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possible significant fluctuations in our quarterly results of operations that could fall below the expectations of securities analysts and investors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dilutive impact from grants under our equity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financial condition, results of operations, and supply chain have been and may continue to be adversely affected for an extended period of time by the COVID-19 pandemic or other infectious diseases.</w:t>
      </w:r>
    </w:p>
    <w:p>
      <w:pPr>
        <w:spacing w:after="0" w:line="153"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The COVID-19 pandemic has had, and is continuing to have, a significant impact on our business and results of operations. At the peak of the COVID-19 outbreak, all of our company-owned restaurants were closed. For franchised restaurants that remained open, same-store sales declined due to modified operating hours and reduced customer traffic. While all of our company-owned and franchised restaurants have reopened, we expect that our operations will continue to be impacted by the continuing effects of COVID-19, including resurgences and variants of the virus. It remains difficult to predict the full impact of the COVID-19 pandemic on the broader economy and how consumer behavior may change, and whether such change is temporary or permanent. Social distancing, telecommunicating and reductions in travel may become the new normal. In addition, the COVID-19 pandemic has required and may continue to require us to make controversial decisions about precautionary measures, such as vaccinations, showing proof of vaccinations and face coverings, that could impact our results, including by impacting our brand, our employee retention and satisfaction, and our customer traffic. All of these conditions could fundamentally impact the way we work and the customer experience we provide, and could have continuing adverse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effects on our results of operations, cash flows and financial condition. As a result, we may incur additional impairment charges to our inventory, restaurant and corporate assets—and our ability to realize the benefits from deferred tax assets may become limited—any of which may have a significant or material impact on our financial results.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COVID-19 pandemic also has affected and may continue to adversely affect the ability of certain of our suppliers, from whom we purchase domestic and international commodities, to fulfill their obligations to us, which may negatively affect our restaurant operations. These suppliers include third parties that supply and/or prepare our ingredients, packaging, paper and cleaning products and other necessary operating materials, as well as distribution centers, and logistics and transportation services providers, including those in the trucking industry. If our suppliers are unable to fulfill their obligations to us, we could face shortages of food items or other supplies at our restaurants, which could have a material adverse effect on our business, financial condition and results of operations.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Prolonged volatility or significant disruption of global financial markets due in part to the COVID-19 pandemic could have a negative impact on our ability to access capital markets and other funding sources, on acceptable terms or at all and impede our ability to comply with debt covenants.</w:t>
      </w:r>
    </w:p>
    <w:p>
      <w:pPr>
        <w:spacing w:after="0" w:line="14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On January 25, 2022, the Occupational Safety and Health Administration (“OSHA”) announced that it was withdrawing, effective January 26, 2022, its vaccination and testing emergency temporary standard (“ETS”) issued on November 5, 2021 to protect unvaccinated employees of large employers with 100 more employees from workplace exposure to COVID-19. However, in the same announcement, OSHA stated that it was not withdrawing the ETS as a proposed rule and that it was prioritizing its resources to focus on finalizing a permanent COVID-19 healthcare standard. It is currently not possible to predict whether such a permanent standard will come into effect or whether it will be applicable to us, and if it is applicable, the extent of its impact on our business and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Food service businesses depend on consumer discretionary spending and are often affected by changes in consumer tastes, national, regional and local economic conditions and demographic trends. The COVID-19 pandemic has led to changes in consumer spending behaviors as customers choose to avoid public gathering places, which may continue to impact traffic in our restaurants for an extended period particularly if trends related to work from home continue. For example, we experienced and continue to experience changes in our breakfast and lunch business as it relates to customers who visit us before starting the workday, on their way to work or during corporate lunch breaks. In addition to the COVID-19 pandemic, factors such as traffic patterns, weather, fuel prices, local demographics and the type, number and locations of competing restaurants may adversely affect the performances of individual locations. In addition, economic downturns, geopolitical tensions, inflation or increased food or energy costs could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There can also be no assurance that consumers will continue to regard our menu offerings favorably, that we will be able to develop new menu items that appeal to consumer preferences or that there will not be a drop in consumer demands for restaurant dining during breakfast and lunch dayparts. Restaurant traffic and our resulting sales depend in part on our ability to anticipate, identify and respond to changing consumer preferences and economic conditions. In addition, the restaurant industry is subject to scrutiny due to the perception that restaurant company practices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negatively influence the demand for our menu offerings.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Compliance with current and future laws and regulations regarding the ingredients and nutritional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financial condition and results of operations are subject to, and may be adversely affected by, a number of other factors, many of which are also largely outside of our control.</w:t>
      </w:r>
    </w:p>
    <w:p>
      <w:pPr>
        <w:spacing w:after="0" w:line="21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addition to the COVID-19 pandemic, our operating results have been in the past and will continue to be subject to a number of other factors, many of which are largely outside our control. Any one or more of the factors listed below or described elsewhere in this risk factors section could have a material adverse impact on our business, financial condition and/or results of operations:</w:t>
      </w:r>
    </w:p>
    <w:p>
      <w:pPr>
        <w:spacing w:after="0" w:line="147"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4"/>
          <w:szCs w:val="14"/>
          <w:color w:val="auto"/>
        </w:rPr>
        <w:t>increases in real estate costs in certain markets;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4"/>
          <w:szCs w:val="14"/>
          <w:color w:val="auto"/>
        </w:rPr>
        <w:t>inflationary pressures;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4"/>
          <w:szCs w:val="14"/>
          <w:color w:val="auto"/>
        </w:rPr>
        <w:t>disruptions to our supply chain;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4"/>
          <w:szCs w:val="14"/>
          <w:color w:val="auto"/>
        </w:rPr>
        <w:t>changes in governmental rules and approaches to taxation;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4"/>
          <w:szCs w:val="14"/>
          <w:color w:val="auto"/>
        </w:rPr>
        <w:t>adverse outcomes of litigation;</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severe weather or other natural or man-made disasters affecting a large market or several closely located markets that may temporarily but significantly impact our restaurant operations in such markets;</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changes in climate, including changes to the frequency of severe weather events, that impact the cost and availability of goods and services, energy and other materials throughout our supply chain; and</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labor discord or disruption, geopolitical events, war, terrorism, political instability, acts of public violence, boycotts, hostilities and social unrest and other health pandemics that lead to avoidance of public places or restrictions on public gatherings such as in our restaurants.</w:t>
      </w:r>
    </w:p>
    <w:p>
      <w:pPr>
        <w:spacing w:after="0" w:line="18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 key part of our growth strategy includes opening new restaurants in existing and new markets and operating those restaurants on a profitable basis. We must identify target markets where we can enter or expand.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162"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identify a sufficient number of available and suitable restaurant sites;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compete for restaurant sites;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reach acceptable agreements regarding the lease or purchase of restaurant sites;</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5"/>
        </w:numPr>
        <w:rPr>
          <w:rFonts w:ascii="Arial" w:cs="Arial" w:eastAsia="Arial" w:hAnsi="Arial"/>
          <w:sz w:val="17"/>
          <w:szCs w:val="17"/>
          <w:color w:val="auto"/>
        </w:rPr>
      </w:pPr>
      <w:r>
        <w:rPr>
          <w:rFonts w:ascii="Arial" w:cs="Arial" w:eastAsia="Arial" w:hAnsi="Arial"/>
          <w:sz w:val="14"/>
          <w:szCs w:val="14"/>
          <w:color w:val="auto"/>
        </w:rPr>
        <w:t>obtain or have available the financing required to develop and operate new restaurants, including construction and opening costs, which includes access to leases and equipment leases at favorable interest and capitalization rates;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respond to unforeseen engineering or environmental problems with our selected restaurant sites;</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mitigate the impact of inclement weather, natural disasters and other calamities on the development of restaurant sites;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hire, train and retain the skilled management and other employees necessary to meet staffing needs of new restaurants;</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5"/>
        </w:numPr>
        <w:rPr>
          <w:rFonts w:ascii="Arial" w:cs="Arial" w:eastAsia="Arial" w:hAnsi="Arial"/>
          <w:sz w:val="17"/>
          <w:szCs w:val="17"/>
          <w:color w:val="auto"/>
        </w:rPr>
      </w:pPr>
      <w:r>
        <w:rPr>
          <w:rFonts w:ascii="Arial" w:cs="Arial" w:eastAsia="Arial" w:hAnsi="Arial"/>
          <w:sz w:val="14"/>
          <w:szCs w:val="14"/>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4"/>
          <w:szCs w:val="14"/>
          <w:color w:val="auto"/>
        </w:rPr>
        <w:t>respond to construction and equipment cost increases for new restaurants.</w:t>
      </w:r>
    </w:p>
    <w:p>
      <w:pPr>
        <w:spacing w:after="0" w:line="18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If we are unable to open new restaurants, or if planned restaurant openings are significantly delayed, it could have a material adverse effect on our business, financial condition and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company-owned and franchise-owned restaurants, which we collectively refer to as our “system-wide” restaurants, are geographically concentrated in the southeast portion of the United States, and we may encounter new challenges as we enter new markets. The challenges of entering new markets include: difficulties in hiring experienced personnel; increased labor costs;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company-owned and franchise-owned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manage our growth effectively could harm our business and results of operations.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to enhance these systems, procedures and controls and to recruit,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Opening new restaurants in existing markets may negatively impact sales at our and our franchisees’ existing restaurants.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consumer target area of our and our franchisees’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the results of operations and same-restaurant sales growth for our restaurants in such markets due to the close proximity with our other restaurants and market saturation. Existing restaurants could also make it more difficult to build our and our franchisees’ consumer base for a new restaurant in the same market. Sales cannibalization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decline in visitors to any of the retail centers, lifestyle centers, or entertainment centers where our restaurants are located could negatively affect our restaurant sales.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mobility restrictions, fear of contracting COVID-19 or other infectious diseases and the sharp increase in unemployment caused by the closure of businesses in response to the COVID-19 pandemic, or other factors. A decline in traffic at these locations for a sustained period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same-restaurant sales growth may be lower than we expect in future periods.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initiatives to build sales. It is possible such initiatives will not be successful, that we will not achieve our target same-restaurant sales growth or that the change in same-restaurant sales growth could be negative, which may cause a decrease in sales growth and ability to achieve profitability. This could have a material adverse effect on our business, financial condition and results of operations. The rise of COVID-19 variants and any associated government-imposed restrictions may frustrate our ability to implement our initiatives to increase our same-restaurant sales growth.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marketing programs and our limited time new offerings may not be successful and could fail to meet expectations, and our new menu items, advertising campaigns and restaurant designs and remodels may not generate increased sales or profits.</w:t>
      </w:r>
    </w:p>
    <w:p>
      <w:pPr>
        <w:spacing w:after="0" w:line="153"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We incur costs and expend other resources in our marketing efforts on new and seasonal menu items, advertising campaigns and restaurant designs and remodels to raise brand awareness and attract and retain 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we offer as a key part of our promotional activities from time to time, may not perform as anticipated, which could have an adverse impact on our results of operations for the related period. If these initiatives are not successful, it could result in us incurring expenses without the benefit of higher revenues, which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the cost of food could have a material adverse effect on our business, financial condition and results of operations.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profitability depends in part on our ability to anticipate and react to changes in food and beverage costs, including, among other things, pork, coffee, eggs, avocados, potatoes, bread, cheese, fresh fruit and produce items. We are susceptible to increases in the cost of food due to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Further, increases in fuel prices could result in increased distribution costs.</w:t>
      </w:r>
    </w:p>
    <w:p>
      <w:pPr>
        <w:spacing w:after="0" w:line="15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Changes in the price or availability of certain food products, including as a result of the COVID-19 pandemic, could affect our profitability and reputation. While other commodities we purchase are subject to contract pricing and therefore have not been impacted by price inflation as a result of the COVID-19 pandemic thus far, as our contracts expire, we may not be able to successfully re-negotiate terms that protect us from price inflation in the future. International commodities we purchase are also subject to supply shortages or interruptions due to the COVID-19 pandemic.</w:t>
      </w:r>
    </w:p>
    <w:p>
      <w:pPr>
        <w:spacing w:after="0" w:line="14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Changes in the cost of ingredients can result from a number of factors, including seasonality, increases in the cost of grain, disease and viruses and other factors that affect availability and greater international demand for domestic pork products. In the event of cost increases with respect to one or more of our raw ingredients, we may choose to temporarily suspend or permanently discontinue serving menu items rather than pay the increased cost for the ingredients. Any such changes to our available menu could negatively impact our restaurant traffic, business and same-restaurant sales growth during the shortage and thereafter. While future cost increases can be partially offset by increasing menu prices, there can be no assurance that we will be able to offset future cost increases by increasing menu prices. If we or our franchisees implement menu prices increases, there can be no assurance that increased menu prices will be fully absorbed by our customers without any resulting change to their visit frequencies or purchasing patterns. Competitive conditions may limit our menu pricing flexibility and if we or our franchisees implement menu price increases to protect our margins, restaurant traffic could be materially adversely affected, at both company-owned and franchise-owned restaurants.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restaurants may not be profitable or may close, and the performance of our restaurants that we have experienced in the past may not be indicative of future results.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Some of our restaurants open with an initial start-up period of higher or lower than normal sales volumes. Our restaurant level operating profit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(“AUV”) and same-restaurant sales growth may not increase at the rates our existing restaurants have achieved over the past several years. Our ability to operate new restaurants profitably and increase AUV and same-restaurant sales growth will depend on many factors, some of which are beyond our control, including:</w:t>
      </w:r>
    </w:p>
    <w:p>
      <w:pPr>
        <w:spacing w:after="0" w:line="152"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consumer awareness and understanding of our brand;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economic conditions, which can affect restaurant traffic, local labor costs and prices we pay for the food products and other supplies we use;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consumption patterns and food preferences that may differ from region to region;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consumer preferences and discretionary spending;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difficulties obtaining or maintaining adequate relationships with distributors or suppliers in new markets;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prices for commodities;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inefficiency in our labor costs as the staff gains experience;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competition, either from our competitors in the restaurant industry or our own restaurants;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temporary and permanent site characteristics of new restaurants;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government regulation;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unanticipated increases in costs, any of which could give rise to delays or cost overruns.</w:t>
      </w:r>
    </w:p>
    <w:p>
      <w:pPr>
        <w:spacing w:after="0" w:line="18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53"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We also compete with a number of non-traditional market participants, such as convenience stores, grocery stores, coffee shops, meal kit delivery services, and “ghost” or dark kitchens, where meals are prepared at separate takeaway premises rather than a restaurant. Competition from food delivery services companies has also increased in recent years, particularly during the COVID-19 pandemic, and is expected to continue to increase.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continued success also depends in part on the continued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Food safety and food-borne illness concerns may have an adverse effect on our business by decreasing sales and increasing costs.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153"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Food safety is a top priority, and we dedicate substantial resources to help ensure that our customers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employee hygiene and cleanliness failures or improper employee conduct, customers entering our restaurants while ill and contaminating food ingredients or surfaces at our restaurants could lead to product liability or other claims. Such incidents or reports could negatively affect our brand and reputation and could have a material adverse effect on our business, financial condition and results of operations. Similar incidents or reports occurring at competitors in our industry unrelated to us could likewise create negative publicity, which could negatively impact consumer behavior towards us.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cannot guarantee to consumers that our food safety controls, procedures and training will be fully effective in preventing all food safety and public health issues at our restaurants, including any occurrences of pathogens, bacteria, parasites or other toxins infecting our food supply. These potential public health issues, in addition to food tampering, could adversely affect food prices and availability of certain food products, generate negative publicity, and lead to closure of restaurants resulting in 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decline in our sales or profitability. In addition, there is no guarantee that our restaurant locations will maintain the high levels of internal controls and training we require at our restaurants.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and may affect multiple restaurant locations as a result. We cannot assure that all food items will be properly maintained during transport throughout the supply chain and that our employees will identify all products that may be spoiled and should not be used in our restaurants. The risk of food-borne illness may also increase whenever our menu items are served outside of our control, such as by third-party food delivery services companies, customer take out or at catered events. We do not have direct control over our third-party suppliers, transporters or delivery services, and may not have visibility into their practices.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negatively affect sales at all our restaurants if highly publicized, such as on national media outlets or through social media, especially due to the geographic concentration of many of our restaurants. This risk exists even if it were later determined that the illness was wrongly attributed to one of our restaurants. Potential food safety incidents, whether at our restaurants or involving our business partners, could lead to wide public exposure and negative publicity, which could materially harm our business.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financial performance of our franchisees can have a material adverse effect on our business, financial condition and results of operations.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22% of our system-wide restaurants were franchised as of December 26, 2021 and December 27, 2020, our results of operations are dependent in part upon the operational and financial success of our franchisees.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we cannot give assurance that the franchisees operate restaurants in a manner consistent with our standards, guidelines and requirements, or hire and train qualified managers and other restaurant personnel.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are unable to maintain good relationships with our franchisees due to conflicts of interest or otherwise, revenues could decrease and we may be unable to expand our presence in certain markets</w:t>
      </w:r>
      <w:r>
        <w:rPr>
          <w:rFonts w:ascii="Arial" w:cs="Arial" w:eastAsia="Arial" w:hAnsi="Arial"/>
          <w:sz w:val="14"/>
          <w:szCs w:val="14"/>
          <w:color w:val="auto"/>
        </w:rPr>
        <w:t>.</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restaurants, which could, even if we prevail, have a material adverse effect on our business, financial condition and results of operations.</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contract with one distributor, which we refer to as our “broad line” distributor, to provide virtually all of our food distribution services in the United States. As of December 26, 2021, we utilized 15 affiliated distribution centers and each distribution center carries two to three weeks of inventory for our core ingredients. In the event of a catastrophe, such as a fire, our broad line distributor can supply the restaurants affected by their respective distribution center from another affiliated distribution center. If a catastrophe, such as a fire or extreme adverse weather conditions such as storms, floods, severe thunderstorms and hurricanes, were to occur at the distribution center that services the concentration of our restaurants located in Florida, we would be at immediate risk of product shortages because that distribution center supplies 30% of our company-owned restaurants as of December 26, 2021, which collectively represented 31% of our restaurant sales for 2021. The other 14 distribution centers collectively supply the other 70% of our company-owned restaurants, which represented the remaining 69% of our sales.</w:t>
      </w:r>
    </w:p>
    <w:p>
      <w:pPr>
        <w:spacing w:after="0" w:line="134"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As of December 26, 2021, we purchased substantially all of our pork from two suppliers, substantially all of our eggs from two suppliers and the majority of our avocados from one supplier. We purchase these ingredients pursuant to purchase orders at prevailing market or negotiated contract prices and are not limited by minimum purchase requirements. We also purchased all of our coffee from one supplier. The cancellation of our supply arrangements with any one of these suppliers or the disruption, delay or inability of these suppliers to deliver these major products to our restaurants or distribution centers due to problems in production or distribution, inclement weather, unanticipated demand or other conditions may materially and adversely affect our results of operations while we establish alternative supplier and distribution channels, all of which may materially and adversely affect our results of operations while we establish these alternate supplier and distribution channels. Accordingly, although we believe that alternative supply and distribution sources are available, there can be no assurance that we will continue to be able to identify or negotiate with such sources on terms that are commercially reasonable to us. If our existing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if our suppliers or distributors fail to comply with food safety or other laws and regulations, or face allegations of non-compliance, their operations may be disrupted. We also could experience shortages of key ingredients if our suppliers need to close or restrict operations due to the impact of the COVID-19 pandemic or other infectious diseases. If our suppliers’ employees are unable to work or our suppliers’ operations are disrupted due to the COVID-19 pandemic, we and our franchisees could face shortages of food items or other supplies, and our and our franchisees’ operations and sales could be materially adversely impacted by such supply interruptions. If that were to occur, we may not be able to find replacement suppliers on commercially reasonable terms or a timely basis, if at all.</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More generally, we are subject to additional risks related to the increases to energy or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conflict could adversely impact, among other things, our raw material, energy and transportation costs, as well as certain of our suppliers, global and local macroeconomic conditions, and cause further supply chain disruptions.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system-wide restaurant base is geographically concentrated in the southeast portion of the United States, and we could be negatively affected by conditions specific to that region.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restaurants in the southeast portion of the United States represented approximately 42% of our system-wide restaurants as of December 26, 2021. Our restaurants in Florida represented approximately 24% of our system-wide restaurants as of December 26, 2021. Adverse changes in demographic, unemployment, economic, regulatory or weather conditions in the southeast portion of the United States have had, and may continue to have, material adverse effects on our business, financial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Damage to our reputation and negative publicity could have a material adverse effect on our business, financial condition and results of operations.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reputation and the quality of our brand are critical to our business and success in existing markets, and will be critical to our success as we enter into new markets. Any incident that erodes consumer loyalty to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Any publicity relating to health concerns, perceived or specific outbreaks of the COVID-19 pandemic or other infectious diseases attributed to one or more of our restaurants, or non-compliance with COVID-19 related government restrictions imposed by federal, state and local governments could result in a significant decrease in customer traffic in all of our restaurants and could have a material adverse effect on our business, financial condition and results of operations. Furthermore, similar negative publicity or occurrences with respect to other restaurants or other restaurant chains could also decrease our customer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including our franchise-owned restaurants. The risk of negative publicity is particularly great with respect to our franchise-owned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inability or failure to recognize, respond to and effectively manage the accelerated impact of social media could have a material adverse effect on our business, financial condition and results of operations.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especially since the beginning of the COVID-19 pandemic, and new social media platforms are rapidly being developed, potentially making more traditional social media platforms obsolete. As a result, we need to continuously innovate and develop our social media strategies in order to maintain broad appeal with customers and brand relevance, particularly given the rise in digital orders by customers at home due to the COVID-19 pandemic.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website or social media platforms and may be adverse to our reputation or business. This harm may be immediate, without affording us an opportunity for redress or correction.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may not provide adequate levels of coverage against claims.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Information Technology and Intellectual Property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and our franchisees rely heavily on our computer systems and network infrastructure across our operations, including point-of-sale processing at our restaurants,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and our franchisees’ operations depend upon our and our franchisees’ ability to protect our computer equipment and systems against damage from physical theft, fire, power loss, telecommunications failure or other catastrophic events, as well as from internal and external security breaches, viruses and other disruptive problems. Any actual or perceived breach in the security of our information technology systems or those of our franchisees and third-party service providers could lead to damage or failure of our computer systems or network infrastructure that causes an interruption in our operations could have a material adverse effect on our business and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Furthermore, before and during the COVID-19 pandemic, at various times we have allowed certain of our team members in our corporate headquarters to work from home. The significant increase in remote working, particularly for an extended period of time, could increase certain risks to our business, including an increased risk of cybersecurity events, vulnerability of our systems and improper dissemination of confidential or personal information, if our physical and cybersecurity measures or our corporate policies are not effective. The costs to us to eliminate any of the foregoing cybersecurity vulnerabilities or to address a cyber-incident could be significant and have a material adverse impact on our business, financial condition and results of operations.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franchisees,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or our franchisees, and our respective security measures, as well as those of our technology vendors,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5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are continuing to expand, upgrade and develop our information technology capabilities.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w:t>
      </w:r>
    </w:p>
    <w:p>
      <w:pPr>
        <w:spacing w:after="0" w:line="13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business requires the collection, transmission and retention of large volumes of customer and employee data, including credit and debit card numbers and other personally identifiable information, in various information technology systems that we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and our franchisees maintain, and in those maintained by our third parties with whom we contract to provide services. The integrity and protection of that customer and employee data is critical to us.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Further, our customers and employees have a high expectation that we and our service providers will adequately protect their personal information.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the standards for systems currently used for transmission and approval of electronic payment transactions, and the technology utilized in electronic payment themselves, all of which can put electronic payment data at risk, are determined and controlled by the payment card industry, not by us. For example, we are subject to industry requirements such as the Payment Card Industry Data Security Standard, or PCI-DSS, as well as certain other industry standards. Any failure to comply with these rules and/or requirements could significantly harm our brand, reputation, business and results of operations, and in the case of PCI-DSS, could result in monetary penalties and/or the exclusion from applicable card brands. We also rely on independent service providers for payment processing, including payments made using credit and debit cards. If these independent service providers become unwilling or unable to provide these services to us or if the cost of using these providers increases, our business could be harmed.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 security of consumer data, particularly in the context of digital marketing, which we rely upon to attract new customers. We are, and may increasingly become, subject to other various laws, directives, industry standards and regulations, as well as contractual obligations, relating to data privacy and security in the jurisdictions in which we operate. The information, security and privacy requirements imposed by governmental regulation are increasingly demanding and are subject to potentially differing interpretations. Laws and expectations relating to privacy continue to evolve, and we continue to adapt to changing needs. For example, the definition of “personal information” or “personal data” under newer privacy laws is much broader than the definition of “personally identifiable information” that appears in older privacy laws, and many jurisdictions have or will soon enact new privacy laws. Specifically, certain states in which we operate or may operate in the future have enacted or may soon enact comprehensive privacy laws that may be more stringent or broader in scope, or offer greater individual rights, with respect to personal information than current federal, international or other state laws, and such laws may differ from each other, all of which may complicate compliance efforts. The California Consumer Privacy Act (“CCPA”), for example,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was passed in November 2020 and is fully effective in January 2023, significantly modifies the CCPA. These modifications will require us to incur additional costs and expenses in our effort to comply. Virginia and Colorado recently enacted similar data privacy legislation that will take effect in 2023, and several other states and countries are considering expanding or passing privacy laws in the near term. Our failure to adhere to or successfully implement appropriate processes to adhere to the requirements of evolving laws and regulations in this area could expose us and our franchisees to financial penalties and legal liability. Our and our franchisees’ systems may not be able to satisfy these changing requirements and customer and employee expectations, or may require significant additional investments or time in order to do so.</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Many applications and other devices allow consumers to avoid receiving advertisements by paying for subscriptions or other downloads. The regulation of the use of these cookies and other current online tracking and advertising practices or a loss in our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potential liability with our gift cards under the property laws of some states.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 however, we are not required to remit any amounts relating to unredeemed gift cards to states as that obligation has been assumed by the third-party issuer of the gift cards. We recognize income from unredeemed cards when we determine that the likelihood of the cards being redeemed is remote and that recognition is appropriate based on governing state statutes.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registered First Watch</w:t>
      </w:r>
      <w:r>
        <w:rPr>
          <w:rFonts w:ascii="Arial" w:cs="Arial" w:eastAsia="Arial" w:hAnsi="Arial"/>
          <w:sz w:val="7"/>
          <w:szCs w:val="7"/>
          <w:color w:val="auto"/>
        </w:rPr>
        <w:t>®</w:t>
      </w:r>
      <w:r>
        <w:rPr>
          <w:rFonts w:ascii="Arial" w:cs="Arial" w:eastAsia="Arial" w:hAnsi="Arial"/>
          <w:sz w:val="14"/>
          <w:szCs w:val="14"/>
          <w:color w:val="auto"/>
        </w:rPr>
        <w:t xml:space="preserve"> and certain other names, logos and slogans used by our restaurants as trademarks or service marks with the USPTO. The First Watch</w:t>
      </w:r>
      <w:r>
        <w:rPr>
          <w:rFonts w:ascii="Arial" w:cs="Arial" w:eastAsia="Arial" w:hAnsi="Arial"/>
          <w:sz w:val="7"/>
          <w:szCs w:val="7"/>
          <w:color w:val="auto"/>
        </w:rPr>
        <w:t>®</w:t>
      </w:r>
      <w:r>
        <w:rPr>
          <w:rFonts w:ascii="Arial" w:cs="Arial" w:eastAsia="Arial" w:hAnsi="Arial"/>
          <w:sz w:val="14"/>
          <w:szCs w:val="14"/>
          <w:color w:val="auto"/>
        </w:rPr>
        <w:t xml:space="preserve"> trademark is also registered in Canada. In addition, the First Watch logo, website domain name and Facebook, Instagram and Twitter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 third-party misappropriates or infringes on our intellectual property, whether in print, on the Internet or through other media, the value of our brands may be negatively affected, which could have a material adverse effect on our business, including the failure of our brands and branded products to achieve and maintain market acceptance. There can be no assurance that all the steps we have taken to protect our intellectual property in the United States will be adequate.</w:t>
      </w:r>
    </w:p>
    <w:p>
      <w:pPr>
        <w:spacing w:after="0" w:line="17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confidential information, despite the existence of confidentiality agreements and other measures. If any of our trade secrets or information were to be disclosed to or independently developed by a competitor, it could have a material adverse effect on our business, financial condition and results of operations.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There can be no assurance that third parties will not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our intellectual property were invalidated or deemed unenforceable, we may not be able to prevent third parties from using such intellectual property or similar intellectual property to compete with us, which, in turn, could lead to a decline in our brand and the goodwill associated therewith and the results of operations. If our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resources and could have a material adverse effect on our business, financial condition and results of operations regardless of whether we are able to successfully enforce our rights.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Employees and the Workforce</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223"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We rely upon the accumulated knowledge, skills and experience of our executive officers and certain other key employees.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inability to identify qualified individuals for our workforce could slow our growth and adversely impact our ability to operate our restaurants.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success depends in part upon our ability to attract, motivate and retain a sufficient number of qualified managers and employees to meet the needs of our existing restaurants and to staff new restaurants.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could have a material adverse effect on our business, financial condition and results of operations. Any such inability could also delay the planned openings of new restaurants and could adversely impact our existing restaurants. The inability to retain or recruit qualified employees, increased costs of attracting qualified employees or delays in restaurant openings could have a material adverse effect on our business, financial condition and results of operations.</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COVID-19 pandemic has created staffing complexities for us and other restaurant operators, including among others a decreased applicant pool for all positions, safety concerns, and ongoing staff call-outs and exclusions due to illness. The COVID-19 pandemic has also resulted in aggressive competition for talent, wage inflation and pressure to improve benefits and workplace conditions to remain competitive. Furthermore, due to the COVID-19 pandemic, we could experience a shortage of labor for restaurant positions as concern over exposure to COVID-19, any shortage of either fully vaccinated workers or those who are able to produce a negative test result and other factors could decrease the pool of available qualified talent for key functions. In addition, our existing wages and benefits programs, combined with the challenging conditions due to the COVID-19 pandemic and the highly competitive wage pressure resulting from the labor shortage, may be insufficient to attract and retain the best talent. Our failure to recruit and retain new restaurant employees in a timely manner or higher employee turnover levels all could affect our ability to open new restaurants and grow sales at existing restaurants, and we may experience higher than projected labor costs.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maintain our corporate culture as we grow could have a material adverse effect on our business, financial condition and results of operations.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Unionization activities may disrupt our operations and increase our costs.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Matters relating to employment and labor law could have a material adverse effect on our business, financial condition and results of operations and 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employment eligibility verification requirements, workers’ compensation rates, overtime, family leave, working conditions, safety standards, immigration status, unemployment tax rates, state and local payroll taxes,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Our business is subject to the risk of litigation by employees or others through private actions, class actions, administrative proceedings, regulatory actions or other litigation. Moreover, employment and labor claims asserted against franchisees may at times be made against us as a franchisor.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 Additionally, if we or our franchisees are unable to properly identify unauthorized workers, such workers will be subject to deportation and may subject us to fines or penalties. If any of our workers are found to be unauthorized, we could experience adverse publicity that may negatively impact our brand, disrupt our operations, make it more difficult to hire and keep qualified employees, cause temporary increases in our labor costs as we train new employees and result in adverse publicity.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party to litigation that could distract management, increase our expenses or subject us to material monetary damages or other remedies.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negatively impact our reputation,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and our franchisees face labor shortages or increased labor costs or health care costs, it could have a material adverse effect on our business, financial condition and results of operations.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Labor is a primary component in the cost of operating our restaurants. If we or our franchisees face labor shortages or increased labor costs because of increased competition for employees, higher employee-turnover rates, unionization of restaurant workers, or increases in the federally-mandated or state-mandated minimum wage, change in exempt and non-exempt status, unemployment tax rates, workers’ compensation rates, overtime, family leave, safety standards, payroll taxes, citizenship requirements or other employee benefits costs (including costs associated with health insurance coverage or workers’ compensation insurance), our operating expenses could increase and our growth could be adversely affected.</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 may also result in increases in the wage rates paid for non-minimum wage positions. We may be unable to increase our menu prices in order to pass future increased labor costs on to our customers, in which case our operating margins would be negatively affected. If menu prices are increased by us or our franchisees to cover increased labor costs, the higher prices could adversely affect demand for our menu items, resulting in lower sales and decreased franchise revenues.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leasing property subject to long-term and non-cancelable leases and may be unable to renew leases at the end of their terms.</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Many of our restaurant leases are non-cancelable and typically have initial terms of 10 years, providing for two to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risks related to our sale of alcoholic beverages.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serve alcoholic beverages at our restaurants.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alcoholic beverages manufacturers, wholesalers and distributors, inventory control and handling, storage and dispensing of alcoholic beverages. Any future failure to comply with these regulations and obtain or retain licenses could have a material adverse effect on our business, financial condition and results of operations.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are also subject in certain states to “dram shop” statutes, which generally provide a person injured by an intoxicated person the right to recover damages from an establishment that wrongfully served alcoholic beverages to the intoxicated person.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many federal, state and local laws with which compliance is both costly and complex.</w:t>
      </w:r>
    </w:p>
    <w:p>
      <w:pPr>
        <w:spacing w:after="0" w:line="200"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The restaurant industry is subject to extensive federal, state and local laws and regulations, including those relating to the environment,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16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Americans with Disabilities Act, which, among other things, requires our restaurants to meet federally mandated requirements for the disabled,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Accounting and Financial Reporting Matters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accounting principles applicable to us could have a material adverse effect on our financial condition and results of operations.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Generally accepted accounting principles in the U.S.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impairment in the carrying value of our goodwill or indefinite-lived intangible assets could have a material adverse effect on our financial condition and results of operations.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December 26, 2021, we had $345.2 million of goodwill and $137.8 million of indefinite-lived intangible assets. We test goodwill and indefinite-lived intangible assets for impairment annually on the first day of the fourth quarter of each fiscal year and whenever events or changes in circumstances indicate that impairment may have occurred. We performed a qualitative annual impairment assessment of goodwill and indefinite-lived intangible assets on the first day of the fourth quarter of 2021. Based on the results of the qualitative assessment, which considered improvements in financial performance, as well as the improved overall operating environment, no indicators of impairment were identified and no impairment was recognized in 2021.</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We cannot accurately predict the amount and timing of any impairment of assets and an impairment test in the future may indicate that an impairment has occurred. In the event that the book value of goodwill or other indefinite-lived intangible assets is impaired, any such impairment would be charged to earnings in the period of impairment and could have a material adverse effect on our financial condition and results of operations. See Note 6, </w:t>
      </w:r>
      <w:r>
        <w:rPr>
          <w:rFonts w:ascii="Arial" w:cs="Arial" w:eastAsia="Arial" w:hAnsi="Arial"/>
          <w:sz w:val="14"/>
          <w:szCs w:val="14"/>
          <w:i w:val="1"/>
          <w:iCs w:val="1"/>
          <w:color w:val="auto"/>
        </w:rPr>
        <w:t>Goodwill</w:t>
      </w:r>
      <w:r>
        <w:rPr>
          <w:rFonts w:ascii="Arial" w:cs="Arial" w:eastAsia="Arial" w:hAnsi="Arial"/>
          <w:sz w:val="14"/>
          <w:szCs w:val="14"/>
          <w:color w:val="auto"/>
        </w:rPr>
        <w:t xml:space="preserve"> and Note 7, </w:t>
      </w:r>
      <w:r>
        <w:rPr>
          <w:rFonts w:ascii="Arial" w:cs="Arial" w:eastAsia="Arial" w:hAnsi="Arial"/>
          <w:sz w:val="14"/>
          <w:szCs w:val="14"/>
          <w:i w:val="1"/>
          <w:iCs w:val="1"/>
          <w:color w:val="auto"/>
        </w:rPr>
        <w:t>Intangible Assets, Net</w:t>
      </w:r>
      <w:r>
        <w:rPr>
          <w:rFonts w:ascii="Arial" w:cs="Arial" w:eastAsia="Arial" w:hAnsi="Arial"/>
          <w:sz w:val="14"/>
          <w:szCs w:val="14"/>
          <w:color w:val="auto"/>
        </w:rPr>
        <w:t xml:space="preserve"> in the notes to the accompanying consolidated financial statements within this Annual Report on Form 10-K for additional information.</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Changes to estimates related to our long-lived assets and definite-lived intangible assets or operating results that are lower than our current estimates at certain restaurant locations may cause us to incur impairment losses on certain long-lived assets, which may adversely affect our results of operations.</w:t>
      </w:r>
    </w:p>
    <w:p>
      <w:pPr>
        <w:spacing w:after="0" w:line="15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Changes to estimates related to our property, fixtures and equipment and definite-lived intangible assets or operating results that are lower than our current estimates at certain restaurant locations may cause us to incur impairment losses or accelerate the amortization on certain long-lived assets, which may adversely affect our financial condition and results of operations.</w:t>
      </w:r>
    </w:p>
    <w:p>
      <w:pPr>
        <w:spacing w:after="0" w:line="13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b w:val="1"/>
          <w:bCs w:val="1"/>
          <w:i w:val="1"/>
          <w:iCs w:val="1"/>
          <w:color w:val="auto"/>
        </w:rPr>
        <w:t>We have identified material weaknesses in our internal control over financial reporting, which could result in us failing to prevent or detect material misstatements of our consolidated financial statements due to error or fraud.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common stock.</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As a newly public company, we are required to comply with Section 404 of the Sarbanes-Oxley Act (“Section 404”) in accordance with the rules and regulations of the SEC, which requires management to certify financial and other information in our quarterly and annual reports and provide an annual management report on the effectiveness of our internal control over financial reporting commencing with our second annual report after our IPO. In addition, under Section 404 our independent registered public accounting firm will also need to attest to the effectiveness of our internal control over financial reporting in the future to the extent that we are no longer an emerging growth company, as defined in the Jumpstart Our Business Startups Act (the “JOBS Act”). To achieve compliance with the rules and regulations of the SEC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connection with the preparation of our consolidated financial statements, we identified material weaknesses in our internal control over financial reporting. The material weaknesses we identified were as follows:</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152" w:lineRule="exact"/>
        <w:rPr>
          <w:sz w:val="20"/>
          <w:szCs w:val="20"/>
          <w:color w:val="auto"/>
        </w:rPr>
      </w:pPr>
    </w:p>
    <w:p>
      <w:pPr>
        <w:ind w:left="640" w:hanging="253"/>
        <w:spacing w:after="0" w:line="321" w:lineRule="auto"/>
        <w:tabs>
          <w:tab w:leader="none" w:pos="636"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ind w:left="640"/>
        <w:spacing w:after="0" w:line="281" w:lineRule="auto"/>
        <w:rPr>
          <w:sz w:val="20"/>
          <w:szCs w:val="20"/>
          <w:color w:val="auto"/>
        </w:rPr>
      </w:pPr>
      <w:r>
        <w:rPr>
          <w:rFonts w:ascii="Arial" w:cs="Arial" w:eastAsia="Arial" w:hAnsi="Arial"/>
          <w:sz w:val="14"/>
          <w:szCs w:val="14"/>
          <w:color w:val="auto"/>
        </w:rPr>
        <w:t>adjustments to accruals and within the statement of cash flows in our fiscal 2018 consolidated financial statements, which were recorded prior to the issuance of our fiscal 2018 consolidated financial statements.</w:t>
      </w:r>
    </w:p>
    <w:p>
      <w:pPr>
        <w:spacing w:after="0" w:line="153" w:lineRule="exact"/>
        <w:rPr>
          <w:sz w:val="20"/>
          <w:szCs w:val="20"/>
          <w:color w:val="auto"/>
        </w:rPr>
      </w:pPr>
    </w:p>
    <w:p>
      <w:pPr>
        <w:ind w:left="640" w:right="100" w:hanging="253"/>
        <w:spacing w:after="0" w:line="267" w:lineRule="auto"/>
        <w:tabs>
          <w:tab w:leader="none" w:pos="636"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155" w:lineRule="exact"/>
        <w:rPr>
          <w:rFonts w:ascii="Arial" w:cs="Arial" w:eastAsia="Arial" w:hAnsi="Arial"/>
          <w:sz w:val="13"/>
          <w:szCs w:val="13"/>
          <w:color w:val="auto"/>
        </w:rPr>
      </w:pPr>
    </w:p>
    <w:p>
      <w:pPr>
        <w:jc w:val="both"/>
        <w:ind w:left="640" w:hanging="253"/>
        <w:spacing w:after="0" w:line="277" w:lineRule="auto"/>
        <w:tabs>
          <w:tab w:leader="none" w:pos="636"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taken certain measures to remediate the material weaknesses described above, including hiring additional personnel, designing and implementing formal procedures and controls supporting the Company’s period-end financial reporting process, such as controls over the preparation and review of account reconciliations and disclosures in the consolidated financial statements and designing certain information technology general controls.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and augmenting our internal controls with new accounting policies and procedures, and designing and implementing financial reporting controls, income tax controls, and information technology general controls.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While we believe that these measures will improve our internal control over financial reporting, the implementation of these measures is ongoing, and we cannot assure you that we will be successful in doing so or that these measures will significantly improve or remediate the material weaknesses described above.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We also cannot assure you that there will not be any additional material weaknesses in our internal control over financial reporting in the future.</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working to remediate the material weaknesses. At this time, we cannot provide an estimate of costs expected to be incurred in connection with implementing a remediation plan; however, these remediation measures will be time consuming and will place significant demands on our financial and operational resources.</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may not be able to remediate any material weaknesses prior to the deadline imposed by the rules and regulations of the SEC for management’s assessment of internal control over financial reporting. The failure to achieve and maintain effective internal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common stock could decline, we could become subject to investigations by Nasdaq, the SEC or other regulatory agencies, which could require additional financial and management resources, or our common stock may not be able to remain listed on Nasdaq.</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might require additional capital to support business growth and this capital might not be available.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level of indebtedness could have a material adverse effect on our business, financial condition and results of operations.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total principal amount of debt outstanding, excluding finance lease liabilities, financing obligations and unamortized debt discount and deferred issuance costs as of December 26, 2021 was $100.0 million. Our indebtedness could have significant effects on our business, such as:</w:t>
      </w:r>
    </w:p>
    <w:p>
      <w:pPr>
        <w:spacing w:after="0" w:line="153" w:lineRule="exact"/>
        <w:rPr>
          <w:sz w:val="20"/>
          <w:szCs w:val="20"/>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limiting our ability to borrow additional amounts to fund capital expenditures, acquisitions, debt service requirements, execution of our growth strategy and other purposes;</w:t>
      </w:r>
    </w:p>
    <w:p>
      <w:pPr>
        <w:spacing w:after="0" w:line="19"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limiting our ability to make investments, including acquisitions, loans and advances, and to sell, transfer or otherwise dispose of assets;</w:t>
      </w:r>
    </w:p>
    <w:p>
      <w:pPr>
        <w:spacing w:after="0" w:line="8" w:lineRule="exact"/>
        <w:rPr>
          <w:rFonts w:ascii="Arial" w:cs="Arial" w:eastAsia="Arial" w:hAnsi="Arial"/>
          <w:sz w:val="14"/>
          <w:szCs w:val="14"/>
          <w:color w:val="auto"/>
        </w:rPr>
      </w:pPr>
    </w:p>
    <w:p>
      <w:pPr>
        <w:ind w:left="640" w:hanging="253"/>
        <w:spacing w:after="0" w:line="253"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ind w:left="640" w:hanging="253"/>
        <w:spacing w:after="0" w:line="253"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making us more vulnerable to adverse changes in general economic, industry and competitive conditions, in government regulation and in our business by limiting our ability to plan for and react to changing conditions;</w:t>
      </w: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placing us at a competitive disadvantage compared with our competitors that have less debt; and</w:t>
      </w:r>
    </w:p>
    <w:p>
      <w:pPr>
        <w:spacing w:after="0" w:line="8" w:lineRule="exact"/>
        <w:rPr>
          <w:rFonts w:ascii="Arial" w:cs="Arial" w:eastAsia="Arial" w:hAnsi="Arial"/>
          <w:sz w:val="14"/>
          <w:szCs w:val="14"/>
          <w:color w:val="auto"/>
        </w:rPr>
      </w:pPr>
    </w:p>
    <w:p>
      <w:pPr>
        <w:ind w:left="640" w:hanging="253"/>
        <w:spacing w:after="0" w:line="266"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exposing us to risks inherent in interest rate fluctuations because our borrowings are at variable rates of interest, which could result in higher interest expense in the event of increases in interest rates.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financial condition and results of operations.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Pursuant to our new credit agreement dated as of October 6, 2021 (the “New Credit Agreement”), which provides for (i) a $100 million term loan A facility (the “New Term Facility”) and (ii) a $75 million revolving credit facility (the “New Revolving Credit Facility”) and together with the New Term Facility, the “New Facilities”), we are required to maintain, on a consolidated basis, both</w:t>
      </w:r>
    </w:p>
    <w:p>
      <w:pPr>
        <w:spacing w:after="0" w:line="1" w:lineRule="exact"/>
        <w:rPr>
          <w:sz w:val="20"/>
          <w:szCs w:val="20"/>
          <w:color w:val="auto"/>
        </w:rPr>
      </w:pPr>
    </w:p>
    <w:p>
      <w:pPr>
        <w:jc w:val="both"/>
        <w:ind w:firstLine="5"/>
        <w:spacing w:after="0" w:line="255" w:lineRule="auto"/>
        <w:tabs>
          <w:tab w:leader="none" w:pos="19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maximum total rent adjusted net leverage ratio of (i) consolidated total net debt to (ii) consolidated EBITDA plus consolidated cash rental expense with certain adjustments and (b) a minimum fixed charge coverage ratio of (i) consolidated EBITDA plus consolidated cash rental expense with certain adjustments to (ii) consolidated fixed charges, in each case, as set forth in the New Credit Agreement and tested as of the last day of each fiscal quarter (commencing with the fiscal quarter ending March 27, 2022). Our ability to borrow under the New Revolving Credit Facility is subject to the absence of a default or event of default under the New Credit Agreement, including our compliance with these financial covenants. Events beyond our control, including changes in general economic and business conditions, may affect our ability to comply with the financial covenants. We cannot assure you that we will comply with the financial covenants in the future, or that our lenders will waive any failure to comply with the financial covenants.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failure to comply with the covenants under our New Credit Agreement or the volatile credit and capital markets could have a material adverse effect on our financial condition.</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ability to manage our debt is dependent on our level of positive cash flow from company-owned and franchise-owned restaurants.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the New Credit Agreement for our New Facilities or to have sufficient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interest rates of loans under our New Credit Agreement are priced using a spread over LIBOR.</w:t>
      </w:r>
    </w:p>
    <w:p>
      <w:pPr>
        <w:spacing w:after="0" w:line="200" w:lineRule="exact"/>
        <w:rPr>
          <w:sz w:val="20"/>
          <w:szCs w:val="20"/>
          <w:color w:val="auto"/>
        </w:rPr>
      </w:pPr>
    </w:p>
    <w:p>
      <w:pPr>
        <w:ind w:right="4080"/>
        <w:spacing w:after="0" w:line="301" w:lineRule="auto"/>
        <w:rPr>
          <w:sz w:val="20"/>
          <w:szCs w:val="20"/>
          <w:color w:val="auto"/>
        </w:rPr>
      </w:pPr>
      <w:r>
        <w:rPr>
          <w:rFonts w:ascii="Arial" w:cs="Arial" w:eastAsia="Arial" w:hAnsi="Arial"/>
          <w:sz w:val="12"/>
          <w:szCs w:val="12"/>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for the New Facilities under our New Credit Agreement such that the interest due to the applicable lenders with respect to a term loan or revolving loan under our New Facilities is calculated using LIBOR plus an applicable spread above LIBOR. On July 27, 2017, the United Kingdom’s Financial Conduct Authority (the “FCA”), which regulates LIBOR, announced that it intends to phase out LIBOR by the end of 2021. On December 31, 2021, all LIBOR settings for all 1-week and 2-month U.S. dollar LIBOR settings ceased to be provided and the remaining U.S. dollar LIBOR settings will no longer be provided after June 30, 2023. The Alternative Reference Rates Committee, a steering committee convened by the U.S. Federal Reserve Board and comprised of large U.S. financial institutions, recommended the Secured Overnight Financing Rate as an alternative to LIBOR. The New Credit Agreement contains LIBOR fallback language, pursuant to which the New Credit Agreement may be amended to replace LIBOR with a Secured Overnight Financing Rate or another alternate benchmark rate upon the occurrence of certain LIBOR cessation events. At this time, due to evolving market for accepted alternatives to LIBOR, it is difficult to predict the effect of any such alternatives on our liquidity, interest expense, or the value of the New Facilities.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Company and Organizational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interests of Advent may conflict with our interests or the interests of the holders of our common stock in the future.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Advent engages in a range of investing activities, including investments in restaurants and other consumer-related companies in particular. In the ordinary course of its business activities, Advent may engage in activities where its interests conflict with our interests or those of our stockholders. Our amended and restated certificate of incorporation contains provisions renouncing any interest or expectancy held by our directors affiliated with Advent in certain corporate opportunities. Accordingly, the interests of Advent may supersede ours, causing them or their affiliates to compete against us or to pursue opportunities instead of us, for which we have no recourse. Such actions on the part of Advent and inaction on our part could have a material adverse effect on our business, financial condition and results of operations. In addition, Advent may have an interest in pursuing acquisitions, divestitures and other transactions that, in its judgment, could enhance its investment in us, even though such transactions might involve risks to you, such as debt-financed acquisitions.</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First Watch Restaurant Group, Inc. is a holding company with no operations and relies on its operating subsidiaries to provide it with funds necessary to meet its financial obligations and to pay dividends.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First Watch Restaurant Group, Inc. is a holding company with no material direct operations. First Watch Restaurant Group, Inc.’s principal assets are the equity interests it indirectly holds in its operating subsidiaries which own our operating assets. As a result, First Watch Restaurant Group, Inc. is dependent on loans, dividends and other payments from its operating subsidiaries to generate the funds necessary to meet its financial obligations and to pay dividends on its common stock. Its subsidiaries are legally distinct from First Watch Restaurant Group, Inc. and may be prohibited or restricted from paying dividends, including pursuant to the restrictions contained in our New Credit Agreement, or otherwise making funds available to us under certain conditions. Although First Watch Restaurant Group, Inc. does not expect to pay dividends on its common stock for the foreseeable future, if it is unable to obtain funds from its subsidiaries, it may be unable to, or its board of directors (the “Board”) may exercise its discretion not to, pay dividends.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does not have experience managing a public company and our current resources may not be sufficient to fulfill our public company obligations.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a newly public company, we are subject to various regulatory requirements, including those of the SEC and Nasdaq. These requirements include record keeping, financial reporting and corporate governance rules and regulations. Our management team does not have significant experience in managing a public company and, historically,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for, or prevent a third party from, acquiring control of us without the approval of our Board. Among other things, these provisions:</w:t>
      </w:r>
    </w:p>
    <w:p>
      <w:pPr>
        <w:spacing w:after="0" w:line="163" w:lineRule="exact"/>
        <w:rPr>
          <w:sz w:val="20"/>
          <w:szCs w:val="20"/>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provide for a classified Board with staggered three-year terms;</w:t>
      </w:r>
    </w:p>
    <w:p>
      <w:pPr>
        <w:spacing w:after="0" w:line="19"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 not permit cumulative voting in the election of directors, which would otherwise allow less than a majority of stockholders to elect director candidates;</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delegate the sole power of a majority of the Board to fix the number of directors;</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provide the power of our Board to fill any vacancy on our Board, whether such vacancy occurs as a result of an increase in the number of directors or otherwise;</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without any need for action by stockholders;</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eliminate the ability of stockholders to call special meetings of stockholders; and</w:t>
      </w:r>
    </w:p>
    <w:p>
      <w:pPr>
        <w:spacing w:after="0" w:line="8"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or for proposing matters that can be acted on by stockholders at stockholder meetings.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our New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foregoing factors, as well as the significant common stock ownership by Advent could impede a merger, takeover, or other business combination, or discourage a potential investor from making a tender offer for our common stock, which, under certain circumstances, could reduce the market value of our common stock.</w:t>
      </w:r>
    </w:p>
    <w:p>
      <w:pPr>
        <w:spacing w:after="0" w:line="15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of America as the sole and exclusive forum for claims arising under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Securities Act of 1933, as amended, which, in each case, could limit our stockholders’ ability to obtain a favorable judicial forum for disputes with us or our directors, officers, employees, agents or other stockholders.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Delaware General Corporation Law (the “DGCL”) or this Certificate or the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also provides that the foregoing exclusive forum provision does not apply to actions brought to enforce any liability or duty created by the Securities Act or the Exchange Act, or any other claim or cause of action for which the federal courts have exclusive jurisdiction.</w:t>
      </w:r>
    </w:p>
    <w:p>
      <w:pPr>
        <w:spacing w:after="0" w:line="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amended and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 of America.</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offerings of debt or equity securities by us may have a material adverse effect on the market price of our common stock.</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Advent indirectly beneficially owns approximately 79% of our outstanding common stock. As a result, Advent beneficially owns shares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63"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 controlled company, we are not subject to all of the corporate governance rules of Nasdaq.</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considered a “controlled company” under the rules of Nasdaq. Controlled companies are exempt from the corporate governance rules requiring that listed companies have (i) a majority of the Board consist of “independent” directors under the listing standards of Nasdaq, (ii) independent director oversight of director nominations and (iii) a compensation committee composed entirely of independent directors. Although we are eligible to use some or all of these exemptions, our Board is comprised of a majority of independent directors, and our nominating and corporate governance committee and compensation committee consists entirely of independent directors. However, if we are to use some or all of these exemptions in the future, you may not have the same protections afforded to stockholders of companies that are subject to all of the corporate governance requirements of Nasdaq.</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anticipate paying any dividends on our common stock in the foreseeable future.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do not expect to declare or pay any cash or other dividends in the foreseeable future on our common stock because we intend to use cash flow generated by operations to grow our business. Our New Credit Agreement for our New Facilities restricts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could be negatively affected by sales of substantial amounts of our common stock in the public markets.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 our issued and outstanding shares, all the common stock sold in our initial public offering is freely transferable, except for any shares held by our “affiliates,” as that term is defined in Rule 144 under the Securities Act. Approximately 79% of our outstanding common stock is indirectly beneficially owned by Advent, and can be resold into the public markets in the future in accordance with the requirements of Rule 144.</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connection with our IPO, we and our officers, directors and the holders of substantially all of our outstanding capital stock and other securities as of immediately prior to the IPO have agreed subject to specified exceptions, not to directly or indirectly: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ind w:left="520" w:hanging="260"/>
        <w:spacing w:after="0" w:line="235" w:lineRule="auto"/>
        <w:tabs>
          <w:tab w:leader="none" w:pos="516" w:val="left"/>
        </w:tabs>
        <w:numPr>
          <w:ilvl w:val="0"/>
          <w:numId w:val="23"/>
        </w:numPr>
        <w:rPr>
          <w:rFonts w:ascii="Arial" w:cs="Arial" w:eastAsia="Arial" w:hAnsi="Arial"/>
          <w:sz w:val="17"/>
          <w:szCs w:val="17"/>
          <w:color w:val="auto"/>
        </w:rPr>
      </w:pPr>
      <w:r>
        <w:rPr>
          <w:rFonts w:ascii="Arial" w:cs="Arial" w:eastAsia="Arial" w:hAnsi="Arial"/>
          <w:sz w:val="14"/>
          <w:szCs w:val="14"/>
          <w:color w:val="auto"/>
        </w:rPr>
        <w:t>sell, offer, contract or grant any option to sell (including any short sale), pledge, transfer, establish an open “put equivalent position” within the meaning of Rule 16a-1(h) under the Exchange Act, or</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23"/>
        </w:numPr>
        <w:rPr>
          <w:rFonts w:ascii="Arial" w:cs="Arial" w:eastAsia="Arial" w:hAnsi="Arial"/>
          <w:sz w:val="17"/>
          <w:szCs w:val="17"/>
          <w:color w:val="auto"/>
        </w:rPr>
      </w:pPr>
      <w:r>
        <w:rPr>
          <w:rFonts w:ascii="Arial" w:cs="Arial" w:eastAsia="Arial" w:hAnsi="Arial"/>
          <w:sz w:val="14"/>
          <w:szCs w:val="14"/>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publicly announce an intention to do any of the foregoing without the prior written consent of the representatives of the underwriters.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restrictions terminate after the close of trading of the common stock on and including March 29, 2022, the 180th day after the date of the final prospectus for our initial public offering. The representatives of the underwriters may, in their sole discretion and at any time or from time to time before the termination of the 180-day period release all or any portion of the securities subject to lock-up agreements.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market price of our common stock may decline significantly when the restrictions on resale by our existing stockholders lapse. A decline in the price of our common stock might impede our ability to raise capital through the issuance of additional common stock or other equity securities.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future issuance of additional common stock in connection with the First Watch Restaurant Group, Inc. 2021 Equity Incentive Plan (the “2021 Equity Plan”) and the First Watch Restaurant Group, Inc. 2017 Omnibus Equity Incentive Plan (the “2017 Equity Plan”) will dilute all other stockholdings.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an aggregate of 232,508,151 shares of common stock authorized but unissued and not reserved for issuance under the 2021 Equity Plan and 2017 Equity Plan. We may issue all these shares of common stock without any action or approval by our stockholders, subject to certain exceptions. Any common stock issued in connection with the 2021 Equity Plan or the 2017 Equity Plan would dilute the ownership percentage held by existing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public company, we incur significant costs to comply with the laws and regulations affecting public companies, which could harm our business and results of operations.</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and results of operations. We will need to hire more employees in the future to comply with these requirements, which will increase our costs and expenses.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comply with the requirements of being a public company, including the Sarbanes-Oxley Act, we have and will need to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our tax obligations and effective tax rate and realization of our deferred tax assets may result in volatility of our results of operations.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U.S. government may enact significant changes to the taxation of business entities including, among others, an increase in the corporate income tax rate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We lease all our company-owned restaurant facilities. As of December 26, 2021, we had 341 company-owned restaurants and 94 franchise-owned restaurants located in 28 states, including a large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20" w:type="dxa"/>
            <w:vAlign w:val="bottom"/>
            <w:gridSpan w:val="6"/>
          </w:tcPr>
          <w:p>
            <w:pPr>
              <w:spacing w:after="0"/>
              <w:rPr>
                <w:sz w:val="20"/>
                <w:szCs w:val="20"/>
                <w:color w:val="auto"/>
              </w:rPr>
            </w:pPr>
            <w:r>
              <w:rPr>
                <w:rFonts w:ascii="Arial" w:cs="Arial" w:eastAsia="Arial" w:hAnsi="Arial"/>
                <w:sz w:val="14"/>
                <w:szCs w:val="14"/>
                <w:color w:val="auto"/>
                <w:w w:val="94"/>
              </w:rPr>
              <w:t>presence in Florida, Texas, Ohio and Arizona. As of December 26, 2021, company-owned and franchise-owned restaurants by jurisdiction were:</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2"/>
        </w:trPr>
        <w:tc>
          <w:tcPr>
            <w:tcW w:w="3220" w:type="dxa"/>
            <w:vAlign w:val="bottom"/>
          </w:tcPr>
          <w:p>
            <w:pPr>
              <w:ind w:left="20"/>
              <w:spacing w:after="0"/>
              <w:rPr>
                <w:sz w:val="20"/>
                <w:szCs w:val="20"/>
                <w:color w:val="auto"/>
              </w:rPr>
            </w:pPr>
            <w:r>
              <w:rPr>
                <w:rFonts w:ascii="Arial" w:cs="Arial" w:eastAsia="Arial" w:hAnsi="Arial"/>
                <w:sz w:val="14"/>
                <w:szCs w:val="14"/>
                <w:color w:val="auto"/>
              </w:rPr>
              <w:t>State</w:t>
            </w: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3"/>
          </w:tcPr>
          <w:p>
            <w:pPr>
              <w:ind w:left="340"/>
              <w:spacing w:after="0"/>
              <w:rPr>
                <w:sz w:val="20"/>
                <w:szCs w:val="20"/>
                <w:color w:val="auto"/>
              </w:rPr>
            </w:pPr>
            <w:r>
              <w:rPr>
                <w:rFonts w:ascii="Arial" w:cs="Arial" w:eastAsia="Arial" w:hAnsi="Arial"/>
                <w:sz w:val="14"/>
                <w:szCs w:val="14"/>
                <w:color w:val="auto"/>
              </w:rPr>
              <w:t>Company-owned</w:t>
            </w:r>
          </w:p>
        </w:tc>
        <w:tc>
          <w:tcPr>
            <w:tcW w:w="1800" w:type="dxa"/>
            <w:vAlign w:val="bottom"/>
            <w:gridSpan w:val="2"/>
          </w:tcPr>
          <w:p>
            <w:pPr>
              <w:ind w:left="240"/>
              <w:spacing w:after="0"/>
              <w:rPr>
                <w:sz w:val="20"/>
                <w:szCs w:val="20"/>
                <w:color w:val="auto"/>
              </w:rPr>
            </w:pPr>
            <w:r>
              <w:rPr>
                <w:rFonts w:ascii="Arial" w:cs="Arial" w:eastAsia="Arial" w:hAnsi="Arial"/>
                <w:sz w:val="14"/>
                <w:szCs w:val="14"/>
                <w:color w:val="auto"/>
              </w:rPr>
              <w:t>Franchise-owned</w:t>
            </w:r>
          </w:p>
        </w:tc>
        <w:tc>
          <w:tcPr>
            <w:tcW w:w="1060" w:type="dxa"/>
            <w:vAlign w:val="bottom"/>
          </w:tcPr>
          <w:p>
            <w:pPr>
              <w:jc w:val="right"/>
              <w:ind w:right="309"/>
              <w:spacing w:after="0"/>
              <w:rPr>
                <w:sz w:val="20"/>
                <w:szCs w:val="20"/>
                <w:color w:val="auto"/>
              </w:rPr>
            </w:pPr>
            <w:r>
              <w:rPr>
                <w:rFonts w:ascii="Arial" w:cs="Arial" w:eastAsia="Arial" w:hAnsi="Arial"/>
                <w:sz w:val="14"/>
                <w:szCs w:val="14"/>
                <w:color w:val="auto"/>
              </w:rPr>
              <w:t>Total</w:t>
            </w:r>
          </w:p>
        </w:tc>
      </w:tr>
      <w:tr>
        <w:trPr>
          <w:trHeight w:val="171"/>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3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Arizona</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Arkansas</w:t>
            </w: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Colorado</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Florida</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Illinois</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Indiana</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Kansas</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Kentucky</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Louisiana</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Michigan</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Mississippi</w:t>
            </w: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Missouri</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Nebraska</w:t>
            </w: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Ohio</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Tennessee</w:t>
            </w:r>
          </w:p>
        </w:tc>
        <w:tc>
          <w:tcPr>
            <w:tcW w:w="4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Texas</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w:t>
            </w: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Virginia</w:t>
            </w:r>
          </w:p>
        </w:tc>
        <w:tc>
          <w:tcPr>
            <w:tcW w:w="484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1"/>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Virginia</w:t>
            </w:r>
          </w:p>
        </w:tc>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Wisconsin</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r>
      <w:tr>
        <w:trPr>
          <w:trHeight w:val="604"/>
        </w:trPr>
        <w:tc>
          <w:tcPr>
            <w:tcW w:w="3220" w:type="dxa"/>
            <w:vAlign w:val="bottom"/>
          </w:tcPr>
          <w:p>
            <w:pPr>
              <w:spacing w:after="0"/>
              <w:rPr>
                <w:sz w:val="24"/>
                <w:szCs w:val="24"/>
                <w:color w:val="auto"/>
              </w:rPr>
            </w:pPr>
          </w:p>
        </w:tc>
        <w:tc>
          <w:tcPr>
            <w:tcW w:w="3120" w:type="dxa"/>
            <w:vAlign w:val="bottom"/>
          </w:tcPr>
          <w:p>
            <w:pPr>
              <w:jc w:val="right"/>
              <w:ind w:right="549"/>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traded on Nasdaq under the symbol “FWRG.”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21, 2022, there were 35 shareholders of record of our common stock. The number of record holders does not include persons who held shares of our common stock in nominee or “street name" accounts through brokers.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do not currently intend to pay cash dividends on our common stock in the foreseeable future. However, in the future, subject to the factors described below and our future liquidity and capitalization, we may change this policy and choose to pay dividends. Additionally, our ability to pay dividends is currently restricted by the terms of our New Credit Agreement.</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 Any future determination to pay dividends will be at the discretion of our Board and will take into account: (i) restrictions in our debt instruments, including our New Credit Agreement; (ii) general economic business conditions; (iii) our earnings, financial condition, and results of operations; (iv) our capital requirements; (v) our prospects; (vi) legal restrictions; and (vii) such other factors as our Board may deem relevant.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Cumulative Stock Performance Graph</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following graph compares the cumulative annual stockholders return on our common stock from October 1, 2021, the date our common stock began trading on Nasdaq, through December 26, 2021, to that of the total return index for the Nasdaq Composite Index and the S&amp;P Restaurants Index assuming an investment of $100 on October 1, 2021. The graph uses the closing market price on October 1, 2021 of $22.13 per share as the initial value of our common stock. In calculating total annual stockholder return, reinvestment of dividends, if any, is assumed. The indices are included for comparative purposes only. They do not necessarily reflect management’s opinion that such indices are an appropriate measure of the relative performance of our common stock. The values shown are neither indicative nor determinative of future performance. Information used in the graph and table was obtained from Zacks Investment Research, a source believed to be reliable, but we are not responsible for any errors or omissions in such information. 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4608195" cy="2439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08195"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2"/>
          </w:tcPr>
          <w:p>
            <w:pPr>
              <w:ind w:left="340"/>
              <w:spacing w:after="0"/>
              <w:rPr>
                <w:sz w:val="20"/>
                <w:szCs w:val="20"/>
                <w:color w:val="auto"/>
              </w:rPr>
            </w:pPr>
            <w:r>
              <w:rPr>
                <w:rFonts w:ascii="Arial" w:cs="Arial" w:eastAsia="Arial" w:hAnsi="Arial"/>
                <w:sz w:val="13"/>
                <w:szCs w:val="13"/>
                <w:color w:val="auto"/>
              </w:rPr>
              <w:t>October 1, 2021</w:t>
            </w:r>
          </w:p>
        </w:tc>
        <w:tc>
          <w:tcPr>
            <w:tcW w:w="560" w:type="dxa"/>
            <w:vAlign w:val="bottom"/>
          </w:tcPr>
          <w:p>
            <w:pPr>
              <w:spacing w:after="0"/>
              <w:rPr>
                <w:sz w:val="15"/>
                <w:szCs w:val="15"/>
                <w:color w:val="auto"/>
              </w:rPr>
            </w:pPr>
          </w:p>
        </w:tc>
        <w:tc>
          <w:tcPr>
            <w:tcW w:w="2660" w:type="dxa"/>
            <w:vAlign w:val="bottom"/>
          </w:tcPr>
          <w:p>
            <w:pPr>
              <w:jc w:val="right"/>
              <w:ind w:right="992"/>
              <w:spacing w:after="0"/>
              <w:rPr>
                <w:sz w:val="20"/>
                <w:szCs w:val="20"/>
                <w:color w:val="auto"/>
              </w:rPr>
            </w:pPr>
            <w:r>
              <w:rPr>
                <w:rFonts w:ascii="Arial" w:cs="Arial" w:eastAsia="Arial" w:hAnsi="Arial"/>
                <w:sz w:val="14"/>
                <w:szCs w:val="14"/>
                <w:color w:val="auto"/>
              </w:rPr>
              <w:t>December 26, 2021</w:t>
            </w:r>
          </w:p>
        </w:tc>
      </w:tr>
      <w:tr>
        <w:trPr>
          <w:trHeight w:val="161"/>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First Watch Restaurant Group, Inc.</w:t>
            </w:r>
          </w:p>
        </w:tc>
        <w:tc>
          <w:tcPr>
            <w:tcW w:w="42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72.16</w:t>
            </w:r>
          </w:p>
        </w:tc>
      </w:tr>
      <w:tr>
        <w:trPr>
          <w:trHeight w:val="170"/>
        </w:trPr>
        <w:tc>
          <w:tcPr>
            <w:tcW w:w="5560" w:type="dxa"/>
            <w:vAlign w:val="bottom"/>
          </w:tcPr>
          <w:p>
            <w:pPr>
              <w:ind w:left="20"/>
              <w:spacing w:after="0"/>
              <w:rPr>
                <w:sz w:val="20"/>
                <w:szCs w:val="20"/>
                <w:color w:val="auto"/>
              </w:rPr>
            </w:pPr>
            <w:r>
              <w:rPr>
                <w:rFonts w:ascii="Arial" w:cs="Arial" w:eastAsia="Arial" w:hAnsi="Arial"/>
                <w:sz w:val="13"/>
                <w:szCs w:val="13"/>
                <w:color w:val="auto"/>
              </w:rPr>
              <w:t>Nasdaq Composite Index</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2660" w:type="dxa"/>
            <w:vAlign w:val="bottom"/>
          </w:tcPr>
          <w:p>
            <w:pPr>
              <w:jc w:val="right"/>
              <w:spacing w:after="0"/>
              <w:rPr>
                <w:sz w:val="20"/>
                <w:szCs w:val="20"/>
                <w:color w:val="auto"/>
              </w:rPr>
            </w:pPr>
            <w:r>
              <w:rPr>
                <w:rFonts w:ascii="Arial" w:cs="Arial" w:eastAsia="Arial" w:hAnsi="Arial"/>
                <w:sz w:val="13"/>
                <w:szCs w:val="13"/>
                <w:color w:val="auto"/>
              </w:rPr>
              <w:t>107.62</w:t>
            </w:r>
          </w:p>
        </w:tc>
      </w:tr>
      <w:tr>
        <w:trPr>
          <w:trHeight w:val="17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S&amp;P Restaurants Index</w:t>
            </w: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84.95</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93" w:lineRule="exact"/>
        <w:rPr>
          <w:sz w:val="20"/>
          <w:szCs w:val="20"/>
          <w:color w:val="auto"/>
        </w:rPr>
      </w:pPr>
    </w:p>
    <w:p>
      <w:pPr>
        <w:jc w:val="both"/>
        <w:spacing w:after="0" w:line="241" w:lineRule="auto"/>
        <w:rPr>
          <w:sz w:val="20"/>
          <w:szCs w:val="20"/>
          <w:color w:val="auto"/>
        </w:rPr>
      </w:pPr>
      <w:r>
        <w:rPr>
          <w:rFonts w:ascii="Arial" w:cs="Arial" w:eastAsia="Arial" w:hAnsi="Arial"/>
          <w:sz w:val="14"/>
          <w:szCs w:val="14"/>
          <w:i w:val="1"/>
          <w:iCs w:val="1"/>
          <w:color w:val="auto"/>
        </w:rPr>
        <w:t>This section and other parts of this Annual Report on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industry outlook, our expectations for the future of our business and our liquidity and capital resources as well as other non-historical statements.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Our actual results may differ materially from those contained in or implied by these forward-looking statements.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i w:val="1"/>
          <w:iCs w:val="1"/>
          <w:color w:val="auto"/>
        </w:rPr>
        <w:t>These statements are based on current expectations and are subject to numerous risks and uncertainties. All forward-looking statements are expressly qualified in their entirety by these cautionary statements. You should evaluate all forward-looking statements made in this Annual Report on Form 10-K in the context of the risks and uncertainties disclosed in Part I, Item 1A of this Annual Report on Form 10-K under the heading “Risk Factors” and in this Item 7 “Management</w:t>
      </w:r>
      <w:r>
        <w:rPr>
          <w:rFonts w:ascii="Arial" w:cs="Arial" w:eastAsia="Arial" w:hAnsi="Arial"/>
          <w:sz w:val="13"/>
          <w:szCs w:val="13"/>
          <w:color w:val="auto"/>
        </w:rPr>
        <w:t>’</w:t>
      </w:r>
      <w:r>
        <w:rPr>
          <w:rFonts w:ascii="Arial" w:cs="Arial" w:eastAsia="Arial" w:hAnsi="Arial"/>
          <w:sz w:val="13"/>
          <w:szCs w:val="13"/>
          <w:i w:val="1"/>
          <w:iCs w:val="1"/>
          <w:color w:val="auto"/>
        </w:rPr>
        <w:t>s Discussion and Analysis of Financial Condition and Results of Operations.”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The forward-looking statements included in this Annual Report on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lunch and brunch. In 2021, First Watch was recognized as FSR Magazine’s Best Menu and as the fastest-growing full-service restaurant company based on unit growth. The Company is majority owned by Advent, one of the world’s largest private-equity firms.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Company does not operate outside of the United States. The Company operates and franchises restaurants in 28 states under the “First Watch” trade name and as of December 26, 2021, the Company had 341 company-owned restaurants and 94 franchise-owned restaurants. On October 1, 2021, the Company’s common stock began trading on Nasdaq under the ticker symbol “FWRG.”</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use a 52- or 53-week fiscal year ending on the last Sunday of each calendar year. Our fiscal quarters are comprised of 13 weeks each, except for fiscal years consisting of 53 weeks for which the fourth quarter will consist of 14 weeks, and end on the 13th Sunday of each quarter (14th Sunday of the fourth quarter, when applicable). All references to 2021, 2020, and 2019 reflect the results of the 52-week fiscal years ended December 26, 2021, December 27, 2020 and December 29, 2019, respectively. We report financial and operating information in one segment.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Performance Indicators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New Restaurant Openings </w:t>
      </w:r>
      <w:r>
        <w:rPr>
          <w:rFonts w:ascii="Arial" w:cs="Arial" w:eastAsia="Arial" w:hAnsi="Arial"/>
          <w:sz w:val="14"/>
          <w:szCs w:val="14"/>
          <w:color w:val="auto"/>
        </w:rPr>
        <w:t>(“NROs”): the number of new company-owned First Watch restaurants commencing operations during the period. Management reviews the number of new restaurants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assess new restaurant growth and company-owned restaurant sales.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Franchise-owned New Restaurant Openings </w:t>
      </w:r>
      <w:r>
        <w:rPr>
          <w:rFonts w:ascii="Arial" w:cs="Arial" w:eastAsia="Arial" w:hAnsi="Arial"/>
          <w:sz w:val="14"/>
          <w:szCs w:val="14"/>
          <w:color w:val="auto"/>
        </w:rPr>
        <w:t>(“Franchise-owned NROs”): the number of new franchise-owned First Watch restaurants commencing operations during the period.</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Same-Restaurant Sales Growth</w:t>
      </w:r>
      <w:r>
        <w:rPr>
          <w:rFonts w:ascii="Arial" w:cs="Arial" w:eastAsia="Arial" w:hAnsi="Arial"/>
          <w:sz w:val="14"/>
          <w:szCs w:val="14"/>
          <w:color w:val="auto"/>
        </w:rPr>
        <w:t>: the percentage change in year-over-year restaurant sales (excluding gift card breakage) for the comparable restaurant base, which we define as the number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company-owned First Watch branded restaurants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open for 18 months or longer as of the beginning of the fiscal year (“Comparable Restaurant Base”). For the fiscal years ended December 26, 2021, December 27, 2020 and December 29, 2019 there were 269, 212 and 168 restaurants in our Comparable Restaurant Base, respectively. There were 210 restaurants in the two-year Comparable Restaurant Base. An increase in same-restaurant sales growth is the result of increased restaurant traffic, increased average customer check or a combination of the two. We gather daily sales data and regularly analyze the customer traffic counts and the mix of menu items sold to aid in developing menu pricing, product offerings and promotional strategies designed to produce sustainable same-restaurant sales growth.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Same-Restaurant Traffic Growth</w:t>
      </w:r>
      <w:r>
        <w:rPr>
          <w:rFonts w:ascii="Arial" w:cs="Arial" w:eastAsia="Arial" w:hAnsi="Arial"/>
          <w:sz w:val="14"/>
          <w:szCs w:val="14"/>
          <w:color w:val="auto"/>
        </w:rPr>
        <w:t>: the percentage change in traffic counts as compared to the same period in the prior year using the Comparable Restaurant Base. Measuring our same-restaurant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16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 xml:space="preserve">Average Unit Volume </w:t>
      </w:r>
      <w:r>
        <w:rPr>
          <w:rFonts w:ascii="Arial" w:cs="Arial" w:eastAsia="Arial" w:hAnsi="Arial"/>
          <w:sz w:val="12"/>
          <w:szCs w:val="12"/>
          <w:color w:val="auto"/>
        </w:rPr>
        <w:t>(“AUV”): the total restaurant sales (excluding gift card breakage) recognized in the Comparable Restaurant Base, divided by the number of restaurants in the Comparable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Restaurant Base during the period. This measurement allows management to assess changes in consumer spending patterns at our restaurants and the overall performance of our restaurant base.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System-wide restaurants</w:t>
      </w:r>
      <w:r>
        <w:rPr>
          <w:rFonts w:ascii="Arial" w:cs="Arial" w:eastAsia="Arial" w:hAnsi="Arial"/>
          <w:sz w:val="14"/>
          <w:szCs w:val="14"/>
          <w:color w:val="auto"/>
        </w:rPr>
        <w:t>: the total number of restaurants, including all company-owned and franchise-owned restaurants.</w:t>
      </w:r>
    </w:p>
    <w:p>
      <w:pPr>
        <w:spacing w:after="0" w:line="200" w:lineRule="exact"/>
        <w:rPr>
          <w:sz w:val="20"/>
          <w:szCs w:val="20"/>
          <w:color w:val="auto"/>
        </w:rPr>
      </w:pPr>
    </w:p>
    <w:p>
      <w:pPr>
        <w:ind w:right="120"/>
        <w:spacing w:after="0" w:line="368" w:lineRule="auto"/>
        <w:rPr>
          <w:sz w:val="20"/>
          <w:szCs w:val="20"/>
          <w:color w:val="auto"/>
        </w:rPr>
      </w:pPr>
      <w:r>
        <w:rPr>
          <w:rFonts w:ascii="Arial" w:cs="Arial" w:eastAsia="Arial" w:hAnsi="Arial"/>
          <w:sz w:val="12"/>
          <w:szCs w:val="12"/>
          <w:b w:val="1"/>
          <w:bCs w:val="1"/>
          <w:i w:val="1"/>
          <w:iCs w:val="1"/>
          <w:color w:val="auto"/>
        </w:rPr>
        <w:t>System-wide sales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consists of restaurant sales from our company-owned restaurants and franchise-owned restaurants. We do not recognize the restaurant sales from our franchise-owned restaurants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as revenue. See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in the accompanying notes to the consolidated financial statements for a description of our revenue recognition policy.</w:t>
      </w:r>
    </w:p>
    <w:p>
      <w:pPr>
        <w:spacing w:after="0" w:line="10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Adjusted EBITDA</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represents Net income (loss) before depreciation and amortization, interest expense and income taxes, and items that we do not consider in our evaluation of ongoing core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operating performance as identified in the reconciliation of Net income (loss), the most directly comparable measure in accordance with accounting principles generally accepted in the United States of America (“GAAP”) measure, to Adjusted EBITDA, included in the section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herein</w:t>
      </w:r>
      <w:r>
        <w:rPr>
          <w:rFonts w:ascii="Arial" w:cs="Arial" w:eastAsia="Arial" w:hAnsi="Arial"/>
          <w:sz w:val="14"/>
          <w:szCs w:val="14"/>
          <w:i w:val="1"/>
          <w:i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Margin</w:t>
      </w:r>
      <w:r>
        <w:rPr>
          <w:rFonts w:ascii="Arial" w:cs="Arial" w:eastAsia="Arial" w:hAnsi="Arial"/>
          <w:sz w:val="14"/>
          <w:szCs w:val="14"/>
          <w:color w:val="auto"/>
        </w:rPr>
        <w:t>: represents Adjusted EBITDA as a percentage of total revenues.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Restaurant Level Operating Profit</w:t>
      </w:r>
      <w:r>
        <w:rPr>
          <w:rFonts w:ascii="Arial" w:cs="Arial" w:eastAsia="Arial" w:hAnsi="Arial"/>
          <w:sz w:val="14"/>
          <w:szCs w:val="14"/>
          <w:color w:val="auto"/>
        </w:rPr>
        <w:t>: represents restaurant sales, less restaurant operating expenses, which include food and beverage costs, labor and other related expenses, other restaurant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(Loss) from operations, the most directly comparable GAAP measure, to Restaurant level operating profit, included in the section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herein.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Restaurant Level Operating Profit Margin: </w:t>
      </w:r>
      <w:r>
        <w:rPr>
          <w:rFonts w:ascii="Arial" w:cs="Arial" w:eastAsia="Arial" w:hAnsi="Arial"/>
          <w:sz w:val="14"/>
          <w:szCs w:val="14"/>
          <w:color w:val="auto"/>
        </w:rPr>
        <w:t>represents Restaurant level operating profit as a percentage of restaurant sales.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Highlights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During 2021, we experienced recovery of our in-restaurant dining sales and continued to build on the strength of our operating performance generating an increase in same-restaurant sales growth driven primarily by same-restaurant traffic growth.</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Financial highlights for 2021 include the following:</w:t>
      </w:r>
    </w:p>
    <w:p>
      <w:pPr>
        <w:spacing w:after="0" w:line="200"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revenues grew to $601.2 million in 2021 from $342.4 million in 2020 ($436.4 million in 2019)</w:t>
      </w:r>
    </w:p>
    <w:p>
      <w:pPr>
        <w:spacing w:after="0" w:line="19"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System-wide sales increased 76.1% to $750.7 million in 2021 from $426.3 million in 2020 ($558.4 million in 2019)</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Same-restaurant sales growth of 63.0% relative to 2020 (14.3% relative to 2019)</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Same-restaurant traffic growth of 52.6% relative to 2020 ((0.5)% relative to 2019)</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Income from operations margin of 3.8% in 2021 compared to Loss from operations margin of (14.0)% in 2020 (Loss from operations margin of (8.7)% in 2019)</w:t>
      </w:r>
    </w:p>
    <w:p>
      <w:pPr>
        <w:spacing w:after="0" w:line="8" w:lineRule="exact"/>
        <w:rPr>
          <w:rFonts w:ascii="Arial" w:cs="Arial" w:eastAsia="Arial" w:hAnsi="Arial"/>
          <w:sz w:val="14"/>
          <w:szCs w:val="14"/>
          <w:color w:val="auto"/>
        </w:rPr>
      </w:pPr>
    </w:p>
    <w:p>
      <w:pPr>
        <w:ind w:left="260" w:hanging="255"/>
        <w:spacing w:after="0" w:line="198"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Restaurant level operating profit margin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increased to 19.5% in 2021 from 8.4% in 2020 (17.4% in 2019)</w:t>
      </w: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loss improved to $(2.1) million in 2021 compared to $(49.7) million in 2020 ($(45.5) million in 2019)</w:t>
      </w:r>
    </w:p>
    <w:p>
      <w:pPr>
        <w:spacing w:after="0" w:line="7" w:lineRule="exact"/>
        <w:rPr>
          <w:rFonts w:ascii="Arial" w:cs="Arial" w:eastAsia="Arial" w:hAnsi="Arial"/>
          <w:sz w:val="14"/>
          <w:szCs w:val="14"/>
          <w:color w:val="auto"/>
        </w:rPr>
      </w:pPr>
    </w:p>
    <w:p>
      <w:pPr>
        <w:ind w:left="260" w:hanging="255"/>
        <w:spacing w:after="0" w:line="198"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increased to $66.3 million in 2021 from $(5.7) million in 2020 ($38.1 million in 2019)</w:t>
      </w: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Opened 31 system-wide restaurants in 2021, resulting in a year-end count of 435 system-wide restaurants (341 company-owned and 94 franchise-owned) across 28 states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8" w:lineRule="exact"/>
        <w:rPr>
          <w:sz w:val="20"/>
          <w:szCs w:val="20"/>
          <w:color w:val="auto"/>
        </w:rPr>
      </w:pPr>
    </w:p>
    <w:p>
      <w:pPr>
        <w:ind w:left="80" w:hanging="75"/>
        <w:spacing w:after="0"/>
        <w:tabs>
          <w:tab w:leader="none" w:pos="80" w:val="left"/>
        </w:tabs>
        <w:numPr>
          <w:ilvl w:val="0"/>
          <w:numId w:val="25"/>
        </w:numPr>
        <w:rPr>
          <w:rFonts w:ascii="Arial" w:cs="Arial" w:eastAsia="Arial" w:hAnsi="Arial"/>
          <w:sz w:val="12"/>
          <w:szCs w:val="12"/>
          <w:i w:val="1"/>
          <w:iCs w:val="1"/>
          <w:color w:val="auto"/>
        </w:rPr>
      </w:pPr>
      <w:r>
        <w:rPr>
          <w:rFonts w:ascii="Arial" w:cs="Arial" w:eastAsia="Arial" w:hAnsi="Arial"/>
          <w:sz w:val="12"/>
          <w:szCs w:val="12"/>
          <w:color w:val="auto"/>
        </w:rPr>
        <w:t>See “</w:t>
      </w:r>
      <w:r>
        <w:rPr>
          <w:rFonts w:ascii="Arial" w:cs="Arial" w:eastAsia="Arial" w:hAnsi="Arial"/>
          <w:sz w:val="12"/>
          <w:szCs w:val="12"/>
          <w:i w:val="1"/>
          <w:iCs w:val="1"/>
          <w:color w:val="auto"/>
        </w:rPr>
        <w:t>Non-GAAP Financial Measures,</w:t>
      </w:r>
      <w:r>
        <w:rPr>
          <w:rFonts w:ascii="Arial" w:cs="Arial" w:eastAsia="Arial" w:hAnsi="Arial"/>
          <w:sz w:val="12"/>
          <w:szCs w:val="12"/>
          <w:color w:val="auto"/>
        </w:rPr>
        <w:t>” herein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and Supply Chain Developments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Total revenues in 2021 reflect the rapid pace at which customers returned to our restaurants. The year began with dining rooms that were approximately 62% utilized in January 2021, relative to 2019 levels. By the fourth quarter of 2021, our dining rooms were frequented by customers at a rate of nearly 90% of 2019 levels alongside increased off-premises sales. Furthermore, we generated average annual sales volumes of $1.8 million per restaurant as compared to $1.1 million in 2020 and $1.6 million in 2019. The result was same-restaurant sales growth of 63.0%, which was driven by same-restaurant traffic growth of 52.6%, Restaurant level operating profit of $115.4 million and Adjusted EBITDA of $66.3 million in 2021. During 2021, we also opened 31 new system-wide restaurants in 12 states.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uneven recovery of the nation’s supply chain has, at times, threatened to interrupt the scheduled deliveries to our restaurants and the costs of certain of our raw materials experienced inflation. The Company is working closely with our suppliers and distribution partners to secure inventory and ensure these conditions do not materially impact our operations. During 2021, as a result of these measures, we were successful in offering our full menu throughout the year. Additionally, the hourly labor market has become increasingly competitive. First Watch continues to see the strength of our “You First” culture and the great appeal of our single-shift operating hours for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Trends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First Watch’s operating model and distinctive menu offerings position the Company to capitalize on attractive long-term consumer trends, including:</w:t>
      </w:r>
    </w:p>
    <w:p>
      <w:pPr>
        <w:spacing w:after="0" w:line="189" w:lineRule="exact"/>
        <w:rPr>
          <w:sz w:val="20"/>
          <w:szCs w:val="20"/>
          <w:color w:val="auto"/>
        </w:rPr>
      </w:pPr>
    </w:p>
    <w:p>
      <w:pPr>
        <w:ind w:left="520" w:hanging="260"/>
        <w:spacing w:after="0" w:line="26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Increasing demand for fresh and healthy food – Our freshly made food, with high-quality, protein-rich ingredients, such as cage-free eggs and quinoa, aligns well with consumer trends towards healthier menus factoring into consumer restaurant choices.</w:t>
      </w:r>
    </w:p>
    <w:p>
      <w:pPr>
        <w:ind w:left="520" w:hanging="260"/>
        <w:spacing w:after="0" w:line="253"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rise of “on-demand” dining – The rise of the “gig” economy, flexible work hours and the growth of remote work, trends magnified by the COVID-19 pandemic, are enhancing demand for fast and flexible Daytime Dining for which traditional rigid breakfast and lunch dayparts were not designed.</w:t>
      </w:r>
    </w:p>
    <w:p>
      <w:pPr>
        <w:ind w:left="520" w:hanging="260"/>
        <w:spacing w:after="0" w:line="266"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Increasing morning meal occasions – We believe that migration from dense urban to suburban areas, where most of our restaurants are located, and continued work-from-home routines will provide enhanced opportunities for increased traffic and brand awareness.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Our restaurant operations have been affected by COVID-19 related employee absences, as well as changes in the availability and cost of labor. In addition, we remain in regular contact with our key suppliers and to date we have not experienced significant disruptions in our supply chain; however, inflationary pressures and temporary shortages in equipment and other goods could increase and/or spread to more categories as the impacts of COVID-19, the Russia-Ukraine conflict, global unrest, and other factors continue to impact the global supply chain. Looking forward to 2022, we believe benefits from pricing actions and operating leverage from revenue growth and technology initiatives should offset, to some extent, inflationary pressures and potential increased costs.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 Highlights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2021, the Company had a total of 31 new system-wide restaurants in 12 states. In addition, we relocated a company-owned restaurant and in the fourth quarter of 2021, we accelerated a planned closure of a company-owned restaurant which was nearing the end of the lease term. Furthermore, Management elected to terminate an agreement with a franchisee that owned three restaurants. At December 26, 2021, the Company had a total of 435 restaurants, which included both company-owned and franchise-owned restaurants.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FISCAL YEAR 2021</w:t>
            </w:r>
          </w:p>
        </w:tc>
        <w:tc>
          <w:tcPr>
            <w:tcW w:w="1920" w:type="dxa"/>
            <w:vAlign w:val="bottom"/>
            <w:tcBorders>
              <w:bottom w:val="single" w:sz="8" w:color="auto"/>
            </w:tcBorders>
          </w:tcPr>
          <w:p>
            <w:pPr>
              <w:spacing w:after="0"/>
              <w:rPr>
                <w:sz w:val="14"/>
                <w:szCs w:val="14"/>
                <w:color w:val="auto"/>
              </w:rPr>
            </w:pPr>
          </w:p>
        </w:tc>
      </w:tr>
      <w:tr>
        <w:trPr>
          <w:trHeight w:val="160"/>
        </w:trPr>
        <w:tc>
          <w:tcPr>
            <w:tcW w:w="5320" w:type="dxa"/>
            <w:vAlign w:val="bottom"/>
          </w:tcPr>
          <w:p>
            <w:pPr>
              <w:spacing w:after="0"/>
              <w:rPr>
                <w:sz w:val="13"/>
                <w:szCs w:val="13"/>
                <w:color w:val="auto"/>
              </w:rPr>
            </w:pPr>
          </w:p>
        </w:tc>
        <w:tc>
          <w:tcPr>
            <w:tcW w:w="1580" w:type="dxa"/>
            <w:vAlign w:val="bottom"/>
          </w:tcPr>
          <w:p>
            <w:pPr>
              <w:ind w:left="500"/>
              <w:spacing w:after="0"/>
              <w:rPr>
                <w:sz w:val="20"/>
                <w:szCs w:val="20"/>
                <w:color w:val="auto"/>
              </w:rPr>
            </w:pPr>
            <w:r>
              <w:rPr>
                <w:rFonts w:ascii="Arial" w:cs="Arial" w:eastAsia="Arial" w:hAnsi="Arial"/>
                <w:sz w:val="13"/>
                <w:szCs w:val="13"/>
                <w:b w:val="1"/>
                <w:bCs w:val="1"/>
                <w:color w:val="auto"/>
              </w:rPr>
              <w:t>Company-owned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Franchise-owned</w:t>
            </w:r>
          </w:p>
        </w:tc>
        <w:tc>
          <w:tcPr>
            <w:tcW w:w="1920" w:type="dxa"/>
            <w:vAlign w:val="bottom"/>
          </w:tcPr>
          <w:p>
            <w:pPr>
              <w:jc w:val="right"/>
              <w:ind w:right="756"/>
              <w:spacing w:after="0"/>
              <w:rPr>
                <w:sz w:val="20"/>
                <w:szCs w:val="20"/>
                <w:color w:val="auto"/>
              </w:rPr>
            </w:pPr>
            <w:r>
              <w:rPr>
                <w:rFonts w:ascii="Arial" w:cs="Arial" w:eastAsia="Arial" w:hAnsi="Arial"/>
                <w:sz w:val="13"/>
                <w:szCs w:val="13"/>
                <w:b w:val="1"/>
                <w:bCs w:val="1"/>
                <w:color w:val="auto"/>
              </w:rPr>
              <w:t>Total</w:t>
            </w:r>
          </w:p>
        </w:tc>
      </w:tr>
      <w:tr>
        <w:trPr>
          <w:trHeight w:val="163"/>
        </w:trPr>
        <w:tc>
          <w:tcPr>
            <w:tcW w:w="53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Beginning of period</w:t>
            </w:r>
          </w:p>
        </w:tc>
        <w:tc>
          <w:tcPr>
            <w:tcW w:w="1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168"/>
        </w:trPr>
        <w:tc>
          <w:tcPr>
            <w:tcW w:w="6900" w:type="dxa"/>
            <w:vAlign w:val="bottom"/>
            <w:gridSpan w:val="2"/>
          </w:tcPr>
          <w:p>
            <w:pPr>
              <w:ind w:left="20"/>
              <w:spacing w:after="0"/>
              <w:rPr>
                <w:sz w:val="20"/>
                <w:szCs w:val="20"/>
                <w:color w:val="auto"/>
              </w:rPr>
            </w:pPr>
            <w:r>
              <w:rPr>
                <w:rFonts w:ascii="Arial" w:cs="Arial" w:eastAsia="Arial" w:hAnsi="Arial"/>
                <w:sz w:val="13"/>
                <w:szCs w:val="13"/>
                <w:color w:val="auto"/>
              </w:rPr>
              <w:t>New restaurants</w:t>
            </w:r>
          </w:p>
        </w:tc>
        <w:tc>
          <w:tcPr>
            <w:tcW w:w="3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2"/>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Relocations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8"/>
        </w:trPr>
        <w:tc>
          <w:tcPr>
            <w:tcW w:w="6900" w:type="dxa"/>
            <w:vAlign w:val="bottom"/>
            <w:gridSpan w:val="2"/>
          </w:tcPr>
          <w:p>
            <w:pPr>
              <w:ind w:left="20"/>
              <w:spacing w:after="0"/>
              <w:rPr>
                <w:sz w:val="20"/>
                <w:szCs w:val="20"/>
                <w:color w:val="auto"/>
              </w:rPr>
            </w:pPr>
            <w:r>
              <w:rPr>
                <w:rFonts w:ascii="Arial" w:cs="Arial" w:eastAsia="Arial" w:hAnsi="Arial"/>
                <w:sz w:val="13"/>
                <w:szCs w:val="13"/>
                <w:color w:val="auto"/>
              </w:rPr>
              <w:t>Closures/Disenfranchised</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85"/>
        </w:trPr>
        <w:tc>
          <w:tcPr>
            <w:tcW w:w="53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End of period</w:t>
            </w:r>
          </w:p>
        </w:tc>
        <w:tc>
          <w:tcPr>
            <w:tcW w:w="15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We expect to open 30 to 35 company-owned restaurants and 8 to 13 franchise-owned restaurants during the fiscal year ending December 25, 2022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The discussion that follows includes a comparison of our results of operations and liquidity and capital resources for 2021 and 2020. For a comparison of our results of operations and financial condition for 2020 and 2019, see “Management’s Discussion and Analysis of Financial Condition and Results of Operations” in our final prospectus for our IPO filed on September 30, 2021.</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results of operations and the percentages of items in our Consolidated Statements of Operations and Comprehensive Loss in relation to Total revenues or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Restaurant sales for 2021 and 2020:</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FISCAL YEAR</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3"/>
        </w:trPr>
        <w:tc>
          <w:tcPr>
            <w:tcW w:w="684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4"/>
                <w:szCs w:val="14"/>
                <w:color w:val="auto"/>
              </w:rPr>
            </w:pPr>
          </w:p>
        </w:tc>
      </w:tr>
      <w:tr>
        <w:trPr>
          <w:trHeight w:val="152"/>
        </w:trPr>
        <w:tc>
          <w:tcPr>
            <w:tcW w:w="6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Revenues</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Arial" w:cs="Arial" w:eastAsia="Arial" w:hAnsi="Arial"/>
                <w:sz w:val="13"/>
                <w:szCs w:val="13"/>
                <w:color w:val="auto"/>
              </w:rPr>
              <w:t>Restaurant sales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592,343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98.5 %</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337,433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98.6 %</w:t>
            </w:r>
          </w:p>
        </w:tc>
      </w:tr>
      <w:tr>
        <w:trPr>
          <w:trHeight w:val="172"/>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Franchise revenues</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158"/>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revenues</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601,193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342,388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r>
      <w:tr>
        <w:trPr>
          <w:trHeight w:val="152"/>
        </w:trPr>
        <w:tc>
          <w:tcPr>
            <w:tcW w:w="6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Operating costs and expenses</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0"/>
        </w:trPr>
        <w:tc>
          <w:tcPr>
            <w:tcW w:w="6840" w:type="dxa"/>
            <w:vAlign w:val="bottom"/>
          </w:tcPr>
          <w:p>
            <w:pPr>
              <w:spacing w:after="0" w:line="170" w:lineRule="exact"/>
              <w:rPr>
                <w:sz w:val="20"/>
                <w:szCs w:val="20"/>
                <w:color w:val="auto"/>
              </w:rPr>
            </w:pPr>
            <w:r>
              <w:rPr>
                <w:rFonts w:ascii="Arial" w:cs="Arial" w:eastAsia="Arial" w:hAnsi="Arial"/>
                <w:sz w:val="13"/>
                <w:szCs w:val="13"/>
                <w:color w:val="auto"/>
              </w:rPr>
              <w:t>Restaurant operating expenses</w:t>
            </w:r>
            <w:r>
              <w:rPr>
                <w:rFonts w:ascii="Arial" w:cs="Arial" w:eastAsia="Arial" w:hAnsi="Arial"/>
                <w:sz w:val="16"/>
                <w:szCs w:val="16"/>
                <w:b w:val="1"/>
                <w:bCs w:val="1"/>
                <w:color w:val="auto"/>
                <w:vertAlign w:val="superscript"/>
              </w:rPr>
              <w:t>(1)</w:t>
            </w:r>
            <w:r>
              <w:rPr>
                <w:rFonts w:ascii="Arial" w:cs="Arial" w:eastAsia="Arial" w:hAnsi="Arial"/>
                <w:sz w:val="13"/>
                <w:szCs w:val="13"/>
                <w:color w:val="auto"/>
              </w:rPr>
              <w:t xml:space="preserve"> (exclusive of depreciation and amortization shown below):</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Food and beverage costs</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22.8 %</w:t>
            </w:r>
          </w:p>
        </w:tc>
      </w:tr>
      <w:tr>
        <w:trPr>
          <w:trHeight w:val="168"/>
        </w:trPr>
        <w:tc>
          <w:tcPr>
            <w:tcW w:w="6840" w:type="dxa"/>
            <w:vAlign w:val="bottom"/>
          </w:tcPr>
          <w:p>
            <w:pPr>
              <w:ind w:left="260"/>
              <w:spacing w:after="0"/>
              <w:rPr>
                <w:sz w:val="20"/>
                <w:szCs w:val="20"/>
                <w:color w:val="auto"/>
              </w:rPr>
            </w:pPr>
            <w:r>
              <w:rPr>
                <w:rFonts w:ascii="Arial" w:cs="Arial" w:eastAsia="Arial" w:hAnsi="Arial"/>
                <w:sz w:val="13"/>
                <w:szCs w:val="13"/>
                <w:color w:val="auto"/>
              </w:rPr>
              <w:t>Labor and other related expenses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189,167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31.9 %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120,380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35.7 %</w:t>
            </w:r>
          </w:p>
        </w:tc>
      </w:tr>
      <w:tr>
        <w:trPr>
          <w:trHeight w:val="172"/>
        </w:trPr>
        <w:tc>
          <w:tcPr>
            <w:tcW w:w="6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restaurant operating expenses</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94,847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18.3 %</w:t>
            </w:r>
          </w:p>
        </w:tc>
      </w:tr>
      <w:tr>
        <w:trPr>
          <w:trHeight w:val="168"/>
        </w:trPr>
        <w:tc>
          <w:tcPr>
            <w:tcW w:w="6840" w:type="dxa"/>
            <w:vAlign w:val="bottom"/>
          </w:tcPr>
          <w:p>
            <w:pPr>
              <w:ind w:left="260"/>
              <w:spacing w:after="0"/>
              <w:rPr>
                <w:sz w:val="20"/>
                <w:szCs w:val="20"/>
                <w:color w:val="auto"/>
              </w:rPr>
            </w:pPr>
            <w:r>
              <w:rPr>
                <w:rFonts w:ascii="Arial" w:cs="Arial" w:eastAsia="Arial" w:hAnsi="Arial"/>
                <w:sz w:val="13"/>
                <w:szCs w:val="13"/>
                <w:color w:val="auto"/>
              </w:rPr>
              <w:t>Occupancy expenses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55,433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49,450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14.7 %</w:t>
            </w:r>
          </w:p>
        </w:tc>
      </w:tr>
      <w:tr>
        <w:trPr>
          <w:trHeight w:val="172"/>
        </w:trPr>
        <w:tc>
          <w:tcPr>
            <w:tcW w:w="6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Pre-opening expenses</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68"/>
        </w:trPr>
        <w:tc>
          <w:tcPr>
            <w:tcW w:w="684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70,388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46,322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13.5 %</w:t>
            </w:r>
          </w:p>
        </w:tc>
      </w:tr>
      <w:tr>
        <w:trPr>
          <w:trHeight w:val="172"/>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r>
      <w:tr>
        <w:trPr>
          <w:trHeight w:val="168"/>
        </w:trPr>
        <w:tc>
          <w:tcPr>
            <w:tcW w:w="6840" w:type="dxa"/>
            <w:vAlign w:val="bottom"/>
          </w:tcPr>
          <w:p>
            <w:pPr>
              <w:spacing w:after="0"/>
              <w:rPr>
                <w:sz w:val="20"/>
                <w:szCs w:val="20"/>
                <w:color w:val="auto"/>
              </w:rPr>
            </w:pPr>
            <w:r>
              <w:rPr>
                <w:rFonts w:ascii="Arial" w:cs="Arial" w:eastAsia="Arial" w:hAnsi="Arial"/>
                <w:sz w:val="13"/>
                <w:szCs w:val="13"/>
                <w:color w:val="auto"/>
              </w:rPr>
              <w:t>Impairments and loss on disposal of assets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0.1 %</w:t>
            </w:r>
          </w:p>
        </w:tc>
      </w:tr>
      <w:tr>
        <w:trPr>
          <w:trHeight w:val="172"/>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Transaction income, net</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58"/>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operating costs and expenses</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578,950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96.3 %</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389,610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113.8 %</w:t>
            </w:r>
          </w:p>
        </w:tc>
      </w:tr>
      <w:tr>
        <w:trPr>
          <w:trHeight w:val="163"/>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(47,222)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68"/>
        </w:trPr>
        <w:tc>
          <w:tcPr>
            <w:tcW w:w="6840" w:type="dxa"/>
            <w:vAlign w:val="bottom"/>
          </w:tcPr>
          <w:p>
            <w:pPr>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(20,099)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(22,815)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72"/>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Other (expense) income, net</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r>
      <w:tr>
        <w:trPr>
          <w:trHeight w:val="158"/>
        </w:trPr>
        <w:tc>
          <w:tcPr>
            <w:tcW w:w="6840" w:type="dxa"/>
            <w:vAlign w:val="bottom"/>
          </w:tcPr>
          <w:p>
            <w:pPr>
              <w:ind w:left="180"/>
              <w:spacing w:after="0"/>
              <w:rPr>
                <w:sz w:val="20"/>
                <w:szCs w:val="20"/>
                <w:color w:val="auto"/>
              </w:rPr>
            </w:pPr>
            <w:r>
              <w:rPr>
                <w:rFonts w:ascii="Arial" w:cs="Arial" w:eastAsia="Arial" w:hAnsi="Arial"/>
                <w:sz w:val="13"/>
                <w:szCs w:val="13"/>
                <w:color w:val="auto"/>
              </w:rPr>
              <w:t>Income (Loss) before income taxes</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(69,554)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70"/>
        </w:trPr>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5.8 %</w:t>
            </w:r>
          </w:p>
        </w:tc>
      </w:tr>
      <w:tr>
        <w:trPr>
          <w:trHeight w:val="163"/>
        </w:trPr>
        <w:tc>
          <w:tcPr>
            <w:tcW w:w="6840" w:type="dxa"/>
            <w:vAlign w:val="bottom"/>
          </w:tcPr>
          <w:p>
            <w:pPr>
              <w:spacing w:after="0"/>
              <w:rPr>
                <w:sz w:val="20"/>
                <w:szCs w:val="20"/>
                <w:color w:val="auto"/>
              </w:rPr>
            </w:pPr>
            <w:r>
              <w:rPr>
                <w:rFonts w:ascii="Arial" w:cs="Arial" w:eastAsia="Arial" w:hAnsi="Arial"/>
                <w:sz w:val="13"/>
                <w:szCs w:val="13"/>
                <w:b w:val="1"/>
                <w:bCs w:val="1"/>
                <w:color w:val="auto"/>
              </w:rPr>
              <w:t>Net loss and total comprehensive loss</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(2,107)</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(49,681)</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(1) As a percentage of Restaurant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Operating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FISCAL YEAR</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60"/>
        </w:trPr>
        <w:tc>
          <w:tcPr>
            <w:tcW w:w="444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rPr>
              <w:t>2019</w:t>
            </w:r>
          </w:p>
        </w:tc>
      </w:tr>
      <w:tr>
        <w:trPr>
          <w:trHeight w:val="163"/>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System-wide sales (in thousands)</w:t>
            </w:r>
          </w:p>
        </w:tc>
        <w:tc>
          <w:tcPr>
            <w:tcW w:w="1440" w:type="dxa"/>
            <w:vAlign w:val="bottom"/>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750,674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426,303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558,397</w:t>
            </w:r>
          </w:p>
        </w:tc>
      </w:tr>
      <w:tr>
        <w:trPr>
          <w:trHeight w:val="168"/>
        </w:trPr>
        <w:tc>
          <w:tcPr>
            <w:tcW w:w="4440" w:type="dxa"/>
            <w:vAlign w:val="bottom"/>
          </w:tcPr>
          <w:p>
            <w:pPr>
              <w:ind w:left="20"/>
              <w:spacing w:after="0"/>
              <w:rPr>
                <w:sz w:val="20"/>
                <w:szCs w:val="20"/>
                <w:color w:val="auto"/>
              </w:rPr>
            </w:pPr>
            <w:r>
              <w:rPr>
                <w:rFonts w:ascii="Arial" w:cs="Arial" w:eastAsia="Arial" w:hAnsi="Arial"/>
                <w:sz w:val="13"/>
                <w:szCs w:val="13"/>
                <w:color w:val="auto"/>
              </w:rPr>
              <w:t>System-wide restaurants</w:t>
            </w:r>
          </w:p>
        </w:tc>
        <w:tc>
          <w:tcPr>
            <w:tcW w:w="144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ind w:right="96"/>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right"/>
              <w:ind w:right="96"/>
              <w:spacing w:after="0"/>
              <w:rPr>
                <w:sz w:val="20"/>
                <w:szCs w:val="20"/>
                <w:color w:val="auto"/>
              </w:rPr>
            </w:pPr>
            <w:r>
              <w:rPr>
                <w:rFonts w:ascii="Arial" w:cs="Arial" w:eastAsia="Arial" w:hAnsi="Arial"/>
                <w:sz w:val="13"/>
                <w:szCs w:val="13"/>
                <w:color w:val="auto"/>
              </w:rPr>
              <w:t>368</w:t>
            </w:r>
          </w:p>
        </w:tc>
      </w:tr>
      <w:tr>
        <w:trPr>
          <w:trHeight w:val="172"/>
        </w:trPr>
        <w:tc>
          <w:tcPr>
            <w:tcW w:w="44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Company-owned</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321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299</w:t>
            </w:r>
          </w:p>
        </w:tc>
      </w:tr>
      <w:tr>
        <w:trPr>
          <w:trHeight w:val="168"/>
        </w:trPr>
        <w:tc>
          <w:tcPr>
            <w:tcW w:w="4440" w:type="dxa"/>
            <w:vAlign w:val="bottom"/>
          </w:tcPr>
          <w:p>
            <w:pPr>
              <w:ind w:left="300"/>
              <w:spacing w:after="0"/>
              <w:rPr>
                <w:sz w:val="20"/>
                <w:szCs w:val="20"/>
                <w:color w:val="auto"/>
              </w:rPr>
            </w:pPr>
            <w:r>
              <w:rPr>
                <w:rFonts w:ascii="Arial" w:cs="Arial" w:eastAsia="Arial" w:hAnsi="Arial"/>
                <w:sz w:val="13"/>
                <w:szCs w:val="13"/>
                <w:color w:val="auto"/>
              </w:rPr>
              <w:t>Franchise-owned</w:t>
            </w:r>
          </w:p>
        </w:tc>
        <w:tc>
          <w:tcPr>
            <w:tcW w:w="144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ind w:right="96"/>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right"/>
              <w:ind w:right="96"/>
              <w:spacing w:after="0"/>
              <w:rPr>
                <w:sz w:val="20"/>
                <w:szCs w:val="20"/>
                <w:color w:val="auto"/>
              </w:rPr>
            </w:pPr>
            <w:r>
              <w:rPr>
                <w:rFonts w:ascii="Arial" w:cs="Arial" w:eastAsia="Arial" w:hAnsi="Arial"/>
                <w:sz w:val="13"/>
                <w:szCs w:val="13"/>
                <w:color w:val="auto"/>
              </w:rPr>
              <w:t>69</w:t>
            </w:r>
          </w:p>
        </w:tc>
      </w:tr>
      <w:tr>
        <w:trPr>
          <w:trHeight w:val="172"/>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Same-restaurant sales growth</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r>
      <w:tr>
        <w:trPr>
          <w:trHeight w:val="168"/>
        </w:trPr>
        <w:tc>
          <w:tcPr>
            <w:tcW w:w="4440" w:type="dxa"/>
            <w:vAlign w:val="bottom"/>
          </w:tcPr>
          <w:p>
            <w:pPr>
              <w:ind w:left="20"/>
              <w:spacing w:after="0"/>
              <w:rPr>
                <w:sz w:val="20"/>
                <w:szCs w:val="20"/>
                <w:color w:val="auto"/>
              </w:rPr>
            </w:pPr>
            <w:r>
              <w:rPr>
                <w:rFonts w:ascii="Arial" w:cs="Arial" w:eastAsia="Arial" w:hAnsi="Arial"/>
                <w:sz w:val="13"/>
                <w:szCs w:val="13"/>
                <w:color w:val="auto"/>
              </w:rPr>
              <w:t>Same-restaurant traffic growth</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52.6 %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1.6 %</w:t>
            </w:r>
          </w:p>
        </w:tc>
      </w:tr>
      <w:tr>
        <w:trPr>
          <w:trHeight w:val="172"/>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AUV (in thousands)</w:t>
            </w:r>
          </w:p>
        </w:tc>
        <w:tc>
          <w:tcPr>
            <w:tcW w:w="1440" w:type="dxa"/>
            <w:vAlign w:val="bottom"/>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1,119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1,594</w:t>
            </w:r>
          </w:p>
        </w:tc>
      </w:tr>
      <w:tr>
        <w:trPr>
          <w:trHeight w:val="168"/>
        </w:trPr>
        <w:tc>
          <w:tcPr>
            <w:tcW w:w="4440" w:type="dxa"/>
            <w:vAlign w:val="bottom"/>
          </w:tcPr>
          <w:p>
            <w:pPr>
              <w:ind w:left="20"/>
              <w:spacing w:after="0"/>
              <w:rPr>
                <w:sz w:val="20"/>
                <w:szCs w:val="20"/>
                <w:color w:val="auto"/>
              </w:rPr>
            </w:pPr>
            <w:r>
              <w:rPr>
                <w:rFonts w:ascii="Arial" w:cs="Arial" w:eastAsia="Arial" w:hAnsi="Arial"/>
                <w:sz w:val="13"/>
                <w:szCs w:val="13"/>
                <w:color w:val="auto"/>
              </w:rPr>
              <w:t>Income (Loss) from operations (in thousands)</w:t>
            </w:r>
          </w:p>
        </w:tc>
        <w:tc>
          <w:tcPr>
            <w:tcW w:w="1440" w:type="dxa"/>
            <w:vAlign w:val="bottom"/>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22,243</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tcPr>
          <w:p>
            <w:pPr>
              <w:jc w:val="right"/>
              <w:ind w:right="56"/>
              <w:spacing w:after="0"/>
              <w:rPr>
                <w:sz w:val="20"/>
                <w:szCs w:val="20"/>
                <w:color w:val="auto"/>
              </w:rPr>
            </w:pPr>
            <w:r>
              <w:rPr>
                <w:rFonts w:ascii="Arial" w:cs="Arial" w:eastAsia="Arial" w:hAnsi="Arial"/>
                <w:sz w:val="13"/>
                <w:szCs w:val="13"/>
                <w:color w:val="auto"/>
              </w:rPr>
              <w:t>(47,222)</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ind w:right="56"/>
              <w:spacing w:after="0"/>
              <w:rPr>
                <w:sz w:val="20"/>
                <w:szCs w:val="20"/>
                <w:color w:val="auto"/>
              </w:rPr>
            </w:pPr>
            <w:r>
              <w:rPr>
                <w:rFonts w:ascii="Arial" w:cs="Arial" w:eastAsia="Arial" w:hAnsi="Arial"/>
                <w:sz w:val="13"/>
                <w:szCs w:val="13"/>
                <w:color w:val="auto"/>
              </w:rPr>
              <w:t>(37,556)</w:t>
            </w:r>
          </w:p>
        </w:tc>
      </w:tr>
      <w:tr>
        <w:trPr>
          <w:trHeight w:val="172"/>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 margin</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70"/>
        </w:trPr>
        <w:tc>
          <w:tcPr>
            <w:tcW w:w="44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Restaurant level operating profit (in thousands) </w:t>
            </w:r>
            <w:r>
              <w:rPr>
                <w:rFonts w:ascii="Arial" w:cs="Arial" w:eastAsia="Arial" w:hAnsi="Arial"/>
                <w:sz w:val="16"/>
                <w:szCs w:val="16"/>
                <w:color w:val="auto"/>
                <w:vertAlign w:val="superscript"/>
              </w:rPr>
              <w:t>(1)</w:t>
            </w:r>
          </w:p>
        </w:tc>
        <w:tc>
          <w:tcPr>
            <w:tcW w:w="1440" w:type="dxa"/>
            <w:vAlign w:val="bottom"/>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115,404</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tcPr>
          <w:p>
            <w:pPr>
              <w:jc w:val="right"/>
              <w:ind w:right="96"/>
              <w:spacing w:after="0"/>
              <w:rPr>
                <w:sz w:val="20"/>
                <w:szCs w:val="20"/>
                <w:color w:val="auto"/>
              </w:rPr>
            </w:pPr>
            <w:r>
              <w:rPr>
                <w:rFonts w:ascii="Arial" w:cs="Arial" w:eastAsia="Arial" w:hAnsi="Arial"/>
                <w:sz w:val="13"/>
                <w:szCs w:val="13"/>
                <w:color w:val="auto"/>
              </w:rPr>
              <w:t>28,236</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ind w:right="96"/>
              <w:spacing w:after="0"/>
              <w:rPr>
                <w:sz w:val="20"/>
                <w:szCs w:val="20"/>
                <w:color w:val="auto"/>
              </w:rPr>
            </w:pPr>
            <w:r>
              <w:rPr>
                <w:rFonts w:ascii="Arial" w:cs="Arial" w:eastAsia="Arial" w:hAnsi="Arial"/>
                <w:sz w:val="13"/>
                <w:szCs w:val="13"/>
                <w:color w:val="auto"/>
              </w:rPr>
              <w:t>74,530</w:t>
            </w:r>
          </w:p>
        </w:tc>
      </w:tr>
      <w:tr>
        <w:trPr>
          <w:trHeight w:val="170"/>
        </w:trPr>
        <w:tc>
          <w:tcPr>
            <w:tcW w:w="4440" w:type="dxa"/>
            <w:vAlign w:val="bottom"/>
            <w:shd w:val="clear" w:color="auto" w:fill="CCEEFF"/>
          </w:tcPr>
          <w:p>
            <w:pPr>
              <w:ind w:left="280"/>
              <w:spacing w:after="0" w:line="170" w:lineRule="exact"/>
              <w:rPr>
                <w:sz w:val="20"/>
                <w:szCs w:val="20"/>
                <w:color w:val="auto"/>
              </w:rPr>
            </w:pPr>
            <w:r>
              <w:rPr>
                <w:rFonts w:ascii="Arial" w:cs="Arial" w:eastAsia="Arial" w:hAnsi="Arial"/>
                <w:sz w:val="13"/>
                <w:szCs w:val="13"/>
                <w:color w:val="auto"/>
              </w:rPr>
              <w:t xml:space="preserve">Restaurant level operating profit margin </w:t>
            </w:r>
            <w:r>
              <w:rPr>
                <w:rFonts w:ascii="Arial" w:cs="Arial" w:eastAsia="Arial" w:hAnsi="Arial"/>
                <w:sz w:val="16"/>
                <w:szCs w:val="16"/>
                <w:color w:val="auto"/>
                <w:vertAlign w:val="superscript"/>
              </w:rPr>
              <w:t>(1)</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17.4 %</w:t>
            </w:r>
          </w:p>
        </w:tc>
      </w:tr>
      <w:tr>
        <w:trPr>
          <w:trHeight w:val="168"/>
        </w:trPr>
        <w:tc>
          <w:tcPr>
            <w:tcW w:w="4440" w:type="dxa"/>
            <w:vAlign w:val="bottom"/>
          </w:tcPr>
          <w:p>
            <w:pPr>
              <w:ind w:left="20"/>
              <w:spacing w:after="0"/>
              <w:rPr>
                <w:sz w:val="20"/>
                <w:szCs w:val="20"/>
                <w:color w:val="auto"/>
              </w:rPr>
            </w:pPr>
            <w:r>
              <w:rPr>
                <w:rFonts w:ascii="Arial" w:cs="Arial" w:eastAsia="Arial" w:hAnsi="Arial"/>
                <w:sz w:val="13"/>
                <w:szCs w:val="13"/>
                <w:color w:val="auto"/>
              </w:rPr>
              <w:t>Net loss (in thousands)</w:t>
            </w:r>
          </w:p>
        </w:tc>
        <w:tc>
          <w:tcPr>
            <w:tcW w:w="1440" w:type="dxa"/>
            <w:vAlign w:val="bottom"/>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tcPr>
          <w:p>
            <w:pPr>
              <w:jc w:val="right"/>
              <w:ind w:right="56"/>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ind w:right="56"/>
              <w:spacing w:after="0"/>
              <w:rPr>
                <w:sz w:val="20"/>
                <w:szCs w:val="20"/>
                <w:color w:val="auto"/>
              </w:rPr>
            </w:pPr>
            <w:r>
              <w:rPr>
                <w:rFonts w:ascii="Arial" w:cs="Arial" w:eastAsia="Arial" w:hAnsi="Arial"/>
                <w:sz w:val="13"/>
                <w:szCs w:val="13"/>
                <w:color w:val="auto"/>
              </w:rPr>
              <w:t>(45,472)</w:t>
            </w:r>
          </w:p>
        </w:tc>
      </w:tr>
      <w:tr>
        <w:trPr>
          <w:trHeight w:val="172"/>
        </w:trPr>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 margin</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70"/>
        </w:trPr>
        <w:tc>
          <w:tcPr>
            <w:tcW w:w="44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Adjusted EBITDA (in thousands) </w:t>
            </w:r>
            <w:r>
              <w:rPr>
                <w:rFonts w:ascii="Arial" w:cs="Arial" w:eastAsia="Arial" w:hAnsi="Arial"/>
                <w:sz w:val="16"/>
                <w:szCs w:val="16"/>
                <w:color w:val="auto"/>
                <w:vertAlign w:val="superscript"/>
              </w:rPr>
              <w:t>(2)</w:t>
            </w:r>
          </w:p>
        </w:tc>
        <w:tc>
          <w:tcPr>
            <w:tcW w:w="1440" w:type="dxa"/>
            <w:vAlign w:val="bottom"/>
          </w:tcPr>
          <w:p>
            <w:pPr>
              <w:jc w:val="right"/>
              <w:ind w:right="12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66,301</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40" w:type="dxa"/>
            <w:vAlign w:val="bottom"/>
          </w:tcPr>
          <w:p>
            <w:pPr>
              <w:jc w:val="right"/>
              <w:ind w:right="56"/>
              <w:spacing w:after="0"/>
              <w:rPr>
                <w:sz w:val="20"/>
                <w:szCs w:val="20"/>
                <w:color w:val="auto"/>
              </w:rPr>
            </w:pPr>
            <w:r>
              <w:rPr>
                <w:rFonts w:ascii="Arial" w:cs="Arial" w:eastAsia="Arial" w:hAnsi="Arial"/>
                <w:sz w:val="13"/>
                <w:szCs w:val="13"/>
                <w:color w:val="auto"/>
              </w:rPr>
              <w:t>(5,744)</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ind w:right="96"/>
              <w:spacing w:after="0"/>
              <w:rPr>
                <w:sz w:val="20"/>
                <w:szCs w:val="20"/>
                <w:color w:val="auto"/>
              </w:rPr>
            </w:pPr>
            <w:r>
              <w:rPr>
                <w:rFonts w:ascii="Arial" w:cs="Arial" w:eastAsia="Arial" w:hAnsi="Arial"/>
                <w:sz w:val="13"/>
                <w:szCs w:val="13"/>
                <w:color w:val="auto"/>
              </w:rPr>
              <w:t>38,099</w:t>
            </w:r>
          </w:p>
        </w:tc>
      </w:tr>
      <w:tr>
        <w:trPr>
          <w:trHeight w:val="170"/>
        </w:trPr>
        <w:tc>
          <w:tcPr>
            <w:tcW w:w="4440" w:type="dxa"/>
            <w:vAlign w:val="bottom"/>
            <w:shd w:val="clear" w:color="auto" w:fill="CCEEFF"/>
          </w:tcPr>
          <w:p>
            <w:pPr>
              <w:ind w:left="280"/>
              <w:spacing w:after="0" w:line="170" w:lineRule="exact"/>
              <w:rPr>
                <w:sz w:val="20"/>
                <w:szCs w:val="20"/>
                <w:color w:val="auto"/>
              </w:rPr>
            </w:pPr>
            <w:r>
              <w:rPr>
                <w:rFonts w:ascii="Arial" w:cs="Arial" w:eastAsia="Arial" w:hAnsi="Arial"/>
                <w:sz w:val="13"/>
                <w:szCs w:val="13"/>
                <w:color w:val="auto"/>
              </w:rPr>
              <w:t xml:space="preserve">Adjusted EBITDA margin </w:t>
            </w:r>
            <w:r>
              <w:rPr>
                <w:rFonts w:ascii="Arial" w:cs="Arial" w:eastAsia="Arial" w:hAnsi="Arial"/>
                <w:sz w:val="16"/>
                <w:szCs w:val="16"/>
                <w:color w:val="auto"/>
                <w:vertAlign w:val="superscript"/>
              </w:rPr>
              <w:t>(2)</w:t>
            </w: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w:t>
      </w:r>
    </w:p>
    <w:p>
      <w:pPr>
        <w:spacing w:after="0" w:line="8" w:lineRule="exact"/>
        <w:rPr>
          <w:sz w:val="20"/>
          <w:szCs w:val="20"/>
          <w:color w:val="auto"/>
        </w:rPr>
      </w:pPr>
    </w:p>
    <w:p>
      <w:pPr>
        <w:ind w:firstLine="5"/>
        <w:spacing w:after="0" w:line="239" w:lineRule="auto"/>
        <w:tabs>
          <w:tab w:leader="none" w:pos="173"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Reconciliations from Income (Loss) from operations and Income (Loss) from operations margin, the most comparable GAAP measures to Restaurant level operating profit and Restaurant level operating profit margin, are set forth in the schedules within the section Non-GAAP Financial Measures, herein.</w:t>
      </w:r>
    </w:p>
    <w:p>
      <w:pPr>
        <w:spacing w:after="0" w:line="1" w:lineRule="exact"/>
        <w:rPr>
          <w:rFonts w:ascii="Arial" w:cs="Arial" w:eastAsia="Arial" w:hAnsi="Arial"/>
          <w:sz w:val="12"/>
          <w:szCs w:val="12"/>
          <w:color w:val="auto"/>
        </w:rPr>
      </w:pPr>
    </w:p>
    <w:p>
      <w:pPr>
        <w:ind w:firstLine="5"/>
        <w:spacing w:after="0" w:line="248" w:lineRule="auto"/>
        <w:tabs>
          <w:tab w:leader="none" w:pos="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Reconciliations from Net loss and Net loss margin, the most comparable GAAP measures to Adjusted EBITDA and Adjusted EBITDA margin, are set forth in the schedules within the section Non-GAAP Financial Measures, herein.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Restaurant Sales</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FISCAL YEAR</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Change</w:t>
            </w:r>
          </w:p>
        </w:tc>
        <w:tc>
          <w:tcPr>
            <w:tcW w:w="880" w:type="dxa"/>
            <w:vAlign w:val="bottom"/>
            <w:tcBorders>
              <w:bottom w:val="single" w:sz="8" w:color="auto"/>
            </w:tcBorders>
          </w:tcPr>
          <w:p>
            <w:pPr>
              <w:spacing w:after="0"/>
              <w:rPr>
                <w:sz w:val="15"/>
                <w:szCs w:val="15"/>
                <w:color w:val="auto"/>
              </w:rPr>
            </w:pPr>
          </w:p>
        </w:tc>
      </w:tr>
      <w:tr>
        <w:trPr>
          <w:trHeight w:val="152"/>
        </w:trPr>
        <w:tc>
          <w:tcPr>
            <w:tcW w:w="5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Restaurant sales: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8"/>
        </w:trPr>
        <w:tc>
          <w:tcPr>
            <w:tcW w:w="5060" w:type="dxa"/>
            <w:vAlign w:val="bottom"/>
          </w:tcPr>
          <w:p>
            <w:pPr>
              <w:ind w:left="280"/>
              <w:spacing w:after="0"/>
              <w:rPr>
                <w:sz w:val="20"/>
                <w:szCs w:val="20"/>
                <w:color w:val="auto"/>
              </w:rPr>
            </w:pPr>
            <w:r>
              <w:rPr>
                <w:rFonts w:ascii="Arial" w:cs="Arial" w:eastAsia="Arial" w:hAnsi="Arial"/>
                <w:sz w:val="13"/>
                <w:szCs w:val="13"/>
                <w:color w:val="auto"/>
              </w:rPr>
              <w:t>In-restaurant dining sales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452,989</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257,029</w:t>
            </w:r>
          </w:p>
        </w:tc>
        <w:tc>
          <w:tcPr>
            <w:tcW w:w="100" w:type="dxa"/>
            <w:vAlign w:val="bottom"/>
          </w:tcPr>
          <w:p>
            <w:pPr>
              <w:spacing w:after="0"/>
              <w:rPr>
                <w:sz w:val="14"/>
                <w:szCs w:val="14"/>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195,960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76.2 %</w:t>
            </w:r>
          </w:p>
        </w:tc>
      </w:tr>
      <w:tr>
        <w:trPr>
          <w:trHeight w:val="172"/>
        </w:trPr>
        <w:tc>
          <w:tcPr>
            <w:tcW w:w="5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Third-party delivery sales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83.0 %</w:t>
            </w:r>
          </w:p>
        </w:tc>
      </w:tr>
      <w:tr>
        <w:trPr>
          <w:trHeight w:val="168"/>
        </w:trPr>
        <w:tc>
          <w:tcPr>
            <w:tcW w:w="50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Take-out sales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68,868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41,880</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26,988</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64.4 %</w:t>
            </w:r>
          </w:p>
        </w:tc>
      </w:tr>
      <w:tr>
        <w:trPr>
          <w:trHeight w:val="163"/>
        </w:trPr>
        <w:tc>
          <w:tcPr>
            <w:tcW w:w="5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Restaurant sales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592,343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337,433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254,910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75.5 %</w:t>
            </w: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increase in restaurant sales during 2021 as compared to 2020 was mainly due to (i) $185.7 million of sales from the Comparable Restaurant Base, driven by same-restaurant traffic growth of 52.6% and an increase in average check per person, (ii) $69.6 million of sales from restaurants that are not in the Comparable Restaurant Base, of which $27.0 million was from our 22 NROs, (iii) menu price increases on third-party delivery sales.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2020, we enabled off-premises sales occasions (third-party delivery and take-out) with new availability and access to online ordering. Off-premises sales increased from $80.4 million 2020 to $139.4 million in 2021. Our off-premises sales of $34.4 million during the fourth quarter of 2021 was higher than our off-premises sales of $33.7 million during the same period in 2020, even as our in-restaurant dining traffic increased 49.1% compared to the same period in 2020 and rebounded to nearly 90% of pre-pandemic levels. Given that this volume of off-premises sales emerged during the COVID-19 pandemic, and the fact that our in-restaurant dining room occasions have not fully returned to pre-pandemic levels, we cannot be certain that similar volumes of off-premises occasions will continue. Menu price increases were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implemented on third-party delivery sales to compensate for third-party delivery fees resulting in a relatively neutral margin on these sales as compared to in-restaurant dining sales.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Management did not raise menu prices for in-restaurant dining during 2021. However, we increased in-restaurant menu prices 3.9% in the first quarter of 2022 to partially offset the negative effects of inflationary costs.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Franchise Revenues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FISCAL YEAR</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4"/>
                <w:szCs w:val="14"/>
                <w:color w:val="auto"/>
              </w:rPr>
            </w:pPr>
          </w:p>
        </w:tc>
      </w:tr>
      <w:tr>
        <w:trPr>
          <w:trHeight w:val="152"/>
        </w:trPr>
        <w:tc>
          <w:tcPr>
            <w:tcW w:w="5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Franchise revenues: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5060" w:type="dxa"/>
            <w:vAlign w:val="bottom"/>
          </w:tcPr>
          <w:p>
            <w:pPr>
              <w:ind w:left="360"/>
              <w:spacing w:after="0"/>
              <w:rPr>
                <w:sz w:val="20"/>
                <w:szCs w:val="20"/>
                <w:color w:val="auto"/>
              </w:rPr>
            </w:pPr>
            <w:r>
              <w:rPr>
                <w:rFonts w:ascii="Arial" w:cs="Arial" w:eastAsia="Arial" w:hAnsi="Arial"/>
                <w:sz w:val="13"/>
                <w:szCs w:val="13"/>
                <w:color w:val="auto"/>
              </w:rPr>
              <w:t>Royalty and system fund contributions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8,575</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4,615</w:t>
            </w:r>
          </w:p>
        </w:tc>
        <w:tc>
          <w:tcPr>
            <w:tcW w:w="100" w:type="dxa"/>
            <w:vAlign w:val="bottom"/>
          </w:tcPr>
          <w:p>
            <w:pPr>
              <w:spacing w:after="0"/>
              <w:rPr>
                <w:sz w:val="14"/>
                <w:szCs w:val="14"/>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3,960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85.8 %</w:t>
            </w:r>
          </w:p>
        </w:tc>
      </w:tr>
      <w:tr>
        <w:trPr>
          <w:trHeight w:val="172"/>
        </w:trPr>
        <w:tc>
          <w:tcPr>
            <w:tcW w:w="50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Initial fees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56"/>
        </w:trPr>
        <w:tc>
          <w:tcPr>
            <w:tcW w:w="5060" w:type="dxa"/>
            <w:vAlign w:val="bottom"/>
          </w:tcPr>
          <w:p>
            <w:pPr>
              <w:ind w:left="20"/>
              <w:spacing w:after="0"/>
              <w:rPr>
                <w:sz w:val="20"/>
                <w:szCs w:val="20"/>
                <w:color w:val="auto"/>
              </w:rPr>
            </w:pPr>
            <w:r>
              <w:rPr>
                <w:rFonts w:ascii="Arial" w:cs="Arial" w:eastAsia="Arial" w:hAnsi="Arial"/>
                <w:sz w:val="13"/>
                <w:szCs w:val="13"/>
                <w:color w:val="auto"/>
              </w:rPr>
              <w:t>Total Franchise revenues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8,850</w:t>
            </w:r>
          </w:p>
        </w:tc>
        <w:tc>
          <w:tcPr>
            <w:tcW w:w="100" w:type="dxa"/>
            <w:vAlign w:val="bottom"/>
          </w:tcPr>
          <w:p>
            <w:pPr>
              <w:spacing w:after="0"/>
              <w:rPr>
                <w:sz w:val="13"/>
                <w:szCs w:val="13"/>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4,955</w:t>
            </w:r>
          </w:p>
        </w:tc>
        <w:tc>
          <w:tcPr>
            <w:tcW w:w="10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3,895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78.6 %</w:t>
            </w:r>
          </w:p>
        </w:tc>
      </w:tr>
    </w:tbl>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increase in franchise revenues during 2021 as compared to 2020 was primarily due to the increase in sales as we continued to recover from the COVID-19 pandemic. Franchise revenues in 2021 includes $0.3 million recognized from nine Franchise-owned NROs.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Food and Beverage Costs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components of food and beverage costs at company-owned restaurants are variable by nature, change with sales volume, are impacted by product mix and are subject to increases or decreases in commodity costs.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88"/>
              </w:rPr>
              <w:t>Change</w:t>
            </w:r>
          </w:p>
        </w:tc>
        <w:tc>
          <w:tcPr>
            <w:tcW w:w="860" w:type="dxa"/>
            <w:vAlign w:val="bottom"/>
            <w:tcBorders>
              <w:bottom w:val="single" w:sz="8" w:color="auto"/>
            </w:tcBorders>
          </w:tcPr>
          <w:p>
            <w:pPr>
              <w:spacing w:after="0"/>
              <w:rPr>
                <w:sz w:val="14"/>
                <w:szCs w:val="14"/>
                <w:color w:val="auto"/>
              </w:rPr>
            </w:pPr>
          </w:p>
        </w:tc>
      </w:tr>
      <w:tr>
        <w:trPr>
          <w:trHeight w:val="163"/>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Food and beverage costs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134,201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76,975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57,226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74.3 %</w:t>
            </w:r>
          </w:p>
        </w:tc>
      </w:tr>
      <w:tr>
        <w:trPr>
          <w:trHeight w:val="165"/>
        </w:trPr>
        <w:tc>
          <w:tcPr>
            <w:tcW w:w="4940" w:type="dxa"/>
            <w:vAlign w:val="bottom"/>
          </w:tcPr>
          <w:p>
            <w:pPr>
              <w:ind w:left="20"/>
              <w:spacing w:after="0"/>
              <w:rPr>
                <w:sz w:val="20"/>
                <w:szCs w:val="20"/>
                <w:color w:val="auto"/>
              </w:rPr>
            </w:pPr>
            <w:r>
              <w:rPr>
                <w:rFonts w:ascii="Arial" w:cs="Arial" w:eastAsia="Arial" w:hAnsi="Arial"/>
                <w:sz w:val="13"/>
                <w:szCs w:val="13"/>
                <w:color w:val="auto"/>
              </w:rPr>
              <w:t>As a percentage of restaurant sales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22.7 %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22.8 %</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right"/>
              <w:ind w:right="456"/>
              <w:spacing w:after="0"/>
              <w:rPr>
                <w:sz w:val="20"/>
                <w:szCs w:val="20"/>
                <w:color w:val="auto"/>
              </w:rPr>
            </w:pPr>
            <w:r>
              <w:rPr>
                <w:rFonts w:ascii="Arial" w:cs="Arial" w:eastAsia="Arial" w:hAnsi="Arial"/>
                <w:sz w:val="13"/>
                <w:szCs w:val="13"/>
                <w:color w:val="auto"/>
              </w:rPr>
              <w:t>(0.1)%</w:t>
            </w:r>
          </w:p>
        </w:tc>
        <w:tc>
          <w:tcPr>
            <w:tcW w:w="860" w:type="dxa"/>
            <w:vAlign w:val="bottom"/>
          </w:tcPr>
          <w:p>
            <w:pPr>
              <w:spacing w:after="0"/>
              <w:rPr>
                <w:sz w:val="14"/>
                <w:szCs w:val="14"/>
                <w:color w:val="auto"/>
              </w:rPr>
            </w:pPr>
          </w:p>
        </w:tc>
      </w:tr>
    </w:tbl>
    <w:p>
      <w:pPr>
        <w:spacing w:after="0" w:line="25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Food and beverage costs increased during 2021 as compared to the prior year primarily as a result of (i) increased restaurant sales and traffic as we continued to recover from the COVID-19 pandemic and (ii) $6.4 million of food and beverage costs from our 22 NROs, partially offset by (iii) COVID-19-related inventory write-offs of $0.6 million recognized in 2020.</w:t>
      </w:r>
    </w:p>
    <w:p>
      <w:pPr>
        <w:spacing w:after="0" w:line="13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commodity costs were relatively stable through the third quarter of 2021. However, late in the fourth quarter of 2021, we experienced increasing inflation in our market basket by more than 11.0%. In 2022, we anticipate inflation of 10.0% to 13.0% primarily driven by the increase in fuel costs as well as a few key items in our market basket, including bread, bacon and avocado.</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Labor and Other Related Expenses</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88"/>
              </w:rPr>
              <w:t>Change</w:t>
            </w:r>
          </w:p>
        </w:tc>
        <w:tc>
          <w:tcPr>
            <w:tcW w:w="860" w:type="dxa"/>
            <w:vAlign w:val="bottom"/>
            <w:tcBorders>
              <w:bottom w:val="single" w:sz="8" w:color="auto"/>
            </w:tcBorders>
          </w:tcPr>
          <w:p>
            <w:pPr>
              <w:spacing w:after="0"/>
              <w:rPr>
                <w:sz w:val="14"/>
                <w:szCs w:val="14"/>
                <w:color w:val="auto"/>
              </w:rPr>
            </w:pPr>
          </w:p>
        </w:tc>
      </w:tr>
      <w:tr>
        <w:trPr>
          <w:trHeight w:val="163"/>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 and other related expenses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189,167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120,380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68,787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57.1 %</w:t>
            </w:r>
          </w:p>
        </w:tc>
      </w:tr>
      <w:tr>
        <w:trPr>
          <w:trHeight w:val="165"/>
        </w:trPr>
        <w:tc>
          <w:tcPr>
            <w:tcW w:w="4940" w:type="dxa"/>
            <w:vAlign w:val="bottom"/>
          </w:tcPr>
          <w:p>
            <w:pPr>
              <w:ind w:left="20"/>
              <w:spacing w:after="0"/>
              <w:rPr>
                <w:sz w:val="20"/>
                <w:szCs w:val="20"/>
                <w:color w:val="auto"/>
              </w:rPr>
            </w:pPr>
            <w:r>
              <w:rPr>
                <w:rFonts w:ascii="Arial" w:cs="Arial" w:eastAsia="Arial" w:hAnsi="Arial"/>
                <w:sz w:val="13"/>
                <w:szCs w:val="13"/>
                <w:color w:val="auto"/>
              </w:rPr>
              <w:t>As a percentage of restaurant sales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31.9 %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35.7 %</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right"/>
              <w:ind w:right="456"/>
              <w:spacing w:after="0"/>
              <w:rPr>
                <w:sz w:val="20"/>
                <w:szCs w:val="20"/>
                <w:color w:val="auto"/>
              </w:rPr>
            </w:pPr>
            <w:r>
              <w:rPr>
                <w:rFonts w:ascii="Arial" w:cs="Arial" w:eastAsia="Arial" w:hAnsi="Arial"/>
                <w:sz w:val="13"/>
                <w:szCs w:val="13"/>
                <w:color w:val="auto"/>
              </w:rPr>
              <w:t>(3.8)%</w:t>
            </w:r>
          </w:p>
        </w:tc>
        <w:tc>
          <w:tcPr>
            <w:tcW w:w="860" w:type="dxa"/>
            <w:vAlign w:val="bottom"/>
          </w:tcPr>
          <w:p>
            <w:pPr>
              <w:spacing w:after="0"/>
              <w:rPr>
                <w:sz w:val="14"/>
                <w:szCs w:val="14"/>
                <w:color w:val="auto"/>
              </w:rPr>
            </w:pPr>
          </w:p>
        </w:tc>
      </w:tr>
    </w:tbl>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percentage of restaurant sales, the decrease in labor and other related expenses during 2021 to 31.9% from 35.7% during 2020 was primarily due to (i) leveraging of labor and other related expenses as restaurant sales and traffic increased,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combined with COVID-19 related employee absences and changes in the availability of labor and (ii) health insurance costs for furloughed employees, net of employee retention credits, incurred in 2020, partially offset by (iii) restaurant wage rate increases.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significant factors contributing to the increase in labor and other related expenses in 2021 as compared to 2020 were (i) the increase in restaurant sales and traffic, (ii) $9.7 million from our 22 NROs, (iii) $2.7 million from performance-related and discretionary bonuses and (iv) restaurant wage rate increases, partially offset by (v) $1.8 million in compensation expense and health insurance costs for furloughed employees, net of employee retention credits, incurred in 2020.</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 2022, we anticipate inflation of 8.0% to 10.0% for our restaurant labor cost.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Restaurant Operating Expenses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56"/>
              <w:spacing w:after="0"/>
              <w:rPr>
                <w:sz w:val="20"/>
                <w:szCs w:val="20"/>
                <w:color w:val="auto"/>
              </w:rPr>
            </w:pPr>
            <w:r>
              <w:rPr>
                <w:rFonts w:ascii="Arial" w:cs="Arial" w:eastAsia="Arial" w:hAnsi="Arial"/>
                <w:sz w:val="13"/>
                <w:szCs w:val="13"/>
                <w:b w:val="1"/>
                <w:bCs w:val="1"/>
                <w:color w:val="auto"/>
                <w:w w:val="88"/>
              </w:rPr>
              <w:t>Change</w:t>
            </w:r>
          </w:p>
        </w:tc>
        <w:tc>
          <w:tcPr>
            <w:tcW w:w="860" w:type="dxa"/>
            <w:vAlign w:val="bottom"/>
            <w:tcBorders>
              <w:bottom w:val="single" w:sz="8" w:color="auto"/>
            </w:tcBorders>
          </w:tcPr>
          <w:p>
            <w:pPr>
              <w:spacing w:after="0"/>
              <w:rPr>
                <w:sz w:val="14"/>
                <w:szCs w:val="14"/>
                <w:color w:val="auto"/>
              </w:rPr>
            </w:pPr>
          </w:p>
        </w:tc>
      </w:tr>
      <w:tr>
        <w:trPr>
          <w:trHeight w:val="163"/>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restaurant operating expenses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94,847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61,821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33,026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53.4 %</w:t>
            </w:r>
          </w:p>
        </w:tc>
      </w:tr>
      <w:tr>
        <w:trPr>
          <w:trHeight w:val="165"/>
        </w:trPr>
        <w:tc>
          <w:tcPr>
            <w:tcW w:w="4960" w:type="dxa"/>
            <w:vAlign w:val="bottom"/>
          </w:tcPr>
          <w:p>
            <w:pPr>
              <w:ind w:left="20"/>
              <w:spacing w:after="0"/>
              <w:rPr>
                <w:sz w:val="20"/>
                <w:szCs w:val="20"/>
                <w:color w:val="auto"/>
              </w:rPr>
            </w:pPr>
            <w:r>
              <w:rPr>
                <w:rFonts w:ascii="Arial" w:cs="Arial" w:eastAsia="Arial" w:hAnsi="Arial"/>
                <w:sz w:val="13"/>
                <w:szCs w:val="13"/>
                <w:color w:val="auto"/>
              </w:rPr>
              <w:t>As a percentage of restaurant sales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16.0 %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18.3 %</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right"/>
              <w:ind w:right="456"/>
              <w:spacing w:after="0"/>
              <w:rPr>
                <w:sz w:val="20"/>
                <w:szCs w:val="20"/>
                <w:color w:val="auto"/>
              </w:rPr>
            </w:pPr>
            <w:r>
              <w:rPr>
                <w:rFonts w:ascii="Arial" w:cs="Arial" w:eastAsia="Arial" w:hAnsi="Arial"/>
                <w:sz w:val="13"/>
                <w:szCs w:val="13"/>
                <w:color w:val="auto"/>
              </w:rPr>
              <w:t>(2.3)%</w:t>
            </w:r>
          </w:p>
        </w:tc>
        <w:tc>
          <w:tcPr>
            <w:tcW w:w="860" w:type="dxa"/>
            <w:vAlign w:val="bottom"/>
          </w:tcPr>
          <w:p>
            <w:pPr>
              <w:spacing w:after="0"/>
              <w:rPr>
                <w:sz w:val="14"/>
                <w:szCs w:val="14"/>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Other restaurant operating expenses as a percentage of restaurant sales was 2.3% lower than the prior year primarily due to leveraging increased restaurant sales.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increase in other restaurant operating expenses during 2021 as compared to 2020 was primarily due to (i) the increase in credit card fees, supplies (including take-out packaging), utilities, repairs and maintenance and insurance expense totaling approximately $24.5 million driven by the increase in restaurant sales and traffic, as well as (ii) the increase in third-party delivery services fees of $7.7 million as a result of increased off-premises sales.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Occupancy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Occupancy expenses primarily consist of rent expense, property insurance, common area expenses and property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88"/>
              </w:rPr>
              <w:t>Change</w:t>
            </w:r>
          </w:p>
        </w:tc>
        <w:tc>
          <w:tcPr>
            <w:tcW w:w="860" w:type="dxa"/>
            <w:vAlign w:val="bottom"/>
            <w:tcBorders>
              <w:bottom w:val="single" w:sz="8" w:color="auto"/>
            </w:tcBorders>
          </w:tcPr>
          <w:p>
            <w:pPr>
              <w:spacing w:after="0"/>
              <w:rPr>
                <w:sz w:val="14"/>
                <w:szCs w:val="14"/>
                <w:color w:val="auto"/>
              </w:rPr>
            </w:pPr>
          </w:p>
        </w:tc>
      </w:tr>
      <w:tr>
        <w:trPr>
          <w:trHeight w:val="163"/>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Occupancy expenses</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55,433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49,450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5,983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12.1 %</w:t>
            </w:r>
          </w:p>
        </w:tc>
      </w:tr>
      <w:tr>
        <w:trPr>
          <w:trHeight w:val="165"/>
        </w:trPr>
        <w:tc>
          <w:tcPr>
            <w:tcW w:w="4980" w:type="dxa"/>
            <w:vAlign w:val="bottom"/>
          </w:tcPr>
          <w:p>
            <w:pPr>
              <w:ind w:left="20"/>
              <w:spacing w:after="0"/>
              <w:rPr>
                <w:sz w:val="20"/>
                <w:szCs w:val="20"/>
                <w:color w:val="auto"/>
              </w:rPr>
            </w:pPr>
            <w:r>
              <w:rPr>
                <w:rFonts w:ascii="Arial" w:cs="Arial" w:eastAsia="Arial" w:hAnsi="Arial"/>
                <w:sz w:val="13"/>
                <w:szCs w:val="13"/>
                <w:color w:val="auto"/>
              </w:rPr>
              <w:t>As a percentage of restaurant sales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9.4 %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14.7 %</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jc w:val="right"/>
              <w:ind w:right="456"/>
              <w:spacing w:after="0"/>
              <w:rPr>
                <w:sz w:val="20"/>
                <w:szCs w:val="20"/>
                <w:color w:val="auto"/>
              </w:rPr>
            </w:pPr>
            <w:r>
              <w:rPr>
                <w:rFonts w:ascii="Arial" w:cs="Arial" w:eastAsia="Arial" w:hAnsi="Arial"/>
                <w:sz w:val="13"/>
                <w:szCs w:val="13"/>
                <w:color w:val="auto"/>
              </w:rPr>
              <w:t>(5.3)%</w:t>
            </w:r>
          </w:p>
        </w:tc>
        <w:tc>
          <w:tcPr>
            <w:tcW w:w="860" w:type="dxa"/>
            <w:vAlign w:val="bottom"/>
          </w:tcPr>
          <w:p>
            <w:pPr>
              <w:spacing w:after="0"/>
              <w:rPr>
                <w:sz w:val="14"/>
                <w:szCs w:val="14"/>
                <w:color w:val="auto"/>
              </w:rPr>
            </w:pPr>
          </w:p>
        </w:tc>
      </w:tr>
    </w:tbl>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increase in occupancy expenses during 2021 as compared to 2020 was primarily due to the increase in the number of company-owned restaurants and the number of leases that had commenced during the respective periods.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Pre-opening Expenses</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4"/>
                <w:szCs w:val="14"/>
                <w:color w:val="auto"/>
              </w:rPr>
            </w:pPr>
          </w:p>
        </w:tc>
      </w:tr>
      <w:tr>
        <w:trPr>
          <w:trHeight w:val="163"/>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Pre-opening expenses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(570)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r>
    </w:tbl>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decrease in pre-opening expenses in 2021 as compared to 2020 was primarily due to additional pre-opening rent expense resulting from the curtailment of new restaurant construction and delayed restaurant openings in 2020 in response to the COVID -19 pandemic.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IPO, we have incurred and we expect to incur in the future significant additional legal, accounting and other expenses associated with being a public company, including costs associated with our compliance with the Sarbanes-Oxley Act.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880" w:type="dxa"/>
            <w:vAlign w:val="bottom"/>
            <w:tcBorders>
              <w:bottom w:val="single" w:sz="8" w:color="auto"/>
            </w:tcBorders>
          </w:tcPr>
          <w:p>
            <w:pPr>
              <w:spacing w:after="0"/>
              <w:rPr>
                <w:sz w:val="14"/>
                <w:szCs w:val="14"/>
                <w:color w:val="auto"/>
              </w:rPr>
            </w:pPr>
          </w:p>
        </w:tc>
      </w:tr>
      <w:tr>
        <w:trPr>
          <w:trHeight w:val="163"/>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70,388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46,322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24,066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52.0 %</w:t>
            </w:r>
          </w:p>
        </w:tc>
      </w:tr>
    </w:tbl>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The increase in general and administrative expenses during 2021 as compared to 2020 was primarily driven by (i) the increase of $10.5 million in compensation expense resulting from the increase in employee headcount and discretionary performance-related bonuses as compared to 2020 when there were furloughs, (ii) $8.0 million of stock-based compensation expense, of which $2.4 million resulted from certain performance-based option awards that converted into time-based option awards and $5.6 million of one-time expense that was recognized upon closing of the IPO (see Note 16, </w:t>
      </w:r>
      <w:r>
        <w:rPr>
          <w:rFonts w:ascii="Arial" w:cs="Arial" w:eastAsia="Arial" w:hAnsi="Arial"/>
          <w:sz w:val="13"/>
          <w:szCs w:val="13"/>
          <w:i w:val="1"/>
          <w:iCs w:val="1"/>
          <w:color w:val="auto"/>
        </w:rPr>
        <w:t>Stock Based Compensation</w:t>
      </w:r>
      <w:r>
        <w:rPr>
          <w:rFonts w:ascii="Arial" w:cs="Arial" w:eastAsia="Arial" w:hAnsi="Arial"/>
          <w:sz w:val="13"/>
          <w:szCs w:val="13"/>
          <w:color w:val="auto"/>
        </w:rPr>
        <w:t>, in the accompanying notes to the consolidated financial statements for additional information), (iii) additional marketing spend of $3.3 million, (iv) an additional $2.5</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in recruiting, training and travel expenses and (v) an increase of $1.1 million related to insurance expense, partially offset by (vi) the write off of $2.0 million of deferred offering costs as a result of halting our public registration of equity in 2020 and (vii) $1.4 million costs incurred in connection with the COVID-19 pandemic in 2020.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 rights which arose from the purchase price allocation in connection with the merger agreement through which the Company was acquired by funds affiliated with or managed by Advent in August 2017 as well as reacquired rights from our acquisitions of franchise-owned restaurants.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4"/>
                <w:szCs w:val="14"/>
                <w:color w:val="auto"/>
              </w:rPr>
            </w:pPr>
          </w:p>
        </w:tc>
      </w:tr>
      <w:tr>
        <w:trPr>
          <w:trHeight w:val="17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1,654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depreciation and amortization during 2021 as compared to 2020 was primarily due to incremental depreciation of capital expenditures associated with NROs.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Impairments and Loss on Disposal of Assets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880" w:type="dxa"/>
            <w:vAlign w:val="bottom"/>
            <w:tcBorders>
              <w:bottom w:val="single" w:sz="8" w:color="auto"/>
            </w:tcBorders>
          </w:tcPr>
          <w:p>
            <w:pPr>
              <w:spacing w:after="0"/>
              <w:rPr>
                <w:sz w:val="14"/>
                <w:szCs w:val="14"/>
                <w:color w:val="auto"/>
              </w:rPr>
            </w:pPr>
          </w:p>
        </w:tc>
      </w:tr>
      <w:tr>
        <w:trPr>
          <w:trHeight w:val="163"/>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Impairments and loss on disposal of assets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66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bl>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impairment losses recognized on intangible assets or fixed assets in 2021 and 2020. Loss on disposals of assets recognized during the periods indicated were related to retirements, replacements and disposals of fixed assets.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 Income, Net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Transaction income, net includes (i) revaluations of contingent consideration payable to previous stockholders for tax savings generated through use of federal and state loss carryforwards and general business credits that had been accumulated from operations prior to August 2017, (ii) gains or losses associated with lease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r>
      <w:tr>
        <w:trPr>
          <w:trHeight w:val="166"/>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left="134"/>
              <w:spacing w:after="0"/>
              <w:rPr>
                <w:sz w:val="20"/>
                <w:szCs w:val="20"/>
                <w:color w:val="auto"/>
              </w:rPr>
            </w:pPr>
            <w:r>
              <w:rPr>
                <w:rFonts w:ascii="Arial" w:cs="Arial" w:eastAsia="Arial" w:hAnsi="Arial"/>
                <w:sz w:val="13"/>
                <w:szCs w:val="13"/>
                <w:b w:val="1"/>
                <w:bCs w:val="1"/>
                <w:color w:val="auto"/>
                <w:w w:val="88"/>
              </w:rPr>
              <w:t>Change</w:t>
            </w:r>
          </w:p>
        </w:tc>
        <w:tc>
          <w:tcPr>
            <w:tcW w:w="840" w:type="dxa"/>
            <w:vAlign w:val="bottom"/>
            <w:tcBorders>
              <w:bottom w:val="single" w:sz="8" w:color="auto"/>
            </w:tcBorders>
          </w:tcPr>
          <w:p>
            <w:pPr>
              <w:spacing w:after="0"/>
              <w:rPr>
                <w:sz w:val="14"/>
                <w:szCs w:val="14"/>
                <w:color w:val="auto"/>
              </w:rPr>
            </w:pPr>
          </w:p>
        </w:tc>
      </w:tr>
      <w:tr>
        <w:trPr>
          <w:trHeight w:val="16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Transaction income, net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700"/>
              <w:spacing w:after="0"/>
              <w:rPr>
                <w:sz w:val="20"/>
                <w:szCs w:val="20"/>
                <w:color w:val="auto"/>
              </w:rPr>
            </w:pPr>
            <w:r>
              <w:rPr>
                <w:rFonts w:ascii="Arial" w:cs="Arial" w:eastAsia="Arial" w:hAnsi="Arial"/>
                <w:sz w:val="13"/>
                <w:szCs w:val="13"/>
                <w:color w:val="auto"/>
                <w:w w:val="92"/>
              </w:rPr>
              <w:t>(1,156)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714"/>
              <w:spacing w:after="0"/>
              <w:rPr>
                <w:sz w:val="20"/>
                <w:szCs w:val="20"/>
                <w:color w:val="auto"/>
              </w:rPr>
            </w:pPr>
            <w:r>
              <w:rPr>
                <w:rFonts w:ascii="Arial" w:cs="Arial" w:eastAsia="Arial" w:hAnsi="Arial"/>
                <w:sz w:val="13"/>
                <w:szCs w:val="13"/>
                <w:color w:val="auto"/>
              </w:rPr>
              <w:t>(898)</w:t>
            </w:r>
          </w:p>
        </w:tc>
        <w:tc>
          <w:tcPr>
            <w:tcW w:w="840" w:type="dxa"/>
            <w:vAlign w:val="bottom"/>
            <w:shd w:val="clear" w:color="auto" w:fill="CCEEFF"/>
          </w:tcPr>
          <w:p>
            <w:pPr>
              <w:ind w:left="520"/>
              <w:spacing w:after="0" w:line="163" w:lineRule="exact"/>
              <w:rPr>
                <w:sz w:val="20"/>
                <w:szCs w:val="20"/>
                <w:color w:val="auto"/>
              </w:rPr>
            </w:pPr>
            <w:r>
              <w:rPr>
                <w:rFonts w:ascii="Arial" w:cs="Arial" w:eastAsia="Arial" w:hAnsi="Arial"/>
                <w:sz w:val="13"/>
                <w:szCs w:val="13"/>
                <w:color w:val="auto"/>
                <w:w w:val="78"/>
              </w:rPr>
              <w:t xml:space="preserve">n/m </w:t>
            </w:r>
            <w:r>
              <w:rPr>
                <w:rFonts w:ascii="Arial" w:cs="Arial" w:eastAsia="Arial" w:hAnsi="Arial"/>
                <w:sz w:val="16"/>
                <w:szCs w:val="16"/>
                <w:color w:val="auto"/>
                <w:w w:val="78"/>
                <w:vertAlign w:val="superscript"/>
              </w:rPr>
              <w:t>(1)</w:t>
            </w:r>
          </w:p>
        </w:tc>
      </w:tr>
      <w:tr>
        <w:trPr>
          <w:trHeight w:val="138"/>
        </w:trPr>
        <w:tc>
          <w:tcPr>
            <w:tcW w:w="228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56" w:lineRule="exact"/>
        <w:rPr>
          <w:sz w:val="20"/>
          <w:szCs w:val="20"/>
          <w:color w:val="auto"/>
        </w:rPr>
      </w:pPr>
    </w:p>
    <w:p>
      <w:pPr>
        <w:ind w:left="140" w:hanging="136"/>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Not meaningful</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 increase in transaction income, net during 2021 as compared to 2020 was primarily due to (i) the gain of $2.0 million recognized related to an executed agreement to terminate the lease for one company-owned restaurant (see Note 12, </w:t>
      </w:r>
      <w:r>
        <w:rPr>
          <w:rFonts w:ascii="Arial" w:cs="Arial" w:eastAsia="Arial" w:hAnsi="Arial"/>
          <w:sz w:val="14"/>
          <w:szCs w:val="14"/>
          <w:i w:val="1"/>
          <w:iCs w:val="1"/>
          <w:color w:val="auto"/>
        </w:rPr>
        <w:t>Transaction (Income) Expenses, Net</w:t>
      </w:r>
      <w:r>
        <w:rPr>
          <w:rFonts w:ascii="Arial" w:cs="Arial" w:eastAsia="Arial" w:hAnsi="Arial"/>
          <w:sz w:val="14"/>
          <w:szCs w:val="14"/>
          <w:color w:val="auto"/>
        </w:rPr>
        <w:t xml:space="preserve">, in the accompanying notes to the consolidated financial statements for additional information), partially offset by (ii) the change of $1.1 million related to the revaluation of the contingent consideration payable to previous stockholders for tax savings generated through use of federal and state loss carryforwards and general business credits that had been accumulated from operations prior to August 2017 (see Note 13, </w:t>
      </w:r>
      <w:r>
        <w:rPr>
          <w:rFonts w:ascii="Arial" w:cs="Arial" w:eastAsia="Arial" w:hAnsi="Arial"/>
          <w:sz w:val="14"/>
          <w:szCs w:val="14"/>
          <w:i w:val="1"/>
          <w:iCs w:val="1"/>
          <w:color w:val="auto"/>
        </w:rPr>
        <w:t>Income Taxes</w:t>
      </w:r>
      <w:r>
        <w:rPr>
          <w:rFonts w:ascii="Arial" w:cs="Arial" w:eastAsia="Arial" w:hAnsi="Arial"/>
          <w:sz w:val="14"/>
          <w:szCs w:val="14"/>
          <w:color w:val="auto"/>
        </w:rPr>
        <w:t>, in the accompanying notes to the consolidated financial statements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(Loss) from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4"/>
                <w:szCs w:val="14"/>
                <w:color w:val="auto"/>
              </w:rPr>
            </w:pPr>
          </w:p>
        </w:tc>
      </w:tr>
      <w:tr>
        <w:trPr>
          <w:trHeight w:val="16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22,243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(47,222)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69,465</w:t>
            </w:r>
          </w:p>
        </w:tc>
        <w:tc>
          <w:tcPr>
            <w:tcW w:w="840" w:type="dxa"/>
            <w:vAlign w:val="bottom"/>
            <w:shd w:val="clear" w:color="auto" w:fill="CCEEFF"/>
          </w:tcPr>
          <w:p>
            <w:pPr>
              <w:ind w:left="520"/>
              <w:spacing w:after="0" w:line="163" w:lineRule="exact"/>
              <w:rPr>
                <w:sz w:val="20"/>
                <w:szCs w:val="20"/>
                <w:color w:val="auto"/>
              </w:rPr>
            </w:pPr>
            <w:r>
              <w:rPr>
                <w:rFonts w:ascii="Arial" w:cs="Arial" w:eastAsia="Arial" w:hAnsi="Arial"/>
                <w:sz w:val="13"/>
                <w:szCs w:val="13"/>
                <w:color w:val="auto"/>
                <w:w w:val="78"/>
              </w:rPr>
              <w:t xml:space="preserve">n/m </w:t>
            </w:r>
            <w:r>
              <w:rPr>
                <w:rFonts w:ascii="Arial" w:cs="Arial" w:eastAsia="Arial" w:hAnsi="Arial"/>
                <w:sz w:val="16"/>
                <w:szCs w:val="16"/>
                <w:color w:val="auto"/>
                <w:w w:val="78"/>
                <w:vertAlign w:val="superscript"/>
              </w:rPr>
              <w:t>(1)</w:t>
            </w:r>
          </w:p>
        </w:tc>
      </w:tr>
      <w:tr>
        <w:trPr>
          <w:trHeight w:val="138"/>
        </w:trPr>
        <w:tc>
          <w:tcPr>
            <w:tcW w:w="228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Not meaningful</w:t>
      </w:r>
    </w:p>
    <w:p>
      <w:pPr>
        <w:spacing w:after="0" w:line="152"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Income from operations during 2021 as compared to Loss from operations during 2020 was primarily due to (i) the increase in restaurant sales, driven by the increase in traffic, as well as the increase in off-premises sales and (ii) the operations of our 22 NROs, partially offset by (iii) the increase in general and administrative expenses mainly due to the increase in employee headcount, performance-related and discretionary bonuses, additional stock compensation expense as a result of the Company’s IPO and increased marketing, insurance, recruiting, training and travel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primarily consists of interest and fees on our outstanding debt and the amortization expense for debt discount and deferred issuance costs.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4"/>
                <w:szCs w:val="14"/>
                <w:color w:val="auto"/>
              </w:rPr>
            </w:pPr>
          </w:p>
        </w:tc>
      </w:tr>
      <w:tr>
        <w:trPr>
          <w:trHeight w:val="163"/>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5"/>
              </w:rPr>
              <w:t>20,099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22,815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(2,716)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The decrease in interest expense in 2021 as compared to 2020 was primarily due to the extinguishment of our Senior Credit Facilities, which were replaced by lower outstanding debt and reduced interest rates from our New Facilities (see Note 10, </w:t>
      </w:r>
      <w:r>
        <w:rPr>
          <w:rFonts w:ascii="Arial" w:cs="Arial" w:eastAsia="Arial" w:hAnsi="Arial"/>
          <w:sz w:val="14"/>
          <w:szCs w:val="14"/>
          <w:i w:val="1"/>
          <w:iCs w:val="1"/>
          <w:color w:val="auto"/>
        </w:rPr>
        <w:t>Debt</w:t>
      </w:r>
      <w:r>
        <w:rPr>
          <w:rFonts w:ascii="Arial" w:cs="Arial" w:eastAsia="Arial" w:hAnsi="Arial"/>
          <w:sz w:val="14"/>
          <w:szCs w:val="14"/>
          <w:color w:val="auto"/>
        </w:rPr>
        <w:t>, in the accompanying notes to the consolidated financial statements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includes items deemed to be non-operating based on management’s assessment of the nature of the item in relation to our core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4"/>
                <w:szCs w:val="14"/>
                <w:color w:val="auto"/>
              </w:rPr>
            </w:pPr>
          </w:p>
        </w:tc>
      </w:tr>
      <w:tr>
        <w:trPr>
          <w:trHeight w:val="17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rPr>
              <w:t>(2,257)</w:t>
            </w:r>
          </w:p>
        </w:tc>
        <w:tc>
          <w:tcPr>
            <w:tcW w:w="840" w:type="dxa"/>
            <w:vAlign w:val="bottom"/>
            <w:shd w:val="clear" w:color="auto" w:fill="CCEEFF"/>
          </w:tcPr>
          <w:p>
            <w:pPr>
              <w:ind w:left="500"/>
              <w:spacing w:after="0" w:line="173" w:lineRule="exact"/>
              <w:rPr>
                <w:sz w:val="20"/>
                <w:szCs w:val="20"/>
                <w:color w:val="auto"/>
              </w:rPr>
            </w:pPr>
            <w:r>
              <w:rPr>
                <w:rFonts w:ascii="Arial" w:cs="Arial" w:eastAsia="Arial" w:hAnsi="Arial"/>
                <w:sz w:val="13"/>
                <w:szCs w:val="13"/>
                <w:color w:val="auto"/>
                <w:w w:val="81"/>
              </w:rPr>
              <w:t xml:space="preserve">n/m </w:t>
            </w:r>
            <w:r>
              <w:rPr>
                <w:rFonts w:ascii="Arial" w:cs="Arial" w:eastAsia="Arial" w:hAnsi="Arial"/>
                <w:sz w:val="17"/>
                <w:szCs w:val="17"/>
                <w:color w:val="auto"/>
                <w:w w:val="81"/>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44208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2085" cy="6985"/>
                    </a:xfrm>
                    <a:prstGeom prst="rect">
                      <a:avLst/>
                    </a:prstGeom>
                    <a:noFill/>
                  </pic:spPr>
                </pic:pic>
              </a:graphicData>
            </a:graphic>
          </wp:anchor>
        </w:drawing>
      </w:r>
    </w:p>
    <w:p>
      <w:pPr>
        <w:spacing w:after="0" w:line="258" w:lineRule="exact"/>
        <w:rPr>
          <w:sz w:val="20"/>
          <w:szCs w:val="20"/>
          <w:color w:val="auto"/>
        </w:rPr>
      </w:pPr>
    </w:p>
    <w:p>
      <w:pPr>
        <w:ind w:left="140" w:hanging="136"/>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Not meaningful</w:t>
      </w:r>
    </w:p>
    <w:p>
      <w:pPr>
        <w:spacing w:after="0" w:line="17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change in Other (expense) income, net in 2021 as compared to 2020 was primarily related to the $2.4 million loss on extinguishment of debt recognized in connection with the full repayment of the Senior Credit Facilities.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 Benefit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 primarily consists of various federal and state taxes.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FISCAL YEAR</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4"/>
                <w:szCs w:val="14"/>
                <w:color w:val="auto"/>
              </w:rPr>
            </w:pPr>
          </w:p>
        </w:tc>
      </w:tr>
      <w:tr>
        <w:trPr>
          <w:trHeight w:val="16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2"/>
              </w:rPr>
              <w:t>(2,477)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(22,350)</w:t>
            </w:r>
          </w:p>
        </w:tc>
        <w:tc>
          <w:tcPr>
            <w:tcW w:w="840" w:type="dxa"/>
            <w:vAlign w:val="bottom"/>
            <w:shd w:val="clear" w:color="auto" w:fill="CCEEFF"/>
          </w:tcPr>
          <w:p>
            <w:pPr>
              <w:ind w:left="520"/>
              <w:spacing w:after="0" w:line="163" w:lineRule="exact"/>
              <w:rPr>
                <w:sz w:val="20"/>
                <w:szCs w:val="20"/>
                <w:color w:val="auto"/>
              </w:rPr>
            </w:pPr>
            <w:r>
              <w:rPr>
                <w:rFonts w:ascii="Arial" w:cs="Arial" w:eastAsia="Arial" w:hAnsi="Arial"/>
                <w:sz w:val="13"/>
                <w:szCs w:val="13"/>
                <w:color w:val="auto"/>
                <w:w w:val="78"/>
              </w:rPr>
              <w:t xml:space="preserve">n/m </w:t>
            </w:r>
            <w:r>
              <w:rPr>
                <w:rFonts w:ascii="Arial" w:cs="Arial" w:eastAsia="Arial" w:hAnsi="Arial"/>
                <w:sz w:val="16"/>
                <w:szCs w:val="16"/>
                <w:color w:val="auto"/>
                <w:w w:val="78"/>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4420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2085" cy="6985"/>
                    </a:xfrm>
                    <a:prstGeom prst="rect">
                      <a:avLst/>
                    </a:prstGeom>
                    <a:noFill/>
                  </pic:spPr>
                </pic:pic>
              </a:graphicData>
            </a:graphic>
          </wp:anchor>
        </w:drawing>
      </w:r>
    </w:p>
    <w:p>
      <w:pPr>
        <w:spacing w:after="0" w:line="258" w:lineRule="exact"/>
        <w:rPr>
          <w:sz w:val="20"/>
          <w:szCs w:val="20"/>
          <w:color w:val="auto"/>
        </w:rPr>
      </w:pPr>
    </w:p>
    <w:p>
      <w:pPr>
        <w:ind w:left="140" w:hanging="136"/>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Not meaningful</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effective income tax rate was 669.5% in 2021 as compared to 28.6% for 2020. The change in the effective income tax rate in 2021 as compared to 2020 was mainly due to (i) the change in the valuation allowance, (ii) the benefit of the tax credits for FICA taxes on certain employee tips and (iii) the pre-vesting forfeiture of the performance-based option stock option awards for which the market condition was not satisfied upon the Company’s IPO.</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has a blended federal and state statutory rate of approximately 25.0%. The effective income tax rates for 2021 and 2020 were different than the blended federal and state statutory rate primarily due to (i) the change in the valuation allowance for federal and state deferred tax assets, (ii) the benefit of the tax credits for FICA taxes on certain employee tips and (iii) the pre-vesting forfeiture of the performance-based option stock option awards for which the market condition was not satisfied upon the Company’s IPO.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88"/>
              </w:rPr>
              <w:t>Change</w:t>
            </w:r>
          </w:p>
        </w:tc>
        <w:tc>
          <w:tcPr>
            <w:tcW w:w="860" w:type="dxa"/>
            <w:vAlign w:val="bottom"/>
            <w:tcBorders>
              <w:bottom w:val="single" w:sz="8" w:color="auto"/>
            </w:tcBorders>
          </w:tcPr>
          <w:p>
            <w:pPr>
              <w:spacing w:after="0"/>
              <w:rPr>
                <w:sz w:val="14"/>
                <w:szCs w:val="14"/>
                <w:color w:val="auto"/>
              </w:rPr>
            </w:pPr>
          </w:p>
        </w:tc>
      </w:tr>
      <w:tr>
        <w:trPr>
          <w:trHeight w:val="163"/>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(2,107)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(49,681)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47,574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95.8 %</w:t>
            </w:r>
          </w:p>
        </w:tc>
      </w:tr>
      <w:tr>
        <w:trPr>
          <w:trHeight w:val="165"/>
        </w:trPr>
        <w:tc>
          <w:tcPr>
            <w:tcW w:w="4960" w:type="dxa"/>
            <w:vAlign w:val="bottom"/>
          </w:tcPr>
          <w:p>
            <w:pPr>
              <w:ind w:left="20"/>
              <w:spacing w:after="0"/>
              <w:rPr>
                <w:sz w:val="20"/>
                <w:szCs w:val="20"/>
                <w:color w:val="auto"/>
              </w:rPr>
            </w:pPr>
            <w:r>
              <w:rPr>
                <w:rFonts w:ascii="Arial" w:cs="Arial" w:eastAsia="Arial" w:hAnsi="Arial"/>
                <w:sz w:val="13"/>
                <w:szCs w:val="13"/>
                <w:color w:val="auto"/>
              </w:rPr>
              <w:t>As a percentage of total revenues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jc w:val="right"/>
              <w:ind w:right="476"/>
              <w:spacing w:after="0"/>
              <w:rPr>
                <w:sz w:val="20"/>
                <w:szCs w:val="20"/>
                <w:color w:val="auto"/>
              </w:rPr>
            </w:pPr>
            <w:r>
              <w:rPr>
                <w:rFonts w:ascii="Arial" w:cs="Arial" w:eastAsia="Arial" w:hAnsi="Arial"/>
                <w:sz w:val="13"/>
                <w:szCs w:val="13"/>
                <w:color w:val="auto"/>
              </w:rPr>
              <w:t>14.1%</w:t>
            </w: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loss during 2021 improved as compared to 2020 primarily due to (i) income from operations and (ii) the decrease in interest expense, partially offset by (iii) income tax expense and (iv) the $2.4 million loss on extinguishment of debt recorded in connection with the full repayment of the Senior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Restaurant level Operating Profit and Restaurant level Operating Profit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b w:val="1"/>
                <w:bCs w:val="1"/>
                <w:color w:val="auto"/>
                <w:w w:val="88"/>
              </w:rPr>
              <w:t>Change</w:t>
            </w:r>
          </w:p>
        </w:tc>
        <w:tc>
          <w:tcPr>
            <w:tcW w:w="820" w:type="dxa"/>
            <w:vAlign w:val="bottom"/>
            <w:tcBorders>
              <w:bottom w:val="single" w:sz="8" w:color="auto"/>
            </w:tcBorders>
          </w:tcPr>
          <w:p>
            <w:pPr>
              <w:spacing w:after="0"/>
              <w:rPr>
                <w:sz w:val="14"/>
                <w:szCs w:val="14"/>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Restaurant level operating profit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115,404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28,236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87,168</w:t>
            </w:r>
          </w:p>
        </w:tc>
        <w:tc>
          <w:tcPr>
            <w:tcW w:w="820" w:type="dxa"/>
            <w:vAlign w:val="bottom"/>
            <w:shd w:val="clear" w:color="auto" w:fill="CCEEFF"/>
          </w:tcPr>
          <w:p>
            <w:pPr>
              <w:ind w:left="480"/>
              <w:spacing w:after="0" w:line="163" w:lineRule="exact"/>
              <w:rPr>
                <w:sz w:val="20"/>
                <w:szCs w:val="20"/>
                <w:color w:val="auto"/>
              </w:rPr>
            </w:pPr>
            <w:r>
              <w:rPr>
                <w:rFonts w:ascii="Arial" w:cs="Arial" w:eastAsia="Arial" w:hAnsi="Arial"/>
                <w:sz w:val="13"/>
                <w:szCs w:val="13"/>
                <w:color w:val="auto"/>
                <w:w w:val="81"/>
              </w:rPr>
              <w:t xml:space="preserve">n/m </w:t>
            </w:r>
            <w:r>
              <w:rPr>
                <w:rFonts w:ascii="Arial" w:cs="Arial" w:eastAsia="Arial" w:hAnsi="Arial"/>
                <w:sz w:val="17"/>
                <w:szCs w:val="17"/>
                <w:color w:val="auto"/>
                <w:w w:val="81"/>
                <w:vertAlign w:val="superscript"/>
              </w:rPr>
              <w:t>(1)</w:t>
            </w:r>
          </w:p>
        </w:tc>
      </w:tr>
      <w:tr>
        <w:trPr>
          <w:trHeight w:val="163"/>
        </w:trPr>
        <w:tc>
          <w:tcPr>
            <w:tcW w:w="5020" w:type="dxa"/>
            <w:vAlign w:val="bottom"/>
          </w:tcPr>
          <w:p>
            <w:pPr>
              <w:ind w:left="20"/>
              <w:spacing w:after="0"/>
              <w:rPr>
                <w:sz w:val="20"/>
                <w:szCs w:val="20"/>
                <w:color w:val="auto"/>
              </w:rPr>
            </w:pPr>
            <w:r>
              <w:rPr>
                <w:rFonts w:ascii="Arial" w:cs="Arial" w:eastAsia="Arial" w:hAnsi="Arial"/>
                <w:sz w:val="13"/>
                <w:szCs w:val="13"/>
                <w:color w:val="auto"/>
              </w:rPr>
              <w:t>Restaurant level operating profit margin</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19.5 %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8.4 %</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jc w:val="right"/>
              <w:ind w:right="476"/>
              <w:spacing w:after="0"/>
              <w:rPr>
                <w:sz w:val="20"/>
                <w:szCs w:val="20"/>
                <w:color w:val="auto"/>
              </w:rPr>
            </w:pPr>
            <w:r>
              <w:rPr>
                <w:rFonts w:ascii="Arial" w:cs="Arial" w:eastAsia="Arial" w:hAnsi="Arial"/>
                <w:sz w:val="13"/>
                <w:szCs w:val="13"/>
                <w:color w:val="auto"/>
              </w:rPr>
              <w:t>11.1%</w:t>
            </w:r>
          </w:p>
        </w:tc>
        <w:tc>
          <w:tcPr>
            <w:tcW w:w="820" w:type="dxa"/>
            <w:vAlign w:val="bottom"/>
          </w:tcPr>
          <w:p>
            <w:pPr>
              <w:spacing w:after="0"/>
              <w:rPr>
                <w:sz w:val="14"/>
                <w:szCs w:val="14"/>
                <w:color w:val="auto"/>
              </w:rPr>
            </w:pPr>
          </w:p>
        </w:tc>
      </w:tr>
      <w:tr>
        <w:trPr>
          <w:trHeight w:val="149"/>
        </w:trPr>
        <w:tc>
          <w:tcPr>
            <w:tcW w:w="5020" w:type="dxa"/>
            <w:vAlign w:val="bottom"/>
          </w:tcPr>
          <w:p>
            <w:pPr>
              <w:spacing w:after="0"/>
              <w:rPr>
                <w:sz w:val="20"/>
                <w:szCs w:val="20"/>
                <w:color w:val="auto"/>
              </w:rPr>
            </w:pPr>
            <w:r>
              <w:rPr>
                <w:rFonts w:ascii="Arial" w:cs="Arial" w:eastAsia="Arial" w:hAnsi="Arial"/>
                <w:sz w:val="13"/>
                <w:szCs w:val="13"/>
                <w:color w:val="auto"/>
              </w:rPr>
              <w:t>___________</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1"/>
        </w:trPr>
        <w:tc>
          <w:tcPr>
            <w:tcW w:w="5020" w:type="dxa"/>
            <w:vAlign w:val="bottom"/>
          </w:tcPr>
          <w:p>
            <w:pPr>
              <w:spacing w:after="0"/>
              <w:rPr>
                <w:sz w:val="20"/>
                <w:szCs w:val="20"/>
                <w:color w:val="auto"/>
              </w:rPr>
            </w:pPr>
            <w:r>
              <w:rPr>
                <w:rFonts w:ascii="Arial" w:cs="Arial" w:eastAsia="Arial" w:hAnsi="Arial"/>
                <w:sz w:val="13"/>
                <w:szCs w:val="13"/>
                <w:color w:val="auto"/>
              </w:rPr>
              <w:t>(1) Not meaningful</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increase in Restaurant level operating profit during 2021 as compared to 2020 was primarily due to the (i) the increase in restaurant sales, driven by the increase in traffic, and off-premises sales as well as (ii) the operations of the 22 NROs.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b w:val="1"/>
                <w:bCs w:val="1"/>
                <w:color w:val="auto"/>
                <w:w w:val="88"/>
              </w:rPr>
              <w:t>Change</w:t>
            </w:r>
          </w:p>
        </w:tc>
        <w:tc>
          <w:tcPr>
            <w:tcW w:w="820" w:type="dxa"/>
            <w:vAlign w:val="bottom"/>
            <w:tcBorders>
              <w:bottom w:val="single" w:sz="8" w:color="auto"/>
            </w:tcBorders>
          </w:tcPr>
          <w:p>
            <w:pPr>
              <w:spacing w:after="0"/>
              <w:rPr>
                <w:sz w:val="14"/>
                <w:szCs w:val="14"/>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66,301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(5,744)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72,045</w:t>
            </w:r>
          </w:p>
        </w:tc>
        <w:tc>
          <w:tcPr>
            <w:tcW w:w="820" w:type="dxa"/>
            <w:vAlign w:val="bottom"/>
            <w:shd w:val="clear" w:color="auto" w:fill="CCEEFF"/>
          </w:tcPr>
          <w:p>
            <w:pPr>
              <w:ind w:left="480"/>
              <w:spacing w:after="0" w:line="163" w:lineRule="exact"/>
              <w:rPr>
                <w:sz w:val="20"/>
                <w:szCs w:val="20"/>
                <w:color w:val="auto"/>
              </w:rPr>
            </w:pPr>
            <w:r>
              <w:rPr>
                <w:rFonts w:ascii="Arial" w:cs="Arial" w:eastAsia="Arial" w:hAnsi="Arial"/>
                <w:sz w:val="13"/>
                <w:szCs w:val="13"/>
                <w:color w:val="auto"/>
                <w:w w:val="81"/>
              </w:rPr>
              <w:t xml:space="preserve">n/m </w:t>
            </w:r>
            <w:r>
              <w:rPr>
                <w:rFonts w:ascii="Arial" w:cs="Arial" w:eastAsia="Arial" w:hAnsi="Arial"/>
                <w:sz w:val="17"/>
                <w:szCs w:val="17"/>
                <w:color w:val="auto"/>
                <w:w w:val="81"/>
                <w:vertAlign w:val="superscript"/>
              </w:rPr>
              <w:t>(1)</w:t>
            </w:r>
          </w:p>
        </w:tc>
      </w:tr>
      <w:tr>
        <w:trPr>
          <w:trHeight w:val="165"/>
        </w:trPr>
        <w:tc>
          <w:tcPr>
            <w:tcW w:w="502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jc w:val="right"/>
              <w:ind w:right="476"/>
              <w:spacing w:after="0"/>
              <w:rPr>
                <w:sz w:val="20"/>
                <w:szCs w:val="20"/>
                <w:color w:val="auto"/>
              </w:rPr>
            </w:pPr>
            <w:r>
              <w:rPr>
                <w:rFonts w:ascii="Arial" w:cs="Arial" w:eastAsia="Arial" w:hAnsi="Arial"/>
                <w:sz w:val="13"/>
                <w:szCs w:val="13"/>
                <w:color w:val="auto"/>
              </w:rPr>
              <w:t>12.7%</w:t>
            </w:r>
          </w:p>
        </w:tc>
        <w:tc>
          <w:tcPr>
            <w:tcW w:w="820" w:type="dxa"/>
            <w:vAlign w:val="bottom"/>
          </w:tcPr>
          <w:p>
            <w:pPr>
              <w:spacing w:after="0"/>
              <w:rPr>
                <w:sz w:val="14"/>
                <w:szCs w:val="14"/>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(1) Not meaningful</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increase in Adjusted EBITDA during 2021 as compared to 2020 was primarily due to (i) the increase in restaurant level operating profit, partially offset by (ii) the increase in general and administrative expenses mainly due to the increase in employee headcount, performance-related and discretionary bonuses, as well as, marketing spend, insurance, recruiting, training and travel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To supplement the consolidated financial statements, which are prepared in accordance with GAAP, we use non-GAAP measures, which present operating results on an adjusted basis. These are supplemental measures of performance that are not required by or presented in accordance with GAAP include the following: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Management believes that the use of these non-GAAP measures provides investors with additional transparency of our operations, facilitates analysis and comparisons of our ongoing business operations because they exclude items that may not be indicative of our ongoing operating performance, identifies operational trends and allows for greater transparency with respect to key metrics used by us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Restaurant level operating profit and restaurant level operating profit margin are important measures we use to evaluate the performance and profitability of each operating restaurant, individually and in the aggregate and to make decisions regarding future spending and other operational decisions.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Net loss and Net loss margin, the most directly comparable GAAP measures, to Adjusted EBITDA and Adjusted EBITDA margin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2019</w:t>
            </w:r>
          </w:p>
        </w:tc>
      </w:tr>
      <w:tr>
        <w:trPr>
          <w:trHeight w:val="163"/>
        </w:trPr>
        <w:tc>
          <w:tcPr>
            <w:tcW w:w="6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loss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(49,681)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(45,472)</w:t>
            </w:r>
          </w:p>
        </w:tc>
      </w:tr>
      <w:tr>
        <w:trPr>
          <w:trHeight w:val="168"/>
        </w:trPr>
        <w:tc>
          <w:tcPr>
            <w:tcW w:w="664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32,379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30,725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28,027</w:t>
            </w:r>
          </w:p>
        </w:tc>
      </w:tr>
      <w:tr>
        <w:trPr>
          <w:trHeight w:val="172"/>
        </w:trPr>
        <w:tc>
          <w:tcPr>
            <w:tcW w:w="66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20,099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22,815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20,080</w:t>
            </w:r>
          </w:p>
        </w:tc>
      </w:tr>
      <w:tr>
        <w:trPr>
          <w:trHeight w:val="168"/>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Income taxes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2,477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(19,873)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(12,419)</w:t>
            </w:r>
          </w:p>
        </w:tc>
      </w:tr>
      <w:tr>
        <w:trPr>
          <w:trHeight w:val="163"/>
        </w:trPr>
        <w:tc>
          <w:tcPr>
            <w:tcW w:w="6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EBITDA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52,848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(16,014)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(9,784)</w:t>
            </w:r>
          </w:p>
        </w:tc>
      </w:tr>
      <w:tr>
        <w:trPr>
          <w:trHeight w:val="170"/>
        </w:trPr>
        <w:tc>
          <w:tcPr>
            <w:tcW w:w="6640" w:type="dxa"/>
            <w:vAlign w:val="bottom"/>
          </w:tcPr>
          <w:p>
            <w:pPr>
              <w:ind w:left="360"/>
              <w:spacing w:after="0" w:line="170" w:lineRule="exact"/>
              <w:rPr>
                <w:sz w:val="20"/>
                <w:szCs w:val="20"/>
                <w:color w:val="auto"/>
              </w:rPr>
            </w:pPr>
            <w:r>
              <w:rPr>
                <w:rFonts w:ascii="Arial" w:cs="Arial" w:eastAsia="Arial" w:hAnsi="Arial"/>
                <w:sz w:val="13"/>
                <w:szCs w:val="13"/>
                <w:color w:val="auto"/>
              </w:rPr>
              <w:t xml:space="preserve">IPO-readiness and strategic transition costs </w:t>
            </w:r>
            <w:r>
              <w:rPr>
                <w:rFonts w:ascii="Arial" w:cs="Arial" w:eastAsia="Arial" w:hAnsi="Arial"/>
                <w:sz w:val="16"/>
                <w:szCs w:val="16"/>
                <w:color w:val="auto"/>
                <w:vertAlign w:val="superscript"/>
              </w:rPr>
              <w:t>(1)</w:t>
            </w: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2,402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4,247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10,012</w:t>
            </w:r>
          </w:p>
        </w:tc>
      </w:tr>
      <w:tr>
        <w:trPr>
          <w:trHeight w:val="170"/>
        </w:trPr>
        <w:tc>
          <w:tcPr>
            <w:tcW w:w="6640" w:type="dxa"/>
            <w:vAlign w:val="bottom"/>
            <w:shd w:val="clear" w:color="auto" w:fill="CCEEFF"/>
          </w:tcPr>
          <w:p>
            <w:pPr>
              <w:ind w:left="360"/>
              <w:spacing w:after="0" w:line="170" w:lineRule="exact"/>
              <w:rPr>
                <w:sz w:val="20"/>
                <w:szCs w:val="20"/>
                <w:color w:val="auto"/>
              </w:rPr>
            </w:pPr>
            <w:r>
              <w:rPr>
                <w:rFonts w:ascii="Arial" w:cs="Arial" w:eastAsia="Arial" w:hAnsi="Arial"/>
                <w:sz w:val="13"/>
                <w:szCs w:val="13"/>
                <w:color w:val="auto"/>
              </w:rPr>
              <w:t xml:space="preserve">Stock-based compensation </w:t>
            </w:r>
            <w:r>
              <w:rPr>
                <w:rFonts w:ascii="Arial" w:cs="Arial" w:eastAsia="Arial" w:hAnsi="Arial"/>
                <w:sz w:val="16"/>
                <w:szCs w:val="16"/>
                <w:color w:val="auto"/>
                <w:vertAlign w:val="superscript"/>
              </w:rPr>
              <w:t>(2)</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8,596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1,160</w:t>
            </w:r>
          </w:p>
        </w:tc>
      </w:tr>
      <w:tr>
        <w:trPr>
          <w:trHeight w:val="180"/>
        </w:trPr>
        <w:tc>
          <w:tcPr>
            <w:tcW w:w="6640" w:type="dxa"/>
            <w:vAlign w:val="bottom"/>
          </w:tcPr>
          <w:p>
            <w:pPr>
              <w:ind w:left="360"/>
              <w:spacing w:after="0"/>
              <w:rPr>
                <w:sz w:val="20"/>
                <w:szCs w:val="20"/>
                <w:color w:val="auto"/>
              </w:rPr>
            </w:pPr>
            <w:r>
              <w:rPr>
                <w:rFonts w:ascii="Arial" w:cs="Arial" w:eastAsia="Arial" w:hAnsi="Arial"/>
                <w:sz w:val="13"/>
                <w:szCs w:val="13"/>
                <w:color w:val="auto"/>
              </w:rPr>
              <w:t>Loss on extinguishment of debt</w:t>
            </w:r>
          </w:p>
        </w:tc>
        <w:tc>
          <w:tcPr>
            <w:tcW w:w="340" w:type="dxa"/>
            <w:vAlign w:val="bottom"/>
          </w:tcPr>
          <w:p>
            <w:pPr>
              <w:spacing w:after="0"/>
              <w:rPr>
                <w:sz w:val="15"/>
                <w:szCs w:val="15"/>
                <w:color w:val="auto"/>
              </w:rPr>
            </w:pPr>
          </w:p>
        </w:tc>
        <w:tc>
          <w:tcPr>
            <w:tcW w:w="1140" w:type="dxa"/>
            <w:vAlign w:val="bottom"/>
          </w:tcPr>
          <w:p>
            <w:pPr>
              <w:jc w:val="right"/>
              <w:ind w:right="96"/>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ind w:right="96"/>
              <w:spacing w:after="0"/>
              <w:rPr>
                <w:sz w:val="20"/>
                <w:szCs w:val="20"/>
                <w:color w:val="auto"/>
              </w:rPr>
            </w:pPr>
            <w:r>
              <w:rPr>
                <w:rFonts w:ascii="Arial" w:cs="Arial" w:eastAsia="Arial" w:hAnsi="Arial"/>
                <w:sz w:val="14"/>
                <w:szCs w:val="14"/>
                <w:color w:val="auto"/>
              </w:rPr>
              <w:t>—</w:t>
            </w:r>
          </w:p>
        </w:tc>
      </w:tr>
      <w:tr>
        <w:trPr>
          <w:trHeight w:val="170"/>
        </w:trPr>
        <w:tc>
          <w:tcPr>
            <w:tcW w:w="6640" w:type="dxa"/>
            <w:vAlign w:val="bottom"/>
            <w:shd w:val="clear" w:color="auto" w:fill="CCEEFF"/>
          </w:tcPr>
          <w:p>
            <w:pPr>
              <w:ind w:left="360"/>
              <w:spacing w:after="0" w:line="170" w:lineRule="exact"/>
              <w:rPr>
                <w:sz w:val="20"/>
                <w:szCs w:val="20"/>
                <w:color w:val="auto"/>
              </w:rPr>
            </w:pPr>
            <w:r>
              <w:rPr>
                <w:rFonts w:ascii="Arial" w:cs="Arial" w:eastAsia="Arial" w:hAnsi="Arial"/>
                <w:sz w:val="13"/>
                <w:szCs w:val="13"/>
                <w:color w:val="auto"/>
              </w:rPr>
              <w:t xml:space="preserve">Transaction (income) expenses, net </w:t>
            </w:r>
            <w:r>
              <w:rPr>
                <w:rFonts w:ascii="Arial" w:cs="Arial" w:eastAsia="Arial" w:hAnsi="Arial"/>
                <w:sz w:val="16"/>
                <w:szCs w:val="16"/>
                <w:color w:val="auto"/>
                <w:vertAlign w:val="superscript"/>
              </w:rPr>
              <w:t>(3)</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1,709</w:t>
            </w:r>
          </w:p>
        </w:tc>
      </w:tr>
      <w:tr>
        <w:trPr>
          <w:trHeight w:val="170"/>
        </w:trPr>
        <w:tc>
          <w:tcPr>
            <w:tcW w:w="6640" w:type="dxa"/>
            <w:vAlign w:val="bottom"/>
          </w:tcPr>
          <w:p>
            <w:pPr>
              <w:ind w:left="360"/>
              <w:spacing w:after="0" w:line="170" w:lineRule="exact"/>
              <w:rPr>
                <w:sz w:val="20"/>
                <w:szCs w:val="20"/>
                <w:color w:val="auto"/>
              </w:rPr>
            </w:pPr>
            <w:r>
              <w:rPr>
                <w:rFonts w:ascii="Arial" w:cs="Arial" w:eastAsia="Arial" w:hAnsi="Arial"/>
                <w:sz w:val="13"/>
                <w:szCs w:val="13"/>
                <w:color w:val="auto"/>
              </w:rPr>
              <w:t xml:space="preserve">Impairments and loss on disposal of assets </w:t>
            </w:r>
            <w:r>
              <w:rPr>
                <w:rFonts w:ascii="Arial" w:cs="Arial" w:eastAsia="Arial" w:hAnsi="Arial"/>
                <w:sz w:val="16"/>
                <w:szCs w:val="16"/>
                <w:color w:val="auto"/>
                <w:vertAlign w:val="superscript"/>
              </w:rPr>
              <w:t>(4)</w:t>
            </w: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33,596</w:t>
            </w:r>
          </w:p>
        </w:tc>
      </w:tr>
      <w:tr>
        <w:trPr>
          <w:trHeight w:val="170"/>
        </w:trPr>
        <w:tc>
          <w:tcPr>
            <w:tcW w:w="6640" w:type="dxa"/>
            <w:vAlign w:val="bottom"/>
            <w:shd w:val="clear" w:color="auto" w:fill="CCEEFF"/>
          </w:tcPr>
          <w:p>
            <w:pPr>
              <w:ind w:left="340"/>
              <w:spacing w:after="0" w:line="170" w:lineRule="exact"/>
              <w:rPr>
                <w:sz w:val="20"/>
                <w:szCs w:val="20"/>
                <w:color w:val="auto"/>
              </w:rPr>
            </w:pPr>
            <w:r>
              <w:rPr>
                <w:rFonts w:ascii="Arial" w:cs="Arial" w:eastAsia="Arial" w:hAnsi="Arial"/>
                <w:sz w:val="13"/>
                <w:szCs w:val="13"/>
                <w:color w:val="auto"/>
              </w:rPr>
              <w:t xml:space="preserve">Recruiting and relocation costs </w:t>
            </w:r>
            <w:r>
              <w:rPr>
                <w:rFonts w:ascii="Arial" w:cs="Arial" w:eastAsia="Arial" w:hAnsi="Arial"/>
                <w:sz w:val="16"/>
                <w:szCs w:val="16"/>
                <w:color w:val="auto"/>
                <w:vertAlign w:val="superscript"/>
              </w:rPr>
              <w:t>(5)</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1,081</w:t>
            </w:r>
          </w:p>
        </w:tc>
      </w:tr>
      <w:tr>
        <w:trPr>
          <w:trHeight w:val="170"/>
        </w:trPr>
        <w:tc>
          <w:tcPr>
            <w:tcW w:w="6640" w:type="dxa"/>
            <w:vAlign w:val="bottom"/>
          </w:tcPr>
          <w:p>
            <w:pPr>
              <w:ind w:left="360"/>
              <w:spacing w:after="0" w:line="170" w:lineRule="exact"/>
              <w:rPr>
                <w:sz w:val="20"/>
                <w:szCs w:val="20"/>
                <w:color w:val="auto"/>
              </w:rPr>
            </w:pPr>
            <w:r>
              <w:rPr>
                <w:rFonts w:ascii="Arial" w:cs="Arial" w:eastAsia="Arial" w:hAnsi="Arial"/>
                <w:sz w:val="13"/>
                <w:szCs w:val="13"/>
                <w:color w:val="auto"/>
              </w:rPr>
              <w:t xml:space="preserve">Severance costs </w:t>
            </w:r>
            <w:r>
              <w:rPr>
                <w:rFonts w:ascii="Arial" w:cs="Arial" w:eastAsia="Arial" w:hAnsi="Arial"/>
                <w:sz w:val="16"/>
                <w:szCs w:val="16"/>
                <w:color w:val="auto"/>
                <w:vertAlign w:val="superscript"/>
              </w:rPr>
              <w:t>(6)</w:t>
            </w: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325</w:t>
            </w:r>
          </w:p>
        </w:tc>
      </w:tr>
      <w:tr>
        <w:trPr>
          <w:trHeight w:val="170"/>
        </w:trPr>
        <w:tc>
          <w:tcPr>
            <w:tcW w:w="6640" w:type="dxa"/>
            <w:vAlign w:val="bottom"/>
            <w:shd w:val="clear" w:color="auto" w:fill="CCEEFF"/>
          </w:tcPr>
          <w:p>
            <w:pPr>
              <w:ind w:left="360"/>
              <w:spacing w:after="0" w:line="170" w:lineRule="exact"/>
              <w:rPr>
                <w:sz w:val="20"/>
                <w:szCs w:val="20"/>
                <w:color w:val="auto"/>
              </w:rPr>
            </w:pPr>
            <w:r>
              <w:rPr>
                <w:rFonts w:ascii="Arial" w:cs="Arial" w:eastAsia="Arial" w:hAnsi="Arial"/>
                <w:sz w:val="13"/>
                <w:szCs w:val="13"/>
                <w:color w:val="auto"/>
              </w:rPr>
              <w:t xml:space="preserve">COVID-19 related charges </w:t>
            </w:r>
            <w:r>
              <w:rPr>
                <w:rFonts w:ascii="Arial" w:cs="Arial" w:eastAsia="Arial" w:hAnsi="Arial"/>
                <w:sz w:val="16"/>
                <w:szCs w:val="16"/>
                <w:color w:val="auto"/>
                <w:vertAlign w:val="superscript"/>
              </w:rPr>
              <w:t>(7)</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4,749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58"/>
        </w:trPr>
        <w:tc>
          <w:tcPr>
            <w:tcW w:w="66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Adjusted EBITDA</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66,301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(5,744)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38,099</w:t>
            </w:r>
          </w:p>
        </w:tc>
      </w:tr>
      <w:tr>
        <w:trPr>
          <w:trHeight w:val="163"/>
        </w:trPr>
        <w:tc>
          <w:tcPr>
            <w:tcW w:w="664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revenues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601,193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342,388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436,373</w:t>
            </w:r>
          </w:p>
        </w:tc>
      </w:tr>
      <w:tr>
        <w:trPr>
          <w:trHeight w:val="168"/>
        </w:trPr>
        <w:tc>
          <w:tcPr>
            <w:tcW w:w="6640" w:type="dxa"/>
            <w:vAlign w:val="bottom"/>
          </w:tcPr>
          <w:p>
            <w:pPr>
              <w:ind w:left="360"/>
              <w:spacing w:after="0"/>
              <w:rPr>
                <w:sz w:val="20"/>
                <w:szCs w:val="20"/>
                <w:color w:val="auto"/>
              </w:rPr>
            </w:pPr>
            <w:r>
              <w:rPr>
                <w:rFonts w:ascii="Arial" w:cs="Arial" w:eastAsia="Arial" w:hAnsi="Arial"/>
                <w:sz w:val="13"/>
                <w:szCs w:val="13"/>
                <w:color w:val="auto"/>
              </w:rPr>
              <w:t>Net loss margin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72"/>
        </w:trPr>
        <w:tc>
          <w:tcPr>
            <w:tcW w:w="66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Adjusted EBITDA margin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r>
      <w:tr>
        <w:trPr>
          <w:trHeight w:val="202"/>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9"/>
        </w:trPr>
        <w:tc>
          <w:tcPr>
            <w:tcW w:w="6640" w:type="dxa"/>
            <w:vAlign w:val="bottom"/>
          </w:tcPr>
          <w:p>
            <w:pPr>
              <w:ind w:left="360"/>
              <w:spacing w:after="0"/>
              <w:rPr>
                <w:sz w:val="20"/>
                <w:szCs w:val="20"/>
                <w:color w:val="auto"/>
              </w:rPr>
            </w:pPr>
            <w:r>
              <w:rPr>
                <w:rFonts w:ascii="Arial" w:cs="Arial" w:eastAsia="Arial" w:hAnsi="Arial"/>
                <w:sz w:val="13"/>
                <w:szCs w:val="13"/>
                <w:color w:val="auto"/>
              </w:rPr>
              <w:t xml:space="preserve">Deferred rent (income) expense </w:t>
            </w:r>
            <w:r>
              <w:rPr>
                <w:rFonts w:ascii="Arial" w:cs="Arial" w:eastAsia="Arial" w:hAnsi="Arial"/>
                <w:sz w:val="16"/>
                <w:szCs w:val="16"/>
                <w:color w:val="auto"/>
                <w:vertAlign w:val="superscript"/>
              </w:rPr>
              <w:t>(8)</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9"/>
                <w:szCs w:val="19"/>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10,087</w:t>
            </w:r>
          </w:p>
        </w:tc>
        <w:tc>
          <w:tcPr>
            <w:tcW w:w="80" w:type="dxa"/>
            <w:vAlign w:val="bottom"/>
          </w:tcPr>
          <w:p>
            <w:pPr>
              <w:spacing w:after="0"/>
              <w:rPr>
                <w:sz w:val="19"/>
                <w:szCs w:val="19"/>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4,272</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15" w:lineRule="exact"/>
        <w:rPr>
          <w:sz w:val="20"/>
          <w:szCs w:val="20"/>
          <w:color w:val="auto"/>
        </w:rPr>
      </w:pPr>
    </w:p>
    <w:p>
      <w:pPr>
        <w:ind w:firstLine="5"/>
        <w:spacing w:after="0" w:line="256" w:lineRule="auto"/>
        <w:tabs>
          <w:tab w:leader="none" w:pos="176"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costs related to information technology support and external professional service costs incurred in connection with IPO-readiness efforts as well as the assessment and redesign of our systems and processes. These costs are recorded in General and administrative expenses on the Consolidated Statements of Operations and Comprehensive Loss.</w:t>
      </w:r>
    </w:p>
    <w:p>
      <w:pPr>
        <w:ind w:left="180" w:hanging="175"/>
        <w:spacing w:after="0"/>
        <w:tabs>
          <w:tab w:leader="none" w:pos="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which is recorded in General and administrative expenses on the Consolidated Statements of Operations and Comprehensive Loss.</w:t>
      </w:r>
    </w:p>
    <w:p>
      <w:pPr>
        <w:spacing w:after="0" w:line="10" w:lineRule="exact"/>
        <w:rPr>
          <w:rFonts w:ascii="Arial" w:cs="Arial" w:eastAsia="Arial" w:hAnsi="Arial"/>
          <w:sz w:val="12"/>
          <w:szCs w:val="12"/>
          <w:color w:val="auto"/>
        </w:rPr>
      </w:pPr>
    </w:p>
    <w:p>
      <w:pPr>
        <w:jc w:val="both"/>
        <w:ind w:firstLine="5"/>
        <w:spacing w:after="0" w:line="258" w:lineRule="auto"/>
        <w:tabs>
          <w:tab w:leader="none" w:pos="177"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The amount in 2021 includes a gain of $2.0 million related to an executed agreement to terminate the lease for one company-owned restaurant (see Note 12, </w:t>
      </w:r>
      <w:r>
        <w:rPr>
          <w:rFonts w:ascii="Arial" w:cs="Arial" w:eastAsia="Arial" w:hAnsi="Arial"/>
          <w:sz w:val="12"/>
          <w:szCs w:val="12"/>
          <w:i w:val="1"/>
          <w:iCs w:val="1"/>
          <w:color w:val="auto"/>
        </w:rPr>
        <w:t>Transaction (Income) Expenses, Net</w:t>
      </w:r>
      <w:r>
        <w:rPr>
          <w:rFonts w:ascii="Arial" w:cs="Arial" w:eastAsia="Arial" w:hAnsi="Arial"/>
          <w:sz w:val="12"/>
          <w:szCs w:val="12"/>
          <w:color w:val="auto"/>
        </w:rPr>
        <w:t xml:space="preserve"> in the accompanying notes to the consolidated financial statements). The amounts for the periods presented also include (i) the revaluation of the contingent consideration payable to previous stockholders for tax savings generated through use of federal and state loss carryforwards and general business credits that had been accumulated from operations prior to August 2017 (see Note 13, </w:t>
      </w:r>
      <w:r>
        <w:rPr>
          <w:rFonts w:ascii="Arial" w:cs="Arial" w:eastAsia="Arial" w:hAnsi="Arial"/>
          <w:sz w:val="12"/>
          <w:szCs w:val="12"/>
          <w:i w:val="1"/>
          <w:iCs w:val="1"/>
          <w:color w:val="auto"/>
        </w:rPr>
        <w:t>Income Taxes</w:t>
      </w:r>
      <w:r>
        <w:rPr>
          <w:rFonts w:ascii="Arial" w:cs="Arial" w:eastAsia="Arial" w:hAnsi="Arial"/>
          <w:sz w:val="12"/>
          <w:szCs w:val="12"/>
          <w:color w:val="auto"/>
        </w:rPr>
        <w:t>, in the accompanying notes to the consolidated financial statements), (ii) costs incurred in connection with the acquisition of certain franchise-owned restaurants, (iii) costs incurred in connection with the conversion of certain restaurants to company-owned restaurants operating under the First Watch trade name and (iv) costs related to restaurant closures.</w:t>
      </w:r>
    </w:p>
    <w:p>
      <w:pPr>
        <w:ind w:left="180" w:hanging="175"/>
        <w:spacing w:after="0"/>
        <w:tabs>
          <w:tab w:leader="none" w:pos="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impairments recognized on intangible assets and fixed assets as well as costs related to the disposal of assets due to retirements, replacements or certain restaurant closures.</w:t>
      </w:r>
    </w:p>
    <w:p>
      <w:pPr>
        <w:spacing w:after="0" w:line="10" w:lineRule="exact"/>
        <w:rPr>
          <w:rFonts w:ascii="Arial" w:cs="Arial" w:eastAsia="Arial" w:hAnsi="Arial"/>
          <w:sz w:val="12"/>
          <w:szCs w:val="12"/>
          <w:color w:val="auto"/>
        </w:rPr>
      </w:pPr>
    </w:p>
    <w:p>
      <w:pPr>
        <w:ind w:firstLine="5"/>
        <w:spacing w:after="0" w:line="258" w:lineRule="auto"/>
        <w:tabs>
          <w:tab w:leader="none" w:pos="19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costs incurred for hiring qualified individuals as we assessed the redesign of our systems and processes. These costs are recorded in General and administrative expenses on the Consolidated Statements of Operations and Comprehensive Loss.</w:t>
      </w:r>
    </w:p>
    <w:p>
      <w:pPr>
        <w:ind w:left="180" w:hanging="175"/>
        <w:spacing w:after="0"/>
        <w:tabs>
          <w:tab w:leader="none" w:pos="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Severance costs are recorded in General and administrative expenses on the Consolidated Statements of Operations and Comprehensive Loss.</w:t>
      </w:r>
    </w:p>
    <w:p>
      <w:pPr>
        <w:spacing w:after="0" w:line="10" w:lineRule="exact"/>
        <w:rPr>
          <w:rFonts w:ascii="Arial" w:cs="Arial" w:eastAsia="Arial" w:hAnsi="Arial"/>
          <w:sz w:val="12"/>
          <w:szCs w:val="12"/>
          <w:color w:val="auto"/>
        </w:rPr>
      </w:pPr>
    </w:p>
    <w:p>
      <w:pPr>
        <w:ind w:left="180" w:hanging="175"/>
        <w:spacing w:after="0"/>
        <w:tabs>
          <w:tab w:leader="none" w:pos="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Consists of costs incurred in connection with the economic impact of the COVID-19 pandemic (see Note 4, </w:t>
      </w:r>
      <w:r>
        <w:rPr>
          <w:rFonts w:ascii="Arial" w:cs="Arial" w:eastAsia="Arial" w:hAnsi="Arial"/>
          <w:sz w:val="12"/>
          <w:szCs w:val="12"/>
          <w:i w:val="1"/>
          <w:iCs w:val="1"/>
          <w:color w:val="auto"/>
        </w:rPr>
        <w:t>COVID-19 Charges</w:t>
      </w:r>
      <w:r>
        <w:rPr>
          <w:rFonts w:ascii="Arial" w:cs="Arial" w:eastAsia="Arial" w:hAnsi="Arial"/>
          <w:sz w:val="12"/>
          <w:szCs w:val="12"/>
          <w:color w:val="auto"/>
        </w:rPr>
        <w:t>, in the accompanying notes to the consolidated financial statements).</w:t>
      </w:r>
    </w:p>
    <w:p>
      <w:pPr>
        <w:spacing w:after="0" w:line="10" w:lineRule="exact"/>
        <w:rPr>
          <w:rFonts w:ascii="Arial" w:cs="Arial" w:eastAsia="Arial" w:hAnsi="Arial"/>
          <w:sz w:val="12"/>
          <w:szCs w:val="12"/>
          <w:color w:val="auto"/>
        </w:rPr>
      </w:pPr>
    </w:p>
    <w:p>
      <w:pPr>
        <w:ind w:left="180" w:hanging="175"/>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the non-cash portion of straight-line rent expense included in Occupancy expenses and General and administrative expenses on the Consolidated Statements of Operations and Comprehensive Loss.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The following table reconciles Income (Loss) from operations and Income (Loss) from operations margin, the most directly comparable GAAP financial measure, to Restaurant level operating profit and Restaurant level operating profit margin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2019</w:t>
            </w:r>
          </w:p>
        </w:tc>
      </w:tr>
      <w:tr>
        <w:trPr>
          <w:trHeight w:val="16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22,243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(47,222)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(37,556)</w:t>
            </w:r>
          </w:p>
        </w:tc>
      </w:tr>
      <w:tr>
        <w:trPr>
          <w:trHeight w:val="168"/>
        </w:trPr>
        <w:tc>
          <w:tcPr>
            <w:tcW w:w="6640" w:type="dxa"/>
            <w:vAlign w:val="bottom"/>
          </w:tcPr>
          <w:p>
            <w:pPr>
              <w:ind w:left="280"/>
              <w:spacing w:after="0"/>
              <w:rPr>
                <w:sz w:val="20"/>
                <w:szCs w:val="20"/>
                <w:color w:val="auto"/>
              </w:rPr>
            </w:pPr>
            <w:r>
              <w:rPr>
                <w:rFonts w:ascii="Arial" w:cs="Arial" w:eastAsia="Arial" w:hAnsi="Arial"/>
                <w:sz w:val="13"/>
                <w:szCs w:val="13"/>
                <w:color w:val="auto"/>
              </w:rPr>
              <w:t>Less: Franchise revenues</w:t>
            </w: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8,850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4,955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7,064</w:t>
            </w:r>
          </w:p>
        </w:tc>
      </w:tr>
      <w:tr>
        <w:trPr>
          <w:trHeight w:val="172"/>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6640" w:type="dxa"/>
            <w:vAlign w:val="bottom"/>
          </w:tcPr>
          <w:p>
            <w:pPr>
              <w:ind w:left="280"/>
              <w:spacing w:after="0"/>
              <w:rPr>
                <w:sz w:val="20"/>
                <w:szCs w:val="20"/>
                <w:color w:val="auto"/>
              </w:rPr>
            </w:pPr>
            <w:r>
              <w:rPr>
                <w:rFonts w:ascii="Arial" w:cs="Arial" w:eastAsia="Arial" w:hAnsi="Arial"/>
                <w:sz w:val="13"/>
                <w:szCs w:val="13"/>
                <w:color w:val="auto"/>
              </w:rPr>
              <w:t>General and administrative expenses</w:t>
            </w: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70,388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46,322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55,818</w:t>
            </w:r>
          </w:p>
        </w:tc>
      </w:tr>
      <w:tr>
        <w:trPr>
          <w:trHeight w:val="172"/>
        </w:trPr>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32,379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30,725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28,027</w:t>
            </w:r>
          </w:p>
        </w:tc>
      </w:tr>
      <w:tr>
        <w:trPr>
          <w:trHeight w:val="170"/>
        </w:trPr>
        <w:tc>
          <w:tcPr>
            <w:tcW w:w="6640" w:type="dxa"/>
            <w:vAlign w:val="bottom"/>
          </w:tcPr>
          <w:p>
            <w:pPr>
              <w:ind w:left="280"/>
              <w:spacing w:after="0" w:line="170" w:lineRule="exact"/>
              <w:rPr>
                <w:sz w:val="20"/>
                <w:szCs w:val="20"/>
                <w:color w:val="auto"/>
              </w:rPr>
            </w:pPr>
            <w:r>
              <w:rPr>
                <w:rFonts w:ascii="Arial" w:cs="Arial" w:eastAsia="Arial" w:hAnsi="Arial"/>
                <w:sz w:val="13"/>
                <w:szCs w:val="13"/>
                <w:color w:val="auto"/>
              </w:rPr>
              <w:t xml:space="preserve">Transaction (income) expenses, net </w:t>
            </w:r>
            <w:r>
              <w:rPr>
                <w:rFonts w:ascii="Arial" w:cs="Arial" w:eastAsia="Arial" w:hAnsi="Arial"/>
                <w:sz w:val="16"/>
                <w:szCs w:val="16"/>
                <w:color w:val="auto"/>
                <w:vertAlign w:val="superscript"/>
              </w:rPr>
              <w:t>(1)</w:t>
            </w:r>
          </w:p>
        </w:tc>
        <w:tc>
          <w:tcPr>
            <w:tcW w:w="360" w:type="dxa"/>
            <w:vAlign w:val="bottom"/>
          </w:tcPr>
          <w:p>
            <w:pPr>
              <w:spacing w:after="0"/>
              <w:rPr>
                <w:sz w:val="14"/>
                <w:szCs w:val="14"/>
                <w:color w:val="auto"/>
              </w:rPr>
            </w:pP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(1,156)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1,709</w:t>
            </w:r>
          </w:p>
        </w:tc>
      </w:tr>
      <w:tr>
        <w:trPr>
          <w:trHeight w:val="170"/>
        </w:trPr>
        <w:tc>
          <w:tcPr>
            <w:tcW w:w="6640" w:type="dxa"/>
            <w:vAlign w:val="bottom"/>
            <w:shd w:val="clear" w:color="auto" w:fill="CCEEFF"/>
          </w:tcPr>
          <w:p>
            <w:pPr>
              <w:ind w:left="280"/>
              <w:spacing w:after="0" w:line="170" w:lineRule="exact"/>
              <w:rPr>
                <w:sz w:val="20"/>
                <w:szCs w:val="20"/>
                <w:color w:val="auto"/>
              </w:rPr>
            </w:pPr>
            <w:r>
              <w:rPr>
                <w:rFonts w:ascii="Arial" w:cs="Arial" w:eastAsia="Arial" w:hAnsi="Arial"/>
                <w:sz w:val="13"/>
                <w:szCs w:val="13"/>
                <w:color w:val="auto"/>
              </w:rPr>
              <w:t xml:space="preserve">Impairments and loss on disposal of assets </w:t>
            </w:r>
            <w:r>
              <w:rPr>
                <w:rFonts w:ascii="Arial" w:cs="Arial" w:eastAsia="Arial" w:hAnsi="Arial"/>
                <w:sz w:val="16"/>
                <w:szCs w:val="16"/>
                <w:color w:val="auto"/>
                <w:vertAlign w:val="superscript"/>
              </w:rPr>
              <w:t>(2)</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33,596</w:t>
            </w:r>
          </w:p>
        </w:tc>
      </w:tr>
      <w:tr>
        <w:trPr>
          <w:trHeight w:val="170"/>
        </w:trPr>
        <w:tc>
          <w:tcPr>
            <w:tcW w:w="6640" w:type="dxa"/>
            <w:vAlign w:val="bottom"/>
            <w:tcBorders>
              <w:bottom w:val="single" w:sz="8" w:color="CCEEFF"/>
            </w:tcBorders>
          </w:tcPr>
          <w:p>
            <w:pPr>
              <w:ind w:left="280"/>
              <w:spacing w:after="0" w:line="170" w:lineRule="exact"/>
              <w:rPr>
                <w:sz w:val="20"/>
                <w:szCs w:val="20"/>
                <w:color w:val="auto"/>
              </w:rPr>
            </w:pPr>
            <w:r>
              <w:rPr>
                <w:rFonts w:ascii="Arial" w:cs="Arial" w:eastAsia="Arial" w:hAnsi="Arial"/>
                <w:sz w:val="13"/>
                <w:szCs w:val="13"/>
                <w:color w:val="auto"/>
              </w:rPr>
              <w:t xml:space="preserve">COVID-19 related charges </w:t>
            </w:r>
            <w:r>
              <w:rPr>
                <w:rFonts w:ascii="Arial" w:cs="Arial" w:eastAsia="Arial" w:hAnsi="Arial"/>
                <w:sz w:val="16"/>
                <w:szCs w:val="16"/>
                <w:color w:val="auto"/>
                <w:vertAlign w:val="superscript"/>
              </w:rPr>
              <w:t>(3)</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3,309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160"/>
        </w:trPr>
        <w:tc>
          <w:tcPr>
            <w:tcW w:w="66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Restaurant level operating profit</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115,404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28,236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74,530</w:t>
            </w:r>
          </w:p>
        </w:tc>
      </w:tr>
      <w:tr>
        <w:trPr>
          <w:trHeight w:val="158"/>
        </w:trPr>
        <w:tc>
          <w:tcPr>
            <w:tcW w:w="6640" w:type="dxa"/>
            <w:vAlign w:val="bottom"/>
          </w:tcPr>
          <w:p>
            <w:pPr>
              <w:ind w:left="280"/>
              <w:spacing w:after="0" w:line="146" w:lineRule="exact"/>
              <w:rPr>
                <w:sz w:val="20"/>
                <w:szCs w:val="20"/>
                <w:color w:val="auto"/>
              </w:rPr>
            </w:pPr>
            <w:r>
              <w:rPr>
                <w:rFonts w:ascii="Arial" w:cs="Arial" w:eastAsia="Arial" w:hAnsi="Arial"/>
                <w:sz w:val="13"/>
                <w:szCs w:val="13"/>
                <w:color w:val="auto"/>
              </w:rPr>
              <w:t>Restaurant sales</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592,343</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337,433</w:t>
            </w:r>
          </w:p>
        </w:tc>
        <w:tc>
          <w:tcPr>
            <w:tcW w:w="8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429,309</w:t>
            </w:r>
          </w:p>
        </w:tc>
      </w:tr>
      <w:tr>
        <w:trPr>
          <w:trHeight w:val="172"/>
        </w:trPr>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from operations margin</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8"/>
        </w:trPr>
        <w:tc>
          <w:tcPr>
            <w:tcW w:w="6640" w:type="dxa"/>
            <w:vAlign w:val="bottom"/>
          </w:tcPr>
          <w:p>
            <w:pPr>
              <w:ind w:left="280"/>
              <w:spacing w:after="0"/>
              <w:rPr>
                <w:sz w:val="20"/>
                <w:szCs w:val="20"/>
                <w:color w:val="auto"/>
              </w:rPr>
            </w:pPr>
            <w:r>
              <w:rPr>
                <w:rFonts w:ascii="Arial" w:cs="Arial" w:eastAsia="Arial" w:hAnsi="Arial"/>
                <w:sz w:val="13"/>
                <w:szCs w:val="13"/>
                <w:color w:val="auto"/>
              </w:rPr>
              <w:t>Restaurant level operating profit margin</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19.5 %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17.4 %</w:t>
            </w:r>
          </w:p>
        </w:tc>
      </w:tr>
      <w:tr>
        <w:trPr>
          <w:trHeight w:val="172"/>
        </w:trPr>
        <w:tc>
          <w:tcPr>
            <w:tcW w:w="6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6640" w:type="dxa"/>
            <w:vAlign w:val="bottom"/>
          </w:tcPr>
          <w:p>
            <w:pPr>
              <w:ind w:left="20"/>
              <w:spacing w:after="0"/>
              <w:rPr>
                <w:sz w:val="20"/>
                <w:szCs w:val="20"/>
                <w:color w:val="auto"/>
              </w:rPr>
            </w:pPr>
            <w:r>
              <w:rPr>
                <w:rFonts w:ascii="Arial" w:cs="Arial" w:eastAsia="Arial" w:hAnsi="Arial"/>
                <w:sz w:val="13"/>
                <w:szCs w:val="13"/>
                <w:color w:val="auto"/>
              </w:rPr>
              <w:t>Additional information</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6640" w:type="dxa"/>
            <w:vAlign w:val="bottom"/>
            <w:shd w:val="clear" w:color="auto" w:fill="CCEEFF"/>
          </w:tcPr>
          <w:p>
            <w:pPr>
              <w:ind w:left="360"/>
              <w:spacing w:after="0" w:line="172" w:lineRule="exact"/>
              <w:rPr>
                <w:sz w:val="20"/>
                <w:szCs w:val="20"/>
                <w:color w:val="auto"/>
              </w:rPr>
            </w:pPr>
            <w:r>
              <w:rPr>
                <w:rFonts w:ascii="Arial" w:cs="Arial" w:eastAsia="Arial" w:hAnsi="Arial"/>
                <w:sz w:val="13"/>
                <w:szCs w:val="13"/>
                <w:color w:val="auto"/>
              </w:rPr>
              <w:t xml:space="preserve">Deferred rent (income) expense </w:t>
            </w:r>
            <w:r>
              <w:rPr>
                <w:rFonts w:ascii="Arial" w:cs="Arial" w:eastAsia="Arial" w:hAnsi="Arial"/>
                <w:sz w:val="16"/>
                <w:szCs w:val="16"/>
                <w:color w:val="auto"/>
                <w:vertAlign w:val="superscript"/>
              </w:rPr>
              <w:t>(4)</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10,029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4,256</w:t>
            </w: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_____________________________</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jc w:val="both"/>
        <w:ind w:firstLine="5"/>
        <w:spacing w:after="0" w:line="257" w:lineRule="auto"/>
        <w:tabs>
          <w:tab w:leader="none" w:pos="177"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The amount in 2021 includes a gain of $2.0 million related to an executed agreement to terminate the lease for one company-owned restaurant (see Note 12, </w:t>
      </w:r>
      <w:r>
        <w:rPr>
          <w:rFonts w:ascii="Arial" w:cs="Arial" w:eastAsia="Arial" w:hAnsi="Arial"/>
          <w:sz w:val="12"/>
          <w:szCs w:val="12"/>
          <w:i w:val="1"/>
          <w:iCs w:val="1"/>
          <w:color w:val="auto"/>
        </w:rPr>
        <w:t>Transaction (Income) Expenses, Net</w:t>
      </w:r>
      <w:r>
        <w:rPr>
          <w:rFonts w:ascii="Arial" w:cs="Arial" w:eastAsia="Arial" w:hAnsi="Arial"/>
          <w:sz w:val="12"/>
          <w:szCs w:val="12"/>
          <w:color w:val="auto"/>
        </w:rPr>
        <w:t xml:space="preserve"> in the accompanying notes to the consolidated financial statements). The amounts for the periods presented also include (i) the revaluation of the contingent consideration payable to previous stockholders for tax savings generated through use of federal and state loss carryforwards and general business credits that had been accumulated from operations prior to August 2017 (see Note 13, </w:t>
      </w:r>
      <w:r>
        <w:rPr>
          <w:rFonts w:ascii="Arial" w:cs="Arial" w:eastAsia="Arial" w:hAnsi="Arial"/>
          <w:sz w:val="12"/>
          <w:szCs w:val="12"/>
          <w:i w:val="1"/>
          <w:iCs w:val="1"/>
          <w:color w:val="auto"/>
        </w:rPr>
        <w:t>Income Taxes</w:t>
      </w:r>
      <w:r>
        <w:rPr>
          <w:rFonts w:ascii="Arial" w:cs="Arial" w:eastAsia="Arial" w:hAnsi="Arial"/>
          <w:sz w:val="12"/>
          <w:szCs w:val="12"/>
          <w:color w:val="auto"/>
        </w:rPr>
        <w:t>, in the accompanying notes to the consolidated financial statements for additional information), (ii) costs incurred in connection with the acquisition of certain franchise-owned restaurants, (iii) costs incurred in connection with the conversion of certain restaurants to company-owned restaurants operating under the First Watch trade name and (iv) costs related to restaurant closures.</w:t>
      </w:r>
    </w:p>
    <w:p>
      <w:pPr>
        <w:spacing w:after="0" w:line="1" w:lineRule="exact"/>
        <w:rPr>
          <w:rFonts w:ascii="Arial" w:cs="Arial" w:eastAsia="Arial" w:hAnsi="Arial"/>
          <w:sz w:val="12"/>
          <w:szCs w:val="12"/>
          <w:color w:val="auto"/>
        </w:rPr>
      </w:pPr>
    </w:p>
    <w:p>
      <w:pPr>
        <w:ind w:left="180" w:hanging="175"/>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impairments recognized on intangible assets and fixed assets as well as costs related to the disposal of assets due to retirements, replacements or certain restaurant closures.</w:t>
      </w:r>
    </w:p>
    <w:p>
      <w:pPr>
        <w:spacing w:after="0" w:line="10" w:lineRule="exact"/>
        <w:rPr>
          <w:rFonts w:ascii="Arial" w:cs="Arial" w:eastAsia="Arial" w:hAnsi="Arial"/>
          <w:sz w:val="12"/>
          <w:szCs w:val="12"/>
          <w:color w:val="auto"/>
        </w:rPr>
      </w:pPr>
    </w:p>
    <w:p>
      <w:pPr>
        <w:ind w:left="180" w:hanging="175"/>
        <w:spacing w:after="0"/>
        <w:tabs>
          <w:tab w:leader="none" w:pos="1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 xml:space="preserve">Consists of costs incurred in connection with the economic impact of the COVID-19 pandemic (see Note 4, </w:t>
      </w:r>
      <w:r>
        <w:rPr>
          <w:rFonts w:ascii="Arial" w:cs="Arial" w:eastAsia="Arial" w:hAnsi="Arial"/>
          <w:sz w:val="11"/>
          <w:szCs w:val="11"/>
          <w:i w:val="1"/>
          <w:iCs w:val="1"/>
          <w:color w:val="auto"/>
        </w:rPr>
        <w:t>COVID-19 Charges</w:t>
      </w:r>
      <w:r>
        <w:rPr>
          <w:rFonts w:ascii="Arial" w:cs="Arial" w:eastAsia="Arial" w:hAnsi="Arial"/>
          <w:sz w:val="11"/>
          <w:szCs w:val="11"/>
          <w:color w:val="auto"/>
        </w:rPr>
        <w:t>, in the accompanying notes to the consolidated financial statements for additional information).</w:t>
      </w:r>
    </w:p>
    <w:p>
      <w:pPr>
        <w:spacing w:after="0" w:line="22" w:lineRule="exact"/>
        <w:rPr>
          <w:rFonts w:ascii="Arial" w:cs="Arial" w:eastAsia="Arial" w:hAnsi="Arial"/>
          <w:sz w:val="11"/>
          <w:szCs w:val="11"/>
          <w:color w:val="auto"/>
        </w:rPr>
      </w:pPr>
    </w:p>
    <w:p>
      <w:pPr>
        <w:ind w:left="180" w:hanging="175"/>
        <w:spacing w:after="0"/>
        <w:tabs>
          <w:tab w:leader="none" w:pos="1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Consists of the non-cash portion of straight-line rent expense included in Occupancy expenses on the Consolidated Statements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October 5, 2021, the Company completed its IPO, pursuant to which 10,877,850 shares of common stock were sold at the IPO price of $18.00 per share, which included the full exercise by the underwriters of their option to purchase up to an additional 1,418,850 shares of common stock. We received aggregate net proceeds of $182.1 million.</w:t>
      </w:r>
    </w:p>
    <w:p>
      <w:pPr>
        <w:spacing w:after="0" w:line="15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On October 6, 2021, FWR Holding Corporation </w:t>
      </w:r>
      <w:r>
        <w:rPr>
          <w:rFonts w:ascii="Arial" w:cs="Arial" w:eastAsia="Arial" w:hAnsi="Arial"/>
          <w:sz w:val="14"/>
          <w:szCs w:val="14"/>
          <w:color w:val="auto"/>
        </w:rPr>
        <w:t>(</w:t>
      </w:r>
      <w:r>
        <w:rPr>
          <w:rFonts w:ascii="Arial" w:cs="Arial" w:eastAsia="Arial" w:hAnsi="Arial"/>
          <w:sz w:val="13"/>
          <w:szCs w:val="13"/>
          <w:color w:val="auto"/>
        </w:rPr>
        <w:t>“FWR”), one of our indirect subsidiaries, entered into the New Credit Agreement, with Bank of America, N.A., which provides for (i) a $100.0 million term loan A facility that was drawn in full on October 6, 2021, and (ii) a $75.0 million revolving credit facility which was undrawn at December 26, 2021. The loans under the New Facilities mature on October 6, 2026. The New Term Facility is subject to amortization of principal, payable in quarterly installments on the last business day of each fiscal quarter, commencing on March 27, 2022, equal to (i) 2.50% of the original principal amount of the term loans in 2022, (ii) 5.00% of the original principal amount of the term loans in fiscal year ended December 31, 2023, (iii) 5.00% of the original principal amount of the term loans in fiscal year ended December 29, 2024, (iv) 7.50% of the original principal amount of the term loans in fiscal year ended December 28, 2025 and (v) 10.00% of the original principal amount of the term loans in fiscal year ended December 27, 2026. The remaining aggregate principal amount outstanding (together with accrued and unpaid interest on the principal amount) under the New Term Facility is payable at the maturity of the New Term Facility.</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Borrowings under the New Facilities bear interest, at the option of FWR at either (i) the base rate plus a margin of between 125 and 200 basis points depending on the total rent adjusted net leverage ratio of FWR and its restricted subsidiaries on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consolidated basis (the “Total Rent Adjusted Net Leverage Ratio”) or (ii) the London interbank offer rate (“LIBOR”) plus a margin of between 225 and 300 basis points depending on the Total Rent Adjusted Net Leverage Ratio. In addition, an unused commitment fee of between 25 and 50 basis points on the undrawn commitments under the New Revolving Credit Facility will be paid, also depending on the Total Rent Adjusted Net Leverage Ratio of FWR and its restricted subsidiaries on a consolidated basis. The New Credit Agreement contains LIBOR fallback language, pursuant to which the New Credit Agreement may be amended to replace LIBOR with a secured overnight financing rate or another alternate benchmark rate upon the occurrence of certain LIBOR cessation events</w:t>
      </w:r>
      <w:r>
        <w:rPr>
          <w:rFonts w:ascii="Arial" w:cs="Arial" w:eastAsia="Arial" w:hAnsi="Arial"/>
          <w:sz w:val="11"/>
          <w:szCs w:val="11"/>
          <w:color w:val="auto"/>
        </w:rPr>
        <w:t>.</w:t>
      </w:r>
      <w:r>
        <w:rPr>
          <w:rFonts w:ascii="Arial" w:cs="Arial" w:eastAsia="Arial" w:hAnsi="Arial"/>
          <w:sz w:val="13"/>
          <w:szCs w:val="13"/>
          <w:color w:val="auto"/>
        </w:rPr>
        <w:t xml:space="preserve"> See Note 10, </w:t>
      </w:r>
      <w:r>
        <w:rPr>
          <w:rFonts w:ascii="Arial" w:cs="Arial" w:eastAsia="Arial" w:hAnsi="Arial"/>
          <w:sz w:val="13"/>
          <w:szCs w:val="13"/>
          <w:i w:val="1"/>
          <w:iCs w:val="1"/>
          <w:color w:val="auto"/>
        </w:rPr>
        <w:t>Debt</w:t>
      </w:r>
      <w:r>
        <w:rPr>
          <w:rFonts w:ascii="Arial" w:cs="Arial" w:eastAsia="Arial" w:hAnsi="Arial"/>
          <w:sz w:val="13"/>
          <w:szCs w:val="13"/>
          <w:color w:val="auto"/>
        </w:rPr>
        <w:t>, in the accompanying notes to the consolidated financial statements for additional information.</w:t>
      </w:r>
    </w:p>
    <w:p>
      <w:pPr>
        <w:spacing w:after="0" w:line="15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aggregate net proceeds from our IPO, the proceeds from the New Term Facility and cash on hand were used to repay in full the outstanding borrowings under our previous senior credit facilities, which were comprised of the Initial Term Loan Facility, Initial Delayed Draw Term Loan Facility, First Amendment Delayed Draw Term Facility, Second Amendment Delayed Draw Term Facility and Revolving Credit Facility (collectively, “Senior Credit Facilities”). A loss on debt extinguishment of $2.4 million was recorded in the fourth quarter of 2021 as a result of this repayment.</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primary sources of liquidity are cash flow from operations, cash and cash equivalents, credit capacity under our New Facilities and proceeds from equity offerings, including our IPO. As of December 26, 2021, we had cash and cash equivalents of $51.9 million and $100.0 million in outstanding borrowings, excluding unamortized debt issuance costs and deferred issuance costs. As of December 26, 2021, we had unused borrowing capacity under our New Revolving Credit Facility of $75.0 million.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principal uses of cash include capital expenditures for the development, acquisition or remodeling of restaurants, lease obligations, debt service payments and strategic infrastructure investments.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estimate that our capital expenditures will total approximately $60.0 million to $70.0 million in 2022, which will be invested primarily in new restaurant projects, planned remodels and new in-restaurant technology. We plan to fund the capital expenditures primarily with cash generated from our operating activities as well as with borrowings from our New Facilities.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believe that our cash flow from operations, availability under our New Facilities and available cash and cash equivalents will be sufficient to meet our liquidity needs for at least the next 12 months. We anticipate that to the extent that we require additional liquidity, it will be funded through additional indebtedness, the issuance of equity, or a combination thereof. Although we believe that our current level of total available liquidity is sufficient to meet our short-term and long-term liquidity requirements, we regularly evaluate opportunities to improve our liquidity position in order to enhance financial flexibility.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summary of our cash provided (used in) by operating, investing and financing activities for 2021 and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FISCAL YEAR</w:t>
            </w:r>
          </w:p>
        </w:tc>
        <w:tc>
          <w:tcPr>
            <w:tcW w:w="1780" w:type="dxa"/>
            <w:vAlign w:val="bottom"/>
            <w:tcBorders>
              <w:bottom w:val="single" w:sz="8" w:color="auto"/>
            </w:tcBorders>
          </w:tcPr>
          <w:p>
            <w:pPr>
              <w:spacing w:after="0"/>
              <w:rPr>
                <w:sz w:val="16"/>
                <w:szCs w:val="16"/>
                <w:color w:val="auto"/>
              </w:rPr>
            </w:pPr>
          </w:p>
        </w:tc>
      </w:tr>
      <w:tr>
        <w:trPr>
          <w:trHeight w:val="17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6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049"/>
              <w:spacing w:after="0"/>
              <w:rPr>
                <w:sz w:val="20"/>
                <w:szCs w:val="20"/>
                <w:color w:val="auto"/>
              </w:rPr>
            </w:pPr>
            <w:r>
              <w:rPr>
                <w:rFonts w:ascii="Arial" w:cs="Arial" w:eastAsia="Arial" w:hAnsi="Arial"/>
                <w:sz w:val="14"/>
                <w:szCs w:val="14"/>
                <w:b w:val="1"/>
                <w:bCs w:val="1"/>
                <w:color w:val="auto"/>
              </w:rPr>
              <w:t>2020</w:t>
            </w:r>
          </w:p>
        </w:tc>
      </w:tr>
      <w:tr>
        <w:trPr>
          <w:trHeight w:val="17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in) operating activities</w:t>
            </w: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2040" w:type="dxa"/>
            <w:vAlign w:val="bottom"/>
            <w:shd w:val="clear" w:color="auto" w:fill="CCEEFF"/>
          </w:tcPr>
          <w:p>
            <w:pPr>
              <w:jc w:val="center"/>
              <w:ind w:left="1469"/>
              <w:spacing w:after="0"/>
              <w:rPr>
                <w:sz w:val="20"/>
                <w:szCs w:val="20"/>
                <w:color w:val="auto"/>
              </w:rPr>
            </w:pPr>
            <w:r>
              <w:rPr>
                <w:rFonts w:ascii="Arial" w:cs="Arial" w:eastAsia="Arial" w:hAnsi="Arial"/>
                <w:sz w:val="14"/>
                <w:szCs w:val="14"/>
                <w:color w:val="auto"/>
                <w:w w:val="88"/>
              </w:rPr>
              <w:t>62,971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w w:val="91"/>
              </w:rPr>
              <w:t>(18,364)</w:t>
            </w: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Cash used in investing activities</w:t>
            </w:r>
          </w:p>
        </w:tc>
        <w:tc>
          <w:tcPr>
            <w:tcW w:w="640" w:type="dxa"/>
            <w:vAlign w:val="bottom"/>
          </w:tcPr>
          <w:p>
            <w:pPr>
              <w:spacing w:after="0"/>
              <w:rPr>
                <w:sz w:val="15"/>
                <w:szCs w:val="15"/>
                <w:color w:val="auto"/>
              </w:rPr>
            </w:pPr>
          </w:p>
        </w:tc>
        <w:tc>
          <w:tcPr>
            <w:tcW w:w="2040" w:type="dxa"/>
            <w:vAlign w:val="bottom"/>
          </w:tcPr>
          <w:p>
            <w:pPr>
              <w:jc w:val="center"/>
              <w:ind w:left="1449"/>
              <w:spacing w:after="0"/>
              <w:rPr>
                <w:sz w:val="20"/>
                <w:szCs w:val="20"/>
                <w:color w:val="auto"/>
              </w:rPr>
            </w:pPr>
            <w:r>
              <w:rPr>
                <w:rFonts w:ascii="Arial" w:cs="Arial" w:eastAsia="Arial" w:hAnsi="Arial"/>
                <w:sz w:val="14"/>
                <w:szCs w:val="14"/>
                <w:color w:val="auto"/>
                <w:w w:val="91"/>
              </w:rPr>
              <w:t>(35,682)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80" w:type="dxa"/>
            <w:vAlign w:val="bottom"/>
          </w:tcPr>
          <w:p>
            <w:pPr>
              <w:jc w:val="center"/>
              <w:ind w:left="1189"/>
              <w:spacing w:after="0"/>
              <w:rPr>
                <w:sz w:val="20"/>
                <w:szCs w:val="20"/>
                <w:color w:val="auto"/>
              </w:rPr>
            </w:pPr>
            <w:r>
              <w:rPr>
                <w:rFonts w:ascii="Arial" w:cs="Arial" w:eastAsia="Arial" w:hAnsi="Arial"/>
                <w:sz w:val="14"/>
                <w:szCs w:val="14"/>
                <w:color w:val="auto"/>
                <w:w w:val="91"/>
              </w:rPr>
              <w:t>(26,974)</w:t>
            </w: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in) provided by financing activities</w:t>
            </w:r>
          </w:p>
        </w:tc>
        <w:tc>
          <w:tcPr>
            <w:tcW w:w="6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ind w:left="1449"/>
              <w:spacing w:after="0"/>
              <w:rPr>
                <w:sz w:val="20"/>
                <w:szCs w:val="20"/>
                <w:color w:val="auto"/>
              </w:rPr>
            </w:pPr>
            <w:r>
              <w:rPr>
                <w:rFonts w:ascii="Arial" w:cs="Arial" w:eastAsia="Arial" w:hAnsi="Arial"/>
                <w:sz w:val="14"/>
                <w:szCs w:val="14"/>
                <w:color w:val="auto"/>
                <w:w w:val="91"/>
              </w:rPr>
              <w:t>(14,271)</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center"/>
              <w:ind w:left="1209"/>
              <w:spacing w:after="0"/>
              <w:rPr>
                <w:sz w:val="20"/>
                <w:szCs w:val="20"/>
                <w:color w:val="auto"/>
              </w:rPr>
            </w:pPr>
            <w:r>
              <w:rPr>
                <w:rFonts w:ascii="Arial" w:cs="Arial" w:eastAsia="Arial" w:hAnsi="Arial"/>
                <w:sz w:val="14"/>
                <w:szCs w:val="14"/>
                <w:color w:val="auto"/>
                <w:w w:val="88"/>
              </w:rPr>
              <w:t>73,314</w:t>
            </w:r>
          </w:p>
        </w:tc>
      </w:tr>
      <w:tr>
        <w:trPr>
          <w:trHeight w:val="171"/>
        </w:trPr>
        <w:tc>
          <w:tcPr>
            <w:tcW w:w="59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040" w:type="dxa"/>
            <w:vAlign w:val="bottom"/>
            <w:tcBorders>
              <w:bottom w:val="single" w:sz="8" w:color="auto"/>
            </w:tcBorders>
          </w:tcPr>
          <w:p>
            <w:pPr>
              <w:jc w:val="center"/>
              <w:ind w:left="1469"/>
              <w:spacing w:after="0"/>
              <w:rPr>
                <w:sz w:val="20"/>
                <w:szCs w:val="20"/>
                <w:color w:val="auto"/>
              </w:rPr>
            </w:pPr>
            <w:r>
              <w:rPr>
                <w:rFonts w:ascii="Arial" w:cs="Arial" w:eastAsia="Arial" w:hAnsi="Arial"/>
                <w:sz w:val="14"/>
                <w:szCs w:val="14"/>
                <w:color w:val="auto"/>
                <w:w w:val="88"/>
              </w:rPr>
              <w:t>13,018</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center"/>
              <w:ind w:left="1209"/>
              <w:spacing w:after="0"/>
              <w:rPr>
                <w:sz w:val="20"/>
                <w:szCs w:val="20"/>
                <w:color w:val="auto"/>
              </w:rPr>
            </w:pPr>
            <w:r>
              <w:rPr>
                <w:rFonts w:ascii="Arial" w:cs="Arial" w:eastAsia="Arial" w:hAnsi="Arial"/>
                <w:sz w:val="14"/>
                <w:szCs w:val="14"/>
                <w:color w:val="auto"/>
                <w:w w:val="88"/>
              </w:rPr>
              <w:t>27,976</w:t>
            </w:r>
          </w:p>
        </w:tc>
      </w:tr>
      <w:tr>
        <w:trPr>
          <w:trHeight w:val="20"/>
        </w:trPr>
        <w:tc>
          <w:tcPr>
            <w:tcW w:w="5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Cash provided by operating activities increased during 2021 as compared to 2020 primarily due to the decrease in net loss of $47.6 million, which included an increase in the impact of non-cash charges of $34.3 million and the net decrease in operating assets and liabilities of $0.5 million. The increase in the impact of the non-cash charges was primarily driven by (i) the increase in stock based compensation expense, (ii) the loss on extinguishment of debt and (iii) the deferred income taxes provision. In addition, the net increase in operating assets and liabilities was as a result of (i) the timing of operational receipts and payments, (ii) higher accrued wages and (iii) the increase in gift card deferred revenues, partially offset by (iv) the payments for rent deferrals.</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increase in cash used in investing activities during 2021 as compared to 2020 was primarily as a result of curtailing new restaurant construction during the first half of 2020 due to the COVID-19 pandemic.</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used in financing activities during 2021 was primarily comprised of (i) the repayment of our outstanding Senior Credit Facilities of $291.1 million and (ii) payments of IPO costs of $4.9 million, partially offset by (iii) proceeds from our IPO, net of underwriting discounts and commissions of $182.1 million and (iv) proceeds from our New Facilities of $100.0 million. Cash provided by financing activities during 2020 was comprised of (i) proceeds from an offering of preferred shares totaling $40.0 million and (ii) the issuance of long-term debt, net of repayments made on our Senior Credit Facilities of $33.7 million.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Material contractual obligations arising in the normal course of business primarily consist of operating and finance lease obligations, long-term debt, and purchase obligations. The timing and nature of these commitments are expected to have an impact on our liquidity and capital requirements in future periods. Refer to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in the accompanying consolidated financial statements for additional information relating to our long-term debt and Note 11, </w:t>
      </w:r>
      <w:r>
        <w:rPr>
          <w:rFonts w:ascii="Arial" w:cs="Arial" w:eastAsia="Arial" w:hAnsi="Arial"/>
          <w:sz w:val="14"/>
          <w:szCs w:val="14"/>
          <w:i w:val="1"/>
          <w:iCs w:val="1"/>
          <w:color w:val="auto"/>
        </w:rPr>
        <w:t>Leases</w:t>
      </w:r>
      <w:r>
        <w:rPr>
          <w:rFonts w:ascii="Arial" w:cs="Arial" w:eastAsia="Arial" w:hAnsi="Arial"/>
          <w:sz w:val="14"/>
          <w:szCs w:val="14"/>
          <w:color w:val="auto"/>
        </w:rPr>
        <w:t>, in the accompanying consolidated financial statements for additional information related to our operating and financing leases.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Purchase obligations include agreements related to the construction or remodeling of restaurant facilities, the purchase of food, beverages, paper goods and other supplies, equipment purchases, marketing-related contracts, software license commitments, technology and other service contracts in the normal course of business. These obligations are generally pursuant to short-term purchase orders at prevailing market prices and are recorded as liabilities when the related goods are received or services rendered. These commitments are cancellable and there are no material financial penalties associated with these commitments in the event of early termination.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discussion and analysis of our financial condition and results of operations is based upon our consolidated financial statements and related notes included elsewhere in this Annual Report on Form 10-K,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 accounting policies and estimates that we believe to be the most critical to an understanding of our financial condition and results of operations and that require the most complex and subjective management judgments are discussed below.</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Indefinite-lived Intangibles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Goodwill and indefinite-lived intangibles are tested for impairment annually, on the first day of the fourth quarter of the fiscal year, or whenever events or changes in circumstances indicate that the carrying amount may not be recoverable.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Any adverse change in these factors could have a significant impact on the recoverability of our goodwill and indefinite-lived intangible assets and could have a material impact on our consolidated financial statements.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identified one reporting unit to which we have attributed goodwill. 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the qualitative assessment is not performed or if we determine that it is not more likely than not that the fair value of the reporting unit exceeds the carrying value, the fair value of the reporting unit is calculated using the best information available, including market information (also referred to as the market approach) and discounted cash flow projections (also referred to as the income approach). The market approach estimates fair value by applying projected cash flow earnings multiples to the reporting unit’s operating performance. The multiples are derived from comparable publicly-traded companies with similar operating and investment characteristics. The income approach uses internal future cash flow estimates, which are influenced by revenue growth rates and operating margins, that are discounted using a weighted-average cost of capital that reflects current market conditions. We recognize an impairment loss when the carrying value of the reporting unit exceeds the estimated fair value.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performing the quantitative assessment for indefinite-lived intangibles, we estimate the fair value of trade names and trademarks using the relief-from-royalty method, which requires assumptions related to projected sales, assumed royalty rates that could be payable if we did not own the trademarks and a discount rate. We recognize an impairment loss when the carrying value of the asset exceeds the estimated fair value.</w:t>
      </w:r>
    </w:p>
    <w:p>
      <w:pPr>
        <w:spacing w:after="0" w:line="163"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During 2021, we elected to perform a qualitative assessment for our annual impairment review of goodwill and indefinite-lived intangibles to determine whether or not indicators of impairment exist. In considering the qualitative approach related to goodwill, we evaluated factors including, but not limited to, the COVID-19 pandemic, macro-economic conditions, market and industry conditions, the competitive environment, results of prior impairment tests, operational stability, the overall financial performance of the reporting unit and the impacts of the discount rates. Management also considers the specific future outlook for the reporting unit. As it relates to our trade names and trademarks, we evaluate similar factors from the goodwill assessment, in addition to impacts of potential changes to the assumed royalty rate. Based on the results of the qualitative assessment, which considered the financial performance, as well as the improved overall operating environment as compared to the previous quantitative assessment, no indicators of impairment were identified. Management concluded that impairment of goodwill and its indefinite-lived intangibles was not likely</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and as a result, was not required to perform a quantitative assessment. Changes in circumstances existing at the measurement date or at other times in the future, or in the numerous estimates associated with management’s judgments and assumptions made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assessing the fair value of our goodwill and indefinite-lived intangibles, could result in an impairment loss of a portion or all of our goodwill or indefinite-lived intangibles. We do not anticipate recording significant impairment charges in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 and definite-lived intangible assets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 Long-lived assets are reviewed for impairment whenever events or changes in circumstances indicate that the carrying amount of an asset group may not be recoverable. Recoverability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judgement is used to determine the expected useful lives of long-lived assets and the estimated future cash flows, including projected sales growth and operating margins. If the carrying amount of the asset group exceeds its estimated undiscounted future cash flows, an impairment charge is recognized.</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Definite-lived intangible assets consist of franchise rights which arose from the purchase price allocation in connection with the Advent Acquisition and also include reacquired rights from the Company’s acquisitions of franchised restaurants. Definite-lived intangible assets are amortized on a straight-line basis over their estimated useful lives and are also reviewed for impairment whenever events or change in circumstances indicate that the carrying amount of an asset may not be recoverable. Significant judgments are used to determine if an indicator of impairment has occurred. Such indicators may include, among others: negative operating performance of our restaurants, economic and restaurant industry trends, legal factors, significant competition or changes in our business strategy. Any adverse change in these factors could have a significant impact on the recoverability of these assets and the resulting impairment charge could have a material impact on our consolidated financial statements.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Recoverability of definite-lived intangible assets is measured by a comparison of the carrying amount of the asset group to the estimated undiscounted future cash flows expected to be generated by the asset group. If the total future undiscounted net cash flows are less than the carrying amount, this may be an indicator of impairment. An impairment loss is recognized when the asset’s carrying value exceeds its estimated fair value, which is generally estimated using discounted future cash flows expected from future use of the asset group. Management did not identify any triggering events in 2021 and no impairment charges were recorded in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lease our restaurant facilities and corporate offices, as well as certain restaurant equipment under various non-cancelable agreements. At contract inception, we evaluate our leases to estimate their expected term which includes reasonably certain renewal options, and their classification as either operating leases or finance leases. Lease liabilities represent the present value of lease payments not yet paid. To determine the present value of the lease liability, we estimate the incremental borrowing rates corresponding to the reasonably certain lease term as our leases do not provide an implicit rate. Assumptions used in determining our incremental borrowing rate include a market yield implied by our outstanding secured term loans interpolated for various maturities using our synthetic credit rating, which is determined using a regression analysis of rated publicly-traded comparable companies and their financial data.</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assess the impairment of the right-of-use asset at the asset group level whenever events or changes in circumstances indicate that the carrying value of the asset may not be recoverable. Changes in these assumptions and management judgments may produce materially different amounts in the recognition of the right-of-use assets and lease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use the asset and liability method of accounting for income taxes. Under this method, deferred tax assets or liabilities are recognized for the estimated future tax effects attributable to temporary differences between the carrying value and the tax basis of assets and liabilities as well as tax credit carryforwards. The estimates we make under this method include, among other items, depreciation and amortization expense allowable for tax purposes, credits for items such as taxes paid on reported employee tip income, effective rates for state and local income taxes and the deductibility of certain items. In addition, our annual effective income tax rate is adjusted as additional information becomes available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recognize deferred tax assets for all deductible temporary differences to the extent that it is probable that taxable income will be available against which the deductible temporary differences can be utilized. A valuation allowance for deferred tax assets is provided when it is more likely than not that a portion of the deferred tax assets will not be realized. Potential for recovery of deferred tax assets is evaluated by estimating the future taxable profits expected, scheduling of anticipated reversal of taxable temporary differences, and considering prudent and feasible tax planning strategies. We continue to monitor and evaluate the rationale for recording a valuation allowance against deferred tax assets. As we increase earnings and utilize deferred tax assets, it is possible the valuation allowance could be reduced or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Common Stock and Stock-Based Compensation</w:t>
      </w:r>
    </w:p>
    <w:p>
      <w:pPr>
        <w:spacing w:after="0" w:line="179"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 xml:space="preserve">Stock-based compensation expense is measured based on the award’s grant date fair value. Stock-based compensation expense related to time-based stock option awards is recognized as stock-based compensation expense on an accelerated recognition method over the requisite service period. Prior to our IPO, we had not recognized any stock-based compensation expense for our performance-based stock option awards as the satisfaction of the performance conditions were not considered probable. Upon consummation of the Company’s IPO in October 2021, certain performance-based stock option awards for which the performance and market conditions were satisfied as a result of the Company’s IPO, converted into time-based stock option awards with the related stock-based compensation expense to be recognized on an accelerated recognition method over the remaining service period. The performance-based stock option awards that did not convert into time-based stock option awards were canceled and unrecognized compensation expense for those canceled performance-based stock option awards was recognized on the date of the Company’s IPO. We account for forfeitures as they occur. See Note 16, </w:t>
      </w:r>
      <w:r>
        <w:rPr>
          <w:rFonts w:ascii="Arial" w:cs="Arial" w:eastAsia="Arial" w:hAnsi="Arial"/>
          <w:sz w:val="12"/>
          <w:szCs w:val="12"/>
          <w:i w:val="1"/>
          <w:iCs w:val="1"/>
          <w:color w:val="auto"/>
        </w:rPr>
        <w:t>Stock-Based Compensation</w:t>
      </w:r>
      <w:r>
        <w:rPr>
          <w:rFonts w:ascii="Arial" w:cs="Arial" w:eastAsia="Arial" w:hAnsi="Arial"/>
          <w:sz w:val="12"/>
          <w:szCs w:val="12"/>
          <w:color w:val="auto"/>
        </w:rPr>
        <w:t>, in the accompanying notes to the consolidated financial statements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After the completion of the IPO, the fair value of our common stock and our stock-based awards’ grant date fair value is determined based on the Nasdaq closing price.</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Prior to our IPO, given the absence of a public trading market for our common stock, the estimated fair value had been determined with input from management exercising reasonable judgment and considering several objective and subjective factors including: (i) third-party valuations of our common stock, (ii) a combination of the income approach and the market approach and (iii) general economic outlook including economic growth, inflation and interest rates.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2021, prior to the IPO, we determined the Company’s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estimated the fair value of stock option awards using the Black-Scholes valuation model, which requires certain assumptions and judgments. We based our volatility assumptions on the historical volatility of the selected peer group and we determined our expected term using the historical information of the selected peer group. These assumptions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For a discussion of recently issued accounting pronouncements,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in the accompanying notes to the consolidated financial statements included in Item 8 of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Commodity and Food Price Risks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profitability is dependent on, among other things, our ability to anticipate and react to changes in the costs of key operating resources, including food and beverage, energy, fuel costs and other commodities. We have been able to partially offset cost increases resulting from a number of factors, including market conditions, shortages or interruptions in supply due to weather, the macroeconomic impacts of the Russia-Ukraine conflict or other conditions beyond our control, governmental regulations and inflation, by increasing our menu prices, as well as making other operational adjustments that increase productivity. However, substantial increases in costs and expenses could impact our results of operations to the extent that such increases cannot be offset by menu price increases.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In 2022, we have fixed prices for more than a third of our market basket, of which about half are fixed for all of 2022.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As of December 26, 2021, we had $100.0 million in outstanding borrowings under our New Term Facility, excluding unamortized debt discount and deferred issuance costs. Our loans under the New Facilities incur interest at a floating rate and we also pay an unused commitment fee of between 25 and 50 basis points on the undrawn commitments under the New Revolving Credit Facility, depending on the Total Rent Adjusted Net Leverage Ratio. See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in the accompanying notes to the consolidated financial statements included in Item 8 of Part II of this Annual Report on Form 10-K for additional information. We currently do not hedge our interest rate exposure and we manage exposure to adverse interest rate changes through our normal operating and financing activities.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Based on the outstanding variable rate loan balance for the New Term Facility at December 26, 2021, a potential change from a hypothetical 100 basis point increase/decrease in short-term interest rates would cause an increase or decrease in interest expense of approximately $1.0 million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0240" w:type="dxa"/>
            <w:vAlign w:val="bottom"/>
            <w:gridSpan w:val="8"/>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69"/>
        </w:trPr>
        <w:tc>
          <w:tcPr>
            <w:tcW w:w="1024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40" w:type="dxa"/>
            <w:vAlign w:val="bottom"/>
            <w:gridSpan w:val="3"/>
          </w:tcPr>
          <w:p>
            <w:pPr>
              <w:jc w:val="center"/>
              <w:ind w:right="3260"/>
              <w:spacing w:after="0"/>
              <w:rPr>
                <w:sz w:val="20"/>
                <w:szCs w:val="20"/>
                <w:color w:val="auto"/>
              </w:rPr>
            </w:pPr>
            <w:r>
              <w:rPr>
                <w:rFonts w:ascii="Arial" w:cs="Arial" w:eastAsia="Arial" w:hAnsi="Arial"/>
                <w:sz w:val="14"/>
                <w:szCs w:val="14"/>
                <w:b w:val="1"/>
                <w:bCs w:val="1"/>
                <w:color w:val="auto"/>
              </w:rPr>
              <w:t>INDEX TO FINANCIAL INFORMATION</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73"/>
        </w:trPr>
        <w:tc>
          <w:tcPr>
            <w:tcW w:w="4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1040" w:type="dxa"/>
            <w:vAlign w:val="bottom"/>
            <w:gridSpan w:val="2"/>
          </w:tcPr>
          <w:p>
            <w:pPr>
              <w:jc w:val="right"/>
              <w:ind w:right="900"/>
              <w:spacing w:after="0"/>
              <w:rPr>
                <w:rFonts w:ascii="Arial" w:cs="Arial" w:eastAsia="Arial" w:hAnsi="Arial"/>
                <w:sz w:val="14"/>
                <w:szCs w:val="14"/>
                <w:color w:val="0000FF"/>
                <w:w w:val="76"/>
              </w:rPr>
            </w:pPr>
            <w:hyperlink w:anchor="page62">
              <w:r>
                <w:rPr>
                  <w:rFonts w:ascii="Arial" w:cs="Arial" w:eastAsia="Arial" w:hAnsi="Arial"/>
                  <w:sz w:val="14"/>
                  <w:szCs w:val="14"/>
                  <w:color w:val="0000FF"/>
                  <w:w w:val="76"/>
                </w:rPr>
                <w:t>62</w:t>
              </w:r>
            </w:hyperlink>
          </w:p>
        </w:tc>
      </w:tr>
      <w:tr>
        <w:trPr>
          <w:trHeight w:val="20"/>
        </w:trPr>
        <w:tc>
          <w:tcPr>
            <w:tcW w:w="4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4260" w:type="dxa"/>
            <w:vAlign w:val="bottom"/>
            <w:gridSpan w:val="4"/>
          </w:tcPr>
          <w:p>
            <w:pPr>
              <w:spacing w:after="0"/>
              <w:rPr>
                <w:rFonts w:ascii="Arial" w:cs="Arial" w:eastAsia="Arial" w:hAnsi="Arial"/>
                <w:sz w:val="14"/>
                <w:szCs w:val="14"/>
                <w:color w:val="0000FF"/>
                <w:w w:val="89"/>
              </w:rPr>
            </w:pPr>
            <w:hyperlink w:anchor="page63">
              <w:r>
                <w:rPr>
                  <w:rFonts w:ascii="Arial" w:cs="Arial" w:eastAsia="Arial" w:hAnsi="Arial"/>
                  <w:sz w:val="14"/>
                  <w:szCs w:val="14"/>
                  <w:color w:val="0000FF"/>
                  <w:w w:val="89"/>
                </w:rPr>
                <w:t>Consolidated Balance Sheets - December 26, 2021 and December 27, 2020</w:t>
              </w:r>
            </w:hyperlink>
          </w:p>
        </w:tc>
        <w:tc>
          <w:tcPr>
            <w:tcW w:w="5940" w:type="dxa"/>
            <w:vAlign w:val="bottom"/>
            <w:gridSpan w:val="3"/>
          </w:tcPr>
          <w:p>
            <w:pPr>
              <w:spacing w:after="0"/>
              <w:rPr>
                <w:sz w:val="14"/>
                <w:szCs w:val="14"/>
                <w:color w:val="auto"/>
              </w:rPr>
            </w:pPr>
          </w:p>
        </w:tc>
        <w:tc>
          <w:tcPr>
            <w:tcW w:w="1040" w:type="dxa"/>
            <w:vAlign w:val="bottom"/>
            <w:gridSpan w:val="2"/>
          </w:tcPr>
          <w:p>
            <w:pPr>
              <w:jc w:val="right"/>
              <w:ind w:right="900"/>
              <w:spacing w:after="0" w:line="151" w:lineRule="exact"/>
              <w:rPr>
                <w:rFonts w:ascii="Arial" w:cs="Arial" w:eastAsia="Arial" w:hAnsi="Arial"/>
                <w:sz w:val="14"/>
                <w:szCs w:val="14"/>
                <w:color w:val="0000FF"/>
                <w:w w:val="76"/>
              </w:rPr>
            </w:pPr>
            <w:hyperlink w:anchor="page63">
              <w:r>
                <w:rPr>
                  <w:rFonts w:ascii="Arial" w:cs="Arial" w:eastAsia="Arial" w:hAnsi="Arial"/>
                  <w:sz w:val="14"/>
                  <w:szCs w:val="14"/>
                  <w:color w:val="0000FF"/>
                  <w:w w:val="76"/>
                </w:rPr>
                <w:t>63</w:t>
              </w:r>
            </w:hyperlink>
          </w:p>
        </w:tc>
      </w:tr>
      <w:tr>
        <w:trPr>
          <w:trHeight w:val="20"/>
        </w:trPr>
        <w:tc>
          <w:tcPr>
            <w:tcW w:w="40" w:type="dxa"/>
            <w:vAlign w:val="bottom"/>
          </w:tcPr>
          <w:p>
            <w:pPr>
              <w:spacing w:after="0" w:line="20" w:lineRule="exact"/>
              <w:rPr>
                <w:sz w:val="1"/>
                <w:szCs w:val="1"/>
                <w:color w:val="auto"/>
              </w:rPr>
            </w:pPr>
          </w:p>
        </w:tc>
        <w:tc>
          <w:tcPr>
            <w:tcW w:w="2480" w:type="dxa"/>
            <w:vAlign w:val="bottom"/>
            <w:tcBorders>
              <w:bottom w:val="single" w:sz="8" w:color="0000FF"/>
            </w:tcBorders>
            <w:gridSpan w:val="2"/>
            <w:shd w:val="clear" w:color="auto" w:fill="0000FF"/>
          </w:tcPr>
          <w:p>
            <w:pPr>
              <w:spacing w:after="0" w:line="20" w:lineRule="exact"/>
              <w:rPr>
                <w:sz w:val="1"/>
                <w:szCs w:val="1"/>
                <w:color w:val="auto"/>
              </w:rPr>
            </w:pPr>
          </w:p>
        </w:tc>
        <w:tc>
          <w:tcPr>
            <w:tcW w:w="178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10200" w:type="dxa"/>
            <w:vAlign w:val="bottom"/>
            <w:gridSpan w:val="7"/>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Consolidated Statements of Operations and Comprehensive Loss - For Fiscal Years 2021, 2020 and 2019</w:t>
              </w:r>
            </w:hyperlink>
          </w:p>
        </w:tc>
        <w:tc>
          <w:tcPr>
            <w:tcW w:w="1040" w:type="dxa"/>
            <w:vAlign w:val="bottom"/>
            <w:gridSpan w:val="2"/>
          </w:tcPr>
          <w:p>
            <w:pPr>
              <w:jc w:val="right"/>
              <w:ind w:right="900"/>
              <w:spacing w:after="0" w:line="151" w:lineRule="exact"/>
              <w:rPr>
                <w:rFonts w:ascii="Arial" w:cs="Arial" w:eastAsia="Arial" w:hAnsi="Arial"/>
                <w:sz w:val="14"/>
                <w:szCs w:val="14"/>
                <w:color w:val="0000FF"/>
                <w:w w:val="76"/>
              </w:rPr>
            </w:pPr>
            <w:hyperlink w:anchor="page64">
              <w:r>
                <w:rPr>
                  <w:rFonts w:ascii="Arial" w:cs="Arial" w:eastAsia="Arial" w:hAnsi="Arial"/>
                  <w:sz w:val="14"/>
                  <w:szCs w:val="14"/>
                  <w:color w:val="0000FF"/>
                  <w:w w:val="76"/>
                </w:rPr>
                <w:t>64</w:t>
              </w:r>
            </w:hyperlink>
          </w:p>
        </w:tc>
      </w:tr>
      <w:tr>
        <w:trPr>
          <w:trHeight w:val="20"/>
        </w:trPr>
        <w:tc>
          <w:tcPr>
            <w:tcW w:w="40" w:type="dxa"/>
            <w:vAlign w:val="bottom"/>
          </w:tcPr>
          <w:p>
            <w:pPr>
              <w:spacing w:after="0" w:line="20" w:lineRule="exact"/>
              <w:rPr>
                <w:sz w:val="1"/>
                <w:szCs w:val="1"/>
                <w:color w:val="auto"/>
              </w:rPr>
            </w:pPr>
          </w:p>
        </w:tc>
        <w:tc>
          <w:tcPr>
            <w:tcW w:w="2480" w:type="dxa"/>
            <w:vAlign w:val="bottom"/>
            <w:tcBorders>
              <w:bottom w:val="single" w:sz="8" w:color="0000FF"/>
            </w:tcBorders>
            <w:gridSpan w:val="2"/>
            <w:shd w:val="clear" w:color="auto" w:fill="0000FF"/>
          </w:tcPr>
          <w:p>
            <w:pPr>
              <w:spacing w:after="0" w:line="20" w:lineRule="exact"/>
              <w:rPr>
                <w:sz w:val="1"/>
                <w:szCs w:val="1"/>
                <w:color w:val="auto"/>
              </w:rPr>
            </w:pPr>
          </w:p>
        </w:tc>
        <w:tc>
          <w:tcPr>
            <w:tcW w:w="178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420" w:type="dxa"/>
            <w:vAlign w:val="bottom"/>
            <w:tcBorders>
              <w:bottom w:val="single" w:sz="8" w:color="0000FF"/>
            </w:tcBorders>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10200" w:type="dxa"/>
            <w:vAlign w:val="bottom"/>
            <w:gridSpan w:val="7"/>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Consolidated Statements of Equity - For Fiscal Years 2021, 2020 and 2019</w:t>
              </w:r>
            </w:hyperlink>
          </w:p>
        </w:tc>
        <w:tc>
          <w:tcPr>
            <w:tcW w:w="1040" w:type="dxa"/>
            <w:vAlign w:val="bottom"/>
            <w:gridSpan w:val="2"/>
          </w:tcPr>
          <w:p>
            <w:pPr>
              <w:jc w:val="right"/>
              <w:ind w:right="900"/>
              <w:spacing w:after="0" w:line="151" w:lineRule="exact"/>
              <w:rPr>
                <w:rFonts w:ascii="Arial" w:cs="Arial" w:eastAsia="Arial" w:hAnsi="Arial"/>
                <w:sz w:val="14"/>
                <w:szCs w:val="14"/>
                <w:color w:val="0000FF"/>
                <w:w w:val="76"/>
              </w:rPr>
            </w:pPr>
            <w:hyperlink w:anchor="page65">
              <w:r>
                <w:rPr>
                  <w:rFonts w:ascii="Arial" w:cs="Arial" w:eastAsia="Arial" w:hAnsi="Arial"/>
                  <w:sz w:val="14"/>
                  <w:szCs w:val="14"/>
                  <w:color w:val="0000FF"/>
                  <w:w w:val="76"/>
                </w:rPr>
                <w:t>65</w:t>
              </w:r>
            </w:hyperlink>
          </w:p>
        </w:tc>
      </w:tr>
      <w:tr>
        <w:trPr>
          <w:trHeight w:val="20"/>
        </w:trPr>
        <w:tc>
          <w:tcPr>
            <w:tcW w:w="4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178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10200" w:type="dxa"/>
            <w:vAlign w:val="bottom"/>
            <w:gridSpan w:val="7"/>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Consolidated Statements of Cash Flows - For Fiscal Years 2021, 2020 and 2019</w:t>
              </w:r>
            </w:hyperlink>
          </w:p>
        </w:tc>
        <w:tc>
          <w:tcPr>
            <w:tcW w:w="1040" w:type="dxa"/>
            <w:vAlign w:val="bottom"/>
            <w:gridSpan w:val="2"/>
          </w:tcPr>
          <w:p>
            <w:pPr>
              <w:jc w:val="right"/>
              <w:ind w:right="900"/>
              <w:spacing w:after="0" w:line="151" w:lineRule="exact"/>
              <w:rPr>
                <w:rFonts w:ascii="Arial" w:cs="Arial" w:eastAsia="Arial" w:hAnsi="Arial"/>
                <w:sz w:val="14"/>
                <w:szCs w:val="14"/>
                <w:color w:val="0000FF"/>
                <w:w w:val="76"/>
              </w:rPr>
            </w:pPr>
            <w:hyperlink w:anchor="page66">
              <w:r>
                <w:rPr>
                  <w:rFonts w:ascii="Arial" w:cs="Arial" w:eastAsia="Arial" w:hAnsi="Arial"/>
                  <w:sz w:val="14"/>
                  <w:szCs w:val="14"/>
                  <w:color w:val="0000FF"/>
                  <w:w w:val="76"/>
                </w:rPr>
                <w:t>66</w:t>
              </w:r>
            </w:hyperlink>
          </w:p>
        </w:tc>
      </w:tr>
      <w:tr>
        <w:trPr>
          <w:trHeight w:val="20"/>
        </w:trPr>
        <w:tc>
          <w:tcPr>
            <w:tcW w:w="4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480" w:type="dxa"/>
            <w:vAlign w:val="bottom"/>
            <w:gridSpan w:val="2"/>
          </w:tcPr>
          <w:p>
            <w:pPr>
              <w:spacing w:after="0"/>
              <w:rPr>
                <w:rFonts w:ascii="Arial" w:cs="Arial" w:eastAsia="Arial" w:hAnsi="Arial"/>
                <w:sz w:val="14"/>
                <w:szCs w:val="14"/>
                <w:color w:val="0000FF"/>
                <w:w w:val="90"/>
              </w:rPr>
            </w:pPr>
            <w:hyperlink w:anchor="page68">
              <w:r>
                <w:rPr>
                  <w:rFonts w:ascii="Arial" w:cs="Arial" w:eastAsia="Arial" w:hAnsi="Arial"/>
                  <w:sz w:val="14"/>
                  <w:szCs w:val="14"/>
                  <w:color w:val="0000FF"/>
                  <w:w w:val="90"/>
                </w:rPr>
                <w:t>Notes to Consolidated Financial Statements</w:t>
              </w:r>
            </w:hyperlink>
          </w:p>
        </w:tc>
        <w:tc>
          <w:tcPr>
            <w:tcW w:w="7720" w:type="dxa"/>
            <w:vAlign w:val="bottom"/>
            <w:gridSpan w:val="5"/>
          </w:tcPr>
          <w:p>
            <w:pPr>
              <w:spacing w:after="0"/>
              <w:rPr>
                <w:sz w:val="14"/>
                <w:szCs w:val="14"/>
                <w:color w:val="auto"/>
              </w:rPr>
            </w:pPr>
          </w:p>
        </w:tc>
        <w:tc>
          <w:tcPr>
            <w:tcW w:w="1040" w:type="dxa"/>
            <w:vAlign w:val="bottom"/>
            <w:gridSpan w:val="2"/>
          </w:tcPr>
          <w:p>
            <w:pPr>
              <w:jc w:val="right"/>
              <w:ind w:right="900"/>
              <w:spacing w:after="0" w:line="151" w:lineRule="exact"/>
              <w:rPr>
                <w:rFonts w:ascii="Arial" w:cs="Arial" w:eastAsia="Arial" w:hAnsi="Arial"/>
                <w:sz w:val="14"/>
                <w:szCs w:val="14"/>
                <w:color w:val="0000FF"/>
                <w:w w:val="76"/>
              </w:rPr>
            </w:pPr>
            <w:hyperlink w:anchor="page68">
              <w:r>
                <w:rPr>
                  <w:rFonts w:ascii="Arial" w:cs="Arial" w:eastAsia="Arial" w:hAnsi="Arial"/>
                  <w:sz w:val="14"/>
                  <w:szCs w:val="14"/>
                  <w:color w:val="0000FF"/>
                  <w:w w:val="76"/>
                </w:rPr>
                <w:t>68</w:t>
              </w:r>
            </w:hyperlink>
          </w:p>
        </w:tc>
      </w:tr>
      <w:tr>
        <w:trPr>
          <w:trHeight w:val="753"/>
        </w:trPr>
        <w:tc>
          <w:tcPr>
            <w:tcW w:w="40" w:type="dxa"/>
            <w:vAlign w:val="bottom"/>
          </w:tcPr>
          <w:p>
            <w:pPr>
              <w:spacing w:after="0"/>
              <w:rPr>
                <w:sz w:val="24"/>
                <w:szCs w:val="24"/>
                <w:color w:val="auto"/>
              </w:rPr>
            </w:pPr>
          </w:p>
        </w:tc>
        <w:tc>
          <w:tcPr>
            <w:tcW w:w="2480" w:type="dxa"/>
            <w:vAlign w:val="bottom"/>
            <w:tcBorders>
              <w:top w:val="single" w:sz="8" w:color="0000FF"/>
            </w:tcBorders>
            <w:gridSpan w:val="2"/>
          </w:tcPr>
          <w:p>
            <w:pPr>
              <w:spacing w:after="0"/>
              <w:rPr>
                <w:sz w:val="24"/>
                <w:szCs w:val="24"/>
                <w:color w:val="auto"/>
              </w:rPr>
            </w:pPr>
          </w:p>
        </w:tc>
        <w:tc>
          <w:tcPr>
            <w:tcW w:w="3460" w:type="dxa"/>
            <w:vAlign w:val="bottom"/>
            <w:gridSpan w:val="4"/>
          </w:tcPr>
          <w:p>
            <w:pPr>
              <w:jc w:val="right"/>
              <w:ind w:right="260"/>
              <w:spacing w:after="0"/>
              <w:rPr>
                <w:sz w:val="20"/>
                <w:szCs w:val="20"/>
                <w:color w:val="auto"/>
              </w:rPr>
            </w:pPr>
            <w:r>
              <w:rPr>
                <w:rFonts w:ascii="Arial" w:cs="Arial" w:eastAsia="Arial" w:hAnsi="Arial"/>
                <w:sz w:val="14"/>
                <w:szCs w:val="14"/>
                <w:color w:val="auto"/>
              </w:rPr>
              <w:t>61</w:t>
            </w:r>
          </w:p>
        </w:tc>
        <w:tc>
          <w:tcPr>
            <w:tcW w:w="42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First Watch Restaurant Group, Inc.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have audited the accompanying consolidated balance sheets of First Watch Restaurant Group, Inc. and its subsidiaries (the “Company”) as of December 26, 2021 and December 27, 2020, and the related consolidated statements of operations and comprehensive loss, of equity and of cash flows for each of the three years in the period ended December 26, 2021, including the related notes (collectively referred to as the “consolidated financial statements”). In our opinion, the consolidated financial statements present fairly, in all material respects, the financial position of the Company as of December 26, 2021 and December 27, 2020, and the results of its operations and its cash flows for each of the three years in the period ended December 26, 2021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Accounting Principle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2 to the consolidated financial statements, the Company changed the manner in which it accounts for leases in 2019.</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79"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4"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21" w:lineRule="auto"/>
        <w:rPr>
          <w:sz w:val="20"/>
          <w:szCs w:val="20"/>
          <w:color w:val="auto"/>
        </w:rPr>
      </w:pPr>
      <w:r>
        <w:rPr>
          <w:rFonts w:ascii="Arial" w:cs="Arial" w:eastAsia="Arial" w:hAnsi="Arial"/>
          <w:sz w:val="14"/>
          <w:szCs w:val="14"/>
          <w:color w:val="auto"/>
        </w:rPr>
        <w:t>Tampa, Florida</w:t>
      </w:r>
    </w:p>
    <w:p>
      <w:pPr>
        <w:spacing w:after="0"/>
        <w:rPr>
          <w:sz w:val="20"/>
          <w:szCs w:val="20"/>
          <w:color w:val="auto"/>
        </w:rPr>
      </w:pPr>
      <w:r>
        <w:rPr>
          <w:rFonts w:ascii="Arial" w:cs="Arial" w:eastAsia="Arial" w:hAnsi="Arial"/>
          <w:sz w:val="14"/>
          <w:szCs w:val="14"/>
          <w:color w:val="auto"/>
        </w:rPr>
        <w:t>March 23, 2022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WATCH RESTAURANT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26, 2021</w:t>
            </w:r>
          </w:p>
        </w:tc>
        <w:tc>
          <w:tcPr>
            <w:tcW w:w="260" w:type="dxa"/>
            <w:vAlign w:val="bottom"/>
          </w:tcPr>
          <w:p>
            <w:pPr>
              <w:spacing w:after="0"/>
              <w:rPr>
                <w:sz w:val="14"/>
                <w:szCs w:val="14"/>
                <w:color w:val="auto"/>
              </w:rPr>
            </w:pPr>
          </w:p>
        </w:tc>
        <w:tc>
          <w:tcPr>
            <w:tcW w:w="1860" w:type="dxa"/>
            <w:vAlign w:val="bottom"/>
          </w:tcPr>
          <w:p>
            <w:pPr>
              <w:jc w:val="right"/>
              <w:ind w:right="396"/>
              <w:spacing w:after="0"/>
              <w:rPr>
                <w:sz w:val="20"/>
                <w:szCs w:val="20"/>
                <w:color w:val="auto"/>
              </w:rPr>
            </w:pPr>
            <w:r>
              <w:rPr>
                <w:rFonts w:ascii="Arial" w:cs="Arial" w:eastAsia="Arial" w:hAnsi="Arial"/>
                <w:sz w:val="13"/>
                <w:szCs w:val="13"/>
                <w:b w:val="1"/>
                <w:bCs w:val="1"/>
                <w:color w:val="auto"/>
              </w:rPr>
              <w:t>DECEMBER 27, 2020</w:t>
            </w:r>
          </w:p>
        </w:tc>
        <w:tc>
          <w:tcPr>
            <w:tcW w:w="0" w:type="dxa"/>
            <w:vAlign w:val="bottom"/>
          </w:tcPr>
          <w:p>
            <w:pPr>
              <w:spacing w:after="0"/>
              <w:rPr>
                <w:sz w:val="1"/>
                <w:szCs w:val="1"/>
                <w:color w:val="auto"/>
              </w:rPr>
            </w:pPr>
          </w:p>
        </w:tc>
      </w:tr>
      <w:tr>
        <w:trPr>
          <w:trHeight w:val="152"/>
        </w:trPr>
        <w:tc>
          <w:tcPr>
            <w:tcW w:w="69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38,846</w:t>
            </w:r>
          </w:p>
        </w:tc>
        <w:tc>
          <w:tcPr>
            <w:tcW w:w="0" w:type="dxa"/>
            <w:vAlign w:val="bottom"/>
          </w:tcPr>
          <w:p>
            <w:pPr>
              <w:spacing w:after="0"/>
              <w:rPr>
                <w:sz w:val="1"/>
                <w:szCs w:val="1"/>
                <w:color w:val="auto"/>
              </w:rPr>
            </w:pPr>
          </w:p>
        </w:tc>
      </w:tr>
      <w:tr>
        <w:trPr>
          <w:trHeight w:val="168"/>
        </w:trPr>
        <w:tc>
          <w:tcPr>
            <w:tcW w:w="6920" w:type="dxa"/>
            <w:vAlign w:val="bottom"/>
          </w:tcPr>
          <w:p>
            <w:pPr>
              <w:ind w:left="180"/>
              <w:spacing w:after="0"/>
              <w:rPr>
                <w:sz w:val="20"/>
                <w:szCs w:val="20"/>
                <w:color w:val="auto"/>
              </w:rPr>
            </w:pPr>
            <w:r>
              <w:rPr>
                <w:rFonts w:ascii="Arial" w:cs="Arial" w:eastAsia="Arial" w:hAnsi="Arial"/>
                <w:sz w:val="13"/>
                <w:szCs w:val="13"/>
                <w:color w:val="auto"/>
              </w:rPr>
              <w:t>Restricted cash</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w:t>
            </w:r>
          </w:p>
        </w:tc>
        <w:tc>
          <w:tcPr>
            <w:tcW w:w="0" w:type="dxa"/>
            <w:vAlign w:val="bottom"/>
          </w:tcPr>
          <w:p>
            <w:pPr>
              <w:spacing w:after="0"/>
              <w:rPr>
                <w:sz w:val="1"/>
                <w:szCs w:val="1"/>
                <w:color w:val="auto"/>
              </w:rPr>
            </w:pPr>
          </w:p>
        </w:tc>
      </w:tr>
      <w:tr>
        <w:trPr>
          <w:trHeight w:val="168"/>
        </w:trPr>
        <w:tc>
          <w:tcPr>
            <w:tcW w:w="6920" w:type="dxa"/>
            <w:vAlign w:val="bottom"/>
          </w:tcPr>
          <w:p>
            <w:pPr>
              <w:ind w:left="180"/>
              <w:spacing w:after="0"/>
              <w:rPr>
                <w:sz w:val="20"/>
                <w:szCs w:val="20"/>
                <w:color w:val="auto"/>
              </w:rPr>
            </w:pPr>
            <w:r>
              <w:rPr>
                <w:rFonts w:ascii="Arial" w:cs="Arial" w:eastAsia="Arial" w:hAnsi="Arial"/>
                <w:sz w:val="13"/>
                <w:szCs w:val="13"/>
                <w:color w:val="auto"/>
              </w:rPr>
              <w:t>Inventory</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2,915</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w:t>
            </w:r>
          </w:p>
        </w:tc>
        <w:tc>
          <w:tcPr>
            <w:tcW w:w="0" w:type="dxa"/>
            <w:vAlign w:val="bottom"/>
          </w:tcPr>
          <w:p>
            <w:pPr>
              <w:spacing w:after="0"/>
              <w:rPr>
                <w:sz w:val="1"/>
                <w:szCs w:val="1"/>
                <w:color w:val="auto"/>
              </w:rPr>
            </w:pPr>
          </w:p>
        </w:tc>
      </w:tr>
      <w:tr>
        <w:trPr>
          <w:trHeight w:val="168"/>
        </w:trPr>
        <w:tc>
          <w:tcPr>
            <w:tcW w:w="69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assets</w:t>
            </w: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63"/>
        </w:trPr>
        <w:tc>
          <w:tcPr>
            <w:tcW w:w="69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49,038</w:t>
            </w: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Goodwill</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345,219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345,219</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143,662</w:t>
            </w: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324,995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307,558</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fixtures and equipment, net of accumulated depreciation of $115,582 and $86,250, respectively</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160,744</w:t>
            </w:r>
          </w:p>
        </w:tc>
        <w:tc>
          <w:tcPr>
            <w:tcW w:w="0" w:type="dxa"/>
            <w:vAlign w:val="bottom"/>
          </w:tcPr>
          <w:p>
            <w:pPr>
              <w:spacing w:after="0"/>
              <w:rPr>
                <w:sz w:val="1"/>
                <w:szCs w:val="1"/>
                <w:color w:val="auto"/>
              </w:rPr>
            </w:pPr>
          </w:p>
        </w:tc>
      </w:tr>
      <w:tr>
        <w:trPr>
          <w:trHeight w:val="16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1,291</w:t>
            </w:r>
          </w:p>
        </w:tc>
        <w:tc>
          <w:tcPr>
            <w:tcW w:w="0" w:type="dxa"/>
            <w:vAlign w:val="bottom"/>
          </w:tcPr>
          <w:p>
            <w:pPr>
              <w:spacing w:after="0"/>
              <w:rPr>
                <w:sz w:val="1"/>
                <w:szCs w:val="1"/>
                <w:color w:val="auto"/>
              </w:rPr>
            </w:pPr>
          </w:p>
        </w:tc>
      </w:tr>
      <w:tr>
        <w:trPr>
          <w:trHeight w:val="188"/>
        </w:trPr>
        <w:tc>
          <w:tcPr>
            <w:tcW w:w="69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1,046,917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1,007,512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4,220</w:t>
            </w:r>
          </w:p>
        </w:tc>
        <w:tc>
          <w:tcPr>
            <w:tcW w:w="0" w:type="dxa"/>
            <w:vAlign w:val="bottom"/>
          </w:tcPr>
          <w:p>
            <w:pPr>
              <w:spacing w:after="0"/>
              <w:rPr>
                <w:sz w:val="1"/>
                <w:szCs w:val="1"/>
                <w:color w:val="auto"/>
              </w:rPr>
            </w:pPr>
          </w:p>
        </w:tc>
      </w:tr>
      <w:tr>
        <w:trPr>
          <w:trHeight w:val="168"/>
        </w:trPr>
        <w:tc>
          <w:tcPr>
            <w:tcW w:w="6920" w:type="dxa"/>
            <w:vAlign w:val="bottom"/>
          </w:tcPr>
          <w:p>
            <w:pPr>
              <w:ind w:left="180"/>
              <w:spacing w:after="0"/>
              <w:rPr>
                <w:sz w:val="20"/>
                <w:szCs w:val="20"/>
                <w:color w:val="auto"/>
              </w:rPr>
            </w:pPr>
            <w:r>
              <w:rPr>
                <w:rFonts w:ascii="Arial" w:cs="Arial" w:eastAsia="Arial" w:hAnsi="Arial"/>
                <w:sz w:val="13"/>
                <w:szCs w:val="13"/>
                <w:color w:val="auto"/>
              </w:rPr>
              <w:t>Accrued liabilities</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15,889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13,482</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compensation and deferred payroll taxes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10,856</w:t>
            </w:r>
          </w:p>
        </w:tc>
        <w:tc>
          <w:tcPr>
            <w:tcW w:w="0" w:type="dxa"/>
            <w:vAlign w:val="bottom"/>
          </w:tcPr>
          <w:p>
            <w:pPr>
              <w:spacing w:after="0"/>
              <w:rPr>
                <w:sz w:val="1"/>
                <w:szCs w:val="1"/>
                <w:color w:val="auto"/>
              </w:rPr>
            </w:pPr>
          </w:p>
        </w:tc>
      </w:tr>
      <w:tr>
        <w:trPr>
          <w:trHeight w:val="168"/>
        </w:trPr>
        <w:tc>
          <w:tcPr>
            <w:tcW w:w="6920" w:type="dxa"/>
            <w:vAlign w:val="bottom"/>
          </w:tcPr>
          <w:p>
            <w:pPr>
              <w:ind w:left="180"/>
              <w:spacing w:after="0"/>
              <w:rPr>
                <w:sz w:val="20"/>
                <w:szCs w:val="20"/>
                <w:color w:val="auto"/>
              </w:rPr>
            </w:pPr>
            <w:r>
              <w:rPr>
                <w:rFonts w:ascii="Arial" w:cs="Arial" w:eastAsia="Arial" w:hAnsi="Arial"/>
                <w:sz w:val="13"/>
                <w:szCs w:val="13"/>
                <w:color w:val="auto"/>
              </w:rPr>
              <w:t>Deferred revenues</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4,654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4,273</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Current portion of operating lease liabilities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40,111</w:t>
            </w:r>
          </w:p>
        </w:tc>
        <w:tc>
          <w:tcPr>
            <w:tcW w:w="0" w:type="dxa"/>
            <w:vAlign w:val="bottom"/>
          </w:tcPr>
          <w:p>
            <w:pPr>
              <w:spacing w:after="0"/>
              <w:rPr>
                <w:sz w:val="1"/>
                <w:szCs w:val="1"/>
                <w:color w:val="auto"/>
              </w:rPr>
            </w:pPr>
          </w:p>
        </w:tc>
      </w:tr>
      <w:tr>
        <w:trPr>
          <w:trHeight w:val="168"/>
        </w:trPr>
        <w:tc>
          <w:tcPr>
            <w:tcW w:w="6920" w:type="dxa"/>
            <w:vAlign w:val="bottom"/>
          </w:tcPr>
          <w:p>
            <w:pPr>
              <w:ind w:left="180"/>
              <w:spacing w:after="0"/>
              <w:rPr>
                <w:sz w:val="20"/>
                <w:szCs w:val="20"/>
                <w:color w:val="auto"/>
              </w:rPr>
            </w:pPr>
            <w:r>
              <w:rPr>
                <w:rFonts w:ascii="Arial" w:cs="Arial" w:eastAsia="Arial" w:hAnsi="Arial"/>
                <w:sz w:val="13"/>
                <w:szCs w:val="13"/>
                <w:color w:val="auto"/>
              </w:rPr>
              <w:t>Current portion of long-term debt</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3,186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3,590</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Note payable</w:t>
            </w:r>
          </w:p>
        </w:tc>
        <w:tc>
          <w:tcPr>
            <w:tcW w:w="2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920" w:type="dxa"/>
            <w:vAlign w:val="bottom"/>
          </w:tcPr>
          <w:p>
            <w:pPr>
              <w:ind w:left="680"/>
              <w:spacing w:after="0"/>
              <w:rPr>
                <w:sz w:val="20"/>
                <w:szCs w:val="20"/>
                <w:color w:val="auto"/>
              </w:rPr>
            </w:pPr>
            <w:r>
              <w:rPr>
                <w:rFonts w:ascii="Arial" w:cs="Arial" w:eastAsia="Arial" w:hAnsi="Arial"/>
                <w:sz w:val="13"/>
                <w:szCs w:val="13"/>
                <w:color w:val="auto"/>
              </w:rPr>
              <w:t>Total current liabilities</w:t>
            </w:r>
          </w:p>
        </w:tc>
        <w:tc>
          <w:tcPr>
            <w:tcW w:w="28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96,523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76,532</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307,802</w:t>
            </w: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Long-term debt, net</w:t>
            </w:r>
          </w:p>
        </w:tc>
        <w:tc>
          <w:tcPr>
            <w:tcW w:w="2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99,753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286,400</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10,313</w:t>
            </w: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Deferred payroll taxes</w:t>
            </w:r>
          </w:p>
        </w:tc>
        <w:tc>
          <w:tcPr>
            <w:tcW w:w="280" w:type="dxa"/>
            <w:vAlign w:val="bottom"/>
          </w:tcPr>
          <w:p>
            <w:pPr>
              <w:spacing w:after="0"/>
              <w:rPr>
                <w:sz w:val="14"/>
                <w:szCs w:val="14"/>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3,333</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w:t>
            </w:r>
          </w:p>
        </w:tc>
        <w:tc>
          <w:tcPr>
            <w:tcW w:w="0" w:type="dxa"/>
            <w:vAlign w:val="bottom"/>
          </w:tcPr>
          <w:p>
            <w:pPr>
              <w:spacing w:after="0"/>
              <w:rPr>
                <w:sz w:val="1"/>
                <w:szCs w:val="1"/>
                <w:color w:val="auto"/>
              </w:rPr>
            </w:pPr>
          </w:p>
        </w:tc>
      </w:tr>
      <w:tr>
        <w:trPr>
          <w:trHeight w:val="158"/>
        </w:trPr>
        <w:tc>
          <w:tcPr>
            <w:tcW w:w="6920" w:type="dxa"/>
            <w:vAlign w:val="bottom"/>
          </w:tcPr>
          <w:p>
            <w:pPr>
              <w:ind w:left="680"/>
              <w:spacing w:after="0"/>
              <w:rPr>
                <w:sz w:val="20"/>
                <w:szCs w:val="20"/>
                <w:color w:val="auto"/>
              </w:rPr>
            </w:pPr>
            <w:r>
              <w:rPr>
                <w:rFonts w:ascii="Arial" w:cs="Arial" w:eastAsia="Arial" w:hAnsi="Arial"/>
                <w:sz w:val="13"/>
                <w:szCs w:val="13"/>
                <w:color w:val="auto"/>
              </w:rPr>
              <w:t>Total liabilities</w:t>
            </w:r>
          </w:p>
        </w:tc>
        <w:tc>
          <w:tcPr>
            <w:tcW w:w="28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542,488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686,646</w:t>
            </w: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17)</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tcPr>
          <w:p>
            <w:pPr>
              <w:ind w:left="20"/>
              <w:spacing w:after="0"/>
              <w:rPr>
                <w:sz w:val="20"/>
                <w:szCs w:val="20"/>
                <w:color w:val="auto"/>
              </w:rPr>
            </w:pPr>
            <w:r>
              <w:rPr>
                <w:rFonts w:ascii="Arial" w:cs="Arial" w:eastAsia="Arial" w:hAnsi="Arial"/>
                <w:sz w:val="13"/>
                <w:szCs w:val="13"/>
                <w:color w:val="auto"/>
              </w:rPr>
              <w:t>Equity:</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9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5"/>
              </w:rPr>
              <w:t>Preferred stock; $0.01 par value; 10,000,000 shares authorized and none outstanding at December 26, 2021; 266,667 shares</w:t>
            </w:r>
          </w:p>
        </w:tc>
        <w:tc>
          <w:tcPr>
            <w:tcW w:w="280" w:type="dxa"/>
            <w:vAlign w:val="bottom"/>
            <w:shd w:val="clear" w:color="auto" w:fill="CCEEFF"/>
          </w:tcPr>
          <w:p>
            <w:pPr>
              <w:spacing w:after="0"/>
              <w:rPr>
                <w:sz w:val="11"/>
                <w:szCs w:val="11"/>
                <w:color w:val="auto"/>
              </w:rPr>
            </w:pPr>
          </w:p>
        </w:tc>
        <w:tc>
          <w:tcPr>
            <w:tcW w:w="1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6"/>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authorized, issued and outstanding at December 27, 2020</w:t>
            </w:r>
          </w:p>
        </w:tc>
        <w:tc>
          <w:tcPr>
            <w:tcW w:w="280" w:type="dxa"/>
            <w:vAlign w:val="bottom"/>
            <w:shd w:val="clear" w:color="auto" w:fill="CCEEFF"/>
          </w:tcPr>
          <w:p>
            <w:pPr>
              <w:spacing w:after="0"/>
              <w:rPr>
                <w:sz w:val="14"/>
                <w:szCs w:val="14"/>
                <w:color w:val="auto"/>
              </w:rPr>
            </w:pPr>
          </w:p>
        </w:tc>
        <w:tc>
          <w:tcPr>
            <w:tcW w:w="1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920" w:type="dxa"/>
            <w:vAlign w:val="bottom"/>
          </w:tcPr>
          <w:p>
            <w:pPr>
              <w:ind w:left="20"/>
              <w:spacing w:after="0" w:line="131" w:lineRule="exact"/>
              <w:rPr>
                <w:sz w:val="20"/>
                <w:szCs w:val="20"/>
                <w:color w:val="auto"/>
              </w:rPr>
            </w:pPr>
            <w:r>
              <w:rPr>
                <w:rFonts w:ascii="Arial" w:cs="Arial" w:eastAsia="Arial" w:hAnsi="Arial"/>
                <w:sz w:val="13"/>
                <w:szCs w:val="13"/>
                <w:color w:val="auto"/>
                <w:w w:val="94"/>
              </w:rPr>
              <w:t>Common stock; $0.01 par value; 300,000,000 shares authorized; 59,048,446 and 45,013,784 shares issued and outstanding at</w:t>
            </w:r>
          </w:p>
        </w:tc>
        <w:tc>
          <w:tcPr>
            <w:tcW w:w="280" w:type="dxa"/>
            <w:vAlign w:val="bottom"/>
          </w:tcPr>
          <w:p>
            <w:pPr>
              <w:spacing w:after="0"/>
              <w:rPr>
                <w:sz w:val="11"/>
                <w:szCs w:val="11"/>
                <w:color w:val="auto"/>
              </w:rPr>
            </w:pPr>
          </w:p>
        </w:tc>
        <w:tc>
          <w:tcPr>
            <w:tcW w:w="1860" w:type="dxa"/>
            <w:vAlign w:val="bottom"/>
            <w:vMerge w:val="restart"/>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vMerge w:val="restart"/>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3"/>
                <w:szCs w:val="13"/>
                <w:color w:val="auto"/>
              </w:rPr>
              <w:t>December 26, 2021 and December 27, 2020, respectively</w:t>
            </w:r>
          </w:p>
        </w:tc>
        <w:tc>
          <w:tcPr>
            <w:tcW w:w="28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608,878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423,345</w:t>
            </w:r>
          </w:p>
        </w:tc>
        <w:tc>
          <w:tcPr>
            <w:tcW w:w="0" w:type="dxa"/>
            <w:vAlign w:val="bottom"/>
          </w:tcPr>
          <w:p>
            <w:pPr>
              <w:spacing w:after="0"/>
              <w:rPr>
                <w:sz w:val="1"/>
                <w:szCs w:val="1"/>
                <w:color w:val="auto"/>
              </w:rPr>
            </w:pPr>
          </w:p>
        </w:tc>
      </w:tr>
      <w:tr>
        <w:trPr>
          <w:trHeight w:val="168"/>
        </w:trPr>
        <w:tc>
          <w:tcPr>
            <w:tcW w:w="69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Accumulated deficit</w:t>
            </w: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(102,932)</w:t>
            </w:r>
          </w:p>
        </w:tc>
        <w:tc>
          <w:tcPr>
            <w:tcW w:w="0" w:type="dxa"/>
            <w:vAlign w:val="bottom"/>
          </w:tcPr>
          <w:p>
            <w:pPr>
              <w:spacing w:after="0"/>
              <w:rPr>
                <w:sz w:val="1"/>
                <w:szCs w:val="1"/>
                <w:color w:val="auto"/>
              </w:rPr>
            </w:pPr>
          </w:p>
        </w:tc>
      </w:tr>
      <w:tr>
        <w:trPr>
          <w:trHeight w:val="160"/>
        </w:trPr>
        <w:tc>
          <w:tcPr>
            <w:tcW w:w="69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equity</w:t>
            </w:r>
          </w:p>
        </w:tc>
        <w:tc>
          <w:tcPr>
            <w:tcW w:w="28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504,429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320,866</w:t>
            </w:r>
          </w:p>
        </w:tc>
        <w:tc>
          <w:tcPr>
            <w:tcW w:w="0" w:type="dxa"/>
            <w:vAlign w:val="bottom"/>
          </w:tcPr>
          <w:p>
            <w:pPr>
              <w:spacing w:after="0"/>
              <w:rPr>
                <w:sz w:val="1"/>
                <w:szCs w:val="1"/>
                <w:color w:val="auto"/>
              </w:rPr>
            </w:pPr>
          </w:p>
        </w:tc>
      </w:tr>
      <w:tr>
        <w:trPr>
          <w:trHeight w:val="163"/>
        </w:trPr>
        <w:tc>
          <w:tcPr>
            <w:tcW w:w="6920" w:type="dxa"/>
            <w:vAlign w:val="bottom"/>
          </w:tcPr>
          <w:p>
            <w:pPr>
              <w:ind w:left="680"/>
              <w:spacing w:after="0"/>
              <w:rPr>
                <w:sz w:val="20"/>
                <w:szCs w:val="20"/>
                <w:color w:val="auto"/>
              </w:rPr>
            </w:pPr>
            <w:r>
              <w:rPr>
                <w:rFonts w:ascii="Arial" w:cs="Arial" w:eastAsia="Arial" w:hAnsi="Arial"/>
                <w:sz w:val="13"/>
                <w:szCs w:val="13"/>
                <w:color w:val="auto"/>
              </w:rPr>
              <w:t>Total liabilities and equity</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1,046,917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1,007,512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WATCH RESTAURANT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4"/>
          <w:szCs w:val="14"/>
          <w:i w:val="1"/>
          <w:iCs w:val="1"/>
          <w:color w:val="auto"/>
        </w:rPr>
        <w:t>(IN THOUSANDS, EXCEPT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70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2019</w:t>
            </w:r>
          </w:p>
        </w:tc>
      </w:tr>
      <w:tr>
        <w:trPr>
          <w:trHeight w:val="152"/>
        </w:trPr>
        <w:tc>
          <w:tcPr>
            <w:tcW w:w="7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Revenues</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Restaurant sales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592,343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337,433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429,309</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Franchise revenues</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7,064</w:t>
            </w:r>
          </w:p>
        </w:tc>
      </w:tr>
      <w:tr>
        <w:trPr>
          <w:trHeight w:val="158"/>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revenues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601,193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342,388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436,373</w:t>
            </w:r>
          </w:p>
        </w:tc>
      </w:tr>
      <w:tr>
        <w:trPr>
          <w:trHeight w:val="152"/>
        </w:trPr>
        <w:tc>
          <w:tcPr>
            <w:tcW w:w="7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costs and expenses</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Restaurant operating expenses (exclusive of depreciation and amortization shown below):</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7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Food and beverage costs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100,689</w:t>
            </w:r>
          </w:p>
        </w:tc>
      </w:tr>
      <w:tr>
        <w:trPr>
          <w:trHeight w:val="168"/>
        </w:trPr>
        <w:tc>
          <w:tcPr>
            <w:tcW w:w="7060" w:type="dxa"/>
            <w:vAlign w:val="bottom"/>
          </w:tcPr>
          <w:p>
            <w:pPr>
              <w:ind w:left="180"/>
              <w:spacing w:after="0"/>
              <w:rPr>
                <w:sz w:val="20"/>
                <w:szCs w:val="20"/>
                <w:color w:val="auto"/>
              </w:rPr>
            </w:pPr>
            <w:r>
              <w:rPr>
                <w:rFonts w:ascii="Arial" w:cs="Arial" w:eastAsia="Arial" w:hAnsi="Arial"/>
                <w:sz w:val="13"/>
                <w:szCs w:val="13"/>
                <w:color w:val="auto"/>
              </w:rPr>
              <w:t>Labor and other related expenses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189,167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120,380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148,537</w:t>
            </w:r>
          </w:p>
        </w:tc>
      </w:tr>
      <w:tr>
        <w:trPr>
          <w:trHeight w:val="172"/>
        </w:trPr>
        <w:tc>
          <w:tcPr>
            <w:tcW w:w="7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restaurant operating expenses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55,573</w:t>
            </w:r>
          </w:p>
        </w:tc>
      </w:tr>
      <w:tr>
        <w:trPr>
          <w:trHeight w:val="168"/>
        </w:trPr>
        <w:tc>
          <w:tcPr>
            <w:tcW w:w="7060" w:type="dxa"/>
            <w:vAlign w:val="bottom"/>
          </w:tcPr>
          <w:p>
            <w:pPr>
              <w:ind w:left="180"/>
              <w:spacing w:after="0"/>
              <w:rPr>
                <w:sz w:val="20"/>
                <w:szCs w:val="20"/>
                <w:color w:val="auto"/>
              </w:rPr>
            </w:pPr>
            <w:r>
              <w:rPr>
                <w:rFonts w:ascii="Arial" w:cs="Arial" w:eastAsia="Arial" w:hAnsi="Arial"/>
                <w:sz w:val="13"/>
                <w:szCs w:val="13"/>
                <w:color w:val="auto"/>
              </w:rPr>
              <w:t>Occupancy expenses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55,433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49,450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44,165</w:t>
            </w:r>
          </w:p>
        </w:tc>
      </w:tr>
      <w:tr>
        <w:trPr>
          <w:trHeight w:val="172"/>
        </w:trPr>
        <w:tc>
          <w:tcPr>
            <w:tcW w:w="7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Pre-opening expenses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5,815</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General and administrative expenses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70,388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46,322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55,818</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28,027</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Impairments and loss on disposal of assets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33,596</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(income) expenses, net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1,709</w:t>
            </w:r>
          </w:p>
        </w:tc>
      </w:tr>
      <w:tr>
        <w:trPr>
          <w:trHeight w:val="158"/>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operating costs and expenses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578,950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389,610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473,929</w:t>
            </w:r>
          </w:p>
        </w:tc>
      </w:tr>
      <w:tr>
        <w:trPr>
          <w:trHeight w:val="163"/>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(37,556)</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(22,815)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(20,080)</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r>
      <w:tr>
        <w:trPr>
          <w:trHeight w:val="158"/>
        </w:trPr>
        <w:tc>
          <w:tcPr>
            <w:tcW w:w="7060" w:type="dxa"/>
            <w:vAlign w:val="bottom"/>
          </w:tcPr>
          <w:p>
            <w:pPr>
              <w:ind w:left="180"/>
              <w:spacing w:after="0"/>
              <w:rPr>
                <w:sz w:val="20"/>
                <w:szCs w:val="20"/>
                <w:color w:val="auto"/>
              </w:rPr>
            </w:pPr>
            <w:r>
              <w:rPr>
                <w:rFonts w:ascii="Arial" w:cs="Arial" w:eastAsia="Arial" w:hAnsi="Arial"/>
                <w:sz w:val="13"/>
                <w:szCs w:val="13"/>
                <w:color w:val="auto"/>
              </w:rPr>
              <w:t>Income (Loss) before income taxes</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(69,554)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(57,891)</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12,419</w:t>
            </w:r>
          </w:p>
        </w:tc>
      </w:tr>
      <w:tr>
        <w:trPr>
          <w:trHeight w:val="158"/>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Net loss and total comprehensive loss</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(45,472)</w:t>
            </w:r>
          </w:p>
        </w:tc>
      </w:tr>
      <w:tr>
        <w:trPr>
          <w:trHeight w:val="170"/>
        </w:trPr>
        <w:tc>
          <w:tcPr>
            <w:tcW w:w="7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Less: Net loss attributable to non-controlling interest</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Net loss and comprehensive loss attributable to First Watch Restaurant Group, Inc.</w:t>
            </w: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(45,439)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7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Net loss per common share attributable to First Watch Restaurant Group, Inc. - basic and diluted</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basic and diluted</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48,213,995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45,013,784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45,013,784</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jc w:val="center"/>
        <w:ind w:right="-19"/>
        <w:spacing w:after="0"/>
        <w:rPr>
          <w:sz w:val="20"/>
          <w:szCs w:val="20"/>
          <w:color w:val="auto"/>
        </w:rPr>
      </w:pPr>
      <w:r>
        <w:rPr>
          <w:rFonts w:ascii="Arial" w:cs="Arial" w:eastAsia="Arial" w:hAnsi="Arial"/>
          <w:sz w:val="14"/>
          <w:szCs w:val="14"/>
          <w:i w:val="1"/>
          <w:iCs w:val="1"/>
          <w:color w:val="auto"/>
        </w:rPr>
        <w:t>(IN THOUSANDS, EXCEPT SHARE AMOUNTS)</w:t>
      </w:r>
    </w:p>
    <w:p>
      <w:pPr>
        <w:sectPr>
          <w:pgSz w:w="11900" w:h="16838" w:orient="portrait"/>
          <w:cols w:equalWidth="0" w:num="1">
            <w:col w:w="11280"/>
          </w:cols>
          <w:pgMar w:left="300" w:top="13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4"/>
                <w:szCs w:val="14"/>
                <w:color w:val="auto"/>
              </w:rPr>
            </w:pPr>
          </w:p>
        </w:tc>
        <w:tc>
          <w:tcPr>
            <w:tcW w:w="206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line="112" w:lineRule="exact"/>
              <w:rPr>
                <w:sz w:val="20"/>
                <w:szCs w:val="20"/>
                <w:color w:val="auto"/>
              </w:rPr>
            </w:pPr>
            <w:r>
              <w:rPr>
                <w:rFonts w:ascii="Arial" w:cs="Arial" w:eastAsia="Arial" w:hAnsi="Arial"/>
                <w:sz w:val="12"/>
                <w:szCs w:val="12"/>
                <w:b w:val="1"/>
                <w:bCs w:val="1"/>
                <w:color w:val="auto"/>
              </w:rPr>
              <w:t>Balance at December</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45,013,784</w:t>
            </w:r>
          </w:p>
        </w:tc>
        <w:tc>
          <w:tcPr>
            <w:tcW w:w="80" w:type="dxa"/>
            <w:vAlign w:val="bottom"/>
          </w:tcPr>
          <w:p>
            <w:pPr>
              <w:spacing w:after="0"/>
              <w:rPr>
                <w:sz w:val="9"/>
                <w:szCs w:val="9"/>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20"/>
                <w:szCs w:val="20"/>
                <w:color w:val="auto"/>
              </w:rPr>
            </w:pPr>
            <w:r>
              <w:rPr>
                <w:rFonts w:ascii="Arial" w:cs="Arial" w:eastAsia="Arial" w:hAnsi="Arial"/>
                <w:sz w:val="13"/>
                <w:szCs w:val="13"/>
                <w:b w:val="1"/>
                <w:bCs w:val="1"/>
                <w:color w:val="auto"/>
              </w:rPr>
              <w:t>30, 2018</w:t>
            </w:r>
          </w:p>
        </w:tc>
        <w:tc>
          <w:tcPr>
            <w:tcW w:w="10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3"/>
                <w:szCs w:val="13"/>
                <w:color w:val="auto"/>
              </w:rPr>
              <w:t>Stock-based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20"/>
                <w:szCs w:val="20"/>
                <w:color w:val="auto"/>
              </w:rPr>
            </w:pPr>
            <w:r>
              <w:rPr>
                <w:rFonts w:ascii="Arial" w:cs="Arial" w:eastAsia="Arial" w:hAnsi="Arial"/>
                <w:sz w:val="13"/>
                <w:szCs w:val="13"/>
                <w:color w:val="auto"/>
              </w:rPr>
              <w:t>compensation</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3"/>
                <w:szCs w:val="13"/>
                <w:color w:val="auto"/>
              </w:rPr>
              <w:t>Acquisition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20"/>
                <w:szCs w:val="20"/>
                <w:color w:val="auto"/>
              </w:rPr>
            </w:pPr>
            <w:r>
              <w:rPr>
                <w:rFonts w:ascii="Arial" w:cs="Arial" w:eastAsia="Arial" w:hAnsi="Arial"/>
                <w:sz w:val="13"/>
                <w:szCs w:val="13"/>
                <w:color w:val="auto"/>
              </w:rPr>
              <w:t>of non-controlling</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20"/>
                <w:szCs w:val="20"/>
                <w:color w:val="auto"/>
              </w:rPr>
            </w:pPr>
            <w:r>
              <w:rPr>
                <w:rFonts w:ascii="Arial" w:cs="Arial" w:eastAsia="Arial" w:hAnsi="Arial"/>
                <w:sz w:val="13"/>
                <w:szCs w:val="13"/>
                <w:color w:val="auto"/>
              </w:rPr>
              <w:t>interest</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6" w:lineRule="exact"/>
              <w:rPr>
                <w:sz w:val="20"/>
                <w:szCs w:val="20"/>
                <w:color w:val="auto"/>
              </w:rPr>
            </w:pPr>
            <w:r>
              <w:rPr>
                <w:rFonts w:ascii="Arial" w:cs="Arial" w:eastAsia="Arial" w:hAnsi="Arial"/>
                <w:sz w:val="13"/>
                <w:szCs w:val="13"/>
                <w:color w:val="auto"/>
              </w:rPr>
              <w:t>Adoption of lease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20"/>
                <w:szCs w:val="20"/>
                <w:color w:val="auto"/>
              </w:rPr>
            </w:pPr>
            <w:r>
              <w:rPr>
                <w:rFonts w:ascii="Arial" w:cs="Arial" w:eastAsia="Arial" w:hAnsi="Arial"/>
                <w:sz w:val="13"/>
                <w:szCs w:val="13"/>
                <w:color w:val="auto"/>
              </w:rPr>
              <w:t>standard (ASC 842)</w:t>
            </w:r>
          </w:p>
        </w:tc>
        <w:tc>
          <w:tcPr>
            <w:tcW w:w="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line="112" w:lineRule="exact"/>
              <w:rPr>
                <w:sz w:val="20"/>
                <w:szCs w:val="20"/>
                <w:color w:val="auto"/>
              </w:rPr>
            </w:pPr>
            <w:r>
              <w:rPr>
                <w:rFonts w:ascii="Arial" w:cs="Arial" w:eastAsia="Arial" w:hAnsi="Arial"/>
                <w:sz w:val="12"/>
                <w:szCs w:val="12"/>
                <w:b w:val="1"/>
                <w:bCs w:val="1"/>
                <w:color w:val="auto"/>
              </w:rPr>
              <w:t>Balance at December</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45,013,784</w:t>
            </w:r>
          </w:p>
        </w:tc>
        <w:tc>
          <w:tcPr>
            <w:tcW w:w="80" w:type="dxa"/>
            <w:vAlign w:val="bottom"/>
          </w:tcPr>
          <w:p>
            <w:pPr>
              <w:spacing w:after="0"/>
              <w:rPr>
                <w:sz w:val="9"/>
                <w:szCs w:val="9"/>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20"/>
                <w:szCs w:val="20"/>
                <w:color w:val="auto"/>
              </w:rPr>
            </w:pPr>
            <w:r>
              <w:rPr>
                <w:rFonts w:ascii="Arial" w:cs="Arial" w:eastAsia="Arial" w:hAnsi="Arial"/>
                <w:sz w:val="13"/>
                <w:szCs w:val="13"/>
                <w:b w:val="1"/>
                <w:bCs w:val="1"/>
                <w:color w:val="auto"/>
              </w:rPr>
              <w:t>29, 2019</w:t>
            </w:r>
          </w:p>
        </w:tc>
        <w:tc>
          <w:tcPr>
            <w:tcW w:w="10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20"/>
                <w:szCs w:val="20"/>
                <w:color w:val="auto"/>
              </w:rPr>
            </w:pPr>
            <w:r>
              <w:rPr>
                <w:rFonts w:ascii="Arial" w:cs="Arial" w:eastAsia="Arial" w:hAnsi="Arial"/>
                <w:sz w:val="13"/>
                <w:szCs w:val="13"/>
                <w:color w:val="auto"/>
              </w:rPr>
              <w:t>Share issuance</w:t>
            </w:r>
          </w:p>
        </w:tc>
        <w:tc>
          <w:tcPr>
            <w:tcW w:w="940" w:type="dxa"/>
            <w:vAlign w:val="bottom"/>
          </w:tcPr>
          <w:p>
            <w:pPr>
              <w:jc w:val="right"/>
              <w:spacing w:after="0"/>
              <w:rPr>
                <w:sz w:val="20"/>
                <w:szCs w:val="20"/>
                <w:color w:val="auto"/>
              </w:rPr>
            </w:pPr>
            <w:r>
              <w:rPr>
                <w:rFonts w:ascii="Arial" w:cs="Arial" w:eastAsia="Arial" w:hAnsi="Arial"/>
                <w:sz w:val="13"/>
                <w:szCs w:val="13"/>
                <w:color w:val="auto"/>
              </w:rPr>
              <w:t>266,667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3"/>
                <w:szCs w:val="13"/>
                <w:color w:val="auto"/>
              </w:rPr>
              <w:t>Stock-based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20"/>
                <w:szCs w:val="20"/>
                <w:color w:val="auto"/>
              </w:rPr>
            </w:pPr>
            <w:r>
              <w:rPr>
                <w:rFonts w:ascii="Arial" w:cs="Arial" w:eastAsia="Arial" w:hAnsi="Arial"/>
                <w:sz w:val="13"/>
                <w:szCs w:val="13"/>
                <w:color w:val="auto"/>
              </w:rPr>
              <w:t>compensation</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line="112" w:lineRule="exact"/>
              <w:rPr>
                <w:sz w:val="20"/>
                <w:szCs w:val="20"/>
                <w:color w:val="auto"/>
              </w:rPr>
            </w:pPr>
            <w:r>
              <w:rPr>
                <w:rFonts w:ascii="Arial" w:cs="Arial" w:eastAsia="Arial" w:hAnsi="Arial"/>
                <w:sz w:val="12"/>
                <w:szCs w:val="12"/>
                <w:b w:val="1"/>
                <w:bCs w:val="1"/>
                <w:color w:val="auto"/>
              </w:rPr>
              <w:t>Balance at December</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266,667</w:t>
            </w:r>
          </w:p>
        </w:tc>
        <w:tc>
          <w:tcPr>
            <w:tcW w:w="8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45,013,784</w:t>
            </w:r>
          </w:p>
        </w:tc>
        <w:tc>
          <w:tcPr>
            <w:tcW w:w="8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450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20"/>
                <w:szCs w:val="20"/>
                <w:color w:val="auto"/>
              </w:rPr>
            </w:pPr>
            <w:r>
              <w:rPr>
                <w:rFonts w:ascii="Arial" w:cs="Arial" w:eastAsia="Arial" w:hAnsi="Arial"/>
                <w:sz w:val="13"/>
                <w:szCs w:val="13"/>
                <w:b w:val="1"/>
                <w:bCs w:val="1"/>
                <w:color w:val="auto"/>
              </w:rPr>
              <w:t>27, 2020</w:t>
            </w: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20"/>
                <w:szCs w:val="20"/>
                <w:color w:val="auto"/>
              </w:rPr>
            </w:pPr>
            <w:r>
              <w:rPr>
                <w:rFonts w:ascii="Arial" w:cs="Arial" w:eastAsia="Arial" w:hAnsi="Arial"/>
                <w:sz w:val="13"/>
                <w:szCs w:val="13"/>
                <w:color w:val="auto"/>
                <w:w w:val="87"/>
              </w:rPr>
              <w:t>Common stock issuance</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10,877,850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6" w:lineRule="exact"/>
              <w:rPr>
                <w:sz w:val="20"/>
                <w:szCs w:val="20"/>
                <w:color w:val="auto"/>
              </w:rPr>
            </w:pPr>
            <w:r>
              <w:rPr>
                <w:rFonts w:ascii="Arial" w:cs="Arial" w:eastAsia="Arial" w:hAnsi="Arial"/>
                <w:sz w:val="13"/>
                <w:szCs w:val="13"/>
                <w:color w:val="auto"/>
                <w:w w:val="90"/>
              </w:rPr>
              <w:t>Conversion of preferred</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(266,667)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3,156,812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20"/>
                <w:szCs w:val="20"/>
                <w:color w:val="auto"/>
              </w:rPr>
            </w:pPr>
            <w:r>
              <w:rPr>
                <w:rFonts w:ascii="Arial" w:cs="Arial" w:eastAsia="Arial" w:hAnsi="Arial"/>
                <w:sz w:val="13"/>
                <w:szCs w:val="13"/>
                <w:color w:val="auto"/>
              </w:rPr>
              <w:t>shares</w:t>
            </w: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6" w:lineRule="exact"/>
              <w:rPr>
                <w:sz w:val="20"/>
                <w:szCs w:val="20"/>
                <w:color w:val="auto"/>
              </w:rPr>
            </w:pPr>
            <w:r>
              <w:rPr>
                <w:rFonts w:ascii="Arial" w:cs="Arial" w:eastAsia="Arial" w:hAnsi="Arial"/>
                <w:sz w:val="13"/>
                <w:szCs w:val="13"/>
                <w:color w:val="auto"/>
              </w:rPr>
              <w:t>Stock-based</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20"/>
                <w:szCs w:val="20"/>
                <w:color w:val="auto"/>
              </w:rPr>
            </w:pPr>
            <w:r>
              <w:rPr>
                <w:rFonts w:ascii="Arial" w:cs="Arial" w:eastAsia="Arial" w:hAnsi="Arial"/>
                <w:sz w:val="13"/>
                <w:szCs w:val="13"/>
                <w:color w:val="auto"/>
              </w:rPr>
              <w:t>compensation</w:t>
            </w:r>
          </w:p>
        </w:tc>
        <w:tc>
          <w:tcPr>
            <w:tcW w:w="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line="112" w:lineRule="exact"/>
              <w:rPr>
                <w:sz w:val="20"/>
                <w:szCs w:val="20"/>
                <w:color w:val="auto"/>
              </w:rPr>
            </w:pPr>
            <w:r>
              <w:rPr>
                <w:rFonts w:ascii="Arial" w:cs="Arial" w:eastAsia="Arial" w:hAnsi="Arial"/>
                <w:sz w:val="12"/>
                <w:szCs w:val="12"/>
                <w:b w:val="1"/>
                <w:bCs w:val="1"/>
                <w:color w:val="auto"/>
              </w:rPr>
              <w:t>Balance at December</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59,048,446</w:t>
            </w:r>
          </w:p>
        </w:tc>
        <w:tc>
          <w:tcPr>
            <w:tcW w:w="80" w:type="dxa"/>
            <w:vAlign w:val="bottom"/>
          </w:tcPr>
          <w:p>
            <w:pPr>
              <w:spacing w:after="0"/>
              <w:rPr>
                <w:sz w:val="9"/>
                <w:szCs w:val="9"/>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590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20"/>
                <w:szCs w:val="20"/>
                <w:color w:val="auto"/>
              </w:rPr>
            </w:pPr>
            <w:r>
              <w:rPr>
                <w:rFonts w:ascii="Arial" w:cs="Arial" w:eastAsia="Arial" w:hAnsi="Arial"/>
                <w:sz w:val="13"/>
                <w:szCs w:val="13"/>
                <w:b w:val="1"/>
                <w:bCs w:val="1"/>
                <w:color w:val="auto"/>
              </w:rPr>
              <w:t>26, 2021</w:t>
            </w:r>
          </w:p>
        </w:tc>
        <w:tc>
          <w:tcPr>
            <w:tcW w:w="10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2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Total Equity</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Accumulated</w:t>
            </w:r>
          </w:p>
        </w:tc>
        <w:tc>
          <w:tcPr>
            <w:tcW w:w="128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w w:val="93"/>
              </w:rPr>
              <w:t>Attributable to First</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jc w:val="right"/>
              <w:ind w:right="356"/>
              <w:spacing w:after="0" w:line="117"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2"/>
              </w:rPr>
              <w:t>Watch Restaurant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59"/>
        </w:trPr>
        <w:tc>
          <w:tcPr>
            <w:tcW w:w="920" w:type="dxa"/>
            <w:vAlign w:val="bottom"/>
          </w:tcPr>
          <w:p>
            <w:pPr>
              <w:jc w:val="right"/>
              <w:ind w:right="356"/>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Group, Inc.</w:t>
            </w:r>
          </w:p>
        </w:tc>
        <w:tc>
          <w:tcPr>
            <w:tcW w:w="1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381,665</w:t>
            </w: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(7,691)</w:t>
            </w:r>
          </w:p>
        </w:tc>
        <w:tc>
          <w:tcPr>
            <w:tcW w:w="8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374,424</w:t>
            </w:r>
          </w:p>
        </w:tc>
        <w:tc>
          <w:tcPr>
            <w:tcW w:w="8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23"/>
                <w:szCs w:val="2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374,674</w:t>
            </w:r>
          </w:p>
        </w:tc>
        <w:tc>
          <w:tcPr>
            <w:tcW w:w="0" w:type="dxa"/>
            <w:vAlign w:val="bottom"/>
          </w:tcPr>
          <w:p>
            <w:pPr>
              <w:spacing w:after="0"/>
              <w:rPr>
                <w:sz w:val="1"/>
                <w:szCs w:val="1"/>
                <w:color w:val="auto"/>
              </w:rPr>
            </w:pPr>
          </w:p>
        </w:tc>
      </w:tr>
      <w:tr>
        <w:trPr>
          <w:trHeight w:val="17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(45,439)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(45,439)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(45,472)</w:t>
            </w:r>
          </w:p>
        </w:tc>
        <w:tc>
          <w:tcPr>
            <w:tcW w:w="0" w:type="dxa"/>
            <w:vAlign w:val="bottom"/>
          </w:tcPr>
          <w:p>
            <w:pPr>
              <w:spacing w:after="0"/>
              <w:rPr>
                <w:sz w:val="1"/>
                <w:szCs w:val="1"/>
                <w:color w:val="auto"/>
              </w:rPr>
            </w:pPr>
          </w:p>
        </w:tc>
      </w:tr>
      <w:tr>
        <w:trPr>
          <w:trHeight w:val="34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1,160</w:t>
            </w:r>
          </w:p>
        </w:tc>
        <w:tc>
          <w:tcPr>
            <w:tcW w:w="180" w:type="dxa"/>
            <w:vAlign w:val="bottom"/>
          </w:tcPr>
          <w:p>
            <w:pPr>
              <w:spacing w:after="0"/>
              <w:rPr>
                <w:sz w:val="24"/>
                <w:szCs w:val="24"/>
                <w:color w:val="auto"/>
              </w:rPr>
            </w:pPr>
          </w:p>
        </w:tc>
        <w:tc>
          <w:tcPr>
            <w:tcW w:w="118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488"/>
        </w:trPr>
        <w:tc>
          <w:tcPr>
            <w:tcW w:w="920" w:type="dxa"/>
            <w:vAlign w:val="bottom"/>
          </w:tcPr>
          <w:p>
            <w:pPr>
              <w:jc w:val="right"/>
              <w:ind w:right="56"/>
              <w:spacing w:after="0"/>
              <w:rPr>
                <w:sz w:val="20"/>
                <w:szCs w:val="20"/>
                <w:color w:val="auto"/>
              </w:rPr>
            </w:pPr>
            <w:r>
              <w:rPr>
                <w:rFonts w:ascii="Arial" w:cs="Arial" w:eastAsia="Arial" w:hAnsi="Arial"/>
                <w:sz w:val="13"/>
                <w:szCs w:val="13"/>
                <w:color w:val="auto"/>
              </w:rPr>
              <w:t>(227)</w:t>
            </w:r>
          </w:p>
        </w:tc>
        <w:tc>
          <w:tcPr>
            <w:tcW w:w="180" w:type="dxa"/>
            <w:vAlign w:val="bottom"/>
          </w:tcPr>
          <w:p>
            <w:pPr>
              <w:spacing w:after="0"/>
              <w:rPr>
                <w:sz w:val="24"/>
                <w:szCs w:val="24"/>
                <w:color w:val="auto"/>
              </w:rPr>
            </w:pPr>
          </w:p>
        </w:tc>
        <w:tc>
          <w:tcPr>
            <w:tcW w:w="118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299"/>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75"/>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382,598</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(53,251)</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329,797</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329,797</w:t>
            </w:r>
          </w:p>
        </w:tc>
        <w:tc>
          <w:tcPr>
            <w:tcW w:w="0" w:type="dxa"/>
            <w:vAlign w:val="bottom"/>
          </w:tcPr>
          <w:p>
            <w:pPr>
              <w:spacing w:after="0"/>
              <w:rPr>
                <w:sz w:val="1"/>
                <w:szCs w:val="1"/>
                <w:color w:val="auto"/>
              </w:rPr>
            </w:pPr>
          </w:p>
        </w:tc>
      </w:tr>
      <w:tr>
        <w:trPr>
          <w:trHeight w:val="17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39,997</w:t>
            </w:r>
          </w:p>
        </w:tc>
        <w:tc>
          <w:tcPr>
            <w:tcW w:w="18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7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(49,681)</w:t>
            </w:r>
          </w:p>
        </w:tc>
        <w:tc>
          <w:tcPr>
            <w:tcW w:w="0" w:type="dxa"/>
            <w:vAlign w:val="bottom"/>
          </w:tcPr>
          <w:p>
            <w:pPr>
              <w:spacing w:after="0"/>
              <w:rPr>
                <w:sz w:val="1"/>
                <w:szCs w:val="1"/>
                <w:color w:val="auto"/>
              </w:rPr>
            </w:pPr>
          </w:p>
        </w:tc>
      </w:tr>
      <w:tr>
        <w:trPr>
          <w:trHeight w:val="342"/>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750</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75"/>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423,345</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(102,932)</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320,866</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320,866</w:t>
            </w:r>
          </w:p>
        </w:tc>
        <w:tc>
          <w:tcPr>
            <w:tcW w:w="0" w:type="dxa"/>
            <w:vAlign w:val="bottom"/>
          </w:tcPr>
          <w:p>
            <w:pPr>
              <w:spacing w:after="0"/>
              <w:rPr>
                <w:sz w:val="1"/>
                <w:szCs w:val="1"/>
                <w:color w:val="auto"/>
              </w:rPr>
            </w:pPr>
          </w:p>
        </w:tc>
      </w:tr>
      <w:tr>
        <w:trPr>
          <w:trHeight w:val="17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176,965</w:t>
            </w:r>
          </w:p>
        </w:tc>
        <w:tc>
          <w:tcPr>
            <w:tcW w:w="18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177,074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177,074</w:t>
            </w:r>
          </w:p>
        </w:tc>
        <w:tc>
          <w:tcPr>
            <w:tcW w:w="0" w:type="dxa"/>
            <w:vAlign w:val="bottom"/>
          </w:tcPr>
          <w:p>
            <w:pPr>
              <w:spacing w:after="0"/>
              <w:rPr>
                <w:sz w:val="1"/>
                <w:szCs w:val="1"/>
                <w:color w:val="auto"/>
              </w:rPr>
            </w:pPr>
          </w:p>
        </w:tc>
      </w:tr>
      <w:tr>
        <w:trPr>
          <w:trHeight w:val="297"/>
        </w:trPr>
        <w:tc>
          <w:tcPr>
            <w:tcW w:w="920" w:type="dxa"/>
            <w:vAlign w:val="bottom"/>
          </w:tcPr>
          <w:p>
            <w:pPr>
              <w:jc w:val="right"/>
              <w:ind w:right="56"/>
              <w:spacing w:after="0"/>
              <w:rPr>
                <w:sz w:val="20"/>
                <w:szCs w:val="20"/>
                <w:color w:val="auto"/>
              </w:rPr>
            </w:pPr>
            <w:r>
              <w:rPr>
                <w:rFonts w:ascii="Arial" w:cs="Arial" w:eastAsia="Arial" w:hAnsi="Arial"/>
                <w:sz w:val="13"/>
                <w:szCs w:val="13"/>
                <w:color w:val="auto"/>
              </w:rPr>
              <w:t>(28)</w:t>
            </w:r>
          </w:p>
        </w:tc>
        <w:tc>
          <w:tcPr>
            <w:tcW w:w="180" w:type="dxa"/>
            <w:vAlign w:val="bottom"/>
          </w:tcPr>
          <w:p>
            <w:pPr>
              <w:spacing w:after="0"/>
              <w:rPr>
                <w:sz w:val="24"/>
                <w:szCs w:val="24"/>
                <w:color w:val="auto"/>
              </w:rPr>
            </w:pPr>
          </w:p>
        </w:tc>
        <w:tc>
          <w:tcPr>
            <w:tcW w:w="118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(2,107)</w:t>
            </w:r>
          </w:p>
        </w:tc>
        <w:tc>
          <w:tcPr>
            <w:tcW w:w="0" w:type="dxa"/>
            <w:vAlign w:val="bottom"/>
          </w:tcPr>
          <w:p>
            <w:pPr>
              <w:spacing w:after="0"/>
              <w:rPr>
                <w:sz w:val="1"/>
                <w:szCs w:val="1"/>
                <w:color w:val="auto"/>
              </w:rPr>
            </w:pPr>
          </w:p>
        </w:tc>
      </w:tr>
      <w:tr>
        <w:trPr>
          <w:trHeight w:val="299"/>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8,596</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8,596</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8,596</w:t>
            </w:r>
          </w:p>
        </w:tc>
        <w:tc>
          <w:tcPr>
            <w:tcW w:w="0" w:type="dxa"/>
            <w:vAlign w:val="bottom"/>
          </w:tcPr>
          <w:p>
            <w:pPr>
              <w:spacing w:after="0"/>
              <w:rPr>
                <w:sz w:val="1"/>
                <w:szCs w:val="1"/>
                <w:color w:val="auto"/>
              </w:rPr>
            </w:pPr>
          </w:p>
        </w:tc>
      </w:tr>
      <w:tr>
        <w:trPr>
          <w:trHeight w:val="256"/>
        </w:trPr>
        <w:tc>
          <w:tcPr>
            <w:tcW w:w="920" w:type="dxa"/>
            <w:vAlign w:val="bottom"/>
          </w:tcPr>
          <w:p>
            <w:pPr>
              <w:jc w:val="right"/>
              <w:ind w:right="76"/>
              <w:spacing w:after="0"/>
              <w:rPr>
                <w:sz w:val="20"/>
                <w:szCs w:val="20"/>
                <w:color w:val="auto"/>
              </w:rPr>
            </w:pPr>
            <w:r>
              <w:rPr>
                <w:rFonts w:ascii="Arial" w:cs="Arial" w:eastAsia="Arial" w:hAnsi="Arial"/>
                <w:sz w:val="13"/>
                <w:szCs w:val="13"/>
                <w:color w:val="auto"/>
              </w:rPr>
              <w:t>608,878</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(105,039)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504,429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504,429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-2317115</wp:posOffset>
            </wp:positionV>
            <wp:extent cx="7161530" cy="215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21590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-1791335</wp:posOffset>
            </wp:positionV>
            <wp:extent cx="7161530" cy="1791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79197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-2613660</wp:posOffset>
            </wp:positionV>
            <wp:extent cx="716153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60"/>
            <w:col w:w="5580"/>
          </w:cols>
          <w:pgMar w:left="300" w:top="139" w:right="31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WATCH RESTAURANT GROUP, INC.</w:t>
      </w:r>
    </w:p>
    <w:p>
      <w:pPr>
        <w:spacing w:after="0" w:line="1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CONSOLIDATED STATEMENTS OF CASH FLOWS</w:t>
      </w:r>
    </w:p>
    <w:p>
      <w:pPr>
        <w:jc w:val="center"/>
        <w:ind w:left="500"/>
        <w:spacing w:after="0"/>
        <w:rPr>
          <w:sz w:val="20"/>
          <w:szCs w:val="20"/>
          <w:color w:val="auto"/>
        </w:rPr>
      </w:pPr>
      <w:r>
        <w:rPr>
          <w:rFonts w:ascii="Arial" w:cs="Arial" w:eastAsia="Arial" w:hAnsi="Arial"/>
          <w:sz w:val="14"/>
          <w:szCs w:val="14"/>
          <w:i w:val="1"/>
          <w:i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73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2019</w:t>
            </w:r>
          </w:p>
        </w:tc>
      </w:tr>
      <w:tr>
        <w:trPr>
          <w:trHeight w:val="152"/>
        </w:trPr>
        <w:tc>
          <w:tcPr>
            <w:tcW w:w="7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73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(2,107)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(49,681)</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(45,472)</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34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32,379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30,725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28,027</w:t>
            </w:r>
          </w:p>
        </w:tc>
      </w:tr>
      <w:tr>
        <w:trPr>
          <w:trHeight w:val="172"/>
        </w:trPr>
        <w:tc>
          <w:tcPr>
            <w:tcW w:w="7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w:t>
            </w:r>
          </w:p>
        </w:tc>
      </w:tr>
      <w:tr>
        <w:trPr>
          <w:trHeight w:val="168"/>
        </w:trPr>
        <w:tc>
          <w:tcPr>
            <w:tcW w:w="734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(12,558)</w:t>
            </w:r>
          </w:p>
        </w:tc>
      </w:tr>
      <w:tr>
        <w:trPr>
          <w:trHeight w:val="172"/>
        </w:trPr>
        <w:tc>
          <w:tcPr>
            <w:tcW w:w="7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operating lease costs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10,772</w:t>
            </w:r>
          </w:p>
        </w:tc>
      </w:tr>
      <w:tr>
        <w:trPr>
          <w:trHeight w:val="168"/>
        </w:trPr>
        <w:tc>
          <w:tcPr>
            <w:tcW w:w="7340" w:type="dxa"/>
            <w:vAlign w:val="bottom"/>
          </w:tcPr>
          <w:p>
            <w:pPr>
              <w:ind w:left="280"/>
              <w:spacing w:after="0"/>
              <w:rPr>
                <w:sz w:val="20"/>
                <w:szCs w:val="20"/>
                <w:color w:val="auto"/>
              </w:rPr>
            </w:pPr>
            <w:r>
              <w:rPr>
                <w:rFonts w:ascii="Arial" w:cs="Arial" w:eastAsia="Arial" w:hAnsi="Arial"/>
                <w:sz w:val="13"/>
                <w:szCs w:val="13"/>
                <w:color w:val="auto"/>
              </w:rPr>
              <w:t>Non-cash portion of gain on lease modification</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debt discount and deferred issuance costs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r>
      <w:tr>
        <w:trPr>
          <w:trHeight w:val="168"/>
        </w:trPr>
        <w:tc>
          <w:tcPr>
            <w:tcW w:w="7340" w:type="dxa"/>
            <w:vAlign w:val="bottom"/>
          </w:tcPr>
          <w:p>
            <w:pPr>
              <w:ind w:left="280"/>
              <w:spacing w:after="0"/>
              <w:rPr>
                <w:sz w:val="20"/>
                <w:szCs w:val="20"/>
                <w:color w:val="auto"/>
              </w:rPr>
            </w:pPr>
            <w:r>
              <w:rPr>
                <w:rFonts w:ascii="Arial" w:cs="Arial" w:eastAsia="Arial" w:hAnsi="Arial"/>
                <w:sz w:val="13"/>
                <w:szCs w:val="13"/>
                <w:color w:val="auto"/>
              </w:rPr>
              <w:t>Loss on extinguishment of debt</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 gains from acquisitions</w:t>
            </w: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8"/>
        </w:trPr>
        <w:tc>
          <w:tcPr>
            <w:tcW w:w="7340" w:type="dxa"/>
            <w:vAlign w:val="bottom"/>
          </w:tcPr>
          <w:p>
            <w:pPr>
              <w:ind w:left="280"/>
              <w:spacing w:after="0"/>
              <w:rPr>
                <w:sz w:val="20"/>
                <w:szCs w:val="20"/>
                <w:color w:val="auto"/>
              </w:rPr>
            </w:pPr>
            <w:r>
              <w:rPr>
                <w:rFonts w:ascii="Arial" w:cs="Arial" w:eastAsia="Arial" w:hAnsi="Arial"/>
                <w:sz w:val="13"/>
                <w:szCs w:val="13"/>
                <w:color w:val="auto"/>
              </w:rPr>
              <w:t>Impairments and loss on disposal of assets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33,596</w:t>
            </w:r>
          </w:p>
        </w:tc>
      </w:tr>
      <w:tr>
        <w:trPr>
          <w:trHeight w:val="172"/>
        </w:trPr>
        <w:tc>
          <w:tcPr>
            <w:tcW w:w="7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assets and liabilities, net of acquisitions: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Accounts receivable</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(3,192)</w:t>
            </w:r>
          </w:p>
        </w:tc>
      </w:tr>
      <w:tr>
        <w:trPr>
          <w:trHeight w:val="172"/>
        </w:trPr>
        <w:tc>
          <w:tcPr>
            <w:tcW w:w="7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Inventory</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Prepaid expenses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72"/>
        </w:trPr>
        <w:tc>
          <w:tcPr>
            <w:tcW w:w="7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offering costs</w:t>
            </w: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Other assets, current and long-term</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(1,094)</w:t>
            </w:r>
          </w:p>
        </w:tc>
      </w:tr>
      <w:tr>
        <w:trPr>
          <w:trHeight w:val="172"/>
        </w:trPr>
        <w:tc>
          <w:tcPr>
            <w:tcW w:w="7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Accrued liabilities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5,566</w:t>
            </w:r>
          </w:p>
        </w:tc>
      </w:tr>
      <w:tr>
        <w:trPr>
          <w:trHeight w:val="172"/>
        </w:trPr>
        <w:tc>
          <w:tcPr>
            <w:tcW w:w="7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compensation and deferred payroll taxes, current and long-term</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Deferred revenues, current and long-term</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(3,060)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2,024</w:t>
            </w:r>
          </w:p>
        </w:tc>
      </w:tr>
      <w:tr>
        <w:trPr>
          <w:trHeight w:val="172"/>
        </w:trPr>
        <w:tc>
          <w:tcPr>
            <w:tcW w:w="7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liabilities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3,101</w:t>
            </w:r>
          </w:p>
        </w:tc>
      </w:tr>
      <w:tr>
        <w:trPr>
          <w:trHeight w:val="168"/>
        </w:trPr>
        <w:tc>
          <w:tcPr>
            <w:tcW w:w="7340" w:type="dxa"/>
            <w:vAlign w:val="bottom"/>
          </w:tcPr>
          <w:p>
            <w:pPr>
              <w:ind w:left="360"/>
              <w:spacing w:after="0"/>
              <w:rPr>
                <w:sz w:val="20"/>
                <w:szCs w:val="20"/>
                <w:color w:val="auto"/>
              </w:rPr>
            </w:pPr>
            <w:r>
              <w:rPr>
                <w:rFonts w:ascii="Arial" w:cs="Arial" w:eastAsia="Arial" w:hAnsi="Arial"/>
                <w:sz w:val="13"/>
                <w:szCs w:val="13"/>
                <w:color w:val="auto"/>
              </w:rPr>
              <w:t>Other liabilities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(458)</w:t>
            </w:r>
          </w:p>
        </w:tc>
      </w:tr>
      <w:tr>
        <w:trPr>
          <w:trHeight w:val="163"/>
        </w:trPr>
        <w:tc>
          <w:tcPr>
            <w:tcW w:w="73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Net cash provided by (used in) operating activities</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62,971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(18,364)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21,465</w:t>
            </w:r>
          </w:p>
        </w:tc>
      </w:tr>
      <w:tr>
        <w:trPr>
          <w:trHeight w:val="148"/>
        </w:trPr>
        <w:tc>
          <w:tcPr>
            <w:tcW w:w="73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2"/>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(35,311)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(59,169)</w:t>
            </w:r>
          </w:p>
        </w:tc>
      </w:tr>
      <w:tr>
        <w:trPr>
          <w:trHeight w:val="168"/>
        </w:trPr>
        <w:tc>
          <w:tcPr>
            <w:tcW w:w="7340" w:type="dxa"/>
            <w:vAlign w:val="bottom"/>
          </w:tcPr>
          <w:p>
            <w:pPr>
              <w:ind w:left="20"/>
              <w:spacing w:after="0"/>
              <w:rPr>
                <w:sz w:val="20"/>
                <w:szCs w:val="20"/>
                <w:color w:val="auto"/>
              </w:rPr>
            </w:pPr>
            <w:r>
              <w:rPr>
                <w:rFonts w:ascii="Arial" w:cs="Arial" w:eastAsia="Arial" w:hAnsi="Arial"/>
                <w:sz w:val="13"/>
                <w:szCs w:val="13"/>
                <w:color w:val="auto"/>
              </w:rPr>
              <w:t>Purchase of intangible assets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net of cash acquired</w:t>
            </w: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(22,770)</w:t>
            </w:r>
          </w:p>
        </w:tc>
      </w:tr>
      <w:tr>
        <w:trPr>
          <w:trHeight w:val="168"/>
        </w:trPr>
        <w:tc>
          <w:tcPr>
            <w:tcW w:w="734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7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60"/>
        </w:trPr>
        <w:tc>
          <w:tcPr>
            <w:tcW w:w="73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Net cash used in investing activities</w:t>
            </w: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(35,682)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(26,974)</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4"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FIRST WATCH RESTAURANT GROUP, INC.</w:t>
      </w:r>
    </w:p>
    <w:p>
      <w:pPr>
        <w:spacing w:after="0" w:line="1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4"/>
          <w:szCs w:val="14"/>
          <w:i w:val="1"/>
          <w:iCs w:val="1"/>
          <w:color w:val="auto"/>
        </w:rPr>
        <w:t>-</w:t>
      </w:r>
      <w:r>
        <w:rPr>
          <w:rFonts w:ascii="Arial" w:cs="Arial" w:eastAsia="Arial" w:hAnsi="Arial"/>
          <w:sz w:val="16"/>
          <w:szCs w:val="16"/>
          <w:b w:val="1"/>
          <w:bCs w:val="1"/>
          <w:color w:val="auto"/>
        </w:rPr>
        <w:t xml:space="preserve"> </w:t>
      </w:r>
      <w:r>
        <w:rPr>
          <w:rFonts w:ascii="Arial" w:cs="Arial" w:eastAsia="Arial" w:hAnsi="Arial"/>
          <w:sz w:val="14"/>
          <w:szCs w:val="14"/>
          <w:b w:val="1"/>
          <w:bCs w:val="1"/>
          <w:i w:val="1"/>
          <w:iCs w:val="1"/>
          <w:color w:val="auto"/>
        </w:rPr>
        <w:t>continued</w:t>
      </w:r>
    </w:p>
    <w:p>
      <w:pPr>
        <w:jc w:val="center"/>
        <w:ind w:left="500"/>
        <w:spacing w:after="0"/>
        <w:rPr>
          <w:sz w:val="20"/>
          <w:szCs w:val="20"/>
          <w:color w:val="auto"/>
        </w:rPr>
      </w:pPr>
      <w:r>
        <w:rPr>
          <w:rFonts w:ascii="Arial" w:cs="Arial" w:eastAsia="Arial" w:hAnsi="Arial"/>
          <w:sz w:val="14"/>
          <w:szCs w:val="14"/>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Proceeds from common stock issuance, net of underwriting discounts and commissions</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182,095</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preferred stock issuance</w:t>
            </w: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Proceeds from issuance of long-term debt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long-term debt, including finance lease liabilities</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(291,602)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Payment of initial public offering costs</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borrowings on revolving credit facility</w:t>
            </w: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Repayments of borrowings on revolving credit facility</w:t>
            </w:r>
          </w:p>
        </w:tc>
        <w:tc>
          <w:tcPr>
            <w:tcW w:w="4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(39,000)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(32,500)</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 payable borrowing</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Repayments of note payable</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debt discount and deferred issuance costs</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Contingent consideration payment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w:t>
            </w:r>
          </w:p>
        </w:tc>
      </w:tr>
      <w:tr>
        <w:trPr>
          <w:trHeight w:val="163"/>
        </w:trPr>
        <w:tc>
          <w:tcPr>
            <w:tcW w:w="72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Net cash (used in) provided by financing activities</w:t>
            </w: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(14,271)</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73,314</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55,761</w:t>
            </w:r>
          </w:p>
        </w:tc>
      </w:tr>
      <w:tr>
        <w:trPr>
          <w:trHeight w:val="158"/>
        </w:trPr>
        <w:tc>
          <w:tcPr>
            <w:tcW w:w="7280" w:type="dxa"/>
            <w:vAlign w:val="bottom"/>
          </w:tcPr>
          <w:p>
            <w:pPr>
              <w:ind w:left="680"/>
              <w:spacing w:after="0"/>
              <w:rPr>
                <w:sz w:val="20"/>
                <w:szCs w:val="20"/>
                <w:color w:val="auto"/>
              </w:rPr>
            </w:pPr>
            <w:r>
              <w:rPr>
                <w:rFonts w:ascii="Arial" w:cs="Arial" w:eastAsia="Arial" w:hAnsi="Arial"/>
                <w:sz w:val="13"/>
                <w:szCs w:val="13"/>
                <w:color w:val="auto"/>
              </w:rPr>
              <w:t>Net increase (decrease) in cash and cash equivalents and restricted cash</w:t>
            </w: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13,018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27,976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(5,163)</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and restricted cash:</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28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Beginning of year</w:t>
            </w: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39,097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16,284</w:t>
            </w:r>
          </w:p>
        </w:tc>
      </w:tr>
      <w:tr>
        <w:trPr>
          <w:trHeight w:val="188"/>
        </w:trPr>
        <w:tc>
          <w:tcPr>
            <w:tcW w:w="7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End of year</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52,115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39,097</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11,121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16,152</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19,821</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18,929</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 net of refunds</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converted to long-term debt</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Leased assets obtained in exchange for new operating lease liabilities</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33,857</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21,333</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70,355</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Remeasurements of operating lease assets and lease liabilities</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68"/>
        </w:trPr>
        <w:tc>
          <w:tcPr>
            <w:tcW w:w="7280" w:type="dxa"/>
            <w:vAlign w:val="bottom"/>
          </w:tcPr>
          <w:p>
            <w:pPr>
              <w:ind w:left="20"/>
              <w:spacing w:after="0"/>
              <w:rPr>
                <w:sz w:val="20"/>
                <w:szCs w:val="20"/>
                <w:color w:val="auto"/>
              </w:rPr>
            </w:pPr>
            <w:r>
              <w:rPr>
                <w:rFonts w:ascii="Arial" w:cs="Arial" w:eastAsia="Arial" w:hAnsi="Arial"/>
                <w:sz w:val="13"/>
                <w:szCs w:val="13"/>
                <w:color w:val="auto"/>
              </w:rPr>
              <w:t>Terminations of operating lease liabilities</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(711)</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(3,293)</w:t>
            </w:r>
          </w:p>
        </w:tc>
      </w:tr>
      <w:tr>
        <w:trPr>
          <w:trHeight w:val="172"/>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Leased assets obtained in exchange for new finance lease liabilities</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w:t>
            </w:r>
          </w:p>
        </w:tc>
      </w:tr>
      <w:tr>
        <w:trPr>
          <w:trHeight w:val="180"/>
        </w:trPr>
        <w:tc>
          <w:tcPr>
            <w:tcW w:w="7280" w:type="dxa"/>
            <w:vAlign w:val="bottom"/>
          </w:tcPr>
          <w:p>
            <w:pPr>
              <w:ind w:left="20"/>
              <w:spacing w:after="0"/>
              <w:rPr>
                <w:sz w:val="20"/>
                <w:szCs w:val="20"/>
                <w:color w:val="auto"/>
              </w:rPr>
            </w:pPr>
            <w:r>
              <w:rPr>
                <w:rFonts w:ascii="Arial" w:cs="Arial" w:eastAsia="Arial" w:hAnsi="Arial"/>
                <w:sz w:val="13"/>
                <w:szCs w:val="13"/>
                <w:color w:val="auto"/>
              </w:rPr>
              <w:t>Remeasurements of finance leased assets and lease liabilities</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liabilities from acquisition of property, fixtures and equipment</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3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Nature of Business and Organization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First Watch Restaurant Group, Inc. (collectively with its wholly-owned subsidiaries, “the Company,” or “Management”) is a Delaware holding company. The Company operates and franchises restaurants in 28 states operating under the “First Watch” trade name which are focused on made-to-order breakfast, brunch and lunch. The Company does not operate outside of the United States and all of its assets are located in the United States. The Company’s outstanding stock was purchased by funds affiliated with or managed by Advent International Corporation on August 21, 2017 (the “Advent Acquisition”).</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operates restaurants through its wholly owned subsidiary, First Watch Restaurants, Inc., and is a franchisor through its wholly owned subsidiary, First Watch Franchise Development Co. As of December 26, 2021, the Company had 341 company-owned restaurants and 94 franchise-owned restaurants.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September 20, 2021, the Company’s board of directors and its stockholders approved an amendment to the Company’s Certificate of Incorporation. Such amendment (i) effected a 11.838-for-1 stock split of its issued and outstanding shares of common stock and a proportional adjustment to the existing conversion ratio of the preferred stock and (ii) authorized an increase to the number of shares of common stock of the Company to 300,000,000 and an increase to the number of shares of preferred stock to 10,000,000. The par value of the Company’s common and preferred stock was not adjusted in connection with the stock split. All common share and per share amounts for all periods presented in the accompanying consolidated financial statements and notes thereto have been adjusted retroactively to reflect this stock split.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30, 2021, the Company’s registration statement on Form S-1 related to its initial public offering (“IPO”) was declared effective and the Company’s common stock began trading on the Nasdaq Global Select Market (“Nasdaq”) on October 1, 2021. On October 5, 2021, the Company completed its IPO, in which the Company sold 10,877,850 shares of common stock at the initial public offering price of $18.00 per share and received aggregate net proceeds of $182.1 million after deducting underwriting discounts and commissions of $13.7 million. The shares sold included the underwriters’ full exercise of their option to purchase up to an additional 1,418,850 shares of common stock at the initial public offering price of $18.00 per share. All of the Company’s outstanding shares of preferred stock were adjusted in connection with the aforementioned stock split and were automatically converted into 3,156,812 shares of common stock immediately prior to and in connection with the consummation of the IPO.</w:t>
      </w:r>
    </w:p>
    <w:p>
      <w:pPr>
        <w:spacing w:after="0" w:line="11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Summary of Significant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reports financial information on a 52- or 53-week fiscal year ending on the last Sunday of each calendar year. The fiscal years ended December 26, 2021 (“Fiscal 2021”), December 27, 2020 (“Fiscal 2020”) and December 29, 2019 (“Fiscal 2019”) contained 52 weeks. The accompanying consolidated financial statements of the Company have been prepared in U.S. dollars and in accordance with generally accepted accounting principles in the United States of America (“GAAP”).</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Comprehensive income (loss) is a measure of net income (loss) and all other changes in equity that result from transactions other than with equity holders, and would normally be recorded in the Consolidated Statements of Equity and the Consolidated Statements of Comprehensive Income (Loss). The Company does not have any components of other comprehensive income (loss) recorded within its consolidated financial statements. Accordingly, there is no difference between net loss and comprehensive loss.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Reclassifications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reclassified certain items in the accompanying consolidated financial statements for the prior periods to be comparable with the classification for the current period. These reclassifications are related to the presentation of Pre-opening expenses on the Consolidated Statements of Operations and Comprehensive Loss for all periods presented, which were previously included in Other restaurant operating expenses and Occupancy expenses. These reclassifications had no effect on previously reported net loss and comprehensive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Global Pandemic</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March 2020, the World Health Organization declared the novel strain of coronavirus (“COVID-19”) a global pandemic and recommended containment and mitigation measures worldwide. The Company experienced a significant reduction in guest traffic at its restaurants due to changes in consumer behavior as public health officials encouraged social distancing and state and local governments mandated restrictions including suspension of dine-in operations, reduced restaurant seating capacity, table spacing requirements and additional physical barriers. On April 13, 2020, to help ensure the safety of its employees, Management temporarily suspended all operations at the company-owned restaurants. In June 2020, substantially all of the company-owned restaurants were reopened in compliance with state and local capacity restrictions and by March 2021, nearly all our restaurants had reopened to full dining-room capacity.</w:t>
      </w:r>
    </w:p>
    <w:p>
      <w:pPr>
        <w:spacing w:after="0" w:line="29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 xml:space="preserve">The COVID-19 pandemic is not eradicated and the extent to which COVID-19 may continue to impact the Company’s business and its customers is uncertain. The consolidated financial statements include estimates and judgments and there may be changes to those estimates in future periods as a result of the COVID-19 pandemic (see Note 4, </w:t>
      </w:r>
      <w:r>
        <w:rPr>
          <w:rFonts w:ascii="Arial" w:cs="Arial" w:eastAsia="Arial" w:hAnsi="Arial"/>
          <w:sz w:val="12"/>
          <w:szCs w:val="12"/>
          <w:i w:val="1"/>
          <w:iCs w:val="1"/>
          <w:color w:val="auto"/>
        </w:rPr>
        <w:t>COVID-19 Charges</w:t>
      </w:r>
      <w:r>
        <w:rPr>
          <w:rFonts w:ascii="Arial" w:cs="Arial" w:eastAsia="Arial" w:hAnsi="Arial"/>
          <w:sz w:val="12"/>
          <w:szCs w:val="12"/>
          <w:color w:val="auto"/>
        </w:rPr>
        <w:t>,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Company’s consolidated financial statements include the accounts of its wholly owned subsidiaries. All intercompany transactions and balances have been eliminated in consolidation. In Fiscal 2019, the Company’s consolidated financial statements included the accounts of its majority-owned subsidiary, TFW-NC, LLC, (“TFW”), in which the Company owned 75% of the voting shares and had a controlling financial interest. On December 24, 2019, the Company acquired the remaining 25% interest in TFW for $0.45 million. The acquisition was accounted for as an equity transaction with the difference between the cash paid and the carrying amount of the non-controlling interest recognized as a decrease to equity attributable to First Watch Restaurant Group, Inc.</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does not hold ownership interests in any franchisee and does not provide financial support to franchisees. As a result, the Company’s franchise relationships are not variable interest entities and are not consolidated.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preparation of the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and such differences could be material.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8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Management determined the Company’s single operating segment on the basis that the Company’s Chief Operating Decision Maker (the “CODM”), the Chief Executive Officer, assesses performance and allocates resources at the Company's consolidated level. The Company does not have any customer that represents more than 10% of total revenues for the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business combinations are accounted for using the purchase method of accounting</w:t>
      </w:r>
      <w:r>
        <w:rPr>
          <w:rFonts w:ascii="Arial" w:cs="Arial" w:eastAsia="Arial" w:hAnsi="Arial"/>
          <w:sz w:val="14"/>
          <w:szCs w:val="14"/>
          <w:i w:val="1"/>
          <w:iCs w:val="1"/>
          <w:color w:val="auto"/>
        </w:rPr>
        <w:t>.</w:t>
      </w:r>
      <w:r>
        <w:rPr>
          <w:rFonts w:ascii="Arial" w:cs="Arial" w:eastAsia="Arial" w:hAnsi="Arial"/>
          <w:sz w:val="14"/>
          <w:szCs w:val="14"/>
          <w:color w:val="auto"/>
        </w:rPr>
        <w:t xml:space="preserve"> The consideration transferred in a business combination, identifiable assets acquired and liabilities assumed are measured at their estimated fair value as of the date of the acquisition. Goodwill is recognized for the amount by which the purchase consideration exceeds the fair values of the net assets acquired. Costs incurred in connection with business combinations are expensed as incurred.</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December 31, 2018, four restaurants were acquired from a franchisee for approximately $7.0 million in cash and the acquisition was accounted for as a business combination. On January 28, 2019, five operating restaurants and rights for two additional restaurant sites were acquired from a franchisee for approximately $9.9 million in cash and the acquisition was accounted for as a business combination. During the months June 2019 through December 2019, a series of acquisitions of nine individual restaurants from unrelated franchisees were completed for total cash consideration of approximately $6.2 million. The acquisitions were individually accounted for as business combinations. The Company incurred transaction costs totaling $0.9 million during Fiscal 2019 for all acquisitions, which were expensed as incurred.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Financial assets and liabilities carried at fair value are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1</w:t>
            </w:r>
          </w:p>
        </w:tc>
        <w:tc>
          <w:tcPr>
            <w:tcW w:w="10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Quoted prices (unadjusted) in active markets for identical assets or liabilities</w:t>
            </w:r>
          </w:p>
        </w:tc>
      </w:tr>
      <w:tr>
        <w:trPr>
          <w:trHeight w:val="170"/>
        </w:trPr>
        <w:tc>
          <w:tcPr>
            <w:tcW w:w="840" w:type="dxa"/>
            <w:vAlign w:val="bottom"/>
          </w:tcPr>
          <w:p>
            <w:pPr>
              <w:ind w:left="20"/>
              <w:spacing w:after="0"/>
              <w:rPr>
                <w:sz w:val="20"/>
                <w:szCs w:val="20"/>
                <w:color w:val="auto"/>
              </w:rPr>
            </w:pPr>
            <w:r>
              <w:rPr>
                <w:rFonts w:ascii="Arial" w:cs="Arial" w:eastAsia="Arial" w:hAnsi="Arial"/>
                <w:sz w:val="13"/>
                <w:szCs w:val="13"/>
                <w:color w:val="auto"/>
              </w:rPr>
              <w:t>Level 2</w:t>
            </w:r>
          </w:p>
        </w:tc>
        <w:tc>
          <w:tcPr>
            <w:tcW w:w="10420" w:type="dxa"/>
            <w:vAlign w:val="bottom"/>
          </w:tcPr>
          <w:p>
            <w:pPr>
              <w:ind w:left="400"/>
              <w:spacing w:after="0"/>
              <w:rPr>
                <w:sz w:val="20"/>
                <w:szCs w:val="20"/>
                <w:color w:val="auto"/>
              </w:rPr>
            </w:pPr>
            <w:r>
              <w:rPr>
                <w:rFonts w:ascii="Arial" w:cs="Arial" w:eastAsia="Arial" w:hAnsi="Arial"/>
                <w:sz w:val="13"/>
                <w:szCs w:val="13"/>
                <w:color w:val="auto"/>
              </w:rPr>
              <w:t>Observable inputs available other than quoted prices included in Level 1</w:t>
            </w:r>
          </w:p>
        </w:tc>
      </w:tr>
      <w:tr>
        <w:trPr>
          <w:trHeight w:val="170"/>
        </w:trPr>
        <w:tc>
          <w:tcPr>
            <w:tcW w:w="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3</w:t>
            </w:r>
          </w:p>
        </w:tc>
        <w:tc>
          <w:tcPr>
            <w:tcW w:w="10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Unobservable inputs based on assumptions that cannot be determined by observable market data</w:t>
            </w:r>
          </w:p>
        </w:tc>
      </w:tr>
    </w:tbl>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carrying amounts of the Company’s financial instruments, including cash equivalents, accounts receivable, accounts payable, accrued expenses, note payable and other current liabilities, approximate their fair values due to their short-term maturities.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and Restricted Cash</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and cash equivalents include all cash balances and highly liquid investments with an original maturity of three months or less. Amounts receivable from credit card processors are considered cash equivalents because they are highly liquid and are typically converted to cash within three business days.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Amounts included in restricted cash represent those required to be set aside by a contractual agreement for the settlement of insurance claims.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Risk</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Financial instruments, which potentially subject the Company to concentrations of market and credit risk, are cash and cash equivalents and restricted cash. At times, cash balances may be in excess of the Federal Deposit Insurance Corporation insurance limits. The Company has not experienced any losses to date as a result of these risks. Management periodically assesses the quality of the financial institutions and believes that the risk related to these deposits is minimal.</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Accounts receivable consist primarily of receivables from franchisees, receivables from third-party delivery providers, receivables from gift card sales and vendor rebates. The Company believes all amounts to be collectible based on a variety of factors it evaluates, including historical experience, current economic conditions, and other factors. Accordingly, no allowance for credit losses or doubtful accounts has been recorded as of December 26, 2021 and December 27, 2020.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Inventory consists primarily of food and beverage costs and is stated at the lower of cost (determined by the first-in, first-out method) or net realizable value. Adjustments are not deemed necessary to reduce inventory to net realizable value due to the rapid turnover and utilization of inventory.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Certain legal, professional accounting, and other third-party fees that are directly associated with in-process equity financings are capitalized as deferred offering costs until such financings are consummated. After consummation of the equity financing, these costs are recorded in equity as a reduction of additional paid-in capital generated as a result of the offering. The Company incurred $5.0 million of costs in connection with the IPO in Fiscal 2021, which were recorded in equity as a reduction of additional paid in capital. The Company incurred $2.0 million in deferred offering costs in Fiscal 2020, which were expensed in General and administrative expenses as a result of halting the Company’s public registration of equity in Fiscal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restaurant facilities, corporate offices and certain restaurant equipment are leased under various agreements having initial terms expiring between 2022 and 2036. Restaurant facility leases generally have renewal periods of five to 20 years, exercisable at the option of the Company. At the commencement of each lease, an evaluation is performed to determine whether (i) the contract involves the use of property or equipment, (ii) the Company controls the use of the asset and (iii) the Company has the right to direct the use of the asset. Management determines the classification of lease contracts as operating or finance leases. The majority of the Company’s real estate leases are classified as operating leases and the majority of the Company’s equipment leases are classified as finance leases.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operating leases with lease terms greater than twelve months, a lease liability is recognized for future fixed lease payments and a corresponding right-of-use asset is recognized representing the Company’s right to use the underlying asset during the lease term. The lease liability is initially measured as the present value of the future fixed lease payments that will be made over the lease term using the Company’s incremental borrowing rate as there are no implicit rates provided in the lease contracts. The Company’s incremental borrowing rate is based on a market yield implied by the Company’s outstanding secured term loans interpolated for various maturities using the Company’s synthetic credit rating, which was determined using a regression analysis of rated publicly-traded comparable companies and their financial data. Lease expense, which includes the effects of free rent periods and rent escalation clauses within certain of the Company’s leases, is recognized on a straight-line basis over the lease term. Tenant improvement allowances are amortized on a straight-line basis over the term of the lease as a reduction of lease expense. The lease term, which commences on the date the Company has the right to control the use of the property, includes the Company’s options to extend the lease to the extent it is reasonably certain that the extension options will be exercised.</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Leases with indexed rent escalation clauses are recorded using the index that existed at lease commencement or upon the latest modification requiring remeasurement. Subsequent changes in the index are recorded as variable lease expense. Contingent rent payments, which are based on a percentage of sales for certain restaurant facilities, are recorded as variable lease expense when the Company determines that such sales levels will be achieved. In addition to fixed lease payments, certain of the Company’s real estate leases also require payment of a proportionate share of property taxes, insurance and maintenance costs, which are expensed as incurred in the Consolidated Statements of Operations and Comprehensive Loss and future variable rent obligations are not included within the lease liabilities on the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operating lease right-of-use asset is measured at the amount of the lease liability with adjustments for (i) rent prepayments made prior to or at lease commencement, (ii) landlord incentives and</w:t>
      </w:r>
    </w:p>
    <w:p>
      <w:pPr>
        <w:spacing w:after="0" w:line="31" w:lineRule="exact"/>
        <w:rPr>
          <w:sz w:val="20"/>
          <w:szCs w:val="20"/>
          <w:color w:val="auto"/>
        </w:rPr>
      </w:pPr>
    </w:p>
    <w:p>
      <w:pPr>
        <w:ind w:firstLine="5"/>
        <w:spacing w:after="0" w:line="266" w:lineRule="auto"/>
        <w:tabs>
          <w:tab w:leader="none" w:pos="265"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favorable and unfavorable leasehold positions. The depreciable life of an operating lease right-of-use asset is limited by the expected lease term. The Company’s leases do not contain any material residual value guarantees or material restrictive covenants.</w:t>
      </w:r>
    </w:p>
    <w:p>
      <w:pPr>
        <w:spacing w:after="0" w:line="14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Fixed lease and non-lease components of the Company’s restaurant facility leases are accounted for as a single lease component. Leases with an initial term of 12 months or less are not recorded on the Consolidated Balance Sheets, however, they are recognized on a straight-line basis over the lease term in the Consolidated Statements of Operations and Comprehensive Loss.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Fiscal 2020, Management renegotiated numerous lease agreements that primarily resulted in rent abatements or rent deferrals during the period of the closures of the company-owned restaurants as a result of the COVID-19 pandemic. Management elected the practical expedient for COVID-19 related rent concessions pursuant to the question and answer document issued by the Financial Accounting Standards Board (the “FASB”) in April 2020 and remeasured the lease liabilities using the original discount rate with a corresponding adjustment to the right-of-use assets. Rent deferrals increased the lease liabilities and right-of use assets until amounts are paid with no impact to lease expense. Rent abatements were recognized on a straight-line basis over the respective remaining lease term.</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Finance lease liabilities and corresponding finance lease assets are recognized at an amount equal to the present value of the minimum lease payments over the expected lease term. The amortization of finance lease assets is recognized over the shorter of the lease term or useful life of the underlying asset within Depreciation and amortization. The interest expense related to finance leases, including any variable lease payments, is recognized in Interest expense. Finance lease assets are classified in Property, fixtures and equipment, net and current maturities and long-term portions of finance lease liabilities are classified within Current portion of long-term debt and Long-term debt, net,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Fixtures and Equipment</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Repair and maintenance costs are expensed as incurred. Leasehold improvements are depreciated over the shorter of their useful life or the expected lease term. The carrying amount of assets sold, replaced or retired and the related accumulated depreciation are eliminated at the time of disposal and any resulting gains and losses on disposal are recognized in the Consolidated Statements of Operations and Comprehensive Loss.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Direct internal costs associated with the acquisition, development, design and construction of company-owned restaurants are capitalized as these costs have a future benefit to the Company. Once a restaurant opens, these costs are depreciated and recorded in Depreciation and amortization. Direct internal costs of $0.5 million and $0.4 million were capitalized in Fiscal 2021 and Fiscal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Pr>
          <w:p>
            <w:pPr>
              <w:spacing w:after="0"/>
              <w:rPr>
                <w:sz w:val="20"/>
                <w:szCs w:val="20"/>
                <w:color w:val="auto"/>
              </w:rPr>
            </w:pPr>
            <w:r>
              <w:rPr>
                <w:rFonts w:ascii="Arial" w:cs="Arial" w:eastAsia="Arial" w:hAnsi="Arial"/>
                <w:sz w:val="14"/>
                <w:szCs w:val="14"/>
                <w:color w:val="auto"/>
              </w:rPr>
              <w:t>Depreciation is computed using the straight-line method over the following estimated useful lives:</w:t>
            </w:r>
          </w:p>
        </w:tc>
        <w:tc>
          <w:tcPr>
            <w:tcW w:w="3260" w:type="dxa"/>
            <w:vAlign w:val="bottom"/>
          </w:tcPr>
          <w:p>
            <w:pPr>
              <w:spacing w:after="0"/>
              <w:rPr>
                <w:sz w:val="15"/>
                <w:szCs w:val="15"/>
                <w:color w:val="auto"/>
              </w:rPr>
            </w:pPr>
          </w:p>
        </w:tc>
      </w:tr>
      <w:tr>
        <w:trPr>
          <w:trHeight w:val="96"/>
        </w:trPr>
        <w:tc>
          <w:tcPr>
            <w:tcW w:w="8020" w:type="dxa"/>
            <w:vAlign w:val="bottom"/>
          </w:tcPr>
          <w:p>
            <w:pPr>
              <w:spacing w:after="0"/>
              <w:rPr>
                <w:sz w:val="8"/>
                <w:szCs w:val="8"/>
                <w:color w:val="auto"/>
              </w:rPr>
            </w:pPr>
          </w:p>
        </w:tc>
        <w:tc>
          <w:tcPr>
            <w:tcW w:w="3260" w:type="dxa"/>
            <w:vAlign w:val="bottom"/>
          </w:tcPr>
          <w:p>
            <w:pPr>
              <w:spacing w:after="0"/>
              <w:rPr>
                <w:sz w:val="8"/>
                <w:szCs w:val="8"/>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 and land improvements</w:t>
            </w:r>
          </w:p>
        </w:tc>
        <w:tc>
          <w:tcPr>
            <w:tcW w:w="3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to 40 years</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260" w:type="dxa"/>
            <w:vAlign w:val="bottom"/>
          </w:tcPr>
          <w:p>
            <w:pPr>
              <w:jc w:val="right"/>
              <w:spacing w:after="0"/>
              <w:rPr>
                <w:sz w:val="20"/>
                <w:szCs w:val="20"/>
                <w:color w:val="auto"/>
              </w:rPr>
            </w:pPr>
            <w:r>
              <w:rPr>
                <w:rFonts w:ascii="Arial" w:cs="Arial" w:eastAsia="Arial" w:hAnsi="Arial"/>
                <w:sz w:val="14"/>
                <w:szCs w:val="14"/>
                <w:color w:val="auto"/>
              </w:rPr>
              <w:t>3 to 20 years</w:t>
            </w:r>
          </w:p>
        </w:tc>
      </w:tr>
      <w:tr>
        <w:trPr>
          <w:trHeight w:val="18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3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to 10 years</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Equipment (including capitalized software)</w:t>
            </w:r>
          </w:p>
        </w:tc>
        <w:tc>
          <w:tcPr>
            <w:tcW w:w="3260" w:type="dxa"/>
            <w:vAlign w:val="bottom"/>
          </w:tcPr>
          <w:p>
            <w:pPr>
              <w:jc w:val="right"/>
              <w:spacing w:after="0"/>
              <w:rPr>
                <w:sz w:val="20"/>
                <w:szCs w:val="20"/>
                <w:color w:val="auto"/>
              </w:rPr>
            </w:pPr>
            <w:r>
              <w:rPr>
                <w:rFonts w:ascii="Arial" w:cs="Arial" w:eastAsia="Arial" w:hAnsi="Arial"/>
                <w:sz w:val="14"/>
                <w:szCs w:val="14"/>
                <w:color w:val="auto"/>
              </w:rPr>
              <w:t>2 to 15 years</w:t>
            </w:r>
          </w:p>
        </w:tc>
      </w:tr>
      <w:tr>
        <w:trPr>
          <w:trHeight w:val="18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3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to 10 years</w:t>
            </w:r>
          </w:p>
        </w:tc>
      </w:tr>
      <w:tr>
        <w:trPr>
          <w:trHeight w:val="307"/>
        </w:trPr>
        <w:tc>
          <w:tcPr>
            <w:tcW w:w="8020" w:type="dxa"/>
            <w:vAlign w:val="bottom"/>
          </w:tcPr>
          <w:p>
            <w:pPr>
              <w:spacing w:after="0"/>
              <w:rPr>
                <w:sz w:val="20"/>
                <w:szCs w:val="20"/>
                <w:color w:val="auto"/>
              </w:rPr>
            </w:pPr>
            <w:r>
              <w:rPr>
                <w:rFonts w:ascii="Arial" w:cs="Arial" w:eastAsia="Arial" w:hAnsi="Arial"/>
                <w:sz w:val="14"/>
                <w:szCs w:val="14"/>
                <w:b w:val="1"/>
                <w:bCs w:val="1"/>
                <w:color w:val="auto"/>
              </w:rPr>
              <w:t>Goodwill and Indefinite-lived Intangible Assets</w:t>
            </w:r>
          </w:p>
        </w:tc>
        <w:tc>
          <w:tcPr>
            <w:tcW w:w="3260" w:type="dxa"/>
            <w:vAlign w:val="bottom"/>
          </w:tcPr>
          <w:p>
            <w:pPr>
              <w:spacing w:after="0"/>
              <w:rPr>
                <w:sz w:val="24"/>
                <w:szCs w:val="24"/>
                <w:color w:val="auto"/>
              </w:rPr>
            </w:pPr>
          </w:p>
        </w:tc>
      </w:tr>
    </w:tbl>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Goodwill and indefinite-lived intangible assets are evaluated for impairment annually on the first day of the fourth quarter of the fiscal year, or whenever events or changes in circumstances indicate that the carrying amount may not be recoverable. The Company has one reporting unit for goodwill impairment testing purposes.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Prior to the IPO, Management’s quantitative assessment for determining the fair value of the reporting unit used a blend of the market capitalization approach and the income approach. The market capitalization approach used Management’s selection of peer companies to estimate fair value. The income approach used the discounted cash flow method estimating future cash flow, sales and traffic growth rates, operating margins, and new restaurant openings, each of which are inputs that fall within Level 3 of the fair value hierarchy.</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fair value of the indefinite-lived intangibles is determined through a relief from royalty method using certain unobservable inputs that fall within Level 3 of the fair value hierarchy. The respective carrying values are compared to the related estimated fair values and an impairment loss is recognized in an amount equal to the excess of the carrying value over estimated fair values.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Definite-lived Intangible Assets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Intangible assets with definite lives consist of franchise rights which arose from the purchase price allocation in connection with the Advent Acquisition and also include reacquired rights from the Company’s acquisitions of franchised restaurants. Definite-lived intangible assets are amortized over their estimated useful lives and are tested for impairment whenever events or changes in circumstances indicate that the carrying amount may not be recoverable.</w:t>
      </w:r>
    </w:p>
    <w:p>
      <w:pPr>
        <w:spacing w:after="0" w:line="11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When evaluating the carrying amount for recoverability, the total future undiscounted net cash flows expected to be generated by the asset are compared to the carrying amount. If the total future undiscounted net cash flows are less than the carrying amount, this may be an indicator of impairment. An impairment loss is recognized when the asset’s carrying value exceeds its estimated fair value. Fair value is generally estimated using a discounted cash flow model using unobservable inputs that fall within Level 3 of the fair value hierarchy.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Assessment of Long-lived Assets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When circumstances indicate that the carrying value may not be recoverable, an evaluation for impairment is performed at the lowest level of identifiable cash flows, which is at the individual restaurant level. If the total future undiscounted net cash flows are less than the carrying value of the long-lived assets at the individual restaurant level, the fair value is determined based on discounted future net cash flows expected to result from the use and eventual disposition of the assets, which are unobservable inputs that fall within Level 3 of the fair value hierarchy. An impairment loss is recognized in an amount equal to the excess of the carrying value over the estimated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Self-Insurance Reserves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self-insured primarily for employee group health claims and for workers’ compensation in Ohio. The Company holds stop-loss insurance which funds individual health claims in excess of $125,000 per occurrence and workers’ compensation claims in Ohio in excess of $500,000 per occurrence annually. The Consolidated Statements of Operations and Comprehensive Loss include expenses related to the costs of claims reported and an estimate of claims incurred but not reported. A liability of $1.4 million and $1.3 million for estimated unpaid claims and other insurance liabilities is recorded within Accrued liabilities as of December 26, 2021 and December 27,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Revenues from food and beverage sales are reported, net of discounts and taxes. For in-restaurant dining and take-out sales, revenues are recognized when payment is tendered. For delivery sales made through the Company’s mobile application and website, the Company controls the delivery services and recognizes revenue, including delivery fees, when the delivery partner transfers the food and beverage to the customer. With respect to sales made through the delivery partner’s mobile application or website, the Company recognizes revenue, excluding delivery fees collected by the delivery partner, when control of the food and beverage is transferred to the delivery partner. Payment is received from the delivery partner subsequent to the transfer of food and beverage and the payment terms are short-term.</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Franchise revenues include initial franchise fees and ongoing sales-based royalty and system fund contributions, which are used for advertising, marketing and public relations programs and materials. The 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one distinct performance obligation. Payments for initial franchise fees are received either upon execution of the franchise agreement and/or upon opening of the restaurant. These payments are deferred and recognized as revenue throughout the contractual term of the related franchise agreement. Unamortized deferred franchise fees are recognized as revenue upon the termination of franchise agreements with franchisees. The short-term and long-term unamortized portion of these liabilities are included in Deferred revenues and in Other long-term liabilities,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Royalty and system fund contributions from franchisees are based on a percentage of sales and are recognized as revenue in the period the sales occurred.</w:t>
      </w:r>
    </w:p>
    <w:p>
      <w:pPr>
        <w:spacing w:after="0" w:line="147"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Gift cards are sold at restaurants and certain retail venues. Deferred revenues include liabilities established for the value of the gift cards when sold. Revenue is recognized from gift card sales upon redemption by the customer. Management estimates the amount of gift cards for which the likelihood of redemption is remote, referred to as the “breakage factor,” using historical gift card redemption patterns. The estimated breakage, less an administrative fee, is recognized over the expected period of redemption as the remaining gift card values are redeemed, which is generally over a period of two years. Utilizing this method, Management estimates both the breakage and the time period of redemption. If actual redemption patterns vary from these estimates, actual gift card breakage income may differ from the amounts recorded. Estimates of the redemption period and breakage rate applied are updated periodically. Gift card liabilities are included in Deferred revenues.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Food and Beverage Costs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food and beverage costs at company-owned restaurants fluctuate directly with sales volumes and are impacted by changes in commodity prices or promotional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Pre-opening Expenses</w:t>
      </w:r>
    </w:p>
    <w:p>
      <w:pPr>
        <w:spacing w:after="0" w:line="18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Consideration Received from Vendors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receives consideration from certain vendors for volume rebates and advertising allowances. The Company accounts for consideration from a vendor as a reduction of the purchase price of the goods or services acquired from the vendor.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Costs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Advertising costs are recognized as incurred or, in the case of advertisements, when the advertisement occurs. Advertising costs were $4.8 million, $3.3 million and $4.4 million during Fiscal 2021, Fiscal 2020, and Fiscal 2019, respectively, and are included in General and administrative expenses and in Other restaurant operating expenses.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Discount and Deferred Issuance Costs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Debt discount and deferred issuance costs incurred in connection with the issuance of long-term debt are recorded as reductions of long-term debt and are amortized over the term of the related debt.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of debt discount and deferred issuance costs is included in Interest expense.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8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Income taxes are accounted for under the asset and liability method of accounting. Under this method, deferred tax assets or liabilities are recognized for the estimated future tax effects attributable to temporary differences between the carrying value and the tax basis of assets and liabilities as well as tax credit carryforwards. Deferred tax assets and liabilities are measured using enacted tax rates expected to be applicable in the years in which the differences are expected to be recovered or settled. Changes in deferred tax assets or liabilities are recognized in Income tax (expense) benefit.</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Deferred tax assets are recognized for all deductible temporary differences to the extent that it is probable that taxable income will be available against which the deductible temporary differences can be utilized. Realization of deferred tax assets is dependent upon the availability of taxable income and a valuation allowance for deferred tax assets is provided when it is more likely than not that a portion of the deferred tax assets will not be realized. In the assessment for realization of deferred tax assets, Management considers all sources of taxable income including (i) taxable income in any available carry back period, (ii) scheduling of anticipated reversal of taxable temporary differences, (iii) tax-planning strategies and (iv) taxable income expected to be generated in the future other than from reversing temporary differences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carryforwards. Management continues to evaluate the rationale for recording a valuation allowance on its deferred tax assets and as the Company increases earnings and utilizes deferred tax assets, it is possible the valuation allowance could be reduced or eliminated.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no uncertain tax positions requiring recognition or disclosure in the consolidated financial statements in Fiscal 2021, Fiscal 2020 and Fiscal 2019.</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Interest and penalties, when incurred, are recognized in Other (expense) income, net.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Stock-based compensation expense is recognized for stock option awards granted and is based on the fair value of the options on the date of grant. The fair value of stock option awards is determined using the Black-Scholes option pricing model.</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Fiscal 2021, prior to the IPO, the Company’s equity value was determined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and sale scenarios. The results of the valuation approaches were weighted based on a variety of factors, including the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 This process involved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The assumptions underlying these valuations represented Management’s best estimate, which involved inherent uncertainties and the application of Management’s judgment. As a result, if Management had used significantly different assumptions or estimates, the fair value of our common stock and our stock-based compensation expense could have been materially different.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Stock-based compensation expense related to time-based stock option awards is recognized on an accelerated recognition method over the requisite service period. The fair value of performance-based stock option awards is recognized as expense when the performance condition is probable of being achieved. Forfeitures of stock option awards are recognized as they occur. Determining the fair value of stock option awards at the grant date requires judgment, including estimating the expected term that the stock options will be outstanding prior to exercise, volatility, dividend yield and risk-free interest rate. Stock-based compensation expense is included in General and administrative expenses. Stock option exercises are settled with authorized but unissued shares of the Company’s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Financial Accounting Standards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December 28, 2020, we adopted ASU 2019-12, “</w:t>
      </w:r>
      <w:r>
        <w:rPr>
          <w:rFonts w:ascii="Arial" w:cs="Arial" w:eastAsia="Arial" w:hAnsi="Arial"/>
          <w:sz w:val="14"/>
          <w:szCs w:val="14"/>
          <w:i w:val="1"/>
          <w:iCs w:val="1"/>
          <w:color w:val="auto"/>
        </w:rPr>
        <w:t>Simplifying the Accounting for Income Taxes (Topic 740)</w:t>
      </w:r>
      <w:r>
        <w:rPr>
          <w:rFonts w:ascii="Arial" w:cs="Arial" w:eastAsia="Arial" w:hAnsi="Arial"/>
          <w:sz w:val="14"/>
          <w:szCs w:val="14"/>
          <w:color w:val="auto"/>
        </w:rPr>
        <w:t>,” which simplified and clarifying certain technical guidelines for accounting for income taxes. The adoption of ASU 2019-12 did not result in a material change to our consolidated financial statements.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December 31, 2018, the Company adopted ASC 842 using the modified retrospective transition method included in ASU 2018-11, “</w:t>
      </w:r>
      <w:r>
        <w:rPr>
          <w:rFonts w:ascii="Arial" w:cs="Arial" w:eastAsia="Arial" w:hAnsi="Arial"/>
          <w:sz w:val="14"/>
          <w:szCs w:val="14"/>
          <w:i w:val="1"/>
          <w:iCs w:val="1"/>
          <w:color w:val="auto"/>
        </w:rPr>
        <w:t>Leases (Topic 842), Targeted Improvements,</w:t>
      </w:r>
      <w:r>
        <w:rPr>
          <w:rFonts w:ascii="Arial" w:cs="Arial" w:eastAsia="Arial" w:hAnsi="Arial"/>
          <w:sz w:val="14"/>
          <w:szCs w:val="14"/>
          <w:color w:val="auto"/>
        </w:rPr>
        <w:t xml:space="preserve">” (“ASU 2018-11”). Management elected the package of practical expedients permitted under the transition guidance and also elected the accounting policy election to combine lease and non-lease components for restaurant facility leases. In addition, the Company adopted the short-term lease recognition exemption and did not recognize operating lease right-of-use assets and operating lease liabilities for leases with terms of twelve months or less. Management used the Company’s incremental borrowing rate to discount the future fixed lease payments for all leases. The Company’s incremental borrowing rate was determined based on a market yield implied by the outstanding secured term loans (see Note 10,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which was interpolated for various maturities based on the shape of the corresponding market yield curve. The corresponding market yield curve was selected based on the Company’s synthetic credit rating, which was determined using a regression analysis of rated publicly-traded comparable companies and their financial data.</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December 31, 2018, operating lease right-of-use assets of $246.0 million, operating lease liabilities of $252.8 million and a debit to the beginning balance of accumulated deficit for $0.1 million were recorded in conjunction with the adoption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of ASU 2018-11. In addition, the land lease asset and related financing obligation of $1.5 million which related to one restaurant facility that was sold and leased back from a third party in 2014 and which did not previously qualify for sale accounting was derecognized. The lease related to this transaction is accounted for as an operating lease. Financing obligations are classified within Long-term debt, net. The adoption of ASC 842 did not have a material impact on the Consolidated Statements of Operations and Comprehensive Loss and the Consolidated Statement of Cash Flows in Fiscal 2019.</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Recently Issued Accounting Pronouncements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2020, the FASB issued ASU 2020-04, “</w:t>
      </w:r>
      <w:r>
        <w:rPr>
          <w:rFonts w:ascii="Arial" w:cs="Arial" w:eastAsia="Arial" w:hAnsi="Arial"/>
          <w:sz w:val="14"/>
          <w:szCs w:val="14"/>
          <w:i w:val="1"/>
          <w:iCs w:val="1"/>
          <w:color w:val="auto"/>
        </w:rPr>
        <w:t>Reference Rate Reform (Topic 848): Facilitation of the Effects of Reference Rate Reform on Financial Reporting,</w:t>
      </w:r>
      <w:r>
        <w:rPr>
          <w:rFonts w:ascii="Arial" w:cs="Arial" w:eastAsia="Arial" w:hAnsi="Arial"/>
          <w:sz w:val="14"/>
          <w:szCs w:val="14"/>
          <w:color w:val="auto"/>
        </w:rPr>
        <w:t>” (“ASU 2020-04”). The new guidance provides optional expedients and exceptions for applying GAAP to contracts, hedging relationships and other transactions affected by reference rate reform if certain criteria are met. ASU 2020-04 was effective beginning March 12, 2020 and may be applied prospectively to contract modifications made and hedging relationships entered into or evaluated on or before December 31, 2022. Management is currently evaluating its contracts and the optional expedients provided by the new standard.</w:t>
      </w:r>
    </w:p>
    <w:p>
      <w:pPr>
        <w:spacing w:after="0" w:line="31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1"/>
          <w:szCs w:val="11"/>
          <w:b w:val="1"/>
          <w:bCs w:val="1"/>
          <w:color w:val="auto"/>
        </w:rPr>
        <w:t>Revenues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include a detail of liabilities from contracts with customers: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14"/>
                <w:szCs w:val="14"/>
                <w:color w:val="auto"/>
              </w:rPr>
            </w:pPr>
          </w:p>
        </w:tc>
        <w:tc>
          <w:tcPr>
            <w:tcW w:w="21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26, 2021</w:t>
            </w:r>
          </w:p>
        </w:tc>
        <w:tc>
          <w:tcPr>
            <w:tcW w:w="320" w:type="dxa"/>
            <w:vAlign w:val="bottom"/>
          </w:tcPr>
          <w:p>
            <w:pPr>
              <w:spacing w:after="0"/>
              <w:rPr>
                <w:sz w:val="14"/>
                <w:szCs w:val="14"/>
                <w:color w:val="auto"/>
              </w:rPr>
            </w:pPr>
          </w:p>
        </w:tc>
        <w:tc>
          <w:tcPr>
            <w:tcW w:w="2000" w:type="dxa"/>
            <w:vAlign w:val="bottom"/>
          </w:tcPr>
          <w:p>
            <w:pPr>
              <w:jc w:val="right"/>
              <w:ind w:right="494"/>
              <w:spacing w:after="0"/>
              <w:rPr>
                <w:sz w:val="20"/>
                <w:szCs w:val="20"/>
                <w:color w:val="auto"/>
              </w:rPr>
            </w:pPr>
            <w:r>
              <w:rPr>
                <w:rFonts w:ascii="Arial" w:cs="Arial" w:eastAsia="Arial" w:hAnsi="Arial"/>
                <w:sz w:val="13"/>
                <w:szCs w:val="13"/>
                <w:b w:val="1"/>
                <w:bCs w:val="1"/>
                <w:color w:val="auto"/>
              </w:rPr>
              <w:t>DECEMBER 27, 2020</w:t>
            </w:r>
          </w:p>
        </w:tc>
      </w:tr>
      <w:tr>
        <w:trPr>
          <w:trHeight w:val="152"/>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revenues:</w:t>
            </w:r>
          </w:p>
        </w:tc>
        <w:tc>
          <w:tcPr>
            <w:tcW w:w="320" w:type="dxa"/>
            <w:vAlign w:val="bottom"/>
            <w:tcBorders>
              <w:top w:val="single" w:sz="8" w:color="auto"/>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spacing w:after="0"/>
              <w:rPr>
                <w:sz w:val="13"/>
                <w:szCs w:val="13"/>
                <w:color w:val="auto"/>
              </w:rPr>
            </w:pPr>
          </w:p>
        </w:tc>
      </w:tr>
      <w:tr>
        <w:trPr>
          <w:trHeight w:val="170"/>
        </w:trPr>
        <w:tc>
          <w:tcPr>
            <w:tcW w:w="6540" w:type="dxa"/>
            <w:vAlign w:val="bottom"/>
          </w:tcPr>
          <w:p>
            <w:pPr>
              <w:ind w:left="360"/>
              <w:spacing w:after="0"/>
              <w:rPr>
                <w:sz w:val="20"/>
                <w:szCs w:val="20"/>
                <w:color w:val="auto"/>
              </w:rPr>
            </w:pPr>
            <w:r>
              <w:rPr>
                <w:rFonts w:ascii="Arial" w:cs="Arial" w:eastAsia="Arial" w:hAnsi="Arial"/>
                <w:sz w:val="13"/>
                <w:szCs w:val="13"/>
                <w:color w:val="auto"/>
              </w:rPr>
              <w:t>Deferred gift card revenue</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4,410</w:t>
            </w:r>
          </w:p>
        </w:tc>
        <w:tc>
          <w:tcPr>
            <w:tcW w:w="1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4,024</w:t>
            </w:r>
          </w:p>
        </w:tc>
      </w:tr>
      <w:tr>
        <w:trPr>
          <w:trHeight w:val="170"/>
        </w:trPr>
        <w:tc>
          <w:tcPr>
            <w:tcW w:w="6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franchise fee revenue - current</w:t>
            </w: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60"/>
        </w:trPr>
        <w:tc>
          <w:tcPr>
            <w:tcW w:w="6540" w:type="dxa"/>
            <w:vAlign w:val="bottom"/>
          </w:tcPr>
          <w:p>
            <w:pPr>
              <w:ind w:left="20"/>
              <w:spacing w:after="0"/>
              <w:rPr>
                <w:sz w:val="20"/>
                <w:szCs w:val="20"/>
                <w:color w:val="auto"/>
              </w:rPr>
            </w:pPr>
            <w:r>
              <w:rPr>
                <w:rFonts w:ascii="Arial" w:cs="Arial" w:eastAsia="Arial" w:hAnsi="Arial"/>
                <w:sz w:val="13"/>
                <w:szCs w:val="13"/>
                <w:color w:val="auto"/>
              </w:rPr>
              <w:t>Total current deferred revenues</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4,273</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31"/>
        </w:trPr>
        <w:tc>
          <w:tcPr>
            <w:tcW w:w="65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Other long-term liabilities:</w:t>
            </w:r>
          </w:p>
        </w:tc>
        <w:tc>
          <w:tcPr>
            <w:tcW w:w="3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70"/>
        </w:trPr>
        <w:tc>
          <w:tcPr>
            <w:tcW w:w="6540" w:type="dxa"/>
            <w:vAlign w:val="bottom"/>
          </w:tcPr>
          <w:p>
            <w:pPr>
              <w:ind w:left="360"/>
              <w:spacing w:after="0"/>
              <w:rPr>
                <w:sz w:val="20"/>
                <w:szCs w:val="20"/>
                <w:color w:val="auto"/>
              </w:rPr>
            </w:pPr>
            <w:r>
              <w:rPr>
                <w:rFonts w:ascii="Arial" w:cs="Arial" w:eastAsia="Arial" w:hAnsi="Arial"/>
                <w:sz w:val="13"/>
                <w:szCs w:val="13"/>
                <w:color w:val="auto"/>
              </w:rPr>
              <w:t>Deferred franchise fee revenue - non-current</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w:t>
            </w: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Changes in deferred gift card liabilities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FISCAL YEAR</w:t>
            </w: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r>
      <w:tr>
        <w:trPr>
          <w:trHeight w:val="16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97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97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973"/>
              <w:spacing w:after="0"/>
              <w:rPr>
                <w:sz w:val="20"/>
                <w:szCs w:val="20"/>
                <w:color w:val="auto"/>
              </w:rPr>
            </w:pPr>
            <w:r>
              <w:rPr>
                <w:rFonts w:ascii="Arial" w:cs="Arial" w:eastAsia="Arial" w:hAnsi="Arial"/>
                <w:sz w:val="13"/>
                <w:szCs w:val="13"/>
                <w:b w:val="1"/>
                <w:bCs w:val="1"/>
                <w:color w:val="auto"/>
              </w:rPr>
              <w:t>2019</w:t>
            </w:r>
          </w:p>
        </w:tc>
      </w:tr>
      <w:tr>
        <w:trPr>
          <w:trHeight w:val="152"/>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gift card revenue:</w:t>
            </w:r>
          </w:p>
        </w:tc>
        <w:tc>
          <w:tcPr>
            <w:tcW w:w="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70"/>
        </w:trPr>
        <w:tc>
          <w:tcPr>
            <w:tcW w:w="4140" w:type="dxa"/>
            <w:vAlign w:val="bottom"/>
          </w:tcPr>
          <w:p>
            <w:pPr>
              <w:ind w:left="20"/>
              <w:spacing w:after="0"/>
              <w:rPr>
                <w:sz w:val="20"/>
                <w:szCs w:val="20"/>
                <w:color w:val="auto"/>
              </w:rPr>
            </w:pPr>
            <w:r>
              <w:rPr>
                <w:rFonts w:ascii="Arial" w:cs="Arial" w:eastAsia="Arial" w:hAnsi="Arial"/>
                <w:sz w:val="13"/>
                <w:szCs w:val="13"/>
                <w:color w:val="auto"/>
              </w:rPr>
              <w:t>Balance, beginning of period</w:t>
            </w: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14"/>
                <w:szCs w:val="14"/>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6,902</w:t>
            </w:r>
          </w:p>
        </w:tc>
        <w:tc>
          <w:tcPr>
            <w:tcW w:w="80" w:type="dxa"/>
            <w:vAlign w:val="bottom"/>
          </w:tcPr>
          <w:p>
            <w:pPr>
              <w:spacing w:after="0"/>
              <w:rPr>
                <w:sz w:val="14"/>
                <w:szCs w:val="14"/>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4,982</w:t>
            </w:r>
          </w:p>
        </w:tc>
      </w:tr>
      <w:tr>
        <w:trPr>
          <w:trHeight w:val="170"/>
        </w:trPr>
        <w:tc>
          <w:tcPr>
            <w:tcW w:w="4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Gift card sales</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15,898</w:t>
            </w:r>
          </w:p>
        </w:tc>
      </w:tr>
      <w:tr>
        <w:trPr>
          <w:trHeight w:val="170"/>
        </w:trPr>
        <w:tc>
          <w:tcPr>
            <w:tcW w:w="4140" w:type="dxa"/>
            <w:vAlign w:val="bottom"/>
          </w:tcPr>
          <w:p>
            <w:pPr>
              <w:ind w:left="360"/>
              <w:spacing w:after="0"/>
              <w:rPr>
                <w:sz w:val="20"/>
                <w:szCs w:val="20"/>
                <w:color w:val="auto"/>
              </w:rPr>
            </w:pPr>
            <w:r>
              <w:rPr>
                <w:rFonts w:ascii="Arial" w:cs="Arial" w:eastAsia="Arial" w:hAnsi="Arial"/>
                <w:sz w:val="13"/>
                <w:szCs w:val="13"/>
                <w:color w:val="auto"/>
              </w:rPr>
              <w:t>Gift card redemptions</w:t>
            </w:r>
          </w:p>
        </w:tc>
        <w:tc>
          <w:tcPr>
            <w:tcW w:w="5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(7,152)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(6,924)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(12,689)</w:t>
            </w:r>
          </w:p>
        </w:tc>
      </w:tr>
      <w:tr>
        <w:trPr>
          <w:trHeight w:val="170"/>
        </w:trPr>
        <w:tc>
          <w:tcPr>
            <w:tcW w:w="4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Gift card breakage</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w:t>
            </w:r>
          </w:p>
        </w:tc>
      </w:tr>
      <w:tr>
        <w:trPr>
          <w:trHeight w:val="170"/>
        </w:trPr>
        <w:tc>
          <w:tcPr>
            <w:tcW w:w="4140" w:type="dxa"/>
            <w:vAlign w:val="bottom"/>
          </w:tcPr>
          <w:p>
            <w:pPr>
              <w:ind w:left="360"/>
              <w:spacing w:after="0"/>
              <w:rPr>
                <w:sz w:val="20"/>
                <w:szCs w:val="20"/>
                <w:color w:val="auto"/>
              </w:rPr>
            </w:pPr>
            <w:r>
              <w:rPr>
                <w:rFonts w:ascii="Arial" w:cs="Arial" w:eastAsia="Arial" w:hAnsi="Arial"/>
                <w:sz w:val="13"/>
                <w:szCs w:val="13"/>
                <w:color w:val="auto"/>
              </w:rPr>
              <w:t>Gift card liabilities assumed through acquisitions</w:t>
            </w:r>
          </w:p>
        </w:tc>
        <w:tc>
          <w:tcPr>
            <w:tcW w:w="560" w:type="dxa"/>
            <w:vAlign w:val="bottom"/>
          </w:tcPr>
          <w:p>
            <w:pPr>
              <w:spacing w:after="0"/>
              <w:rPr>
                <w:sz w:val="14"/>
                <w:szCs w:val="1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85"/>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56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Changes in deferred franchise fee liabilities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FISCAL YEAR</w:t>
            </w: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r>
      <w:tr>
        <w:trPr>
          <w:trHeight w:val="16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rPr>
              <w:t>2019</w:t>
            </w:r>
          </w:p>
        </w:tc>
      </w:tr>
      <w:tr>
        <w:trPr>
          <w:trHeight w:val="147"/>
        </w:trPr>
        <w:tc>
          <w:tcPr>
            <w:tcW w:w="41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franchise fee revenue:</w:t>
            </w: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74"/>
        </w:trPr>
        <w:tc>
          <w:tcPr>
            <w:tcW w:w="4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Balance, beginning of period</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2,274</w:t>
            </w:r>
          </w:p>
        </w:tc>
        <w:tc>
          <w:tcPr>
            <w:tcW w:w="100" w:type="dxa"/>
            <w:vAlign w:val="bottom"/>
          </w:tcPr>
          <w:p>
            <w:pPr>
              <w:spacing w:after="0"/>
              <w:rPr>
                <w:sz w:val="14"/>
                <w:szCs w:val="14"/>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2,456</w:t>
            </w:r>
          </w:p>
        </w:tc>
        <w:tc>
          <w:tcPr>
            <w:tcW w:w="8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2,331</w:t>
            </w:r>
          </w:p>
        </w:tc>
      </w:tr>
      <w:tr>
        <w:trPr>
          <w:trHeight w:val="172"/>
        </w:trPr>
        <w:tc>
          <w:tcPr>
            <w:tcW w:w="4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received</w:t>
            </w:r>
          </w:p>
        </w:tc>
        <w:tc>
          <w:tcPr>
            <w:tcW w:w="5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r>
      <w:tr>
        <w:trPr>
          <w:trHeight w:val="168"/>
        </w:trPr>
        <w:tc>
          <w:tcPr>
            <w:tcW w:w="4140" w:type="dxa"/>
            <w:vAlign w:val="bottom"/>
          </w:tcPr>
          <w:p>
            <w:pPr>
              <w:ind w:left="360"/>
              <w:spacing w:after="0"/>
              <w:rPr>
                <w:sz w:val="20"/>
                <w:szCs w:val="20"/>
                <w:color w:val="auto"/>
              </w:rPr>
            </w:pPr>
            <w:r>
              <w:rPr>
                <w:rFonts w:ascii="Arial" w:cs="Arial" w:eastAsia="Arial" w:hAnsi="Arial"/>
                <w:sz w:val="13"/>
                <w:szCs w:val="13"/>
                <w:color w:val="auto"/>
              </w:rPr>
              <w:t>Franchise revenues recognized</w:t>
            </w:r>
          </w:p>
        </w:tc>
        <w:tc>
          <w:tcPr>
            <w:tcW w:w="5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(436)</w:t>
            </w:r>
          </w:p>
        </w:tc>
      </w:tr>
      <w:tr>
        <w:trPr>
          <w:trHeight w:val="170"/>
        </w:trPr>
        <w:tc>
          <w:tcPr>
            <w:tcW w:w="4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Business combinations</w:t>
            </w:r>
          </w:p>
        </w:tc>
        <w:tc>
          <w:tcPr>
            <w:tcW w:w="5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63"/>
        </w:trPr>
        <w:tc>
          <w:tcPr>
            <w:tcW w:w="414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5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2,536</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2,274</w:t>
            </w: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2,456</w:t>
            </w:r>
          </w:p>
        </w:tc>
      </w:tr>
      <w:tr>
        <w:trPr>
          <w:trHeight w:val="20"/>
        </w:trPr>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Revenues recognized disaggregated by type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FISCAL YEAR</w:t>
            </w: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5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52"/>
        </w:trPr>
        <w:tc>
          <w:tcPr>
            <w:tcW w:w="5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Restaurant sales:</w:t>
            </w:r>
          </w:p>
        </w:tc>
        <w:tc>
          <w:tcPr>
            <w:tcW w:w="1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360"/>
              <w:spacing w:after="0"/>
              <w:rPr>
                <w:sz w:val="20"/>
                <w:szCs w:val="20"/>
                <w:color w:val="auto"/>
              </w:rPr>
            </w:pPr>
            <w:r>
              <w:rPr>
                <w:rFonts w:ascii="Arial" w:cs="Arial" w:eastAsia="Arial" w:hAnsi="Arial"/>
                <w:sz w:val="13"/>
                <w:szCs w:val="13"/>
                <w:color w:val="auto"/>
              </w:rPr>
              <w:t>In-restaurant dining sales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452,989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257,029</w:t>
            </w:r>
          </w:p>
        </w:tc>
        <w:tc>
          <w:tcPr>
            <w:tcW w:w="80" w:type="dxa"/>
            <w:vAlign w:val="bottom"/>
          </w:tcPr>
          <w:p>
            <w:pPr>
              <w:spacing w:after="0"/>
              <w:rPr>
                <w:sz w:val="14"/>
                <w:szCs w:val="14"/>
                <w:color w:val="auto"/>
              </w:rPr>
            </w:pPr>
          </w:p>
        </w:tc>
        <w:tc>
          <w:tcPr>
            <w:tcW w:w="560" w:type="dxa"/>
            <w:vAlign w:val="bottom"/>
          </w:tcPr>
          <w:p>
            <w:pPr>
              <w:jc w:val="right"/>
              <w:ind w:right="41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400,345</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Third-party delivery sales</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0" w:type="dxa"/>
            <w:vAlign w:val="bottom"/>
          </w:tcPr>
          <w:p>
            <w:pPr>
              <w:spacing w:after="0"/>
              <w:rPr>
                <w:sz w:val="1"/>
                <w:szCs w:val="1"/>
                <w:color w:val="auto"/>
              </w:rPr>
            </w:pPr>
          </w:p>
        </w:tc>
      </w:tr>
      <w:tr>
        <w:trPr>
          <w:trHeight w:val="168"/>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Take-out sales</w:t>
            </w: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68,868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41,880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26,316</w:t>
            </w: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restaurant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337,433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429,309</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Franchise revenues:</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360"/>
              <w:spacing w:after="0"/>
              <w:rPr>
                <w:sz w:val="20"/>
                <w:szCs w:val="20"/>
                <w:color w:val="auto"/>
              </w:rPr>
            </w:pPr>
            <w:r>
              <w:rPr>
                <w:rFonts w:ascii="Arial" w:cs="Arial" w:eastAsia="Arial" w:hAnsi="Arial"/>
                <w:sz w:val="13"/>
                <w:szCs w:val="13"/>
                <w:color w:val="auto"/>
              </w:rPr>
              <w:t>Royalty and system fund contributions</w:t>
            </w:r>
          </w:p>
        </w:tc>
        <w:tc>
          <w:tcPr>
            <w:tcW w:w="1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8,575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4,615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6,628</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Initial fees</w:t>
            </w:r>
          </w:p>
        </w:tc>
        <w:tc>
          <w:tcPr>
            <w:tcW w:w="1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5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franchise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7,064</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601,193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342,388</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436,373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9"/>
              </w:rPr>
              <w:t>Deferred revenues as of December 26, 2021 are expected to be recognized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0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(in thousands)</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4,654</w:t>
            </w:r>
          </w:p>
        </w:tc>
        <w:tc>
          <w:tcPr>
            <w:tcW w:w="0" w:type="dxa"/>
            <w:vAlign w:val="bottom"/>
          </w:tcPr>
          <w:p>
            <w:pPr>
              <w:spacing w:after="0"/>
              <w:rPr>
                <w:sz w:val="1"/>
                <w:szCs w:val="1"/>
                <w:color w:val="auto"/>
              </w:rPr>
            </w:pPr>
          </w:p>
        </w:tc>
      </w:tr>
      <w:tr>
        <w:trPr>
          <w:trHeight w:val="170"/>
        </w:trPr>
        <w:tc>
          <w:tcPr>
            <w:tcW w:w="5400" w:type="dxa"/>
            <w:vAlign w:val="bottom"/>
          </w:tcPr>
          <w:p>
            <w:pPr>
              <w:ind w:left="20"/>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70"/>
        </w:trPr>
        <w:tc>
          <w:tcPr>
            <w:tcW w:w="5400" w:type="dxa"/>
            <w:vAlign w:val="bottom"/>
          </w:tcPr>
          <w:p>
            <w:pPr>
              <w:ind w:left="20"/>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2"/>
        </w:trPr>
        <w:tc>
          <w:tcPr>
            <w:tcW w:w="540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70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1516"/>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20"/>
                <w:szCs w:val="20"/>
                <w:color w:val="auto"/>
              </w:rPr>
            </w:pPr>
            <w:r>
              <w:rPr>
                <w:rFonts w:ascii="Arial" w:cs="Arial" w:eastAsia="Arial" w:hAnsi="Arial"/>
                <w:sz w:val="14"/>
                <w:szCs w:val="14"/>
                <w:b w:val="1"/>
                <w:bCs w:val="1"/>
                <w:color w:val="auto"/>
              </w:rPr>
              <w:t>4.  COVID-19 Charges</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8220" w:type="dxa"/>
            <w:vAlign w:val="bottom"/>
            <w:gridSpan w:val="3"/>
          </w:tcPr>
          <w:p>
            <w:pPr>
              <w:spacing w:after="0"/>
              <w:rPr>
                <w:sz w:val="20"/>
                <w:szCs w:val="20"/>
                <w:color w:val="auto"/>
              </w:rPr>
            </w:pPr>
            <w:r>
              <w:rPr>
                <w:rFonts w:ascii="Arial" w:cs="Arial" w:eastAsia="Arial" w:hAnsi="Arial"/>
                <w:sz w:val="14"/>
                <w:szCs w:val="14"/>
                <w:color w:val="auto"/>
              </w:rPr>
              <w:t>Charges recorded in connection with the COVID-19 pandemic were as follows for Fiscal 2021 and Fiscal 2020: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87"/>
              </w:rPr>
              <w:t>Consolidated Statements of Operations and Comprehensive Loss</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 obsolescence and spoilage</w:t>
            </w: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Food and beverage costs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Compensation for employees upon furlough and return from furlough</w:t>
            </w:r>
          </w:p>
        </w:tc>
        <w:tc>
          <w:tcPr>
            <w:tcW w:w="3740" w:type="dxa"/>
            <w:vAlign w:val="bottom"/>
            <w:gridSpan w:val="2"/>
          </w:tcPr>
          <w:p>
            <w:pPr>
              <w:spacing w:after="0"/>
              <w:rPr>
                <w:sz w:val="20"/>
                <w:szCs w:val="20"/>
                <w:color w:val="auto"/>
              </w:rPr>
            </w:pPr>
            <w:r>
              <w:rPr>
                <w:rFonts w:ascii="Arial" w:cs="Arial" w:eastAsia="Arial" w:hAnsi="Arial"/>
                <w:sz w:val="13"/>
                <w:szCs w:val="13"/>
                <w:color w:val="auto"/>
              </w:rPr>
              <w:t>Labor and other related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33"/>
        </w:trPr>
        <w:tc>
          <w:tcPr>
            <w:tcW w:w="44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5"/>
              </w:rPr>
              <w:t>Health insurance costs paid for furloughed employees, net of employee retention</w:t>
            </w:r>
          </w:p>
        </w:tc>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Labor and other related expenses</w:t>
            </w:r>
          </w:p>
        </w:tc>
        <w:tc>
          <w:tcPr>
            <w:tcW w:w="3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6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of zero and $0.9 million, respectively</w:t>
            </w:r>
          </w:p>
        </w:tc>
        <w:tc>
          <w:tcPr>
            <w:tcW w:w="374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Other expenses</w:t>
            </w:r>
          </w:p>
        </w:tc>
        <w:tc>
          <w:tcPr>
            <w:tcW w:w="3740" w:type="dxa"/>
            <w:vAlign w:val="bottom"/>
            <w:gridSpan w:val="2"/>
          </w:tcPr>
          <w:p>
            <w:pPr>
              <w:spacing w:after="0"/>
              <w:rPr>
                <w:sz w:val="20"/>
                <w:szCs w:val="20"/>
                <w:color w:val="auto"/>
              </w:rPr>
            </w:pPr>
            <w:r>
              <w:rPr>
                <w:rFonts w:ascii="Arial" w:cs="Arial" w:eastAsia="Arial" w:hAnsi="Arial"/>
                <w:sz w:val="13"/>
                <w:szCs w:val="13"/>
                <w:color w:val="auto"/>
              </w:rPr>
              <w:t>Other restaurant operating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936</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for employees upon furlough and return from furlough</w:t>
            </w: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6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expenses</w:t>
            </w:r>
          </w:p>
        </w:tc>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General and administrative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0" w:type="dxa"/>
            <w:vAlign w:val="bottom"/>
          </w:tcPr>
          <w:p>
            <w:pPr>
              <w:spacing w:after="0"/>
              <w:rPr>
                <w:sz w:val="1"/>
                <w:szCs w:val="1"/>
                <w:color w:val="auto"/>
              </w:rPr>
            </w:pPr>
          </w:p>
        </w:tc>
      </w:tr>
      <w:tr>
        <w:trPr>
          <w:trHeight w:val="1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COVID-19 charges</w:t>
            </w:r>
          </w:p>
        </w:tc>
        <w:tc>
          <w:tcPr>
            <w:tcW w:w="3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20"/>
                <w:szCs w:val="20"/>
                <w:color w:val="auto"/>
              </w:rPr>
            </w:pPr>
            <w:r>
              <w:rPr>
                <w:rFonts w:ascii="Arial" w:cs="Arial" w:eastAsia="Arial" w:hAnsi="Arial"/>
                <w:sz w:val="14"/>
                <w:szCs w:val="14"/>
                <w:b w:val="1"/>
                <w:bCs w:val="1"/>
                <w:color w:val="auto"/>
              </w:rPr>
              <w:t>5.</w:t>
            </w:r>
          </w:p>
        </w:tc>
        <w:tc>
          <w:tcPr>
            <w:tcW w:w="6360" w:type="dxa"/>
            <w:vAlign w:val="bottom"/>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6540" w:type="dxa"/>
            <w:vAlign w:val="bottom"/>
            <w:gridSpan w:val="2"/>
          </w:tcPr>
          <w:p>
            <w:pPr>
              <w:spacing w:after="0"/>
              <w:rPr>
                <w:sz w:val="20"/>
                <w:szCs w:val="20"/>
                <w:color w:val="auto"/>
              </w:rPr>
            </w:pPr>
            <w:r>
              <w:rPr>
                <w:rFonts w:ascii="Arial" w:cs="Arial" w:eastAsia="Arial" w:hAnsi="Arial"/>
                <w:sz w:val="14"/>
                <w:szCs w:val="14"/>
                <w:color w:val="auto"/>
              </w:rPr>
              <w:t>Accounts receivable consists of the following:</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22"/>
                <w:szCs w:val="22"/>
                <w:color w:val="auto"/>
              </w:rPr>
            </w:pPr>
          </w:p>
        </w:tc>
        <w:tc>
          <w:tcPr>
            <w:tcW w:w="21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26, 2021</w:t>
            </w:r>
          </w:p>
        </w:tc>
        <w:tc>
          <w:tcPr>
            <w:tcW w:w="320" w:type="dxa"/>
            <w:vAlign w:val="bottom"/>
          </w:tcPr>
          <w:p>
            <w:pPr>
              <w:spacing w:after="0"/>
              <w:rPr>
                <w:sz w:val="22"/>
                <w:szCs w:val="22"/>
                <w:color w:val="auto"/>
              </w:rPr>
            </w:pPr>
          </w:p>
        </w:tc>
        <w:tc>
          <w:tcPr>
            <w:tcW w:w="2000" w:type="dxa"/>
            <w:vAlign w:val="bottom"/>
          </w:tcPr>
          <w:p>
            <w:pPr>
              <w:jc w:val="right"/>
              <w:ind w:right="496"/>
              <w:spacing w:after="0"/>
              <w:rPr>
                <w:sz w:val="20"/>
                <w:szCs w:val="20"/>
                <w:color w:val="auto"/>
              </w:rPr>
            </w:pPr>
            <w:r>
              <w:rPr>
                <w:rFonts w:ascii="Arial" w:cs="Arial" w:eastAsia="Arial" w:hAnsi="Arial"/>
                <w:sz w:val="13"/>
                <w:szCs w:val="13"/>
                <w:b w:val="1"/>
                <w:bCs w:val="1"/>
                <w:color w:val="auto"/>
              </w:rPr>
              <w:t>DECEMBER 27, 2020</w:t>
            </w:r>
          </w:p>
        </w:tc>
        <w:tc>
          <w:tcPr>
            <w:tcW w:w="0" w:type="dxa"/>
            <w:vAlign w:val="bottom"/>
          </w:tcPr>
          <w:p>
            <w:pPr>
              <w:spacing w:after="0"/>
              <w:rPr>
                <w:sz w:val="1"/>
                <w:szCs w:val="1"/>
                <w:color w:val="auto"/>
              </w:rPr>
            </w:pPr>
          </w:p>
        </w:tc>
      </w:tr>
      <w:tr>
        <w:trPr>
          <w:trHeight w:val="163"/>
        </w:trPr>
        <w:tc>
          <w:tcPr>
            <w:tcW w:w="6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Receivables related to gift card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0" w:type="dxa"/>
            <w:vAlign w:val="bottom"/>
          </w:tcPr>
          <w:p>
            <w:pPr>
              <w:spacing w:after="0"/>
              <w:rPr>
                <w:sz w:val="1"/>
                <w:szCs w:val="1"/>
                <w:color w:val="auto"/>
              </w:rPr>
            </w:pPr>
          </w:p>
        </w:tc>
      </w:tr>
      <w:tr>
        <w:trPr>
          <w:trHeight w:val="168"/>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Receivables from third-party delivery providers</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1,742</w:t>
            </w: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Receivables from franchisees</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68"/>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Rebate receivables</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6360" w:type="dxa"/>
            <w:vAlign w:val="bottom"/>
          </w:tcPr>
          <w:p>
            <w:pPr>
              <w:ind w:left="340"/>
              <w:spacing w:after="0"/>
              <w:rPr>
                <w:sz w:val="20"/>
                <w:szCs w:val="20"/>
                <w:color w:val="auto"/>
              </w:rPr>
            </w:pPr>
            <w:r>
              <w:rPr>
                <w:rFonts w:ascii="Arial" w:cs="Arial" w:eastAsia="Arial" w:hAnsi="Arial"/>
                <w:sz w:val="13"/>
                <w:szCs w:val="13"/>
                <w:color w:val="auto"/>
              </w:rPr>
              <w:t>Total accounts receivable</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3,915</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rPr>
              <w:t>6.</w:t>
            </w:r>
          </w:p>
        </w:tc>
        <w:tc>
          <w:tcPr>
            <w:tcW w:w="6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Goodwill</w:t>
            </w: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vMerge w:val="continue"/>
          </w:tcPr>
          <w:p>
            <w:pPr>
              <w:spacing w:after="0"/>
              <w:rPr>
                <w:sz w:val="24"/>
                <w:szCs w:val="24"/>
                <w:color w:val="auto"/>
              </w:rPr>
            </w:pPr>
          </w:p>
        </w:tc>
        <w:tc>
          <w:tcPr>
            <w:tcW w:w="6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26, 2021 and December 27, 2020, the Company had goodwill of $345.2 million.</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Management performed a qualitative annual impairment assessment for goodwill as of the first day of the fourth quarter of Fiscal 2021 and concluded that impairment of goodwill was not more likely than not. As a result, a quantitative assessment was not required.</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Management performed a quantitative impairment assessment of goodwill in April 2020 as the effect of the COVID-19 pandemic was considered a triggering event indicating that the carrying value of goodwill may not be recoverable. Management determined there was no impairment loss to be recognized. Management also performed the annual impairment test of goodwill as of the first day of the fourth quarter of Fiscal 2020 and determined there was no impairment loss to be recognized.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2"/>
          <w:szCs w:val="12"/>
          <w:b w:val="1"/>
          <w:bCs w:val="1"/>
          <w:color w:val="auto"/>
        </w:rPr>
        <w:t>Intangible Assets,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consists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4"/>
              </w:rPr>
              <w:t>DECEMBER 26, 2021</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260" w:type="dxa"/>
            <w:vAlign w:val="bottom"/>
          </w:tcPr>
          <w:p>
            <w:pPr>
              <w:spacing w:after="0"/>
              <w:rPr>
                <w:sz w:val="9"/>
                <w:szCs w:val="9"/>
                <w:color w:val="auto"/>
              </w:rPr>
            </w:pPr>
          </w:p>
        </w:tc>
        <w:tc>
          <w:tcPr>
            <w:tcW w:w="1680" w:type="dxa"/>
            <w:vAlign w:val="bottom"/>
            <w:gridSpan w:val="2"/>
          </w:tcPr>
          <w:p>
            <w:pPr>
              <w:jc w:val="center"/>
              <w:ind w:right="80"/>
              <w:spacing w:after="0" w:line="112" w:lineRule="exact"/>
              <w:rPr>
                <w:sz w:val="20"/>
                <w:szCs w:val="20"/>
                <w:color w:val="auto"/>
              </w:rPr>
            </w:pPr>
            <w:r>
              <w:rPr>
                <w:rFonts w:ascii="Arial" w:cs="Arial" w:eastAsia="Arial" w:hAnsi="Arial"/>
                <w:sz w:val="12"/>
                <w:szCs w:val="12"/>
                <w:b w:val="1"/>
                <w:bCs w:val="1"/>
                <w:color w:val="auto"/>
                <w:w w:val="96"/>
              </w:rPr>
              <w:t>Weighted</w:t>
            </w:r>
          </w:p>
        </w:tc>
        <w:tc>
          <w:tcPr>
            <w:tcW w:w="16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9"/>
                <w:szCs w:val="9"/>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9"/>
                <w:szCs w:val="9"/>
                <w:color w:val="auto"/>
              </w:rPr>
            </w:pPr>
          </w:p>
        </w:tc>
        <w:tc>
          <w:tcPr>
            <w:tcW w:w="1120" w:type="dxa"/>
            <w:vAlign w:val="bottom"/>
            <w:vMerge w:val="restart"/>
          </w:tcPr>
          <w:p>
            <w:pPr>
              <w:jc w:val="center"/>
              <w:ind w:right="136"/>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7"/>
        </w:trPr>
        <w:tc>
          <w:tcPr>
            <w:tcW w:w="52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68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Useful Lives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1"/>
              </w:rPr>
              <w:t>Carrying 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Registered trademarks, trade names, domains, liquor licenses</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Indefinite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137,827</w:t>
            </w: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Franchise rights</w:t>
            </w:r>
          </w:p>
        </w:tc>
        <w:tc>
          <w:tcPr>
            <w:tcW w:w="16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3"/>
                <w:szCs w:val="13"/>
                <w:color w:val="auto"/>
                <w:w w:val="84"/>
              </w:rPr>
              <w:t>9 years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5,173</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147,547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4"/>
              </w:rPr>
              <w:t>DECEMBER 27, 2020</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60" w:type="dxa"/>
            <w:vAlign w:val="bottom"/>
          </w:tcPr>
          <w:p>
            <w:pPr>
              <w:spacing w:after="0"/>
              <w:rPr>
                <w:sz w:val="9"/>
                <w:szCs w:val="9"/>
                <w:color w:val="auto"/>
              </w:rPr>
            </w:pPr>
          </w:p>
        </w:tc>
        <w:tc>
          <w:tcPr>
            <w:tcW w:w="1680" w:type="dxa"/>
            <w:vAlign w:val="bottom"/>
            <w:gridSpan w:val="2"/>
          </w:tcPr>
          <w:p>
            <w:pPr>
              <w:jc w:val="center"/>
              <w:ind w:right="80"/>
              <w:spacing w:after="0" w:line="112" w:lineRule="exact"/>
              <w:rPr>
                <w:sz w:val="20"/>
                <w:szCs w:val="20"/>
                <w:color w:val="auto"/>
              </w:rPr>
            </w:pPr>
            <w:r>
              <w:rPr>
                <w:rFonts w:ascii="Arial" w:cs="Arial" w:eastAsia="Arial" w:hAnsi="Arial"/>
                <w:sz w:val="12"/>
                <w:szCs w:val="12"/>
                <w:b w:val="1"/>
                <w:bCs w:val="1"/>
                <w:color w:val="auto"/>
                <w:w w:val="96"/>
              </w:rPr>
              <w:t>Weighted</w:t>
            </w:r>
          </w:p>
        </w:tc>
        <w:tc>
          <w:tcPr>
            <w:tcW w:w="16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9"/>
                <w:szCs w:val="9"/>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9"/>
                <w:szCs w:val="9"/>
                <w:color w:val="auto"/>
              </w:rPr>
            </w:pPr>
          </w:p>
        </w:tc>
        <w:tc>
          <w:tcPr>
            <w:tcW w:w="1120" w:type="dxa"/>
            <w:vAlign w:val="bottom"/>
            <w:vMerge w:val="restart"/>
          </w:tcPr>
          <w:p>
            <w:pPr>
              <w:jc w:val="center"/>
              <w:ind w:right="136"/>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7"/>
        </w:trPr>
        <w:tc>
          <w:tcPr>
            <w:tcW w:w="52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68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Useful Lives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1"/>
              </w:rPr>
              <w:t>Carrying 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Registered trademarks, trade names, domains, liquor licenses</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Indefinite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137,460</w:t>
            </w: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Franchise rights</w:t>
            </w:r>
          </w:p>
        </w:tc>
        <w:tc>
          <w:tcPr>
            <w:tcW w:w="16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3"/>
                <w:szCs w:val="13"/>
                <w:color w:val="auto"/>
                <w:w w:val="84"/>
              </w:rPr>
              <w:t>9 years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6,202</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Management performed a qualitative annual impairment assessment of substantially all of the indefinite-lived intangible assets on the first day of the fourth quarter of Fiscal 2021 and concluded that impairment of the indefinite-lived intangible assets was not more likely than not. As a result, a quantitative assessment was not required. The indefinite-lived liquor licenses and definite-lived reacquired rights from the Company’s acquisitions were tested at the individual restaurant level in the asset group which includes long-lived assets of the individual restaurants (see Note 8, </w:t>
      </w:r>
      <w:r>
        <w:rPr>
          <w:rFonts w:ascii="Arial" w:cs="Arial" w:eastAsia="Arial" w:hAnsi="Arial"/>
          <w:sz w:val="14"/>
          <w:szCs w:val="14"/>
          <w:i w:val="1"/>
          <w:iCs w:val="1"/>
          <w:color w:val="auto"/>
        </w:rPr>
        <w:t>Property,</w:t>
      </w:r>
      <w:r>
        <w:rPr>
          <w:rFonts w:ascii="Arial" w:cs="Arial" w:eastAsia="Arial" w:hAnsi="Arial"/>
          <w:sz w:val="14"/>
          <w:szCs w:val="14"/>
          <w:color w:val="auto"/>
        </w:rPr>
        <w:t xml:space="preserve"> </w:t>
      </w:r>
      <w:r>
        <w:rPr>
          <w:rFonts w:ascii="Arial" w:cs="Arial" w:eastAsia="Arial" w:hAnsi="Arial"/>
          <w:sz w:val="14"/>
          <w:szCs w:val="14"/>
          <w:i w:val="1"/>
          <w:iCs w:val="1"/>
          <w:color w:val="auto"/>
        </w:rPr>
        <w:t>Fixtures and Equipment, Net</w:t>
      </w:r>
      <w:r>
        <w:rPr>
          <w:rFonts w:ascii="Arial" w:cs="Arial" w:eastAsia="Arial" w:hAnsi="Arial"/>
          <w:sz w:val="14"/>
          <w:szCs w:val="14"/>
          <w:color w:val="auto"/>
        </w:rPr>
        <w:t>, for additional information).</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Management performed a quantitative impairment assessment of the indefinite-lived intangible assets in April 2020 as the effect of the COVID-19 pandemic was considered a triggering event indicating that the carrying value of the intangible assets may not be recoverable. Management determined there was no impairment loss to be recognized. Management also performed an annual impairment test for the intangible assets on the first day of the fourth quarter of Fiscal 2020 and determined there was no impairment loss to be recognized.</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Fiscal 2019, a total non-cash impairment charge of $32.2 million was recognized related to The Egg &amp; I trade name and franchise rights following Management’s identification of a triggering event resulting from a strategic review of its operations. All restaurants that operated under The Egg &amp; I trade name had either closed, disenfranchised or were strategically acquired by the Company and converted to restaurants operating under the First Watch trade name as of December 29, 2019.</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Total amortization expense related to definite-lived intangible assets was $1.0 million, $1.1 million, and $2.1 million in Fiscal 2021, Fiscal 2020 and Fiscal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Estimated future amortization of definite-lived intangible assets as of December 26, 2021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8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50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i w:val="1"/>
                <w:iCs w:val="1"/>
                <w:color w:val="auto"/>
              </w:rPr>
              <w:t>(in thousands)</w:t>
            </w: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50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2023</w:t>
            </w:r>
          </w:p>
        </w:tc>
        <w:tc>
          <w:tcPr>
            <w:tcW w:w="502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809</w:t>
            </w: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0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2025</w:t>
            </w:r>
          </w:p>
        </w:tc>
        <w:tc>
          <w:tcPr>
            <w:tcW w:w="502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809</w:t>
            </w: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0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r>
      <w:tr>
        <w:trPr>
          <w:trHeight w:val="165"/>
        </w:trPr>
        <w:tc>
          <w:tcPr>
            <w:tcW w:w="508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502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1,151</w:t>
            </w: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Property, Fixtures and Equipment, Net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Property, fixtures and equipment, net consists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14"/>
                <w:szCs w:val="14"/>
                <w:color w:val="auto"/>
              </w:rPr>
            </w:pPr>
          </w:p>
        </w:tc>
        <w:tc>
          <w:tcPr>
            <w:tcW w:w="21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26, 2021</w:t>
            </w:r>
          </w:p>
        </w:tc>
        <w:tc>
          <w:tcPr>
            <w:tcW w:w="320" w:type="dxa"/>
            <w:vAlign w:val="bottom"/>
          </w:tcPr>
          <w:p>
            <w:pPr>
              <w:spacing w:after="0"/>
              <w:rPr>
                <w:sz w:val="14"/>
                <w:szCs w:val="14"/>
                <w:color w:val="auto"/>
              </w:rPr>
            </w:pPr>
          </w:p>
        </w:tc>
        <w:tc>
          <w:tcPr>
            <w:tcW w:w="2000" w:type="dxa"/>
            <w:vAlign w:val="bottom"/>
          </w:tcPr>
          <w:p>
            <w:pPr>
              <w:jc w:val="right"/>
              <w:ind w:right="496"/>
              <w:spacing w:after="0"/>
              <w:rPr>
                <w:sz w:val="20"/>
                <w:szCs w:val="20"/>
                <w:color w:val="auto"/>
              </w:rPr>
            </w:pPr>
            <w:r>
              <w:rPr>
                <w:rFonts w:ascii="Arial" w:cs="Arial" w:eastAsia="Arial" w:hAnsi="Arial"/>
                <w:sz w:val="13"/>
                <w:szCs w:val="13"/>
                <w:b w:val="1"/>
                <w:bCs w:val="1"/>
                <w:color w:val="auto"/>
              </w:rPr>
              <w:t>DECEMBER 27, 2020</w:t>
            </w:r>
          </w:p>
        </w:tc>
      </w:tr>
      <w:tr>
        <w:trPr>
          <w:trHeight w:val="16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Building and land improvements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1,354</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Leased land asset</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1,190</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128,252</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Furniture, fixtures and equipment (including capitalized software)</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118,734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105,520</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lease assets</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w:t>
            </w:r>
          </w:p>
        </w:tc>
      </w:tr>
      <w:tr>
        <w:trPr>
          <w:trHeight w:val="168"/>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Vehicles</w:t>
            </w: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w:t>
            </w:r>
          </w:p>
        </w:tc>
      </w:tr>
      <w:tr>
        <w:trPr>
          <w:trHeight w:val="163"/>
        </w:trPr>
        <w:tc>
          <w:tcPr>
            <w:tcW w:w="6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property, fixtures and equipment</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271,636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239,908</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Accumulated depreciation</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(115,582)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(86,250)</w:t>
            </w:r>
          </w:p>
        </w:tc>
      </w:tr>
      <w:tr>
        <w:trPr>
          <w:trHeight w:val="170"/>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Construction-in-progress</w:t>
            </w: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7,086</w:t>
            </w:r>
          </w:p>
        </w:tc>
      </w:tr>
      <w:tr>
        <w:trPr>
          <w:trHeight w:val="163"/>
        </w:trPr>
        <w:tc>
          <w:tcPr>
            <w:tcW w:w="6540" w:type="dxa"/>
            <w:vAlign w:val="bottom"/>
          </w:tcPr>
          <w:p>
            <w:pPr>
              <w:ind w:left="520"/>
              <w:spacing w:after="0"/>
              <w:rPr>
                <w:sz w:val="20"/>
                <w:szCs w:val="20"/>
                <w:color w:val="auto"/>
              </w:rPr>
            </w:pPr>
            <w:r>
              <w:rPr>
                <w:rFonts w:ascii="Arial" w:cs="Arial" w:eastAsia="Arial" w:hAnsi="Arial"/>
                <w:sz w:val="13"/>
                <w:szCs w:val="13"/>
                <w:color w:val="auto"/>
              </w:rPr>
              <w:t>Total property, fixtures and equipment, net</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164,695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160,744</w:t>
            </w: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was $31.3 million, $29.6 million and $25.9 million during Fiscal 2021, Fiscal 2020 and Fiscal 2019, respectively.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did not recognize an impairment loss in Fiscal 2021. The Company’s long-lived assets at company-owned restaurants were evaluated for impairment in April 2020 as a result of the effects of the COVID-19 pandemic using future undiscounted net cash flows over the respective lease terms. As the estimated future undiscounted net cash flows were greater than the net book value of the respective asset groups, no impairment loss was recognized in Fiscal 2020. In Fiscal 2019, a non-cash impairment charge of $0.3 million was recognized primarily related to one under-performing restaurant, which was recorded in Impairments and loss on disposal of assets. The impairment was determined as the amount by which the carrying value of the restaurant’s asset group exceeded its fair value. Fair value was determined based on estimates of discounted future cash flows.</w:t>
      </w:r>
    </w:p>
    <w:p>
      <w:pPr>
        <w:spacing w:after="0" w:line="12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Loss on disposals of assets recognized of $0.4 million and $0.3 million during Fiscal 2021 and Fiscal 2020, respectively related to retirements, replacements and disposals of fixed assets in the ordinary course of business. In Fiscal 2019, a loss on disposal of assets of $1.1 million was recognized associated with restaurants that were remodeled, relocated or closed.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26, 2021 and December 27, 2020, Property, fixtures and equipment, net included $1.2 million in land related to sale and leaseback transactions accounted for as financing obligations.</w:t>
      </w:r>
    </w:p>
    <w:p>
      <w:pPr>
        <w:spacing w:after="0" w:line="16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2"/>
          <w:szCs w:val="12"/>
          <w:b w:val="1"/>
          <w:bCs w:val="1"/>
          <w:color w:val="auto"/>
        </w:rPr>
        <w:t>Accrued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Accrued liabilities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14"/>
                <w:szCs w:val="14"/>
                <w:color w:val="auto"/>
              </w:rPr>
            </w:pPr>
          </w:p>
        </w:tc>
        <w:tc>
          <w:tcPr>
            <w:tcW w:w="21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26, 2021</w:t>
            </w:r>
          </w:p>
        </w:tc>
        <w:tc>
          <w:tcPr>
            <w:tcW w:w="320" w:type="dxa"/>
            <w:vAlign w:val="bottom"/>
          </w:tcPr>
          <w:p>
            <w:pPr>
              <w:spacing w:after="0"/>
              <w:rPr>
                <w:sz w:val="14"/>
                <w:szCs w:val="14"/>
                <w:color w:val="auto"/>
              </w:rPr>
            </w:pPr>
          </w:p>
        </w:tc>
        <w:tc>
          <w:tcPr>
            <w:tcW w:w="2000" w:type="dxa"/>
            <w:vAlign w:val="bottom"/>
          </w:tcPr>
          <w:p>
            <w:pPr>
              <w:jc w:val="right"/>
              <w:ind w:right="496"/>
              <w:spacing w:after="0"/>
              <w:rPr>
                <w:sz w:val="20"/>
                <w:szCs w:val="20"/>
                <w:color w:val="auto"/>
              </w:rPr>
            </w:pPr>
            <w:r>
              <w:rPr>
                <w:rFonts w:ascii="Arial" w:cs="Arial" w:eastAsia="Arial" w:hAnsi="Arial"/>
                <w:sz w:val="13"/>
                <w:szCs w:val="13"/>
                <w:b w:val="1"/>
                <w:bCs w:val="1"/>
                <w:color w:val="auto"/>
              </w:rPr>
              <w:t>DECEMBER 27, 2020</w:t>
            </w:r>
          </w:p>
        </w:tc>
      </w:tr>
      <w:tr>
        <w:trPr>
          <w:trHeight w:val="16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Construction liabilities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4,301</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Sales tax</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3,337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2,159</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Self-insurance and general liability reserves</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Utilities</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1,016</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 fees</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Property tax</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424</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rent</w:t>
            </w: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Common area maintenance</w:t>
            </w: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700</w:t>
            </w:r>
          </w:p>
        </w:tc>
      </w:tr>
      <w:tr>
        <w:trPr>
          <w:trHeight w:val="170"/>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2,831</w:t>
            </w:r>
          </w:p>
        </w:tc>
      </w:tr>
      <w:tr>
        <w:trPr>
          <w:trHeight w:val="163"/>
        </w:trPr>
        <w:tc>
          <w:tcPr>
            <w:tcW w:w="6540" w:type="dxa"/>
            <w:vAlign w:val="bottom"/>
          </w:tcPr>
          <w:p>
            <w:pPr>
              <w:ind w:left="520"/>
              <w:spacing w:after="0"/>
              <w:rPr>
                <w:sz w:val="20"/>
                <w:szCs w:val="20"/>
                <w:color w:val="auto"/>
              </w:rPr>
            </w:pPr>
            <w:r>
              <w:rPr>
                <w:rFonts w:ascii="Arial" w:cs="Arial" w:eastAsia="Arial" w:hAnsi="Arial"/>
                <w:sz w:val="13"/>
                <w:szCs w:val="13"/>
                <w:color w:val="auto"/>
              </w:rPr>
              <w:t>Total accrued liabilities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15,889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13,482</w:t>
            </w: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Long-term debt, net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DECEMBER 26, 2021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DECEMBER 27, 2020</w:t>
            </w:r>
          </w:p>
        </w:tc>
        <w:tc>
          <w:tcPr>
            <w:tcW w:w="0" w:type="dxa"/>
            <w:vAlign w:val="bottom"/>
          </w:tcPr>
          <w:p>
            <w:pPr>
              <w:spacing w:after="0"/>
              <w:rPr>
                <w:sz w:val="1"/>
                <w:szCs w:val="1"/>
                <w:color w:val="auto"/>
              </w:rPr>
            </w:pPr>
          </w:p>
        </w:tc>
      </w:tr>
      <w:tr>
        <w:trPr>
          <w:trHeight w:val="16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256"/>
              <w:spacing w:after="0"/>
              <w:rPr>
                <w:sz w:val="20"/>
                <w:szCs w:val="20"/>
                <w:color w:val="auto"/>
              </w:rPr>
            </w:pPr>
            <w:r>
              <w:rPr>
                <w:rFonts w:ascii="Arial" w:cs="Arial" w:eastAsia="Arial" w:hAnsi="Arial"/>
                <w:sz w:val="13"/>
                <w:szCs w:val="13"/>
                <w:b w:val="1"/>
                <w:bCs w:val="1"/>
                <w:color w:val="auto"/>
                <w:w w:val="88"/>
              </w:rPr>
              <w:t>Interest Rate</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 Rate</w:t>
            </w:r>
          </w:p>
        </w:tc>
        <w:tc>
          <w:tcPr>
            <w:tcW w:w="0" w:type="dxa"/>
            <w:vAlign w:val="bottom"/>
          </w:tcPr>
          <w:p>
            <w:pPr>
              <w:spacing w:after="0"/>
              <w:rPr>
                <w:sz w:val="1"/>
                <w:szCs w:val="1"/>
                <w:color w:val="auto"/>
              </w:rPr>
            </w:pPr>
          </w:p>
        </w:tc>
      </w:tr>
      <w:tr>
        <w:trPr>
          <w:trHeight w:val="152"/>
        </w:trPr>
        <w:tc>
          <w:tcPr>
            <w:tcW w:w="5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New Facilities: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40"/>
              <w:spacing w:after="0"/>
              <w:rPr>
                <w:sz w:val="20"/>
                <w:szCs w:val="20"/>
                <w:color w:val="auto"/>
              </w:rPr>
            </w:pPr>
            <w:r>
              <w:rPr>
                <w:rFonts w:ascii="Arial" w:cs="Arial" w:eastAsia="Arial" w:hAnsi="Arial"/>
                <w:sz w:val="13"/>
                <w:szCs w:val="13"/>
                <w:color w:val="auto"/>
              </w:rPr>
              <w:t>New Term Facility</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100,000</w:t>
            </w: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2.71%</w:t>
            </w:r>
          </w:p>
        </w:tc>
        <w:tc>
          <w:tcPr>
            <w:tcW w:w="640" w:type="dxa"/>
            <w:vAlign w:val="bottom"/>
            <w:gridSpan w:val="3"/>
          </w:tcPr>
          <w:p>
            <w:pPr>
              <w:ind w:left="4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20" w:type="dxa"/>
            <w:vAlign w:val="bottom"/>
          </w:tcPr>
          <w:p>
            <w:pPr>
              <w:ind w:left="1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b w:val="1"/>
                <w:bCs w:val="1"/>
                <w:color w:val="auto"/>
              </w:rPr>
              <w:t xml:space="preserve">Senior Credit Facilities </w:t>
            </w:r>
            <w:r>
              <w:rPr>
                <w:rFonts w:ascii="Arial" w:cs="Arial" w:eastAsia="Arial" w:hAnsi="Arial"/>
                <w:sz w:val="16"/>
                <w:szCs w:val="16"/>
                <w:b w:val="1"/>
                <w:bCs w:val="1"/>
                <w:color w:val="auto"/>
                <w:vertAlign w:val="superscript"/>
              </w:rPr>
              <w:t>(1):</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40"/>
              <w:spacing w:after="0"/>
              <w:rPr>
                <w:sz w:val="20"/>
                <w:szCs w:val="20"/>
                <w:color w:val="auto"/>
              </w:rPr>
            </w:pPr>
            <w:r>
              <w:rPr>
                <w:rFonts w:ascii="Arial" w:cs="Arial" w:eastAsia="Arial" w:hAnsi="Arial"/>
                <w:sz w:val="13"/>
                <w:szCs w:val="13"/>
                <w:color w:val="auto"/>
              </w:rPr>
              <w:t>Initial Term Loan</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150,214</w:t>
            </w:r>
          </w:p>
        </w:tc>
        <w:tc>
          <w:tcPr>
            <w:tcW w:w="1720" w:type="dxa"/>
            <w:vAlign w:val="bottom"/>
            <w:gridSpan w:val="2"/>
          </w:tcPr>
          <w:p>
            <w:pPr>
              <w:jc w:val="center"/>
              <w:ind w:left="36"/>
              <w:spacing w:after="0"/>
              <w:rPr>
                <w:sz w:val="20"/>
                <w:szCs w:val="20"/>
                <w:color w:val="auto"/>
              </w:rPr>
            </w:pPr>
            <w:r>
              <w:rPr>
                <w:rFonts w:ascii="Arial" w:cs="Arial" w:eastAsia="Arial" w:hAnsi="Arial"/>
                <w:sz w:val="13"/>
                <w:szCs w:val="13"/>
                <w:color w:val="auto"/>
                <w:w w:val="92"/>
              </w:rPr>
              <w:t>8.00%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Initial Delayed Draw Term Loan</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48,992</w:t>
            </w:r>
          </w:p>
        </w:tc>
        <w:tc>
          <w:tcPr>
            <w:tcW w:w="17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2"/>
              </w:rPr>
              <w:t>8.00%</w:t>
            </w:r>
          </w:p>
        </w:tc>
        <w:tc>
          <w:tcPr>
            <w:tcW w:w="0" w:type="dxa"/>
            <w:vAlign w:val="bottom"/>
          </w:tcPr>
          <w:p>
            <w:pPr>
              <w:spacing w:after="0"/>
              <w:rPr>
                <w:sz w:val="1"/>
                <w:szCs w:val="1"/>
                <w:color w:val="auto"/>
              </w:rPr>
            </w:pPr>
          </w:p>
        </w:tc>
      </w:tr>
      <w:tr>
        <w:trPr>
          <w:trHeight w:val="168"/>
        </w:trPr>
        <w:tc>
          <w:tcPr>
            <w:tcW w:w="5340" w:type="dxa"/>
            <w:vAlign w:val="bottom"/>
          </w:tcPr>
          <w:p>
            <w:pPr>
              <w:ind w:left="140"/>
              <w:spacing w:after="0"/>
              <w:rPr>
                <w:sz w:val="20"/>
                <w:szCs w:val="20"/>
                <w:color w:val="auto"/>
              </w:rPr>
            </w:pPr>
            <w:r>
              <w:rPr>
                <w:rFonts w:ascii="Arial" w:cs="Arial" w:eastAsia="Arial" w:hAnsi="Arial"/>
                <w:sz w:val="13"/>
                <w:szCs w:val="13"/>
                <w:color w:val="auto"/>
              </w:rPr>
              <w:t>First Amendment Delayed Draw Term Facility</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49,458</w:t>
            </w:r>
          </w:p>
        </w:tc>
        <w:tc>
          <w:tcPr>
            <w:tcW w:w="1720" w:type="dxa"/>
            <w:vAlign w:val="bottom"/>
            <w:gridSpan w:val="2"/>
          </w:tcPr>
          <w:p>
            <w:pPr>
              <w:jc w:val="center"/>
              <w:ind w:left="36"/>
              <w:spacing w:after="0"/>
              <w:rPr>
                <w:sz w:val="20"/>
                <w:szCs w:val="20"/>
                <w:color w:val="auto"/>
              </w:rPr>
            </w:pPr>
            <w:r>
              <w:rPr>
                <w:rFonts w:ascii="Arial" w:cs="Arial" w:eastAsia="Arial" w:hAnsi="Arial"/>
                <w:sz w:val="13"/>
                <w:szCs w:val="13"/>
                <w:color w:val="auto"/>
                <w:w w:val="92"/>
              </w:rPr>
              <w:t>8.00%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Amendment Delayed Draw Term Facility</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39,369</w:t>
            </w:r>
          </w:p>
        </w:tc>
        <w:tc>
          <w:tcPr>
            <w:tcW w:w="17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2"/>
              </w:rPr>
              <w:t>8.00%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Arial" w:cs="Arial" w:eastAsia="Arial" w:hAnsi="Arial"/>
                <w:sz w:val="13"/>
                <w:szCs w:val="13"/>
                <w:color w:val="auto"/>
              </w:rPr>
              <w:t>Finance lease liabilities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2,300</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obligation</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3,050</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Unamortized debt discount and deferred issuance costs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(2,128)</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(3,393)</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Debt, net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289,990</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Current portion of long-term debt</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(3,186)</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shd w:val="clear" w:color="auto" w:fill="CCEEFF"/>
          </w:tcPr>
          <w:p>
            <w:pPr>
              <w:ind w:left="680"/>
              <w:spacing w:after="0"/>
              <w:rPr>
                <w:sz w:val="20"/>
                <w:szCs w:val="20"/>
                <w:color w:val="auto"/>
              </w:rPr>
            </w:pPr>
            <w:r>
              <w:rPr>
                <w:rFonts w:ascii="Arial" w:cs="Arial" w:eastAsia="Arial" w:hAnsi="Arial"/>
                <w:sz w:val="13"/>
                <w:szCs w:val="13"/>
                <w:color w:val="auto"/>
              </w:rPr>
              <w:t>Long-term debt, net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286,400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firstLine="5"/>
        <w:spacing w:after="0" w:line="242" w:lineRule="auto"/>
        <w:tabs>
          <w:tab w:leader="none" w:pos="17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Borrowings under the Senior Credit Facilities bore interest, at the Company’s option, at a rate per annum equal to either (a) (i) the greater of an adjusted London Interbank Offered Rate (the “Adjusted Eurocurrency Rate”) and 1.00%, plus (ii) the applicable Adjusted Eurocurrency Rate spread, or (b) (i) the alternate base rate (“ABR”) plus (ii) the applicable ABR spread. ABR is a floating rate per annum equal to the highest of (i) the federal funds effective rate plus 0.50%, (ii) to the extent ascertainable, the London interbank offered rate for a one-month interest period on such day plus 1.00%, (iii) the rate of interest last quoted by The Wall Street Journal as the “prime rate” in the U.S. and (iv) 1.00%. Borrowings under the Senior Credit Facilities also bore an additional interest pursuant to the Fourth Amendment that is paid in kind. The applicable rate for the additional interest ranged from 0.25% to 1.50% of the outstanding balances, depending on the leverage ratio.</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Facilities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FWR Holding Corporation, (“FWR”), an indirect subsidiary of the Company, is the borrower under a new credit agreement, dated as of October 6, 2021, (the “New Credit Agreement”), which provides for (i) a $100.0 million term loan A facility (the “New Term Facility”) and (ii) a $75.0 million revolving credit facility (the “New Revolving Credit Facility” and, together with the New Term Facility, collectively, the “New Facilities”). The New Facilities mature on October 6, 2026. The New Revolving Credit Facility was undrawn at December 26, 2021.</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 New Term Facility is subject to amortization of principal, payable in quarterly installments on the last business day of each fiscal quarter, commencing on March 27, 2022, equal to (i) 2.50% of the original principal amount of the term loans in fiscal year ended December 25, 2022, (ii) 5.00% of the original principal amount of the term loans in fiscal year ended December 31, 2023, (iii) 5.00% of the original principal amount of the term loans in fiscal year ended December 29, 2024, (iv) 7.50% of the original principal amount of the term loans in fiscal year ended December 28, 2025 and (v) 10.00% of the original principal amount of the term loans in fiscal year ended December 27, 2026. The remaining aggregate principal amount outstanding (together with accrued and unpaid interest on the principal amount) under the New Term Facility is payable at the maturity of the New Term Facility.</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Borrowings under the New Facilities bear interest, at the option of FWR at either (i) the base rate plus a margin of between 125 and 200 basis points depending on the total rent adjusted net leverage ratio of FWR and its restricted subsidiaries on a consolidated basis (the “Total Rent Adjusted Net Leverage Ratio”) or (ii) the London interbank offer rate (“LIBOR”) plus a margin of between 225 and 300 basis points depending on the Total Rent Adjusted Net Leverage Ratio. In addition, an unused commitment fee of between 25 and 50 basis points will be paid on the undrawn commitments under the New Revolving Credit Facility, also depending on the Total Rent Adjusted Net Leverage Ratio. The New Credit Agreement has LIBOR fallback language and may be amended to replace the LIBOR with a secured overnight financing rate or another alternate benchmark rate upon reference rate reform and the occurrence of certain LIBOR cessation events.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Credit Facilities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Through October 6, 2021, FWR was the borrower under a credit agreement, dated as of August 21, 2017 (as amended by the First Amendment to Credit Agreement dated as of February 28, 2019 (the “First Amendment”), the Second Amendment to Credit Agreement dated as of December 20, 2019 (the “Second Amendment”), the Third Amendment and Waiver to Credit Agreement dated as of April 27, 2020 (the “Third Amendment”) and the Fourth Amendment to Credit Agreement dated as of August 14, 2020 (the “Fourth Amendment”), the “Credit Agreement”), which consisted of an initial term loan facility ($155.0 million), an initial delayed draw term facility ($50.0 million) and a revolving credit facility (available commitment of $20.0 million, including a $5.0 million sub-limit for letters of credit) for an initial total available borrowing commitment of $225.0 million. Pursuant to the First Amendment, an aggregate principal amount of $50.0 million was made available (the “first amendment delayed draw term facility”) and had been drawn in Fiscal 2019. Pursuant to the Second Amendment, an aggregate principal amount of $40.0 million was made available (the “second amendment delayed draw term facility”) and a total of $39.6 million had been drawn in Fiscal 2020. The Credit Agreement was set to mature on August 21, 2023.</w:t>
      </w:r>
    </w:p>
    <w:p>
      <w:pPr>
        <w:spacing w:after="0" w:line="105"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Senior Credit Facilities were subject to amortization of principal, payable in quarterly installments on the last business day of each fiscal quarter, equal to 0.25% of the original principal amounts borrowed. The remaining aggregate principal amounts outstanding (together with accrued and unpaid interest on the principal amount) under the Senior Credit Facilities were payable upon maturity.</w:t>
      </w:r>
    </w:p>
    <w:p>
      <w:pPr>
        <w:spacing w:after="0" w:line="5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First Amendment and Second Amendment were accounted for as debt modifications and a total of $1.5 million in costs was incurred, of which $0.9 million was recognized and amortized as debt discount and deferred issuance costs and $0.6 million was recognized in Other (expense) income, net during Fiscal 2019.</w:t>
      </w:r>
    </w:p>
    <w:p>
      <w:pPr>
        <w:spacing w:after="0" w:line="11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Third Amendment, which was a condition to borrowing under each delayed draw term facility and the revolving credit facility, (i) required that the aggregate cash balance of FWR and its subsidiaries would not exceed $15.0 million at the time of and immediately after giving effect to any such borrowing, (ii) modified certain affirmative and negative covenants under the Credit Agreement, (iii) added new affirmative covenants that required monthly financial and cash flow reporting through December 31, 2020 and (iv) waived a specific event of default relating to an over-borrowing. The Third Amendment was accounted for as a debt modification and all costs incurred were third-party costs that were recognized in Other (expense) income, net in Fiscal 2020.</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Prior to the execution of the Fourth Amendment in August 2020, the Company received proceeds from an offering of preferred shares totaling $40.0 million (see Note 14, </w:t>
      </w:r>
      <w:r>
        <w:rPr>
          <w:rFonts w:ascii="Arial" w:cs="Arial" w:eastAsia="Arial" w:hAnsi="Arial"/>
          <w:sz w:val="14"/>
          <w:szCs w:val="14"/>
          <w:i w:val="1"/>
          <w:iCs w:val="1"/>
          <w:color w:val="auto"/>
        </w:rPr>
        <w:t>Stockholders</w:t>
      </w:r>
      <w:r>
        <w:rPr>
          <w:rFonts w:ascii="Arial" w:cs="Arial" w:eastAsia="Arial" w:hAnsi="Arial"/>
          <w:sz w:val="14"/>
          <w:szCs w:val="14"/>
          <w:color w:val="auto"/>
        </w:rPr>
        <w:t xml:space="preserve">’ </w:t>
      </w:r>
      <w:r>
        <w:rPr>
          <w:rFonts w:ascii="Arial" w:cs="Arial" w:eastAsia="Arial" w:hAnsi="Arial"/>
          <w:sz w:val="14"/>
          <w:szCs w:val="14"/>
          <w:i w:val="1"/>
          <w:iCs w:val="1"/>
          <w:color w:val="auto"/>
        </w:rPr>
        <w:t>Equity</w:t>
      </w:r>
      <w:r>
        <w:rPr>
          <w:rFonts w:ascii="Arial" w:cs="Arial" w:eastAsia="Arial" w:hAnsi="Arial"/>
          <w:sz w:val="14"/>
          <w:szCs w:val="14"/>
          <w:color w:val="auto"/>
        </w:rPr>
        <w:t>, for additional information). A portion of these proceeds were subsequently used to repay the outstanding balance of $10.5 million on the revolving credit facility.</w:t>
      </w:r>
    </w:p>
    <w:p>
      <w:pPr>
        <w:spacing w:after="0" w:line="153"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Pursuant to the Fourth Amendment, which superseded the Third Amendment, additional interest was charged on outstanding amounts drawn that were to be paid in kind by being added to the outstanding principal amounts. The Fourth Amendment also provided for: (i) the suspension of debt covenant compliance from April 1, 2020 through March 28, 2021, (ii) additional reporting requirements, (iii) restrictions on payments, additional indebtedness and capital expenditures and (iv) additional financial and liquidity covenants. The Fourth Amendment was accounted for as a 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modification and all costs incurred were third-party costs that were recognized in Other (expense) income, net in Fiscal 2020.</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proceeds from the IPO, the proceeds from the New Term Facility and cash on hand were used to repay in full the outstanding indebtedness of the Senior Credit Facilities in October 2021. This repayment was accounted for as a debt extinguishment for accounting purposes and a loss on debt extinguishment of $2.4 million was recorded in the fourth fiscal quarter of 2021 in Other (expense) income, net.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Debt</w:t>
      </w:r>
    </w:p>
    <w:p>
      <w:pPr>
        <w:spacing w:after="0" w:line="140"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The estimated fair value of the outstanding debt, excluding finance lease obligations and financing obligations, is classified as Level 3 in the fair value hierarchy and was estimated using discounted cash flow models using market yield and yield volatility. At December 26, 2021, the estimated fair value of the outstanding debt under the New Facilities was $100.0 million.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Principal payments due on the outstanding debt, excluding finance lease liabilities and financing obligations, as of December 26, 2021 are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8100" w:type="dxa"/>
            <w:vAlign w:val="bottom"/>
            <w:gridSpan w:val="2"/>
          </w:tcPr>
          <w:p>
            <w:pPr>
              <w:jc w:val="right"/>
              <w:ind w:right="3020"/>
              <w:spacing w:after="0"/>
              <w:rPr>
                <w:sz w:val="20"/>
                <w:szCs w:val="20"/>
                <w:color w:val="auto"/>
              </w:rPr>
            </w:pPr>
            <w:r>
              <w:rPr>
                <w:rFonts w:ascii="Arial" w:cs="Arial" w:eastAsia="Arial" w:hAnsi="Arial"/>
                <w:sz w:val="14"/>
                <w:szCs w:val="14"/>
                <w:b w:val="1"/>
                <w:bCs w:val="1"/>
                <w:color w:val="auto"/>
              </w:rPr>
              <w:t>FIRST WATCH RESTAURANT GROUP, INC.</w:t>
            </w:r>
          </w:p>
        </w:tc>
        <w:tc>
          <w:tcPr>
            <w:tcW w:w="1180" w:type="dxa"/>
            <w:vAlign w:val="bottom"/>
          </w:tcPr>
          <w:p>
            <w:pPr>
              <w:spacing w:after="0"/>
              <w:rPr>
                <w:sz w:val="14"/>
                <w:szCs w:val="14"/>
                <w:color w:val="auto"/>
              </w:rPr>
            </w:pPr>
          </w:p>
        </w:tc>
      </w:tr>
      <w:tr>
        <w:trPr>
          <w:trHeight w:val="184"/>
        </w:trPr>
        <w:tc>
          <w:tcPr>
            <w:tcW w:w="2000" w:type="dxa"/>
            <w:vAlign w:val="bottom"/>
          </w:tcPr>
          <w:p>
            <w:pPr>
              <w:spacing w:after="0"/>
              <w:rPr>
                <w:sz w:val="16"/>
                <w:szCs w:val="16"/>
                <w:color w:val="auto"/>
              </w:rPr>
            </w:pPr>
          </w:p>
        </w:tc>
        <w:tc>
          <w:tcPr>
            <w:tcW w:w="810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rPr>
              <w:t>NOTES TO CONSOLIDATED FINANCIAL STATEMENTS (continued)</w:t>
            </w:r>
          </w:p>
        </w:tc>
        <w:tc>
          <w:tcPr>
            <w:tcW w:w="1180" w:type="dxa"/>
            <w:vAlign w:val="bottom"/>
          </w:tcPr>
          <w:p>
            <w:pPr>
              <w:spacing w:after="0"/>
              <w:rPr>
                <w:sz w:val="16"/>
                <w:szCs w:val="16"/>
                <w:color w:val="auto"/>
              </w:rPr>
            </w:pPr>
          </w:p>
        </w:tc>
      </w:tr>
      <w:tr>
        <w:trPr>
          <w:trHeight w:val="64"/>
        </w:trPr>
        <w:tc>
          <w:tcPr>
            <w:tcW w:w="2000" w:type="dxa"/>
            <w:vAlign w:val="bottom"/>
            <w:tcBorders>
              <w:bottom w:val="single" w:sz="8" w:color="auto"/>
            </w:tcBorders>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508"/>
        </w:trPr>
        <w:tc>
          <w:tcPr>
            <w:tcW w:w="200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i w:val="1"/>
                <w:iCs w:val="1"/>
                <w:color w:val="auto"/>
              </w:rPr>
              <w:t>(in thousands)</w:t>
            </w:r>
          </w:p>
        </w:tc>
      </w:tr>
      <w:tr>
        <w:trPr>
          <w:trHeight w:val="172"/>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8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2023</w:t>
            </w:r>
          </w:p>
        </w:tc>
        <w:tc>
          <w:tcPr>
            <w:tcW w:w="7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172"/>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7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2025</w:t>
            </w:r>
          </w:p>
        </w:tc>
        <w:tc>
          <w:tcPr>
            <w:tcW w:w="7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7,500</w:t>
            </w:r>
          </w:p>
        </w:tc>
      </w:tr>
      <w:tr>
        <w:trPr>
          <w:trHeight w:val="170"/>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75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80,000</w:t>
            </w:r>
          </w:p>
        </w:tc>
      </w:tr>
      <w:tr>
        <w:trPr>
          <w:trHeight w:val="160"/>
        </w:trPr>
        <w:tc>
          <w:tcPr>
            <w:tcW w:w="2000" w:type="dxa"/>
            <w:vAlign w:val="bottom"/>
          </w:tcPr>
          <w:p>
            <w:pPr>
              <w:spacing w:after="0"/>
              <w:rPr>
                <w:sz w:val="13"/>
                <w:szCs w:val="13"/>
                <w:color w:val="auto"/>
              </w:rPr>
            </w:pPr>
          </w:p>
        </w:tc>
        <w:tc>
          <w:tcPr>
            <w:tcW w:w="81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20"/>
        </w:trPr>
        <w:tc>
          <w:tcPr>
            <w:tcW w:w="20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Letter of Credit</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Company utilizes a standby letter of credit to satisfy workers’ compensation requirements, as discussed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The contract amount of the letter of credit approximates its fair value. As of December 26, 2021 and December 27, 2020, the open letter of credit was approximately $0.4 million and there were no draws against the letter of credit. The Company pays participation fees for the letter of credit based on a varying percentage of the amount not drawn.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Covenants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New Facilities are guaranteed by all of FWR’s wholly-owned domestic restricted subsidiaries, subject to customary exceptions, and by AI Fresh Parent, Inc., a Delaware corporation and the direct parent company of FWR, (“Holdings”), and are secured by associated collateral agreements that pledge a lien on substantially all of FWR’s and each guarantor’s assets, including fixed assets and intangibles, in each case, subject to customary exceptions.</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Under the New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covenants under the New Credit Agreement as of December 26, 2021. FWR was in compliance with the covenants under the Credit Agreement as of December 27, 2020.</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October 2021, the Company entered into a financing agreement for the financing of insurance premiums in a total amount of approximately $3.0 million that bears interest of 2.41% and is payable in monthly installments of $0.3 million through August 30, 2022. As of December 26, 2021, the balance on the note payable was approximately $2.4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Leases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a detail of lease assets and liabilities: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Consolidated Balance Sheets Classification</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DECEMBER 26, 2021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DECEMBER 27, 2020</w:t>
            </w:r>
          </w:p>
        </w:tc>
      </w:tr>
      <w:tr>
        <w:trPr>
          <w:trHeight w:val="163"/>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324,995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307,558</w:t>
            </w:r>
          </w:p>
        </w:tc>
      </w:tr>
      <w:tr>
        <w:trPr>
          <w:trHeight w:val="16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Finance lease assets</w:t>
            </w: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Property, fixtures and equipment, net</w:t>
            </w: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2,212</w:t>
            </w:r>
          </w:p>
        </w:tc>
      </w:tr>
      <w:tr>
        <w:trPr>
          <w:trHeight w:val="188"/>
        </w:trPr>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lease assets</w:t>
            </w:r>
          </w:p>
        </w:tc>
        <w:tc>
          <w:tcPr>
            <w:tcW w:w="3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326,887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309,770</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80"/>
          </w:cols>
          <w:pgMar w:left="300" w:top="267" w:right="319" w:bottom="1440" w:gutter="0" w:footer="0" w:header="0"/>
        </w:sectPr>
      </w:pPr>
    </w:p>
    <w:p>
      <w:pPr>
        <w:ind w:left="20"/>
        <w:spacing w:after="0"/>
        <w:rPr>
          <w:sz w:val="20"/>
          <w:szCs w:val="20"/>
          <w:color w:val="auto"/>
        </w:rPr>
      </w:pPr>
      <w:r>
        <w:rPr>
          <w:rFonts w:ascii="Arial" w:cs="Arial" w:eastAsia="Arial" w:hAnsi="Arial"/>
          <w:sz w:val="13"/>
          <w:szCs w:val="13"/>
          <w:color w:val="auto"/>
        </w:rPr>
        <w:t>Operating lease liabilities</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 current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lease liabilities - non-current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Finance lease liabilities - current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Finance lease liabilities - non-current</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lease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w:t>
      </w:r>
    </w:p>
    <w:p>
      <w:pPr>
        <w:spacing w:after="0" w:line="42" w:lineRule="exact"/>
        <w:rPr>
          <w:sz w:val="20"/>
          <w:szCs w:val="20"/>
          <w:color w:val="auto"/>
        </w:rPr>
      </w:pPr>
    </w:p>
    <w:p>
      <w:pPr>
        <w:ind w:left="180" w:hanging="175"/>
        <w:spacing w:after="0"/>
        <w:tabs>
          <w:tab w:leader="none" w:pos="180" w:val="left"/>
        </w:tabs>
        <w:numPr>
          <w:ilvl w:val="0"/>
          <w:numId w:val="35"/>
        </w:numPr>
        <w:rPr>
          <w:rFonts w:ascii="Arial" w:cs="Arial" w:eastAsia="Arial" w:hAnsi="Arial"/>
          <w:sz w:val="13"/>
          <w:szCs w:val="13"/>
          <w:color w:val="auto"/>
        </w:rPr>
      </w:pPr>
      <w:r>
        <w:rPr>
          <w:rFonts w:ascii="Arial" w:cs="Arial" w:eastAsia="Arial" w:hAnsi="Arial"/>
          <w:sz w:val="12"/>
          <w:szCs w:val="12"/>
          <w:color w:val="auto"/>
        </w:rPr>
        <w:t>Excludes all variable lease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Current portion of operating lease liabilities</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38,186</w:t>
            </w:r>
          </w:p>
        </w:tc>
        <w:tc>
          <w:tcPr>
            <w:tcW w:w="80" w:type="dxa"/>
            <w:vAlign w:val="bottom"/>
          </w:tcPr>
          <w:p>
            <w:pPr>
              <w:spacing w:after="0"/>
              <w:rPr>
                <w:sz w:val="14"/>
                <w:szCs w:val="14"/>
                <w:color w:val="auto"/>
              </w:rPr>
            </w:pP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40,111</w:t>
            </w: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Operating lease liabilities</w:t>
            </w:r>
          </w:p>
        </w:tc>
        <w:tc>
          <w:tcPr>
            <w:tcW w:w="8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330,495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307,802</w:t>
            </w:r>
          </w:p>
        </w:tc>
      </w:tr>
      <w:tr>
        <w:trPr>
          <w:trHeight w:val="170"/>
        </w:trPr>
        <w:tc>
          <w:tcPr>
            <w:tcW w:w="3500" w:type="dxa"/>
            <w:vAlign w:val="bottom"/>
          </w:tcPr>
          <w:p>
            <w:pPr>
              <w:spacing w:after="0"/>
              <w:rPr>
                <w:sz w:val="20"/>
                <w:szCs w:val="20"/>
                <w:color w:val="auto"/>
              </w:rPr>
            </w:pPr>
            <w:r>
              <w:rPr>
                <w:rFonts w:ascii="Arial" w:cs="Arial" w:eastAsia="Arial" w:hAnsi="Arial"/>
                <w:sz w:val="13"/>
                <w:szCs w:val="13"/>
                <w:color w:val="auto"/>
              </w:rPr>
              <w:t>Current portion of long-term debt</w:t>
            </w:r>
          </w:p>
        </w:tc>
        <w:tc>
          <w:tcPr>
            <w:tcW w:w="8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645</w:t>
            </w:r>
          </w:p>
        </w:tc>
      </w:tr>
      <w:tr>
        <w:trPr>
          <w:trHeight w:val="172"/>
        </w:trPr>
        <w:tc>
          <w:tcPr>
            <w:tcW w:w="3500" w:type="dxa"/>
            <w:vAlign w:val="bottom"/>
          </w:tcPr>
          <w:p>
            <w:pPr>
              <w:spacing w:after="0"/>
              <w:rPr>
                <w:sz w:val="20"/>
                <w:szCs w:val="20"/>
                <w:color w:val="auto"/>
              </w:rPr>
            </w:pPr>
            <w:r>
              <w:rPr>
                <w:rFonts w:ascii="Arial" w:cs="Arial" w:eastAsia="Arial" w:hAnsi="Arial"/>
                <w:sz w:val="13"/>
                <w:szCs w:val="13"/>
                <w:color w:val="auto"/>
              </w:rPr>
              <w:t>Long-term debt, net</w:t>
            </w: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1,331</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1,655</w:t>
            </w:r>
          </w:p>
        </w:tc>
      </w:tr>
      <w:tr>
        <w:trPr>
          <w:trHeight w:val="160"/>
        </w:trPr>
        <w:tc>
          <w:tcPr>
            <w:tcW w:w="3500" w:type="dxa"/>
            <w:vAlign w:val="bottom"/>
          </w:tcPr>
          <w:p>
            <w:pPr>
              <w:spacing w:after="0"/>
              <w:rPr>
                <w:sz w:val="13"/>
                <w:szCs w:val="13"/>
                <w:color w:val="auto"/>
              </w:rPr>
            </w:pPr>
          </w:p>
        </w:tc>
        <w:tc>
          <w:tcPr>
            <w:tcW w:w="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370,698</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350,213</w:t>
            </w:r>
          </w:p>
        </w:tc>
      </w:tr>
      <w:tr>
        <w:trPr>
          <w:trHeight w:val="20"/>
        </w:trPr>
        <w:tc>
          <w:tcPr>
            <w:tcW w:w="3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-572135</wp:posOffset>
            </wp:positionV>
            <wp:extent cx="7161530" cy="107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-356235</wp:posOffset>
            </wp:positionV>
            <wp:extent cx="7161530" cy="107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-140970</wp:posOffset>
            </wp:positionV>
            <wp:extent cx="716153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2980" w:space="620"/>
            <w:col w:w="7680"/>
          </w:cols>
          <w:pgMar w:left="300" w:top="267"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expense are as follows:</w:t>
      </w:r>
    </w:p>
    <w:p>
      <w:pPr>
        <w:spacing w:after="0" w:line="115" w:lineRule="exact"/>
        <w:rPr>
          <w:sz w:val="20"/>
          <w:szCs w:val="20"/>
          <w:color w:val="auto"/>
        </w:rPr>
      </w:pPr>
    </w:p>
    <w:p>
      <w:pPr>
        <w:jc w:val="right"/>
        <w:ind w:right="2100"/>
        <w:spacing w:after="0"/>
        <w:rPr>
          <w:sz w:val="20"/>
          <w:szCs w:val="20"/>
          <w:color w:val="auto"/>
        </w:rPr>
      </w:pPr>
      <w:r>
        <w:rPr>
          <w:rFonts w:ascii="Arial" w:cs="Arial" w:eastAsia="Arial" w:hAnsi="Arial"/>
          <w:sz w:val="13"/>
          <w:szCs w:val="13"/>
          <w:b w:val="1"/>
          <w:bCs w:val="1"/>
          <w:color w:val="auto"/>
        </w:rPr>
        <w:t>FISCAL YEAR</w:t>
      </w:r>
    </w:p>
    <w:p>
      <w:pPr>
        <w:sectPr>
          <w:pgSz w:w="11900" w:h="16838" w:orient="portrait"/>
          <w:cols w:equalWidth="0" w:num="1">
            <w:col w:w="11280"/>
          </w:cols>
          <w:pgMar w:left="300" w:top="267" w:right="319" w:bottom="1440" w:gutter="0" w:footer="0" w:header="0"/>
        </w:sectPr>
      </w:pPr>
    </w:p>
    <w:p>
      <w:pPr>
        <w:spacing w:after="0" w:line="15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expense</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Variable lease expense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1"/>
          <w:szCs w:val="11"/>
          <w:color w:val="auto"/>
        </w:rPr>
        <w:t>Finance lease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Consolidated Statements of Operations and Comprehensive Loss</w:t>
            </w: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vMerge w:val="restart"/>
          </w:tcPr>
          <w:p>
            <w:pPr>
              <w:jc w:val="right"/>
              <w:ind w:right="6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vMerge w:val="restart"/>
          </w:tcPr>
          <w:p>
            <w:pPr>
              <w:jc w:val="right"/>
              <w:ind w:right="6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vMerge w:val="restart"/>
          </w:tcPr>
          <w:p>
            <w:pPr>
              <w:jc w:val="right"/>
              <w:ind w:right="61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Classification</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20" w:type="dxa"/>
            <w:vAlign w:val="bottom"/>
            <w:gridSpan w:val="2"/>
          </w:tcPr>
          <w:p>
            <w:pPr>
              <w:spacing w:after="0" w:line="124" w:lineRule="exact"/>
              <w:rPr>
                <w:sz w:val="20"/>
                <w:szCs w:val="20"/>
                <w:color w:val="auto"/>
              </w:rPr>
            </w:pPr>
            <w:r>
              <w:rPr>
                <w:rFonts w:ascii="Arial" w:cs="Arial" w:eastAsia="Arial" w:hAnsi="Arial"/>
                <w:sz w:val="13"/>
                <w:szCs w:val="13"/>
                <w:color w:val="auto"/>
              </w:rPr>
              <w:t>Other restaurant operating expenses</w:t>
            </w: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20" w:type="dxa"/>
            <w:vAlign w:val="bottom"/>
            <w:gridSpan w:val="2"/>
          </w:tcPr>
          <w:p>
            <w:pPr>
              <w:spacing w:after="0" w:line="128" w:lineRule="exact"/>
              <w:rPr>
                <w:sz w:val="20"/>
                <w:szCs w:val="20"/>
                <w:color w:val="auto"/>
              </w:rPr>
            </w:pPr>
            <w:r>
              <w:rPr>
                <w:rFonts w:ascii="Arial" w:cs="Arial" w:eastAsia="Arial" w:hAnsi="Arial"/>
                <w:sz w:val="13"/>
                <w:szCs w:val="13"/>
                <w:color w:val="auto"/>
              </w:rPr>
              <w:t>Occupancy expenses</w:t>
            </w: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820" w:type="dxa"/>
            <w:vAlign w:val="bottom"/>
            <w:gridSpan w:val="2"/>
          </w:tcPr>
          <w:p>
            <w:pPr>
              <w:spacing w:after="0" w:line="128" w:lineRule="exact"/>
              <w:rPr>
                <w:sz w:val="20"/>
                <w:szCs w:val="20"/>
                <w:color w:val="auto"/>
              </w:rPr>
            </w:pPr>
            <w:r>
              <w:rPr>
                <w:rFonts w:ascii="Arial" w:cs="Arial" w:eastAsia="Arial" w:hAnsi="Arial"/>
                <w:sz w:val="13"/>
                <w:szCs w:val="13"/>
                <w:color w:val="auto"/>
              </w:rPr>
              <w:t>Pre-opening expenses</w:t>
            </w: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44,906</w:t>
            </w:r>
          </w:p>
        </w:tc>
        <w:tc>
          <w:tcPr>
            <w:tcW w:w="100" w:type="dxa"/>
            <w:vAlign w:val="bottom"/>
          </w:tcPr>
          <w:p>
            <w:pPr>
              <w:spacing w:after="0"/>
              <w:rPr>
                <w:sz w:val="11"/>
                <w:szCs w:val="11"/>
                <w:color w:val="auto"/>
              </w:rPr>
            </w:pP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41,813</w:t>
            </w:r>
          </w:p>
        </w:tc>
        <w:tc>
          <w:tcPr>
            <w:tcW w:w="100" w:type="dxa"/>
            <w:vAlign w:val="bottom"/>
          </w:tcPr>
          <w:p>
            <w:pPr>
              <w:spacing w:after="0"/>
              <w:rPr>
                <w:sz w:val="11"/>
                <w:szCs w:val="11"/>
                <w:color w:val="auto"/>
              </w:rPr>
            </w:pP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37,075</w:t>
            </w:r>
          </w:p>
        </w:tc>
        <w:tc>
          <w:tcPr>
            <w:tcW w:w="0" w:type="dxa"/>
            <w:vAlign w:val="bottom"/>
          </w:tcPr>
          <w:p>
            <w:pPr>
              <w:spacing w:after="0"/>
              <w:rPr>
                <w:sz w:val="1"/>
                <w:szCs w:val="1"/>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3"/>
                <w:szCs w:val="13"/>
                <w:color w:val="auto"/>
              </w:rPr>
              <w:t>General and administrative expenses</w:t>
            </w: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20" w:type="dxa"/>
            <w:vAlign w:val="bottom"/>
            <w:gridSpan w:val="2"/>
          </w:tcPr>
          <w:p>
            <w:pPr>
              <w:spacing w:after="0" w:line="136" w:lineRule="exact"/>
              <w:rPr>
                <w:sz w:val="20"/>
                <w:szCs w:val="20"/>
                <w:color w:val="auto"/>
              </w:rPr>
            </w:pPr>
            <w:r>
              <w:rPr>
                <w:rFonts w:ascii="Arial" w:cs="Arial" w:eastAsia="Arial" w:hAnsi="Arial"/>
                <w:sz w:val="13"/>
                <w:szCs w:val="13"/>
                <w:color w:val="auto"/>
              </w:rPr>
              <w:t>Food and beverage costs</w:t>
            </w: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820" w:type="dxa"/>
            <w:vAlign w:val="bottom"/>
            <w:gridSpan w:val="2"/>
          </w:tcPr>
          <w:p>
            <w:pPr>
              <w:spacing w:after="0" w:line="128" w:lineRule="exact"/>
              <w:rPr>
                <w:sz w:val="20"/>
                <w:szCs w:val="20"/>
                <w:color w:val="auto"/>
              </w:rPr>
            </w:pPr>
            <w:r>
              <w:rPr>
                <w:rFonts w:ascii="Arial" w:cs="Arial" w:eastAsia="Arial" w:hAnsi="Arial"/>
                <w:sz w:val="13"/>
                <w:szCs w:val="13"/>
                <w:color w:val="auto"/>
              </w:rPr>
              <w:t>Occupancy expenses</w:t>
            </w:r>
          </w:p>
        </w:tc>
        <w:tc>
          <w:tcPr>
            <w:tcW w:w="3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12,811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9,692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9,788</w:t>
            </w:r>
          </w:p>
        </w:tc>
        <w:tc>
          <w:tcPr>
            <w:tcW w:w="0" w:type="dxa"/>
            <w:vAlign w:val="bottom"/>
          </w:tcPr>
          <w:p>
            <w:pPr>
              <w:spacing w:after="0"/>
              <w:rPr>
                <w:sz w:val="1"/>
                <w:szCs w:val="1"/>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3"/>
                <w:szCs w:val="13"/>
                <w:color w:val="auto"/>
              </w:rPr>
              <w:t>General and administrative expenses</w:t>
            </w: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-622935</wp:posOffset>
            </wp:positionV>
            <wp:extent cx="7161530" cy="356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356870"/>
                    </a:xfrm>
                    <a:prstGeom prst="rect">
                      <a:avLst/>
                    </a:prstGeom>
                    <a:noFill/>
                  </pic:spPr>
                </pic:pic>
              </a:graphicData>
            </a:graphic>
          </wp:anchor>
        </w:drawing>
        <w:drawing>
          <wp:anchor simplePos="0" relativeHeight="251657728" behindDoc="1" locked="0" layoutInCell="0" allowOverlap="1">
            <wp:simplePos x="0" y="0"/>
            <wp:positionH relativeFrom="column">
              <wp:posOffset>-1520190</wp:posOffset>
            </wp:positionH>
            <wp:positionV relativeFrom="paragraph">
              <wp:posOffset>2540</wp:posOffset>
            </wp:positionV>
            <wp:extent cx="7161530" cy="107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1680" w:space="720"/>
            <w:col w:w="8880"/>
          </w:cols>
          <w:pgMar w:left="300" w:top="267" w:right="3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80" w:type="dxa"/>
            <w:vAlign w:val="bottom"/>
          </w:tcPr>
          <w:p>
            <w:pPr>
              <w:ind w:left="280"/>
              <w:spacing w:after="0"/>
              <w:rPr>
                <w:sz w:val="20"/>
                <w:szCs w:val="20"/>
                <w:color w:val="auto"/>
              </w:rPr>
            </w:pPr>
            <w:r>
              <w:rPr>
                <w:rFonts w:ascii="Arial" w:cs="Arial" w:eastAsia="Arial" w:hAnsi="Arial"/>
                <w:sz w:val="13"/>
                <w:szCs w:val="13"/>
                <w:color w:val="auto"/>
              </w:rPr>
              <w:t>Amortization of leased assets</w:t>
            </w:r>
          </w:p>
        </w:tc>
        <w:tc>
          <w:tcPr>
            <w:tcW w:w="414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425</w:t>
            </w:r>
          </w:p>
        </w:tc>
      </w:tr>
      <w:tr>
        <w:trPr>
          <w:trHeight w:val="172"/>
        </w:trPr>
        <w:tc>
          <w:tcPr>
            <w:tcW w:w="2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on lease liabilities</w:t>
            </w:r>
          </w:p>
        </w:tc>
        <w:tc>
          <w:tcPr>
            <w:tcW w:w="4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Interest expense</w:t>
            </w:r>
          </w:p>
        </w:tc>
        <w:tc>
          <w:tcPr>
            <w:tcW w:w="6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0"/>
        </w:trPr>
        <w:tc>
          <w:tcPr>
            <w:tcW w:w="2080" w:type="dxa"/>
            <w:vAlign w:val="bottom"/>
          </w:tcPr>
          <w:p>
            <w:pPr>
              <w:ind w:left="20"/>
              <w:spacing w:after="0" w:line="161" w:lineRule="exact"/>
              <w:rPr>
                <w:sz w:val="20"/>
                <w:szCs w:val="20"/>
                <w:color w:val="auto"/>
              </w:rPr>
            </w:pPr>
            <w:r>
              <w:rPr>
                <w:rFonts w:ascii="Arial" w:cs="Arial" w:eastAsia="Arial" w:hAnsi="Arial"/>
                <w:sz w:val="13"/>
                <w:szCs w:val="13"/>
                <w:color w:val="auto"/>
              </w:rPr>
              <w:t xml:space="preserve">Total lease expense </w:t>
            </w:r>
            <w:r>
              <w:rPr>
                <w:rFonts w:ascii="Arial" w:cs="Arial" w:eastAsia="Arial" w:hAnsi="Arial"/>
                <w:sz w:val="16"/>
                <w:szCs w:val="16"/>
                <w:color w:val="auto"/>
                <w:vertAlign w:val="superscript"/>
              </w:rPr>
              <w:t>(1)</w:t>
            </w:r>
          </w:p>
        </w:tc>
        <w:tc>
          <w:tcPr>
            <w:tcW w:w="4140" w:type="dxa"/>
            <w:vAlign w:val="bottom"/>
          </w:tcPr>
          <w:p>
            <w:pPr>
              <w:spacing w:after="0"/>
              <w:rPr>
                <w:sz w:val="13"/>
                <w:szCs w:val="13"/>
                <w:color w:val="auto"/>
              </w:rPr>
            </w:pPr>
          </w:p>
        </w:tc>
        <w:tc>
          <w:tcPr>
            <w:tcW w:w="6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58,434</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52,190</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47,451</w:t>
            </w:r>
          </w:p>
        </w:tc>
      </w:tr>
      <w:tr>
        <w:trPr>
          <w:trHeight w:val="20"/>
        </w:trPr>
        <w:tc>
          <w:tcPr>
            <w:tcW w:w="2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(1) Includes contingent rent of $1.1 million, $0.1 million and $0.7 million during Fiscal 2021, Fiscal 2020 and Fiscal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FISCAL YEAR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2019</w:t>
            </w:r>
          </w:p>
        </w:tc>
      </w:tr>
      <w:tr>
        <w:trPr>
          <w:trHeight w:val="152"/>
        </w:trPr>
        <w:tc>
          <w:tcPr>
            <w:tcW w:w="6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paid for amounts included in the measurement of lease liabilities: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640" w:type="dxa"/>
            <w:vAlign w:val="bottom"/>
          </w:tcPr>
          <w:p>
            <w:pPr>
              <w:ind w:left="280"/>
              <w:spacing w:after="0"/>
              <w:rPr>
                <w:sz w:val="20"/>
                <w:szCs w:val="20"/>
                <w:color w:val="auto"/>
              </w:rPr>
            </w:pPr>
            <w:r>
              <w:rPr>
                <w:rFonts w:ascii="Arial" w:cs="Arial" w:eastAsia="Arial" w:hAnsi="Arial"/>
                <w:sz w:val="13"/>
                <w:szCs w:val="13"/>
                <w:color w:val="auto"/>
              </w:rPr>
              <w:t>Operating cash flows - operating leases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40,601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22,011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23,195</w:t>
            </w:r>
          </w:p>
        </w:tc>
      </w:tr>
      <w:tr>
        <w:trPr>
          <w:trHeight w:val="172"/>
        </w:trPr>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cash flows - finance leases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5"/>
        </w:trPr>
        <w:tc>
          <w:tcPr>
            <w:tcW w:w="6640" w:type="dxa"/>
            <w:vAlign w:val="bottom"/>
          </w:tcPr>
          <w:p>
            <w:pPr>
              <w:ind w:left="280"/>
              <w:spacing w:after="0"/>
              <w:rPr>
                <w:sz w:val="20"/>
                <w:szCs w:val="20"/>
                <w:color w:val="auto"/>
              </w:rPr>
            </w:pPr>
            <w:r>
              <w:rPr>
                <w:rFonts w:ascii="Arial" w:cs="Arial" w:eastAsia="Arial" w:hAnsi="Arial"/>
                <w:sz w:val="13"/>
                <w:szCs w:val="13"/>
                <w:color w:val="auto"/>
              </w:rPr>
              <w:t>Financing cash flows - finance leases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 related to leases was as follows:</w:t>
      </w:r>
    </w:p>
    <w:p>
      <w:pPr>
        <w:spacing w:after="0" w:line="115" w:lineRule="exact"/>
        <w:rPr>
          <w:sz w:val="20"/>
          <w:szCs w:val="20"/>
          <w:color w:val="auto"/>
        </w:rPr>
      </w:pPr>
    </w:p>
    <w:p>
      <w:pPr>
        <w:jc w:val="right"/>
        <w:ind w:right="1500"/>
        <w:spacing w:after="0"/>
        <w:rPr>
          <w:sz w:val="20"/>
          <w:szCs w:val="20"/>
          <w:color w:val="auto"/>
        </w:rPr>
      </w:pPr>
      <w:r>
        <w:rPr>
          <w:rFonts w:ascii="Arial" w:cs="Arial" w:eastAsia="Arial" w:hAnsi="Arial"/>
          <w:sz w:val="13"/>
          <w:szCs w:val="13"/>
          <w:b w:val="1"/>
          <w:bCs w:val="1"/>
          <w:color w:val="auto"/>
        </w:rPr>
        <w:t>FISCAL 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2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2020</w:t>
            </w:r>
          </w:p>
        </w:tc>
      </w:tr>
      <w:tr>
        <w:trPr>
          <w:trHeight w:val="150"/>
        </w:trPr>
        <w:tc>
          <w:tcPr>
            <w:tcW w:w="74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Weighted-average remaining lease term (in years)</w:t>
            </w:r>
          </w:p>
        </w:tc>
        <w:tc>
          <w:tcPr>
            <w:tcW w:w="1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68"/>
        </w:trPr>
        <w:tc>
          <w:tcPr>
            <w:tcW w:w="8740" w:type="dxa"/>
            <w:vAlign w:val="bottom"/>
            <w:gridSpan w:val="2"/>
          </w:tcPr>
          <w:p>
            <w:pPr>
              <w:ind w:left="280"/>
              <w:spacing w:after="0"/>
              <w:rPr>
                <w:sz w:val="20"/>
                <w:szCs w:val="20"/>
                <w:color w:val="auto"/>
              </w:rPr>
            </w:pPr>
            <w:r>
              <w:rPr>
                <w:rFonts w:ascii="Arial" w:cs="Arial" w:eastAsia="Arial" w:hAnsi="Arial"/>
                <w:sz w:val="13"/>
                <w:szCs w:val="13"/>
                <w:color w:val="auto"/>
              </w:rPr>
              <w:t>Operating leases</w:t>
            </w:r>
          </w:p>
        </w:tc>
        <w:tc>
          <w:tcPr>
            <w:tcW w:w="56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16.3</w:t>
            </w:r>
          </w:p>
        </w:tc>
      </w:tr>
      <w:tr>
        <w:trPr>
          <w:trHeight w:val="172"/>
        </w:trPr>
        <w:tc>
          <w:tcPr>
            <w:tcW w:w="8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Finance leases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70"/>
        </w:trPr>
        <w:tc>
          <w:tcPr>
            <w:tcW w:w="874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Weighted-average discount rate </w:t>
            </w:r>
            <w:r>
              <w:rPr>
                <w:rFonts w:ascii="Arial" w:cs="Arial" w:eastAsia="Arial" w:hAnsi="Arial"/>
                <w:sz w:val="16"/>
                <w:szCs w:val="16"/>
                <w:color w:val="auto"/>
                <w:vertAlign w:val="superscript"/>
              </w:rPr>
              <w:t>(1)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0"/>
        </w:trPr>
        <w:tc>
          <w:tcPr>
            <w:tcW w:w="8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Operating leases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r>
      <w:tr>
        <w:trPr>
          <w:trHeight w:val="165"/>
        </w:trPr>
        <w:tc>
          <w:tcPr>
            <w:tcW w:w="8740" w:type="dxa"/>
            <w:vAlign w:val="bottom"/>
            <w:gridSpan w:val="2"/>
          </w:tcPr>
          <w:p>
            <w:pPr>
              <w:ind w:left="280"/>
              <w:spacing w:after="0"/>
              <w:rPr>
                <w:sz w:val="20"/>
                <w:szCs w:val="20"/>
                <w:color w:val="auto"/>
              </w:rPr>
            </w:pPr>
            <w:r>
              <w:rPr>
                <w:rFonts w:ascii="Arial" w:cs="Arial" w:eastAsia="Arial" w:hAnsi="Arial"/>
                <w:sz w:val="13"/>
                <w:szCs w:val="13"/>
                <w:color w:val="auto"/>
              </w:rPr>
              <w:t>Finance leases</w:t>
            </w:r>
          </w:p>
        </w:tc>
        <w:tc>
          <w:tcPr>
            <w:tcW w:w="560" w:type="dxa"/>
            <w:vAlign w:val="bottom"/>
          </w:tcPr>
          <w:p>
            <w:pPr>
              <w:jc w:val="right"/>
              <w:spacing w:after="0"/>
              <w:rPr>
                <w:sz w:val="20"/>
                <w:szCs w:val="20"/>
                <w:color w:val="auto"/>
              </w:rPr>
            </w:pPr>
            <w:r>
              <w:rPr>
                <w:rFonts w:ascii="Arial" w:cs="Arial" w:eastAsia="Arial" w:hAnsi="Arial"/>
                <w:sz w:val="13"/>
                <w:szCs w:val="13"/>
                <w:color w:val="auto"/>
              </w:rPr>
              <w:t>7.9 %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8.0 %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(1) Based on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lease payments on lease liabilities as of December 26, 2021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Pr>
          <w:p>
            <w:pPr>
              <w:spacing w:after="0"/>
              <w:rPr>
                <w:sz w:val="14"/>
                <w:szCs w:val="14"/>
                <w:color w:val="auto"/>
              </w:rPr>
            </w:pPr>
          </w:p>
        </w:tc>
        <w:tc>
          <w:tcPr>
            <w:tcW w:w="2000" w:type="dxa"/>
            <w:vAlign w:val="bottom"/>
            <w:gridSpan w:val="2"/>
          </w:tcPr>
          <w:p>
            <w:pPr>
              <w:ind w:left="280"/>
              <w:spacing w:after="0"/>
              <w:rPr>
                <w:sz w:val="20"/>
                <w:szCs w:val="20"/>
                <w:color w:val="auto"/>
              </w:rPr>
            </w:pPr>
            <w:r>
              <w:rPr>
                <w:rFonts w:ascii="Arial" w:cs="Arial" w:eastAsia="Arial" w:hAnsi="Arial"/>
                <w:sz w:val="13"/>
                <w:szCs w:val="13"/>
                <w:b w:val="1"/>
                <w:bCs w:val="1"/>
                <w:color w:val="auto"/>
              </w:rPr>
              <w:t>Operating Leases</w:t>
            </w:r>
          </w:p>
        </w:tc>
        <w:tc>
          <w:tcPr>
            <w:tcW w:w="400" w:type="dxa"/>
            <w:vAlign w:val="bottom"/>
          </w:tcPr>
          <w:p>
            <w:pPr>
              <w:spacing w:after="0"/>
              <w:rPr>
                <w:sz w:val="14"/>
                <w:szCs w:val="14"/>
                <w:color w:val="auto"/>
              </w:rPr>
            </w:pPr>
          </w:p>
        </w:tc>
        <w:tc>
          <w:tcPr>
            <w:tcW w:w="1860" w:type="dxa"/>
            <w:vAlign w:val="bottom"/>
          </w:tcPr>
          <w:p>
            <w:pPr>
              <w:jc w:val="right"/>
              <w:ind w:right="656"/>
              <w:spacing w:after="0"/>
              <w:rPr>
                <w:sz w:val="20"/>
                <w:szCs w:val="20"/>
                <w:color w:val="auto"/>
              </w:rPr>
            </w:pPr>
            <w:r>
              <w:rPr>
                <w:rFonts w:ascii="Arial" w:cs="Arial" w:eastAsia="Arial" w:hAnsi="Arial"/>
                <w:sz w:val="13"/>
                <w:szCs w:val="13"/>
                <w:b w:val="1"/>
                <w:bCs w:val="1"/>
                <w:color w:val="auto"/>
              </w:rPr>
              <w:t>Finance Leases</w:t>
            </w:r>
          </w:p>
        </w:tc>
      </w:tr>
      <w:tr>
        <w:trPr>
          <w:trHeight w:val="152"/>
        </w:trPr>
        <w:tc>
          <w:tcPr>
            <w:tcW w:w="66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Fiscal year</w:t>
            </w:r>
          </w:p>
        </w:tc>
        <w:tc>
          <w:tcPr>
            <w:tcW w:w="380" w:type="dxa"/>
            <w:vAlign w:val="bottom"/>
            <w:tcBorders>
              <w:top w:val="single" w:sz="8" w:color="auto"/>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r>
      <w:tr>
        <w:trPr>
          <w:trHeight w:val="168"/>
        </w:trPr>
        <w:tc>
          <w:tcPr>
            <w:tcW w:w="6640" w:type="dxa"/>
            <w:vAlign w:val="bottom"/>
          </w:tcPr>
          <w:p>
            <w:pPr>
              <w:ind w:left="20"/>
              <w:spacing w:after="0"/>
              <w:rPr>
                <w:sz w:val="20"/>
                <w:szCs w:val="20"/>
                <w:color w:val="auto"/>
              </w:rPr>
            </w:pPr>
            <w:r>
              <w:rPr>
                <w:rFonts w:ascii="Arial" w:cs="Arial" w:eastAsia="Arial" w:hAnsi="Arial"/>
                <w:sz w:val="13"/>
                <w:szCs w:val="13"/>
                <w:color w:val="auto"/>
              </w:rPr>
              <w:t>2022</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900" w:type="dxa"/>
            <w:vAlign w:val="bottom"/>
          </w:tcPr>
          <w:p>
            <w:pPr>
              <w:jc w:val="right"/>
              <w:spacing w:after="0"/>
              <w:rPr>
                <w:sz w:val="20"/>
                <w:szCs w:val="20"/>
                <w:color w:val="auto"/>
              </w:rPr>
            </w:pPr>
            <w:r>
              <w:rPr>
                <w:rFonts w:ascii="Arial" w:cs="Arial" w:eastAsia="Arial" w:hAnsi="Arial"/>
                <w:sz w:val="13"/>
                <w:szCs w:val="13"/>
                <w:color w:val="auto"/>
              </w:rPr>
              <w:t>39,751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860" w:type="dxa"/>
            <w:vAlign w:val="bottom"/>
          </w:tcPr>
          <w:p>
            <w:pPr>
              <w:jc w:val="right"/>
              <w:spacing w:after="0"/>
              <w:rPr>
                <w:sz w:val="20"/>
                <w:szCs w:val="20"/>
                <w:color w:val="auto"/>
              </w:rPr>
            </w:pPr>
            <w:r>
              <w:rPr>
                <w:rFonts w:ascii="Arial" w:cs="Arial" w:eastAsia="Arial" w:hAnsi="Arial"/>
                <w:sz w:val="13"/>
                <w:szCs w:val="13"/>
                <w:color w:val="auto"/>
              </w:rPr>
              <w:t>709</w:t>
            </w:r>
          </w:p>
        </w:tc>
      </w:tr>
      <w:tr>
        <w:trPr>
          <w:trHeight w:val="172"/>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44,663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r>
      <w:tr>
        <w:trPr>
          <w:trHeight w:val="168"/>
        </w:trPr>
        <w:tc>
          <w:tcPr>
            <w:tcW w:w="6640" w:type="dxa"/>
            <w:vAlign w:val="bottom"/>
          </w:tcPr>
          <w:p>
            <w:pPr>
              <w:ind w:left="20"/>
              <w:spacing w:after="0"/>
              <w:rPr>
                <w:sz w:val="20"/>
                <w:szCs w:val="20"/>
                <w:color w:val="auto"/>
              </w:rPr>
            </w:pPr>
            <w:r>
              <w:rPr>
                <w:rFonts w:ascii="Arial" w:cs="Arial" w:eastAsia="Arial" w:hAnsi="Arial"/>
                <w:sz w:val="13"/>
                <w:szCs w:val="13"/>
                <w:color w:val="auto"/>
              </w:rPr>
              <w:t>2024</w:t>
            </w:r>
          </w:p>
        </w:tc>
        <w:tc>
          <w:tcPr>
            <w:tcW w:w="3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45,086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674</w:t>
            </w:r>
          </w:p>
        </w:tc>
      </w:tr>
      <w:tr>
        <w:trPr>
          <w:trHeight w:val="172"/>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45,116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r>
      <w:tr>
        <w:trPr>
          <w:trHeight w:val="168"/>
        </w:trPr>
        <w:tc>
          <w:tcPr>
            <w:tcW w:w="6640" w:type="dxa"/>
            <w:vAlign w:val="bottom"/>
          </w:tcPr>
          <w:p>
            <w:pPr>
              <w:ind w:left="20"/>
              <w:spacing w:after="0"/>
              <w:rPr>
                <w:sz w:val="20"/>
                <w:szCs w:val="20"/>
                <w:color w:val="auto"/>
              </w:rPr>
            </w:pPr>
            <w:r>
              <w:rPr>
                <w:rFonts w:ascii="Arial" w:cs="Arial" w:eastAsia="Arial" w:hAnsi="Arial"/>
                <w:sz w:val="13"/>
                <w:szCs w:val="13"/>
                <w:color w:val="auto"/>
              </w:rPr>
              <w:t>2026</w:t>
            </w:r>
          </w:p>
        </w:tc>
        <w:tc>
          <w:tcPr>
            <w:tcW w:w="3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45,015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2"/>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3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492,004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6640" w:type="dxa"/>
            <w:vAlign w:val="bottom"/>
          </w:tcPr>
          <w:p>
            <w:pPr>
              <w:ind w:left="680"/>
              <w:spacing w:after="0" w:line="161" w:lineRule="exact"/>
              <w:rPr>
                <w:sz w:val="20"/>
                <w:szCs w:val="20"/>
                <w:color w:val="auto"/>
              </w:rPr>
            </w:pPr>
            <w:r>
              <w:rPr>
                <w:rFonts w:ascii="Arial" w:cs="Arial" w:eastAsia="Arial" w:hAnsi="Arial"/>
                <w:sz w:val="13"/>
                <w:szCs w:val="13"/>
                <w:color w:val="auto"/>
              </w:rPr>
              <w:t xml:space="preserve">Total future minimum lease payments </w:t>
            </w:r>
            <w:r>
              <w:rPr>
                <w:rFonts w:ascii="Arial" w:cs="Arial" w:eastAsia="Arial" w:hAnsi="Arial"/>
                <w:sz w:val="16"/>
                <w:szCs w:val="16"/>
                <w:color w:val="auto"/>
                <w:vertAlign w:val="superscript"/>
              </w:rPr>
              <w:t>(1)</w:t>
            </w:r>
          </w:p>
        </w:tc>
        <w:tc>
          <w:tcPr>
            <w:tcW w:w="38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711,635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2,309</w:t>
            </w:r>
          </w:p>
        </w:tc>
      </w:tr>
      <w:tr>
        <w:trPr>
          <w:trHeight w:val="168"/>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3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(342,954)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r>
      <w:tr>
        <w:trPr>
          <w:trHeight w:val="163"/>
        </w:trPr>
        <w:tc>
          <w:tcPr>
            <w:tcW w:w="6640" w:type="dxa"/>
            <w:vAlign w:val="bottom"/>
          </w:tcPr>
          <w:p>
            <w:pPr>
              <w:ind w:left="680"/>
              <w:spacing w:after="0"/>
              <w:rPr>
                <w:sz w:val="20"/>
                <w:szCs w:val="20"/>
                <w:color w:val="auto"/>
              </w:rPr>
            </w:pPr>
            <w:r>
              <w:rPr>
                <w:rFonts w:ascii="Arial" w:cs="Arial" w:eastAsia="Arial" w:hAnsi="Arial"/>
                <w:sz w:val="13"/>
                <w:szCs w:val="13"/>
                <w:color w:val="auto"/>
              </w:rPr>
              <w:t>Total present value of lease liabilities</w:t>
            </w: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368,681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(1) Excludes approximately $30.2 million of executed operating leases that have not commenced as of December 26, 2021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Sale-Leaseback Transactions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2015, Management entered into an agreement relating to the sale and leaseback of the land for use in restaurant operations and received cash proceeds of $3.1 million. As the Company had continuing involvement with the property, the sale of the land did not qualify for sale accounting. As a result, the cash proceeds were recorded as a financing obligation. The balance of the financing obligation was $3.1 million as of December 26, 2021 and December 27, 2020.</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Transaction (Income) Expenses,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Transaction (income) expenses, net consists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9"/>
              </w:rPr>
              <w:t>FISCAL YEAR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r>
      <w:tr>
        <w:trPr>
          <w:trHeight w:val="163"/>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lease modification</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380" w:type="dxa"/>
            <w:vAlign w:val="bottom"/>
          </w:tcPr>
          <w:p>
            <w:pPr>
              <w:ind w:left="20"/>
              <w:spacing w:after="0"/>
              <w:rPr>
                <w:sz w:val="20"/>
                <w:szCs w:val="20"/>
                <w:color w:val="auto"/>
              </w:rPr>
            </w:pPr>
            <w:r>
              <w:rPr>
                <w:rFonts w:ascii="Arial" w:cs="Arial" w:eastAsia="Arial" w:hAnsi="Arial"/>
                <w:sz w:val="13"/>
                <w:szCs w:val="13"/>
                <w:color w:val="auto"/>
              </w:rPr>
              <w:t>Contingent consideration liability revaluation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(362)</w:t>
            </w:r>
          </w:p>
        </w:tc>
      </w:tr>
      <w:tr>
        <w:trPr>
          <w:trHeight w:val="172"/>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costs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w:t>
            </w:r>
          </w:p>
        </w:tc>
      </w:tr>
      <w:tr>
        <w:trPr>
          <w:trHeight w:val="168"/>
        </w:trPr>
        <w:tc>
          <w:tcPr>
            <w:tcW w:w="6380" w:type="dxa"/>
            <w:vAlign w:val="bottom"/>
          </w:tcPr>
          <w:p>
            <w:pPr>
              <w:ind w:left="20"/>
              <w:spacing w:after="0"/>
              <w:rPr>
                <w:sz w:val="20"/>
                <w:szCs w:val="20"/>
                <w:color w:val="auto"/>
              </w:rPr>
            </w:pPr>
            <w:r>
              <w:rPr>
                <w:rFonts w:ascii="Arial" w:cs="Arial" w:eastAsia="Arial" w:hAnsi="Arial"/>
                <w:sz w:val="13"/>
                <w:szCs w:val="13"/>
                <w:color w:val="auto"/>
              </w:rPr>
              <w:t>Loss (Gain) on restaurant closures/relocations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488</w:t>
            </w:r>
          </w:p>
        </w:tc>
      </w:tr>
      <w:tr>
        <w:trPr>
          <w:trHeight w:val="172"/>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lease termination, net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r>
      <w:tr>
        <w:trPr>
          <w:trHeight w:val="168"/>
        </w:trPr>
        <w:tc>
          <w:tcPr>
            <w:tcW w:w="6380" w:type="dxa"/>
            <w:vAlign w:val="bottom"/>
          </w:tcPr>
          <w:p>
            <w:pPr>
              <w:ind w:left="20"/>
              <w:spacing w:after="0"/>
              <w:rPr>
                <w:sz w:val="20"/>
                <w:szCs w:val="20"/>
                <w:color w:val="auto"/>
              </w:rPr>
            </w:pPr>
            <w:r>
              <w:rPr>
                <w:rFonts w:ascii="Arial" w:cs="Arial" w:eastAsia="Arial" w:hAnsi="Arial"/>
                <w:sz w:val="13"/>
                <w:szCs w:val="13"/>
                <w:color w:val="auto"/>
              </w:rPr>
              <w:t>Acquisition - related costs</w:t>
            </w: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60" w:type="dxa"/>
            <w:vAlign w:val="bottom"/>
            <w:gridSpan w:val="2"/>
          </w:tcPr>
          <w:p>
            <w:pPr>
              <w:ind w:left="1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872</w:t>
            </w:r>
          </w:p>
        </w:tc>
      </w:tr>
      <w:tr>
        <w:trPr>
          <w:trHeight w:val="188"/>
        </w:trPr>
        <w:tc>
          <w:tcPr>
            <w:tcW w:w="63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transaction (income) expenses, net</w:t>
            </w: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September 27, 2021, an agreement was executed to terminate the lease for one company-owned restaurant. Pursuant to the agreement, the Company received $1.0 million in December 2021 and an additional $1.0 million will be paid to the Company upon vacating the leased restaurant facility by December 31, 2022, which is recorded within Other current assets. A gain on lease modification of $2.0 million was recognized in Fiscal 2021 as a result of this agreement.</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The Company revalued the contingent consideration liability initially recognized in connection with the Advent Acquisition (see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additional information) and recorded a loss of $0.8 million in Fiscal 2021, a gain of $0.3 million in Fiscal 2020 and a gain of $0.4 million in Fiscal 2019.</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Fiscal 2019, a gain on lease termination of $0.9 million, net of closure costs, was recognized pursuant to an executed agreement to terminate the lease for one restaurant facility. In addition, a total of $1.6 million of costs were incurred in Fiscal 2019 in connection with the conversion of certain restaurants to company-owned restaurants operating under the First Watch trade name and a total of $0.9 million of costs were incurred in connection with the acquisitions of certain restaurants from franchisees.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Income Taxes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 consists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provision:</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Federal</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158"/>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current provision</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(provision) benefit: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Federal</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18,458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10,438</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2,120</w:t>
            </w:r>
          </w:p>
        </w:tc>
      </w:tr>
      <w:tr>
        <w:trPr>
          <w:trHeight w:val="158"/>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deferred (provision) benefit</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19,991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12,558</w:t>
            </w:r>
          </w:p>
        </w:tc>
      </w:tr>
      <w:tr>
        <w:trPr>
          <w:trHeight w:val="188"/>
        </w:trPr>
        <w:tc>
          <w:tcPr>
            <w:tcW w:w="6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Income tax (expense) benefit</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federal statutory income tax rate to the Company’s effective income tax rate is as follows:</w:t>
      </w:r>
    </w:p>
    <w:p>
      <w:pPr>
        <w:spacing w:after="0" w:line="115"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FISCAL 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2019</w:t>
            </w:r>
          </w:p>
        </w:tc>
      </w:tr>
      <w:tr>
        <w:trPr>
          <w:trHeight w:val="16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taxes at 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8"/>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State income taxes, net of federal tax effect</w:t>
            </w: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4"/>
                <w:szCs w:val="14"/>
                <w:color w:val="auto"/>
              </w:rPr>
            </w:pP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2.9</w:t>
            </w:r>
          </w:p>
        </w:tc>
      </w:tr>
      <w:tr>
        <w:trPr>
          <w:trHeight w:val="17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FICA tip credit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6"/>
              </w:rPr>
              <w:t>(1,200.2)</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6.9</w:t>
            </w:r>
          </w:p>
        </w:tc>
      </w:tr>
      <w:tr>
        <w:trPr>
          <w:trHeight w:val="168"/>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Valuation allowance for federal and state</w:t>
            </w: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1,528.2</w:t>
            </w:r>
          </w:p>
        </w:tc>
        <w:tc>
          <w:tcPr>
            <w:tcW w:w="80" w:type="dxa"/>
            <w:vAlign w:val="bottom"/>
          </w:tcPr>
          <w:p>
            <w:pPr>
              <w:spacing w:after="0"/>
              <w:rPr>
                <w:sz w:val="14"/>
                <w:szCs w:val="14"/>
                <w:color w:val="auto"/>
              </w:rPr>
            </w:pPr>
          </w:p>
        </w:tc>
        <w:tc>
          <w:tcPr>
            <w:tcW w:w="1620" w:type="dxa"/>
            <w:vAlign w:val="bottom"/>
          </w:tcPr>
          <w:p>
            <w:pPr>
              <w:jc w:val="right"/>
              <w:ind w:right="56"/>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4"/>
                <w:szCs w:val="14"/>
                <w:color w:val="auto"/>
              </w:rPr>
            </w:pPr>
          </w:p>
        </w:tc>
        <w:tc>
          <w:tcPr>
            <w:tcW w:w="1620" w:type="dxa"/>
            <w:vAlign w:val="bottom"/>
          </w:tcPr>
          <w:p>
            <w:pPr>
              <w:jc w:val="right"/>
              <w:ind w:right="56"/>
              <w:spacing w:after="0"/>
              <w:rPr>
                <w:sz w:val="20"/>
                <w:szCs w:val="20"/>
                <w:color w:val="auto"/>
              </w:rPr>
            </w:pPr>
            <w:r>
              <w:rPr>
                <w:rFonts w:ascii="Arial" w:cs="Arial" w:eastAsia="Arial" w:hAnsi="Arial"/>
                <w:sz w:val="13"/>
                <w:szCs w:val="13"/>
                <w:color w:val="auto"/>
              </w:rPr>
              <w:t>(10.2)</w:t>
            </w:r>
          </w:p>
        </w:tc>
      </w:tr>
      <w:tr>
        <w:trPr>
          <w:trHeight w:val="17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275.9</w:t>
            </w:r>
          </w:p>
        </w:tc>
        <w:tc>
          <w:tcPr>
            <w:tcW w:w="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340"/>
              <w:spacing w:after="0"/>
              <w:rPr>
                <w:sz w:val="20"/>
                <w:szCs w:val="20"/>
                <w:color w:val="auto"/>
              </w:rPr>
            </w:pPr>
            <w:r>
              <w:rPr>
                <w:rFonts w:ascii="Arial" w:cs="Arial" w:eastAsia="Arial" w:hAnsi="Arial"/>
                <w:sz w:val="13"/>
                <w:szCs w:val="13"/>
                <w:color w:val="auto"/>
              </w:rPr>
              <w:t>—   —</w:t>
            </w:r>
          </w:p>
        </w:tc>
        <w:tc>
          <w:tcPr>
            <w:tcW w:w="1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8"/>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Other permanent items</w:t>
            </w: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4"/>
                <w:szCs w:val="14"/>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Rate change</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0.9</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0.5</w:t>
            </w:r>
          </w:p>
        </w:tc>
        <w:tc>
          <w:tcPr>
            <w:tcW w:w="2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183"/>
        </w:trPr>
        <w:tc>
          <w:tcPr>
            <w:tcW w:w="71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669.5 %</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28.6 %</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has a blended federal and state statutory rate of approximately 25.0%. The effective income tax rate for Fiscal 2021, Fiscal 2020 and Fiscal 2019 was different than the blended federal and state statutory rate mainly due to (i) the change in the valuation allowance and (ii) the benefit of the tax credits for FICA taxes on certain employee tips. The effective income tax rate for Fiscal 2021 was also different than the blended federal and state statutory rate as a result of the pre-vesting forfeiture of performance-based stock option awards for which the market condition was not satisfied upon the Company’s IPO (see Note 16, </w:t>
      </w:r>
      <w:r>
        <w:rPr>
          <w:rFonts w:ascii="Arial" w:cs="Arial" w:eastAsia="Arial" w:hAnsi="Arial"/>
          <w:sz w:val="14"/>
          <w:szCs w:val="14"/>
          <w:i w:val="1"/>
          <w:iCs w:val="1"/>
          <w:color w:val="auto"/>
        </w:rPr>
        <w:t>Stock Based Compensation,</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deferred tax assets and liabilities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3"/>
                <w:szCs w:val="13"/>
                <w:b w:val="1"/>
                <w:bCs w:val="1"/>
                <w:color w:val="auto"/>
              </w:rPr>
              <w:t>DECEMBER 26, 2021</w:t>
            </w:r>
          </w:p>
        </w:tc>
        <w:tc>
          <w:tcPr>
            <w:tcW w:w="380" w:type="dxa"/>
            <w:vAlign w:val="bottom"/>
          </w:tcPr>
          <w:p>
            <w:pPr>
              <w:spacing w:after="0"/>
              <w:rPr>
                <w:sz w:val="14"/>
                <w:szCs w:val="14"/>
                <w:color w:val="auto"/>
              </w:rPr>
            </w:pPr>
          </w:p>
        </w:tc>
        <w:tc>
          <w:tcPr>
            <w:tcW w:w="2140" w:type="dxa"/>
            <w:vAlign w:val="bottom"/>
          </w:tcPr>
          <w:p>
            <w:pPr>
              <w:jc w:val="right"/>
              <w:ind w:right="576"/>
              <w:spacing w:after="0"/>
              <w:rPr>
                <w:sz w:val="20"/>
                <w:szCs w:val="20"/>
                <w:color w:val="auto"/>
              </w:rPr>
            </w:pPr>
            <w:r>
              <w:rPr>
                <w:rFonts w:ascii="Arial" w:cs="Arial" w:eastAsia="Arial" w:hAnsi="Arial"/>
                <w:sz w:val="13"/>
                <w:szCs w:val="13"/>
                <w:b w:val="1"/>
                <w:bCs w:val="1"/>
                <w:color w:val="auto"/>
              </w:rPr>
              <w:t>DECEMBER 27, 2020</w:t>
            </w:r>
          </w:p>
        </w:tc>
      </w:tr>
      <w:tr>
        <w:trPr>
          <w:trHeight w:val="152"/>
        </w:trPr>
        <w:tc>
          <w:tcPr>
            <w:tcW w:w="61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income tax assets</w:t>
            </w:r>
          </w:p>
        </w:tc>
        <w:tc>
          <w:tcPr>
            <w:tcW w:w="360" w:type="dxa"/>
            <w:vAlign w:val="bottom"/>
            <w:tcBorders>
              <w:top w:val="single" w:sz="8" w:color="auto"/>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FICA tip credit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2160" w:type="dxa"/>
            <w:vAlign w:val="bottom"/>
          </w:tcPr>
          <w:p>
            <w:pPr>
              <w:jc w:val="right"/>
              <w:spacing w:after="0"/>
              <w:rPr>
                <w:sz w:val="20"/>
                <w:szCs w:val="20"/>
                <w:color w:val="auto"/>
              </w:rPr>
            </w:pPr>
            <w:r>
              <w:rPr>
                <w:rFonts w:ascii="Arial" w:cs="Arial" w:eastAsia="Arial" w:hAnsi="Arial"/>
                <w:sz w:val="13"/>
                <w:szCs w:val="13"/>
                <w:color w:val="auto"/>
              </w:rPr>
              <w:t>34,266</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2140" w:type="dxa"/>
            <w:vAlign w:val="bottom"/>
          </w:tcPr>
          <w:p>
            <w:pPr>
              <w:jc w:val="right"/>
              <w:spacing w:after="0"/>
              <w:rPr>
                <w:sz w:val="20"/>
                <w:szCs w:val="20"/>
                <w:color w:val="auto"/>
              </w:rPr>
            </w:pPr>
            <w:r>
              <w:rPr>
                <w:rFonts w:ascii="Arial" w:cs="Arial" w:eastAsia="Arial" w:hAnsi="Arial"/>
                <w:sz w:val="13"/>
                <w:szCs w:val="13"/>
                <w:color w:val="auto"/>
              </w:rPr>
              <w:t>28,324</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operating loss</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34,619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37,365</w:t>
            </w: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Operating lease liabilities</w:t>
            </w:r>
          </w:p>
        </w:tc>
        <w:tc>
          <w:tcPr>
            <w:tcW w:w="3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91,768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86,615</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Organizational costs</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Interest limitation</w:t>
            </w:r>
          </w:p>
        </w:tc>
        <w:tc>
          <w:tcPr>
            <w:tcW w:w="3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1,500</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compensation</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Deferred revenues</w:t>
            </w:r>
          </w:p>
        </w:tc>
        <w:tc>
          <w:tcPr>
            <w:tcW w:w="3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618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561</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919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1,094</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w:t>
            </w:r>
          </w:p>
        </w:tc>
        <w:tc>
          <w:tcPr>
            <w:tcW w:w="36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(35,863)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(30,214)</w:t>
            </w:r>
          </w:p>
        </w:tc>
      </w:tr>
      <w:tr>
        <w:trPr>
          <w:trHeight w:val="158"/>
        </w:trPr>
        <w:tc>
          <w:tcPr>
            <w:tcW w:w="6160" w:type="dxa"/>
            <w:vAlign w:val="bottom"/>
          </w:tcPr>
          <w:p>
            <w:pPr>
              <w:ind w:left="20"/>
              <w:spacing w:after="0"/>
              <w:rPr>
                <w:sz w:val="20"/>
                <w:szCs w:val="20"/>
                <w:color w:val="auto"/>
              </w:rPr>
            </w:pPr>
            <w:r>
              <w:rPr>
                <w:rFonts w:ascii="Arial" w:cs="Arial" w:eastAsia="Arial" w:hAnsi="Arial"/>
                <w:sz w:val="13"/>
                <w:szCs w:val="13"/>
                <w:color w:val="auto"/>
              </w:rPr>
              <w:t>Total deferred income tax assets</w:t>
            </w: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132,342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129,109</w:t>
            </w:r>
          </w:p>
        </w:tc>
      </w:tr>
      <w:tr>
        <w:trPr>
          <w:trHeight w:val="172"/>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 liabilities</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8"/>
        </w:trPr>
        <w:tc>
          <w:tcPr>
            <w:tcW w:w="6160" w:type="dxa"/>
            <w:vAlign w:val="bottom"/>
          </w:tcPr>
          <w:p>
            <w:pPr>
              <w:ind w:left="280"/>
              <w:spacing w:after="0"/>
              <w:rPr>
                <w:sz w:val="20"/>
                <w:szCs w:val="20"/>
                <w:color w:val="auto"/>
              </w:rPr>
            </w:pPr>
            <w:r>
              <w:rPr>
                <w:rFonts w:ascii="Arial" w:cs="Arial" w:eastAsia="Arial" w:hAnsi="Arial"/>
                <w:sz w:val="13"/>
                <w:szCs w:val="13"/>
                <w:color w:val="auto"/>
              </w:rPr>
              <w:t>Operating lease right-of-use assets</w:t>
            </w:r>
          </w:p>
        </w:tc>
        <w:tc>
          <w:tcPr>
            <w:tcW w:w="3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(80,401)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(76,190)</w:t>
            </w:r>
          </w:p>
        </w:tc>
      </w:tr>
      <w:tr>
        <w:trPr>
          <w:trHeight w:val="172"/>
        </w:trPr>
        <w:tc>
          <w:tcPr>
            <w:tcW w:w="6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w:t>
            </w:r>
          </w:p>
        </w:tc>
        <w:tc>
          <w:tcPr>
            <w:tcW w:w="36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(28,479)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(27,873)</w:t>
            </w:r>
          </w:p>
        </w:tc>
      </w:tr>
      <w:tr>
        <w:trPr>
          <w:trHeight w:val="168"/>
        </w:trPr>
        <w:tc>
          <w:tcPr>
            <w:tcW w:w="61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Intangible assets</w:t>
            </w: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(35,951)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(35,359)</w:t>
            </w:r>
          </w:p>
        </w:tc>
      </w:tr>
      <w:tr>
        <w:trPr>
          <w:trHeight w:val="16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income tax liabilities</w:t>
            </w:r>
          </w:p>
        </w:tc>
        <w:tc>
          <w:tcPr>
            <w:tcW w:w="36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(144,831)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(139,422)</w:t>
            </w:r>
          </w:p>
        </w:tc>
      </w:tr>
      <w:tr>
        <w:trPr>
          <w:trHeight w:val="163"/>
        </w:trPr>
        <w:tc>
          <w:tcPr>
            <w:tcW w:w="6160" w:type="dxa"/>
            <w:vAlign w:val="bottom"/>
          </w:tcPr>
          <w:p>
            <w:pPr>
              <w:ind w:left="20"/>
              <w:spacing w:after="0"/>
              <w:rPr>
                <w:sz w:val="20"/>
                <w:szCs w:val="20"/>
                <w:color w:val="auto"/>
              </w:rPr>
            </w:pPr>
            <w:r>
              <w:rPr>
                <w:rFonts w:ascii="Arial" w:cs="Arial" w:eastAsia="Arial" w:hAnsi="Arial"/>
                <w:sz w:val="13"/>
                <w:szCs w:val="13"/>
                <w:color w:val="auto"/>
              </w:rPr>
              <w:t>Net deferred income tax liabilities</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(10,313)</w:t>
            </w: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upon an evaluation of the Company's deferred tax assets, Management has recognized a valuation allowance of $35.9 million and $30.2 million as of December 26, 2021 and December 27, 2020, respectively. The valuation allowance primarily relates to the Company’s federal tax credit carryforwards that are not expected to be realized prior to the statutory expiration of the carryforward. The valuation allowance will be maintained until sufficient positive evidence exists to support its reversal, including but not limited to, the magnitude and duration of the Company’s historical losses as compared to potential future profits within taxing jurisdictions to overcome such negative evidence.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 Carryforwards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amount and expiration dates of federal tax loss carryforwards as of December 26,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Expiration Date</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Amount</w:t>
            </w:r>
          </w:p>
        </w:tc>
      </w:tr>
      <w:tr>
        <w:trPr>
          <w:trHeight w:val="163"/>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net operating loss carryforwards</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Indefinite</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119,348</w:t>
            </w:r>
          </w:p>
        </w:tc>
      </w:tr>
      <w:tr>
        <w:trPr>
          <w:trHeight w:val="165"/>
        </w:trPr>
        <w:tc>
          <w:tcPr>
            <w:tcW w:w="6980" w:type="dxa"/>
            <w:vAlign w:val="bottom"/>
          </w:tcPr>
          <w:p>
            <w:pPr>
              <w:ind w:left="20"/>
              <w:spacing w:after="0"/>
              <w:rPr>
                <w:sz w:val="20"/>
                <w:szCs w:val="20"/>
                <w:color w:val="auto"/>
              </w:rPr>
            </w:pPr>
            <w:r>
              <w:rPr>
                <w:rFonts w:ascii="Arial" w:cs="Arial" w:eastAsia="Arial" w:hAnsi="Arial"/>
                <w:sz w:val="13"/>
                <w:szCs w:val="13"/>
                <w:color w:val="auto"/>
              </w:rPr>
              <w:t>Federal net operating loss carryforwards</w:t>
            </w:r>
          </w:p>
        </w:tc>
        <w:tc>
          <w:tcPr>
            <w:tcW w:w="2100" w:type="dxa"/>
            <w:vAlign w:val="bottom"/>
          </w:tcPr>
          <w:p>
            <w:pPr>
              <w:jc w:val="center"/>
              <w:spacing w:after="0"/>
              <w:rPr>
                <w:sz w:val="20"/>
                <w:szCs w:val="20"/>
                <w:color w:val="auto"/>
              </w:rPr>
            </w:pPr>
            <w:r>
              <w:rPr>
                <w:rFonts w:ascii="Arial" w:cs="Arial" w:eastAsia="Arial" w:hAnsi="Arial"/>
                <w:sz w:val="13"/>
                <w:szCs w:val="13"/>
                <w:color w:val="auto"/>
                <w:w w:val="89"/>
              </w:rPr>
              <w:t>2033 - 2037</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29,976</w:t>
            </w:r>
          </w:p>
        </w:tc>
      </w:tr>
    </w:tbl>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also has state net operating loss carryforwards of $65.7 million at December 26, 2021. In addition, the Company has general business tax credits of $34.4 million at December 26, 2021, which can be carried forward twenty years and will expire between 2027 and 2041.</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December 26, 2021, approximately $28.9 million, $19.0 million and $14.7 million of the federal loss carryforwards, state loss carryforwards and general business credits, respectively, were accumulated from operations prior to the Advent Acquisition in August 2017. To the extent these federal and state loss carryforwards and general business credits are utilized to reduce taxes payable, the Company is required to pay the previous stockholders an amount equal to tax savings. This requirement lapses with respect to any tax year, or portion thereof, beginning after December 31, 2024, or if a change in control event occurs. In connection with the accounting for the Advent Acquisition, a contingent consideration liability of $1.2 million was initially recognized, of which approximately $0.2 million was paid in Fiscal 2019. As a result of revaluing the contingent consideration liability using actual results, expected projections and state tax law changes in Fiscal 2021, the contingent consideration liability for expected payments to be made to the previous stockholders was $1.1 million as of December 26, 2021, of which $0.2 million was recorded within Accrued liabilities and $0.9 million was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recorded within Other long-term liabilities. As of December 27, 2020, the contingent consideration liability was $0.3 million, of which $0.1 million was recorded within Accrued liabilities and $0.2 million within Other long-term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deferred tax asset valuation allowance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8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30, 2018</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(24,654)</w:t>
            </w:r>
          </w:p>
        </w:tc>
      </w:tr>
      <w:tr>
        <w:trPr>
          <w:trHeight w:val="16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(4,321)</w:t>
            </w:r>
          </w:p>
        </w:tc>
      </w:tr>
      <w:tr>
        <w:trPr>
          <w:trHeight w:val="16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29, 2019</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(28,975)</w:t>
            </w:r>
          </w:p>
        </w:tc>
      </w:tr>
      <w:tr>
        <w:trPr>
          <w:trHeight w:val="16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w:t>
            </w:r>
          </w:p>
        </w:tc>
      </w:tr>
      <w:tr>
        <w:trPr>
          <w:trHeight w:val="16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27, 2020</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(30,214)</w:t>
            </w:r>
          </w:p>
        </w:tc>
      </w:tr>
      <w:tr>
        <w:trPr>
          <w:trHeight w:val="16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(5,649)</w:t>
            </w:r>
          </w:p>
        </w:tc>
      </w:tr>
      <w:tr>
        <w:trPr>
          <w:trHeight w:val="18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26, 2021</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(35,863)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is subject to examination by federal, state and local jurisdictions, where applicable. As of December 26, 2021, the tax years that remain subject to examination by major tax jurisdictions under the statute of limitations are from the year 2013 and forward.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March 27, 2020, the U.S. government enacted the Coronavirus Aid, Relief and Economic Security Act (“CARES Act”) to provide certain relief as a result of COVID-19. The CARES Act provides tax relief, along with other stimulus measures, including a retroactive technical correction of prior tax legislation for tax depreciation of certain qualified improvement property, among other changes. A total of $59.3 million of accelerated tax depreciation deductions was recognized related to qualified assets placed in service in Fiscal 2020, Fiscal 2019 and Fiscal 2018. Furthermore, the CARES Act made favorable changes to the Section 163(j) interest limitation and as a result, the Company was able to deduct additional interest totaling $18.9 million and $8.6 million for Fiscal 2020 and Fiscal 2019, respectively. In addition, Management began deferring the employer-paid portion of social security taxes as permitted by the CARES Act in the second quarter of Fiscal 2020. A total of $6.7 million was deferred, of which $3.3 million was paid in Fiscal 2021. The remaining balance is recorded within Accrued compensation and deferred payroll taxes at December 26, 2021. Furthermore, the CARES Act provided for refundable employee retention tax credits, which can be used to offset payroll tax liabilities. As a result, a credit of $0.9 million was recorded as an offset to payroll tax expense in Fiscal 2020.</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2"/>
          <w:szCs w:val="12"/>
          <w:b w:val="1"/>
          <w:bCs w:val="1"/>
          <w:color w:val="auto"/>
        </w:rPr>
        <w:t>Stockholders’ Equity</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Fiscal 2020, the Company had issued 266,667 preferred stock shares having a par value of $0.01 per share to existing stockholders, including Advent International Corporation, directors and executive officers. The proceeds from the issuance of the preferred shares were used to repay the outstanding balance of $10.5 million on the revolving credit facility and for working capital and general corporate purposes in Fiscal 2020.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preferred stock was automatically converted into 3,156,812 shares of common stock immediately prior to and in connection with the consummation of the Company’s IPO in October 2021.</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amendment to the Company’s Amended and Restated Certificate of Incorporation, the Company is authorized to issue 300,000,000 common stock shares with a par value of $0.01 per share and 10,000,000 preferred shares with a par value of $0.01 per share.</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Each share of common stock entitles the holder to one vote for each share of common stock held and common stockholders will not have cumulative voting rights. Common stockholders are entitled to receive dividends, as and if declared by the board of directors. In addition, all common stockholders are entitled to share equally on a share-for-share basis in any assets available for distribution to common stockholders upon liquidation, dissolution, or winding up of the Company after payment is made to the preferred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 cash dividends were declared or paid in Fiscal 2021, Fiscal 2020 and Fiscal 2019.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3"/>
          <w:szCs w:val="13"/>
          <w:b w:val="1"/>
          <w:bCs w:val="1"/>
          <w:color w:val="auto"/>
        </w:rPr>
        <w:t>Defined Contribution Plan</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sponsors a defined contribution 401(k) savings plan (“401(k) Plan”) which requires the Company to match contributions for participants with at least one year of service 25% of the first 6% of the employees’ wages deferred into the 401(k) Plan. The 401(k) Plan also allows for additional profit-sharing contributions by the Company at the sole discretion of Management. All Company contributions vest over a five-year period. Total expense for the Company’s contributions to the 401(k) Plan was $0.5 million, $0.3 million and $0.5 million in Fiscal 2021, Fiscal 2020 and Fiscal 2019, respectively.</w:t>
      </w:r>
    </w:p>
    <w:p>
      <w:pPr>
        <w:spacing w:after="0" w:line="30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2"/>
          <w:szCs w:val="12"/>
          <w:b w:val="1"/>
          <w:bCs w:val="1"/>
          <w:color w:val="auto"/>
        </w:rPr>
        <w:t>Stock Based Compensation</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2017 Equity Plan</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2017 Equity Plan authorizes stock-based awards to be granted for up to 6,138,240 shares of common stock. The awards granted under the 2017 Equity Plan consist of non-qualified stock options that generally vest based over a five-year requisite service period from the date of grant (the “time-based option awards”), as well as upon the occurrence of certain events and if certain market conditions were achieved, the (“performance-based option awards”). Stock options have an exercisable life of no more than ten years from the date of grant. The exercise price for any stock option award must be at least equal to the fair value of the common stock on the grant date. A total of 4,409,331 shares of common stock are subject to outstanding option awards under the 2017 Equity Plan as of December 26, 2021. The Company does not intend to grant any further awards under the 2017 Equity Plan.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Modification of Performance-Based Option Awards- 2017 Equity Plan</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August 31, 2021, the Company’s board of directors amended the 2017 Equity Plan such that the performance-based option awards that convert into time-based option awards upon an initial public offering no longer vest over a period of three years, but instead vest one-third (1/3rd) on each of the first two anniversaries of an initial public offering and one-third (1/3rd) on the 273rd day following the second anniversary of an initial public offering. This was accounted for as a modification for accounting purposes, resulting in a new fair value for all the performance-based option awards using an option-pricing model as of the modification date. As of the modification date, the unrecognized compensation expense of all outstanding performance-based option awards was $15.6 million.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September 19, 2021, the Company’s board of directors modified performance-based option awards that contained a market condition granted under the 2017 Equity Plan, such that the vesting terms for one such tranche were amended to waive the market condition. Accordingly, upon the Company’s IPO, such tranche converted into time-based option awards and vest one-third (1/3rd) on each of the first two anniversaries of the Company’s IPO and one-third (1/3rd) on the 273rd day following the second anniversary of the Company’s IPO. This was accounted for as a modification for accounting purposes resulting in a new fair value using the option-pricing model for such performance-based option awards as of the modification date. As of the modification date, the unrecognized compensation expense of this outstanding tranche was approximately $10.4 million.</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an initial public offering such that they no longer vest one-third (1/3rd) on each of the first two anniversaries of an initial public offering and one-third (1/3rd) on the 273rd day following the second anniversary of an initial public offering, but instead will vest on August 1, 2022. Additionally, the exercise period of these time-based and performance-based vested option awards was modified such that any vested option may be exercised at any time prior to the 10th anniversary of the original grant date. These actions were accounted for as modifications for accounting purposes and resulted in an increase of $0.3 million to the fair value of these awards.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Option Awards - 2017 Equity Plan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Upon the consummation of the Company’s IPO in October 2021, certain performance-based option awards converted into time-based option awards and stock compensation expense of $2.4 million was recognized in the fourth quarter of Fiscal 2021. The remaining expense will be recognized on an accelerated recognition method over the remaining service period. An immediate one-time charge of $5.6 million was recognized upon closing of the IPO, which included (i) the expense from the date of the modifications through the IPO date and (ii) the expense related to performance-based option awards for which the market condition was not satisfied upon the Company’s IPO.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under the 2017 Equity Plan for Fiscal 2021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98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Number of Options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Arial" w:cs="Arial" w:eastAsia="Arial" w:hAnsi="Arial"/>
                <w:sz w:val="13"/>
                <w:szCs w:val="13"/>
                <w:b w:val="1"/>
                <w:bCs w:val="1"/>
                <w:color w:val="auto"/>
              </w:rPr>
              <w:t>Weighted-Average</w:t>
            </w:r>
          </w:p>
        </w:tc>
        <w:tc>
          <w:tcPr>
            <w:tcW w:w="120" w:type="dxa"/>
            <w:vAlign w:val="bottom"/>
          </w:tcPr>
          <w:p>
            <w:pPr>
              <w:spacing w:after="0"/>
              <w:rPr>
                <w:sz w:val="13"/>
                <w:szCs w:val="13"/>
                <w:color w:val="auto"/>
              </w:rPr>
            </w:pPr>
          </w:p>
        </w:tc>
        <w:tc>
          <w:tcPr>
            <w:tcW w:w="158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89"/>
              </w:rPr>
              <w:t>Aggregate Intrinsic Value</w:t>
            </w:r>
          </w:p>
        </w:tc>
        <w:tc>
          <w:tcPr>
            <w:tcW w:w="0" w:type="dxa"/>
            <w:vAlign w:val="bottom"/>
          </w:tcPr>
          <w:p>
            <w:pPr>
              <w:spacing w:after="0"/>
              <w:rPr>
                <w:sz w:val="1"/>
                <w:szCs w:val="1"/>
                <w:color w:val="auto"/>
              </w:rPr>
            </w:pPr>
          </w:p>
        </w:tc>
      </w:tr>
      <w:tr>
        <w:trPr>
          <w:trHeight w:val="168"/>
        </w:trPr>
        <w:tc>
          <w:tcPr>
            <w:tcW w:w="540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Exercise Price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December 27, 2020</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5,143,229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Granted</w:t>
            </w:r>
          </w:p>
        </w:tc>
        <w:tc>
          <w:tcPr>
            <w:tcW w:w="1980" w:type="dxa"/>
            <w:vAlign w:val="bottom"/>
          </w:tcPr>
          <w:p>
            <w:pPr>
              <w:jc w:val="right"/>
              <w:spacing w:after="0"/>
              <w:rPr>
                <w:sz w:val="20"/>
                <w:szCs w:val="20"/>
                <w:color w:val="auto"/>
              </w:rPr>
            </w:pPr>
            <w:r>
              <w:rPr>
                <w:rFonts w:ascii="Arial" w:cs="Arial" w:eastAsia="Arial" w:hAnsi="Arial"/>
                <w:sz w:val="13"/>
                <w:szCs w:val="13"/>
                <w:color w:val="auto"/>
              </w:rPr>
              <w:t>147,961</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(881,859)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tcPr>
          <w:p>
            <w:pPr>
              <w:ind w:left="20"/>
              <w:spacing w:after="0"/>
              <w:rPr>
                <w:sz w:val="20"/>
                <w:szCs w:val="20"/>
                <w:color w:val="auto"/>
              </w:rPr>
            </w:pPr>
            <w:r>
              <w:rPr>
                <w:rFonts w:ascii="Arial" w:cs="Arial" w:eastAsia="Arial" w:hAnsi="Arial"/>
                <w:sz w:val="13"/>
                <w:szCs w:val="13"/>
                <w:color w:val="auto"/>
              </w:rPr>
              <w:t>Outstanding, December 26, 2021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4,409,331</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28,598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20"/>
              <w:spacing w:after="0"/>
              <w:rPr>
                <w:sz w:val="20"/>
                <w:szCs w:val="20"/>
                <w:color w:val="auto"/>
              </w:rPr>
            </w:pPr>
            <w:r>
              <w:rPr>
                <w:rFonts w:ascii="Arial" w:cs="Arial" w:eastAsia="Arial" w:hAnsi="Arial"/>
                <w:sz w:val="13"/>
                <w:szCs w:val="13"/>
                <w:color w:val="auto"/>
              </w:rPr>
              <w:t>Exercisable, December 26, 2021</w:t>
            </w:r>
          </w:p>
        </w:tc>
        <w:tc>
          <w:tcPr>
            <w:tcW w:w="1980" w:type="dxa"/>
            <w:vAlign w:val="bottom"/>
          </w:tcPr>
          <w:p>
            <w:pPr>
              <w:jc w:val="right"/>
              <w:spacing w:after="0"/>
              <w:rPr>
                <w:sz w:val="20"/>
                <w:szCs w:val="20"/>
                <w:color w:val="auto"/>
              </w:rPr>
            </w:pPr>
            <w:r>
              <w:rPr>
                <w:rFonts w:ascii="Arial" w:cs="Arial" w:eastAsia="Arial" w:hAnsi="Arial"/>
                <w:sz w:val="13"/>
                <w:szCs w:val="13"/>
                <w:color w:val="auto"/>
              </w:rPr>
              <w:t>1,775,940</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12,455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non-vested stock options under the 2017 Equity Plan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w w:val="89"/>
              </w:rPr>
              <w:t>Number of Options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0"/>
              </w:rPr>
              <w:t>Weighted-Average Grant Date Fair Value</w:t>
            </w:r>
          </w:p>
        </w:tc>
      </w:tr>
      <w:tr>
        <w:trPr>
          <w:trHeight w:val="16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Nonvested, December 30, 2018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3,984,303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68"/>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829,807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17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(429,979)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r>
      <w:tr>
        <w:trPr>
          <w:trHeight w:val="168"/>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600" w:type="dxa"/>
            <w:vAlign w:val="bottom"/>
          </w:tcPr>
          <w:p>
            <w:pPr>
              <w:jc w:val="right"/>
              <w:spacing w:after="0"/>
              <w:rPr>
                <w:sz w:val="20"/>
                <w:szCs w:val="20"/>
                <w:color w:val="auto"/>
              </w:rPr>
            </w:pPr>
            <w:r>
              <w:rPr>
                <w:rFonts w:ascii="Arial" w:cs="Arial" w:eastAsia="Arial" w:hAnsi="Arial"/>
                <w:sz w:val="13"/>
                <w:szCs w:val="13"/>
                <w:color w:val="auto"/>
              </w:rPr>
              <w:t>(53,271)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172"/>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Nonvested, December 29, 2019</w:t>
            </w:r>
          </w:p>
        </w:tc>
        <w:tc>
          <w:tcPr>
            <w:tcW w:w="17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4,330,860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58"/>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272,410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7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(487,086)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(234,569)</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1.72</w:t>
            </w:r>
          </w:p>
        </w:tc>
      </w:tr>
      <w:tr>
        <w:trPr>
          <w:trHeight w:val="16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Nonvested, December 27, 2020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3,881,615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r>
      <w:tr>
        <w:trPr>
          <w:trHeight w:val="170"/>
        </w:trPr>
        <w:tc>
          <w:tcPr>
            <w:tcW w:w="814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Granted </w:t>
            </w:r>
            <w:r>
              <w:rPr>
                <w:rFonts w:ascii="Arial" w:cs="Arial" w:eastAsia="Arial" w:hAnsi="Arial"/>
                <w:sz w:val="16"/>
                <w:szCs w:val="16"/>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3"/>
                <w:szCs w:val="13"/>
                <w:color w:val="auto"/>
              </w:rPr>
              <w:t>147,961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6.35</w:t>
            </w:r>
          </w:p>
        </w:tc>
      </w:tr>
      <w:tr>
        <w:trPr>
          <w:trHeight w:val="170"/>
        </w:trPr>
        <w:tc>
          <w:tcPr>
            <w:tcW w:w="814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Vested </w:t>
            </w:r>
            <w:r>
              <w:rPr>
                <w:rFonts w:ascii="Arial" w:cs="Arial" w:eastAsia="Arial" w:hAnsi="Arial"/>
                <w:sz w:val="16"/>
                <w:szCs w:val="16"/>
                <w:color w:val="auto"/>
                <w:vertAlign w:val="superscript"/>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(514,326)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r>
      <w:tr>
        <w:trPr>
          <w:trHeight w:val="170"/>
        </w:trPr>
        <w:tc>
          <w:tcPr>
            <w:tcW w:w="64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Forfeited </w:t>
            </w:r>
            <w:r>
              <w:rPr>
                <w:rFonts w:ascii="Arial" w:cs="Arial" w:eastAsia="Arial" w:hAnsi="Arial"/>
                <w:sz w:val="16"/>
                <w:szCs w:val="16"/>
                <w:color w:val="auto"/>
                <w:vertAlign w:val="superscript"/>
              </w:rPr>
              <w:t>(1)</w:t>
            </w:r>
          </w:p>
        </w:tc>
        <w:tc>
          <w:tcPr>
            <w:tcW w:w="1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(881,859)</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w:t>
            </w:r>
          </w:p>
        </w:tc>
        <w:tc>
          <w:tcPr>
            <w:tcW w:w="23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4.26</w:t>
            </w:r>
          </w:p>
        </w:tc>
      </w:tr>
      <w:tr>
        <w:trPr>
          <w:trHeight w:val="180"/>
        </w:trPr>
        <w:tc>
          <w:tcPr>
            <w:tcW w:w="81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Nonvested, December 26, 2021 </w:t>
            </w:r>
            <w:r>
              <w:rPr>
                <w:rFonts w:ascii="Arial" w:cs="Arial" w:eastAsia="Arial" w:hAnsi="Arial"/>
                <w:sz w:val="16"/>
                <w:szCs w:val="16"/>
                <w:color w:val="auto"/>
                <w:vertAlign w:val="superscript"/>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2,633,391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rPr>
          <w:sz w:val="20"/>
          <w:szCs w:val="20"/>
          <w:color w:val="auto"/>
        </w:rPr>
      </w:pPr>
      <w:r>
        <w:rPr>
          <w:rFonts w:ascii="Arial" w:cs="Arial" w:eastAsia="Arial" w:hAnsi="Arial"/>
          <w:sz w:val="13"/>
          <w:szCs w:val="13"/>
          <w:color w:val="auto"/>
        </w:rPr>
        <w:t>(1) Weighted-average grant date fair value includes the fair value of the performance-based option awards as of the modification dates, as described above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aggregate intrinsic value is based on the difference between the exercise price of the stock option and the estimated fair value of the Company’s common stock, or after the IPO, based on the closing price of the Company’s common stock on the Nasdaq.</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vested stock options was $0.9 million, $0.9 million and $0.8 million during Fiscal 2021, Fiscal 2020 and Fiscal 2019,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$8.6 million, $0.8 million and $1.2 million in Fiscal 2021, Fiscal 2020 and Fiscal 2019,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26, 2021, the amount of stock-based compensation expense not yet recognized on non-vested stock option awards was approximately $13.4 million and will be recognized over a weighted-average period of approximately 1.4 years. The remaining contractual life for stock option awards granted was approximately 6.2 years at December 26, 2021.</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Stock Options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assumptions utilized to determine the fair value of the stock option awards were as follows for the following periods:</w:t>
      </w:r>
    </w:p>
    <w:p>
      <w:pPr>
        <w:spacing w:after="0" w:line="115" w:lineRule="exact"/>
        <w:rPr>
          <w:sz w:val="20"/>
          <w:szCs w:val="20"/>
          <w:color w:val="auto"/>
        </w:rPr>
      </w:pPr>
    </w:p>
    <w:p>
      <w:pPr>
        <w:ind w:left="7620"/>
        <w:spacing w:after="0"/>
        <w:rPr>
          <w:sz w:val="20"/>
          <w:szCs w:val="20"/>
          <w:color w:val="auto"/>
        </w:rPr>
      </w:pPr>
      <w:r>
        <w:rPr>
          <w:rFonts w:ascii="Arial" w:cs="Arial" w:eastAsia="Arial" w:hAnsi="Arial"/>
          <w:sz w:val="13"/>
          <w:szCs w:val="13"/>
          <w:b w:val="1"/>
          <w:bCs w:val="1"/>
          <w:color w:val="auto"/>
        </w:rPr>
        <w:t>FISCAL 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2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8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2019</w:t>
            </w:r>
          </w:p>
        </w:tc>
      </w:tr>
      <w:tr>
        <w:trPr>
          <w:trHeight w:val="16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3"/>
                <w:szCs w:val="1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68"/>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Weighted average expected volatility</w:t>
            </w:r>
          </w:p>
        </w:tc>
        <w:tc>
          <w:tcPr>
            <w:tcW w:w="660" w:type="dxa"/>
            <w:vAlign w:val="bottom"/>
          </w:tcPr>
          <w:p>
            <w:pPr>
              <w:jc w:val="right"/>
              <w:spacing w:after="0"/>
              <w:rPr>
                <w:sz w:val="20"/>
                <w:szCs w:val="20"/>
                <w:color w:val="auto"/>
              </w:rPr>
            </w:pPr>
            <w:r>
              <w:rPr>
                <w:rFonts w:ascii="Arial" w:cs="Arial" w:eastAsia="Arial" w:hAnsi="Arial"/>
                <w:sz w:val="13"/>
                <w:szCs w:val="13"/>
                <w:color w:val="auto"/>
              </w:rPr>
              <w:t>50.3 %</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41.2 %</w:t>
            </w: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34.1 %</w:t>
            </w:r>
          </w:p>
        </w:tc>
      </w:tr>
      <w:tr>
        <w:trPr>
          <w:trHeight w:val="17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term (years)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5"/>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Expected dividend yield</w:t>
            </w:r>
          </w:p>
        </w:tc>
        <w:tc>
          <w:tcPr>
            <w:tcW w:w="2200" w:type="dxa"/>
            <w:vAlign w:val="bottom"/>
            <w:gridSpan w:val="3"/>
          </w:tcPr>
          <w:p>
            <w:pPr>
              <w:jc w:val="right"/>
              <w:ind w:right="1576"/>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080" w:type="dxa"/>
            <w:vAlign w:val="bottom"/>
          </w:tcPr>
          <w:p>
            <w:pPr>
              <w:jc w:val="right"/>
              <w:ind w:right="36"/>
              <w:spacing w:after="0"/>
              <w:rPr>
                <w:sz w:val="20"/>
                <w:szCs w:val="20"/>
                <w:color w:val="auto"/>
              </w:rPr>
            </w:pPr>
            <w:r>
              <w:rPr>
                <w:rFonts w:ascii="Arial" w:cs="Arial" w:eastAsia="Arial" w:hAnsi="Arial"/>
                <w:sz w:val="13"/>
                <w:szCs w:val="13"/>
                <w:color w:val="auto"/>
              </w:rPr>
              <w:t>—</w:t>
            </w:r>
          </w:p>
        </w:tc>
      </w:tr>
    </w:tbl>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risk-free interest rate is determined by reference to the U.S. Treasury yield curve for time periods approximately equal to the expected term of the stock option award. The expected term of stock option awards has been determined based on data from publicly traded companies as the Company lacks company-specific historical or implied volatility information. Therefore, Management also estimated its expected volatility based on historical volatilities of a publicly traded set of peer companies in the restaurant industry. The expected dividend yield is based on the fact that the Company has never paid cash dividends and does not have intentions of paying dividends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2021 Equity Plan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September 19, 2021, the Company’s board of directors adopted, and on September 19, 2021 its stockholders approved, the 2021 Equity Plan, which became effective immediately prior to the effectiveness of the registration statement for the Company’s initial public offering on September 30, 2021. The number of shares of common stock to be reserved for issuance under the 2021 Equity Plan is 4,034,072 common shares (“Share Reserve”). The number of shares of common stock that may be issued under the 2021 Equity Plan will automatically increase on the first day of each fiscal year, commencing on January 1, 2023 and continuing for each fiscal year until, and including, the fiscal year ending on (and including) January 1, 2032, equal to the least of (i) 2%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2021 Equity Plan and will not be returned to the 2021 Equity Plan nor be available for future awards under the 2021 Equity Plan. There were no issuances under the 2021 Equity Plan as of December 26, 2021.</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2"/>
          <w:szCs w:val="12"/>
          <w:b w:val="1"/>
          <w:bCs w:val="1"/>
          <w:color w:val="auto"/>
        </w:rPr>
        <w:t>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Commitments</w:t>
      </w:r>
    </w:p>
    <w:p>
      <w:pPr>
        <w:spacing w:after="0" w:line="33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Purchase obligations include agreements related to the construction or remodeling of restaurant facilities, the purchase of food, beverages, paper goods and other supplies, equipment purchases, marketing-related contracts and software license commitments and service contracts in the normal course of business. These obligations are generally pursuant to short-term purchase orders at prevailing market prices and are recorded as liabilities when the related goods are received or services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rendered. These commitments are cancellable and there are no material financial penalties associated with these commitments in the event of early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is subject to legal proceedings, claims and liabilities that arise in the ordinary course of business. The amount of the ultimate liability with respect to these matters was not material as of December 26, 2021. In the event any litigation losses become probable and estimable, the Company will recognize any anticipated losses.</w:t>
      </w:r>
    </w:p>
    <w:p>
      <w:pPr>
        <w:spacing w:after="0" w:line="9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2"/>
          <w:szCs w:val="12"/>
          <w:b w:val="1"/>
          <w:bCs w:val="1"/>
          <w:color w:val="auto"/>
        </w:rPr>
        <w:t>Net Loss Per Common Share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computations of basic and diluted net loss per common share attributable to First Watch Restaurant Group, Inc.:</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Numerator:</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280"/>
              <w:spacing w:after="0"/>
              <w:rPr>
                <w:sz w:val="20"/>
                <w:szCs w:val="20"/>
                <w:color w:val="auto"/>
              </w:rPr>
            </w:pPr>
            <w:r>
              <w:rPr>
                <w:rFonts w:ascii="Arial" w:cs="Arial" w:eastAsia="Arial" w:hAnsi="Arial"/>
                <w:sz w:val="13"/>
                <w:szCs w:val="13"/>
                <w:color w:val="auto"/>
              </w:rPr>
              <w:t>Net loss attributable to First Watch Restaurant Group, Inc.</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(49,681)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(45,439)</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Denominator:</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400" w:type="dxa"/>
            <w:vAlign w:val="bottom"/>
          </w:tcPr>
          <w:p>
            <w:pPr>
              <w:ind w:left="280"/>
              <w:spacing w:after="0"/>
              <w:rPr>
                <w:sz w:val="20"/>
                <w:szCs w:val="20"/>
                <w:color w:val="auto"/>
              </w:rPr>
            </w:pPr>
            <w:r>
              <w:rPr>
                <w:rFonts w:ascii="Arial" w:cs="Arial" w:eastAsia="Arial" w:hAnsi="Arial"/>
                <w:sz w:val="13"/>
                <w:szCs w:val="13"/>
                <w:color w:val="auto"/>
              </w:rPr>
              <w:t>Weighted average common shares outstanding - basic and diluted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48,213,995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45,013,784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45,013,784</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common share attributable to First Watch Restaurant Group, Inc. - basic and diluted</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r>
    </w:tbl>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Diluted net loss per common share is calculated by adjusting the weighted average shares outstanding for the theoretical effect of potential common shares that would be issued for preferred stock and stock option awards outstanding and unvested at the end of the reporting period using the two-class method and treasury method, respectively. All stock option awards outstanding were excluded from the calculation of diluted net loss per common share because of their anti-dilutive impact for Fiscal 2021, Fiscal 2020 and Fiscal 2019. All preferred stock shares were excluded from the calculation of diluted net loss per common share because of their anti-dilutive impact for Fiscal 2021 and Fiscal 2020. As a result, there was no difference between basic and diluted net loss per common share attributable to First Watch Restaurant Group, Inc. during Fiscal 2021, Fiscal 2020 and Fiscal 2019.</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2"/>
          <w:szCs w:val="12"/>
          <w:b w:val="1"/>
          <w:bCs w:val="1"/>
          <w:color w:val="auto"/>
        </w:rPr>
        <w:t>Condensed Financial Information of Registrant (Parent Company Only)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WATCH RESTAURANT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jc w:val="center"/>
        <w:spacing w:after="0" w:line="237" w:lineRule="auto"/>
        <w:rPr>
          <w:sz w:val="20"/>
          <w:szCs w:val="20"/>
          <w:color w:val="auto"/>
        </w:rPr>
      </w:pPr>
      <w:r>
        <w:rPr>
          <w:rFonts w:ascii="Arial" w:cs="Arial" w:eastAsia="Arial" w:hAnsi="Arial"/>
          <w:sz w:val="16"/>
          <w:szCs w:val="16"/>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ind w:left="200"/>
              <w:spacing w:after="0"/>
              <w:rPr>
                <w:sz w:val="20"/>
                <w:szCs w:val="20"/>
                <w:color w:val="auto"/>
              </w:rPr>
            </w:pPr>
            <w:r>
              <w:rPr>
                <w:rFonts w:ascii="Arial" w:cs="Arial" w:eastAsia="Arial" w:hAnsi="Arial"/>
                <w:sz w:val="13"/>
                <w:szCs w:val="13"/>
                <w:b w:val="1"/>
                <w:bCs w:val="1"/>
                <w:color w:val="auto"/>
              </w:rPr>
              <w:t>DECEMBER 26, 2021</w:t>
            </w:r>
          </w:p>
        </w:tc>
        <w:tc>
          <w:tcPr>
            <w:tcW w:w="260" w:type="dxa"/>
            <w:vAlign w:val="bottom"/>
          </w:tcPr>
          <w:p>
            <w:pPr>
              <w:spacing w:after="0"/>
              <w:rPr>
                <w:sz w:val="14"/>
                <w:szCs w:val="14"/>
                <w:color w:val="auto"/>
              </w:rPr>
            </w:pPr>
          </w:p>
        </w:tc>
        <w:tc>
          <w:tcPr>
            <w:tcW w:w="1840" w:type="dxa"/>
            <w:vAlign w:val="bottom"/>
          </w:tcPr>
          <w:p>
            <w:pPr>
              <w:jc w:val="right"/>
              <w:ind w:right="376"/>
              <w:spacing w:after="0"/>
              <w:rPr>
                <w:sz w:val="20"/>
                <w:szCs w:val="20"/>
                <w:color w:val="auto"/>
              </w:rPr>
            </w:pPr>
            <w:r>
              <w:rPr>
                <w:rFonts w:ascii="Arial" w:cs="Arial" w:eastAsia="Arial" w:hAnsi="Arial"/>
                <w:sz w:val="13"/>
                <w:szCs w:val="13"/>
                <w:b w:val="1"/>
                <w:bCs w:val="1"/>
                <w:color w:val="auto"/>
              </w:rPr>
              <w:t>DECEMBER 27, 2020</w:t>
            </w:r>
          </w:p>
        </w:tc>
        <w:tc>
          <w:tcPr>
            <w:tcW w:w="0" w:type="dxa"/>
            <w:vAlign w:val="bottom"/>
          </w:tcPr>
          <w:p>
            <w:pPr>
              <w:spacing w:after="0"/>
              <w:rPr>
                <w:sz w:val="1"/>
                <w:szCs w:val="1"/>
                <w:color w:val="auto"/>
              </w:rPr>
            </w:pPr>
          </w:p>
        </w:tc>
      </w:tr>
      <w:tr>
        <w:trPr>
          <w:trHeight w:val="152"/>
        </w:trPr>
        <w:tc>
          <w:tcPr>
            <w:tcW w:w="69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980" w:type="dxa"/>
            <w:vAlign w:val="bottom"/>
          </w:tcPr>
          <w:p>
            <w:pPr>
              <w:ind w:left="20"/>
              <w:spacing w:after="0"/>
              <w:rPr>
                <w:sz w:val="20"/>
                <w:szCs w:val="20"/>
                <w:color w:val="auto"/>
              </w:rPr>
            </w:pPr>
            <w:r>
              <w:rPr>
                <w:rFonts w:ascii="Arial" w:cs="Arial" w:eastAsia="Arial" w:hAnsi="Arial"/>
                <w:sz w:val="13"/>
                <w:szCs w:val="13"/>
                <w:color w:val="auto"/>
              </w:rPr>
              <w:t>Investment in subsidiaries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504,429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320,866</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9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87"/>
              </w:rPr>
              <w:t>Preferred stock; $0.01 par value; 10,000,000 shares authorized and none outstanding at December 26, 2021; 266,667 shares authorized,</w:t>
            </w:r>
          </w:p>
        </w:tc>
        <w:tc>
          <w:tcPr>
            <w:tcW w:w="26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6"/>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and outstanding at December 27, 2020</w:t>
            </w:r>
          </w:p>
        </w:tc>
        <w:tc>
          <w:tcPr>
            <w:tcW w:w="260" w:type="dxa"/>
            <w:vAlign w:val="bottom"/>
            <w:vMerge w:val="continue"/>
            <w:shd w:val="clear" w:color="auto" w:fill="CCEEFF"/>
          </w:tcPr>
          <w:p>
            <w:pPr>
              <w:spacing w:after="0"/>
              <w:rPr>
                <w:sz w:val="14"/>
                <w:szCs w:val="14"/>
                <w:color w:val="auto"/>
              </w:rPr>
            </w:pPr>
          </w:p>
        </w:tc>
        <w:tc>
          <w:tcPr>
            <w:tcW w:w="194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980" w:type="dxa"/>
            <w:vAlign w:val="bottom"/>
          </w:tcPr>
          <w:p>
            <w:pPr>
              <w:ind w:left="20"/>
              <w:spacing w:after="0" w:line="131" w:lineRule="exact"/>
              <w:rPr>
                <w:sz w:val="20"/>
                <w:szCs w:val="20"/>
                <w:color w:val="auto"/>
              </w:rPr>
            </w:pPr>
            <w:r>
              <w:rPr>
                <w:rFonts w:ascii="Arial" w:cs="Arial" w:eastAsia="Arial" w:hAnsi="Arial"/>
                <w:sz w:val="13"/>
                <w:szCs w:val="13"/>
                <w:color w:val="auto"/>
                <w:w w:val="87"/>
              </w:rPr>
              <w:t>Common stock; $0.01 par value; 300,000,000 shares authorized; 59,048,446 and 45,013,784 shares issued and outstanding at December</w:t>
            </w:r>
          </w:p>
        </w:tc>
        <w:tc>
          <w:tcPr>
            <w:tcW w:w="260" w:type="dxa"/>
            <w:vAlign w:val="bottom"/>
          </w:tcPr>
          <w:p>
            <w:pPr>
              <w:spacing w:after="0"/>
              <w:rPr>
                <w:sz w:val="11"/>
                <w:szCs w:val="11"/>
                <w:color w:val="auto"/>
              </w:rPr>
            </w:pP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64"/>
        </w:trPr>
        <w:tc>
          <w:tcPr>
            <w:tcW w:w="6980" w:type="dxa"/>
            <w:vAlign w:val="bottom"/>
          </w:tcPr>
          <w:p>
            <w:pPr>
              <w:ind w:left="20"/>
              <w:spacing w:after="0"/>
              <w:rPr>
                <w:sz w:val="20"/>
                <w:szCs w:val="20"/>
                <w:color w:val="auto"/>
              </w:rPr>
            </w:pPr>
            <w:r>
              <w:rPr>
                <w:rFonts w:ascii="Arial" w:cs="Arial" w:eastAsia="Arial" w:hAnsi="Arial"/>
                <w:sz w:val="13"/>
                <w:szCs w:val="13"/>
                <w:color w:val="auto"/>
              </w:rPr>
              <w:t>26, 2021 and December 27, 2020, respectively</w:t>
            </w:r>
          </w:p>
        </w:tc>
        <w:tc>
          <w:tcPr>
            <w:tcW w:w="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608,878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423,345</w:t>
            </w:r>
          </w:p>
        </w:tc>
        <w:tc>
          <w:tcPr>
            <w:tcW w:w="0" w:type="dxa"/>
            <w:vAlign w:val="bottom"/>
          </w:tcPr>
          <w:p>
            <w:pPr>
              <w:spacing w:after="0"/>
              <w:rPr>
                <w:sz w:val="1"/>
                <w:szCs w:val="1"/>
                <w:color w:val="auto"/>
              </w:rPr>
            </w:pPr>
          </w:p>
        </w:tc>
      </w:tr>
      <w:tr>
        <w:trPr>
          <w:trHeight w:val="168"/>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(105,039)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(102,932)</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equity attributable to First Watch Restaurant Group, Inc.</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504,429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320,866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WATCH RESTAURANT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WATCH RESTAURANT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4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r>
      <w:tr>
        <w:trPr>
          <w:trHeight w:val="152"/>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Equity in net loss of subsidiaries</w:t>
            </w:r>
          </w:p>
        </w:tc>
        <w:tc>
          <w:tcPr>
            <w:tcW w:w="9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Net loss and comprehensive loss</w:t>
            </w:r>
          </w:p>
        </w:tc>
        <w:tc>
          <w:tcPr>
            <w:tcW w:w="920" w:type="dxa"/>
            <w:vAlign w:val="bottom"/>
          </w:tcPr>
          <w:p>
            <w:pPr>
              <w:jc w:val="right"/>
              <w:ind w:right="80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(49,681)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(45,472)</w:t>
            </w:r>
          </w:p>
        </w:tc>
      </w:tr>
      <w:tr>
        <w:trPr>
          <w:trHeight w:val="214"/>
        </w:trPr>
        <w:tc>
          <w:tcPr>
            <w:tcW w:w="6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Net loss per common share attributable to First Watch Restaurant Group, Inc. - basic and diluted</w:t>
            </w:r>
          </w:p>
        </w:tc>
        <w:tc>
          <w:tcPr>
            <w:tcW w:w="920" w:type="dxa"/>
            <w:vAlign w:val="bottom"/>
          </w:tcPr>
          <w:p>
            <w:pPr>
              <w:jc w:val="right"/>
              <w:ind w:right="80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basic and diluted</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48,213,995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45,013,784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45,013,784</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Statements of cash flows have not been presented as First Watch Restaurant Group, Inc. did not have any cash as of, or for Fiscal 2021, Fiscal 2020 and Fiscal 2019.</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 xml:space="preserve">The Company is a holding company without any operations of its own (the “Parent Company”). Pursuant to the terms of the New Credit Agreement discussed in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the Company and certain subsidiaries of the Company have restrictions on their ability to, among other things, (i) incur additional indebtedness, pay dividends or make certain intercompany loans and advances, and (ii) exceed a maximum total rent adjusted net leverage ratio or fall below a minimum fixed charge coverage ratio.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26, 2021 and December 27, 2020.</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GAAP have been condensed or omitted. The accompanying financial information should be read in conjunction with the accompanying Company’s consolidated financial statements and related notes thereto.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67" w:right="31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Annual Report on Form 10-K, is recorded, processed, summarized and reported within the time periods specified in the SEC’s rules and forms.</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of the end of the period covered by this Annual Report on Form 10-K. Due to the material weaknesses in our internal control over financial reporting discussed below, our Chief Executive Officer and Chief Financial Officer concluded that, as of December 26, 2021,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We identified material weaknesses in our internal control over financial reporting. The material weaknesses we identified were as follows: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110" w:lineRule="exact"/>
        <w:rPr>
          <w:sz w:val="20"/>
          <w:szCs w:val="20"/>
          <w:color w:val="auto"/>
        </w:rPr>
      </w:pPr>
    </w:p>
    <w:p>
      <w:pPr>
        <w:jc w:val="both"/>
        <w:ind w:left="520" w:hanging="260"/>
        <w:spacing w:after="0" w:line="331" w:lineRule="auto"/>
        <w:tabs>
          <w:tab w:leader="none" w:pos="516"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65" w:lineRule="exact"/>
        <w:rPr>
          <w:rFonts w:ascii="Arial" w:cs="Arial" w:eastAsia="Arial" w:hAnsi="Arial"/>
          <w:sz w:val="12"/>
          <w:szCs w:val="12"/>
          <w:color w:val="auto"/>
        </w:rPr>
      </w:pPr>
    </w:p>
    <w:p>
      <w:pPr>
        <w:jc w:val="both"/>
        <w:ind w:left="520" w:hanging="260"/>
        <w:spacing w:after="0" w:line="250" w:lineRule="auto"/>
        <w:tabs>
          <w:tab w:leader="none" w:pos="516"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165"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left="520"/>
        <w:spacing w:after="0" w:line="278" w:lineRule="auto"/>
        <w:rPr>
          <w:sz w:val="20"/>
          <w:szCs w:val="20"/>
          <w:color w:val="auto"/>
        </w:rPr>
      </w:pPr>
      <w:r>
        <w:rPr>
          <w:rFonts w:ascii="Arial" w:cs="Arial" w:eastAsia="Arial" w:hAnsi="Arial"/>
          <w:sz w:val="13"/>
          <w:szCs w:val="13"/>
          <w:color w:val="auto"/>
        </w:rPr>
        <w:t>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taken certain measures to remediate the material weaknesses described above, including hiring additional personnel, designing and implementing formal procedures and controls supporting the Company’s period-end financial reporting process, such as controls over the preparation and review of account reconciliations and disclosures in the consolidated financial statements and designing certain information technology general controls.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and augmenting our internal controls with new accounting policies and procedures, and designing and implementing financial reporting controls, income tax controls, and information technology general controls.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believe that the efforts taken to date and those planned for remediation will improve the effectiveness of our internal control over financial reporting, these remediation efforts are ongoing and will require a sufficient period of time to operate for management to be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 and Attestation Report</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 as defined in the JOBS Act.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adopted a Code of Ethics and Business Conduct that applies to, among others, our chief executive officer, chief financial officer (who is also our principal accounting officer), and other finance and accounting leaders, which is a “code of ethics” as defined by applicable rules of the SEC. This code is publicly available on our website. The Internet address for our website is www.firstwatch.com, and the Code of Ethics and Business Conduct may be found on our main webpage by clicking first on “Investors” and then on “Corporate Governance” and next on “Code of Ethics and Business Conduct.” If we make any amendments to this code other than technical, administrative or other non-substantive amendments, or grant any waivers, including implicit waivers, from a provision of this code to our chief executive officer, chief financial officer (who is also our principal accounting officer), or other finance and accounting leaders, we will disclose the nature of the amendment or waiver, its effective date and to whom it applies on our website as specified above or in a report on Form 8-K filed with the SEC.</w:t>
      </w:r>
    </w:p>
    <w:p>
      <w:pPr>
        <w:spacing w:after="0" w:line="10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remaining information required by this item is incorporated herein by reference to the sections entitled “Proposal 1: Director Election Proposal,” “Information Regarding the board of directors and Corporate Governance,” and “Executive Officers” in our definitive Proxy Statement for the Annual Meeting of Shareholders expected to be held on May 24, 2022 (the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We will provide disclosure of delinquent Section 16(a) reports, if any, in our Proxy Statement, and such disclosure, if any, is incorporated herein by reference.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is incorporated by reference to the sections entitled “Executive Compensation,” “Outstanding Equity Awards at Fiscal Year-End,” and “Director Compensation” in the Proxy Statement.</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section entitled “Security Ownership of Certain Beneficial Owners and Management” in the Proxy Statement.</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is incorporated by reference to the section entitled “Certain Relationships and Related Transactions” and “Information Regarding the board of directors and Corporate Governance” in the Proxy Statement.</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is incorporated by reference to the sections entitled “Proposal 2: Auditor Ratification Proposal,” “Auditors Fees and Services” and “Policy for Approval of Audit and Permitted Non-Audit Services” in the Proxy Statement.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Documents filed as part of this Annual Report on Form 10-K:</w:t>
      </w:r>
    </w:p>
    <w:p>
      <w:pPr>
        <w:spacing w:after="0" w:line="200"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203"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Consolidated financial statements filed as part of this report are listed under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 Schedules</w:t>
      </w:r>
    </w:p>
    <w:p>
      <w:pPr>
        <w:spacing w:after="0" w:line="203" w:lineRule="exact"/>
        <w:rPr>
          <w:rFonts w:ascii="Arial" w:cs="Arial" w:eastAsia="Arial" w:hAnsi="Arial"/>
          <w:sz w:val="14"/>
          <w:szCs w:val="14"/>
          <w:b w:val="1"/>
          <w:bCs w:val="1"/>
          <w:color w:val="auto"/>
        </w:rPr>
      </w:pPr>
    </w:p>
    <w:p>
      <w:pPr>
        <w:ind w:left="260"/>
        <w:spacing w:after="0" w:line="281" w:lineRule="auto"/>
        <w:rPr>
          <w:rFonts w:ascii="Arial" w:cs="Arial" w:eastAsia="Arial" w:hAnsi="Arial"/>
          <w:sz w:val="14"/>
          <w:szCs w:val="14"/>
          <w:b w:val="1"/>
          <w:bCs w:val="1"/>
          <w:color w:val="auto"/>
        </w:rPr>
      </w:pPr>
      <w:r>
        <w:rPr>
          <w:rFonts w:ascii="Arial" w:cs="Arial" w:eastAsia="Arial" w:hAnsi="Arial"/>
          <w:sz w:val="14"/>
          <w:szCs w:val="14"/>
          <w:color w:val="auto"/>
        </w:rPr>
        <w:t>No schedules are required because either the required information is not present or is not present in amounts sufficient to require submission of the schedule, or because the information required is included in the consolidated financial statements or notes thereto.</w:t>
      </w:r>
    </w:p>
    <w:p>
      <w:pPr>
        <w:spacing w:after="0" w:line="149" w:lineRule="exact"/>
        <w:rPr>
          <w:rFonts w:ascii="Arial" w:cs="Arial" w:eastAsia="Arial" w:hAnsi="Arial"/>
          <w:sz w:val="14"/>
          <w:szCs w:val="14"/>
          <w:b w:val="1"/>
          <w:bCs w:val="1"/>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229" w:lineRule="exact"/>
        <w:rPr>
          <w:sz w:val="20"/>
          <w:szCs w:val="20"/>
          <w:color w:val="auto"/>
        </w:rPr>
      </w:pPr>
    </w:p>
    <w:p>
      <w:pPr>
        <w:ind w:left="120"/>
        <w:spacing w:after="0"/>
        <w:tabs>
          <w:tab w:leader="none" w:pos="880" w:val="left"/>
          <w:tab w:leader="none" w:pos="71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r>
        <w:rPr>
          <w:sz w:val="20"/>
          <w:szCs w:val="20"/>
          <w:color w:val="auto"/>
        </w:rPr>
        <w:tab/>
      </w:r>
      <w:r>
        <w:rPr>
          <w:rFonts w:ascii="Arial" w:cs="Arial" w:eastAsia="Arial" w:hAnsi="Arial"/>
          <w:sz w:val="11"/>
          <w:szCs w:val="11"/>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180"/>
          </w:cols>
          <w:pgMar w:left="300" w:top="139" w:right="419" w:bottom="1440" w:gutter="0" w:footer="0" w:header="0"/>
        </w:sectPr>
      </w:pPr>
    </w:p>
    <w:p>
      <w:pPr>
        <w:spacing w:after="0" w:line="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3.1</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3.2</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4.1</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4.2</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4.3</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10.2(a)</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10.2(b)</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10.2(c)</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10.2(d)</w:t>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10.2(e)</w:t>
      </w:r>
    </w:p>
    <w:p>
      <w:pPr>
        <w:spacing w:after="0" w:line="3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10.3*</w:t>
      </w: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10.4*</w:t>
      </w:r>
    </w:p>
    <w:p>
      <w:pPr>
        <w:spacing w:after="0" w:line="200" w:lineRule="exact"/>
        <w:rPr>
          <w:sz w:val="20"/>
          <w:szCs w:val="20"/>
          <w:color w:val="auto"/>
        </w:rPr>
      </w:pPr>
    </w:p>
    <w:p>
      <w:pPr>
        <w:spacing w:after="0" w:line="35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Amended and Restated Certificate of Incorporation of First Watch Restaurant Group, Inc.</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r:id="rId151">
        <w:r>
          <w:rPr>
            <w:rFonts w:ascii="Arial" w:cs="Arial" w:eastAsia="Arial" w:hAnsi="Arial"/>
            <w:sz w:val="14"/>
            <w:szCs w:val="14"/>
            <w:u w:val="single" w:color="auto"/>
            <w:color w:val="0000FF"/>
          </w:rPr>
          <w:t>Amended and Restated Bylaws of First Watch Restaurant Group, Inc.</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Form of Certificate of Common Stock</w:t>
        </w:r>
      </w:hyperlink>
    </w:p>
    <w:p>
      <w:pPr>
        <w:spacing w:after="0" w:line="19" w:lineRule="exact"/>
        <w:rPr>
          <w:sz w:val="20"/>
          <w:szCs w:val="20"/>
          <w:color w:val="auto"/>
        </w:rPr>
      </w:pPr>
    </w:p>
    <w:p>
      <w:pPr>
        <w:ind w:right="280"/>
        <w:spacing w:after="0" w:line="236" w:lineRule="auto"/>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Registration Rights Agreement by and among First Watch Restaurant Group, Inc. and the other parties</w:t>
        </w:r>
      </w:hyperlink>
      <w:r>
        <w:rPr>
          <w:rFonts w:ascii="Arial" w:cs="Arial" w:eastAsia="Arial" w:hAnsi="Arial"/>
          <w:sz w:val="14"/>
          <w:szCs w:val="14"/>
          <w:u w:val="single" w:color="auto"/>
          <w:color w:val="0000FF"/>
        </w:rPr>
        <w:t xml:space="preserve"> </w:t>
      </w:r>
      <w:hyperlink w:anchor="page101">
        <w:r>
          <w:rPr>
            <w:rFonts w:ascii="Arial" w:cs="Arial" w:eastAsia="Arial" w:hAnsi="Arial"/>
            <w:sz w:val="14"/>
            <w:szCs w:val="14"/>
            <w:u w:val="single" w:color="auto"/>
            <w:color w:val="0000FF"/>
          </w:rPr>
          <w:t>thereto, dated as of October 1, 2021</w:t>
        </w:r>
      </w:hyperlink>
    </w:p>
    <w:p>
      <w:pPr>
        <w:spacing w:after="0" w:line="2" w:lineRule="exact"/>
        <w:rPr>
          <w:sz w:val="20"/>
          <w:szCs w:val="20"/>
          <w:color w:val="auto"/>
        </w:rPr>
      </w:pPr>
    </w:p>
    <w:p>
      <w:pPr>
        <w:spacing w:after="0"/>
        <w:rPr>
          <w:rFonts w:ascii="Arial" w:cs="Arial" w:eastAsia="Arial" w:hAnsi="Arial"/>
          <w:sz w:val="14"/>
          <w:szCs w:val="14"/>
          <w:u w:val="single" w:color="auto"/>
          <w:color w:val="0000FF"/>
        </w:rPr>
      </w:pPr>
      <w:hyperlink w:anchor="page156">
        <w:r>
          <w:rPr>
            <w:rFonts w:ascii="Arial" w:cs="Arial" w:eastAsia="Arial" w:hAnsi="Arial"/>
            <w:sz w:val="14"/>
            <w:szCs w:val="14"/>
            <w:u w:val="single" w:color="auto"/>
            <w:color w:val="0000FF"/>
          </w:rPr>
          <w:t>Description of First Watch Restaurant Group, Inc. Securities</w:t>
        </w:r>
      </w:hyperlink>
    </w:p>
    <w:p>
      <w:pPr>
        <w:spacing w:after="0" w:line="19" w:lineRule="exact"/>
        <w:rPr>
          <w:sz w:val="20"/>
          <w:szCs w:val="20"/>
          <w:color w:val="auto"/>
        </w:rPr>
      </w:pPr>
    </w:p>
    <w:p>
      <w:pPr>
        <w:spacing w:after="0" w:line="276" w:lineRule="auto"/>
        <w:rPr>
          <w:rFonts w:ascii="Arial" w:cs="Arial" w:eastAsia="Arial" w:hAnsi="Arial"/>
          <w:sz w:val="12"/>
          <w:szCs w:val="12"/>
          <w:u w:val="single" w:color="auto"/>
          <w:color w:val="0000FF"/>
        </w:rPr>
      </w:pPr>
      <w:hyperlink r:id="rId153">
        <w:r>
          <w:rPr>
            <w:rFonts w:ascii="Arial" w:cs="Arial" w:eastAsia="Arial" w:hAnsi="Arial"/>
            <w:sz w:val="12"/>
            <w:szCs w:val="12"/>
            <w:u w:val="single" w:color="auto"/>
            <w:color w:val="0000FF"/>
          </w:rPr>
          <w:t>Credit Agreement, dated as of October 6, 2021, by and among FWR Holding Corporation, AI Fresh Parent,</w:t>
        </w:r>
      </w:hyperlink>
      <w:r>
        <w:rPr>
          <w:rFonts w:ascii="Arial" w:cs="Arial" w:eastAsia="Arial" w:hAnsi="Arial"/>
          <w:sz w:val="12"/>
          <w:szCs w:val="12"/>
          <w:u w:val="single" w:color="auto"/>
          <w:color w:val="0000FF"/>
        </w:rPr>
        <w:t xml:space="preserve"> </w:t>
      </w:r>
      <w:hyperlink r:id="rId153">
        <w:r>
          <w:rPr>
            <w:rFonts w:ascii="Arial" w:cs="Arial" w:eastAsia="Arial" w:hAnsi="Arial"/>
            <w:sz w:val="12"/>
            <w:szCs w:val="12"/>
            <w:u w:val="single" w:color="auto"/>
            <w:color w:val="0000FF"/>
          </w:rPr>
          <w:t>Inc., the lenders party thereto, the other parties therein and Bank of America, N.A., as administrative agent</w:t>
        </w:r>
      </w:hyperlink>
    </w:p>
    <w:p>
      <w:pPr>
        <w:spacing w:after="0" w:line="1" w:lineRule="exact"/>
        <w:rPr>
          <w:sz w:val="20"/>
          <w:szCs w:val="20"/>
          <w:color w:val="auto"/>
        </w:rPr>
      </w:pPr>
    </w:p>
    <w:p>
      <w:pPr>
        <w:ind w:right="340"/>
        <w:spacing w:after="0" w:line="236"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Credit Agreement, dated as of August 21, 2017, between FWR Holding Corporation as Borrower, the</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lenders party thereto, and Golub Capital Markets LLC, as administrative agent</w:t>
        </w:r>
      </w:hyperlink>
    </w:p>
    <w:p>
      <w:pPr>
        <w:spacing w:after="0" w:line="140" w:lineRule="exact"/>
        <w:rPr>
          <w:sz w:val="20"/>
          <w:szCs w:val="20"/>
          <w:color w:val="auto"/>
        </w:rPr>
      </w:pPr>
    </w:p>
    <w:p>
      <w:pPr>
        <w:ind w:right="20"/>
        <w:spacing w:after="0" w:line="312" w:lineRule="auto"/>
        <w:rPr>
          <w:rFonts w:ascii="Arial" w:cs="Arial" w:eastAsia="Arial" w:hAnsi="Arial"/>
          <w:sz w:val="12"/>
          <w:szCs w:val="12"/>
          <w:u w:val="single" w:color="auto"/>
          <w:color w:val="0000FF"/>
        </w:rPr>
      </w:pPr>
      <w:hyperlink r:id="rId155">
        <w:r>
          <w:rPr>
            <w:rFonts w:ascii="Arial" w:cs="Arial" w:eastAsia="Arial" w:hAnsi="Arial"/>
            <w:sz w:val="12"/>
            <w:szCs w:val="12"/>
            <w:u w:val="single" w:color="auto"/>
            <w:color w:val="0000FF"/>
          </w:rPr>
          <w:t>First Amendment to Credit Agreement, dated as of February 28, 2019, between FWR Holding Corporation</w:t>
        </w:r>
      </w:hyperlink>
      <w:r>
        <w:rPr>
          <w:rFonts w:ascii="Arial" w:cs="Arial" w:eastAsia="Arial" w:hAnsi="Arial"/>
          <w:sz w:val="12"/>
          <w:szCs w:val="12"/>
          <w:u w:val="single" w:color="auto"/>
          <w:color w:val="0000FF"/>
        </w:rPr>
        <w:t xml:space="preserve"> </w:t>
      </w:r>
      <w:hyperlink r:id="rId155">
        <w:r>
          <w:rPr>
            <w:rFonts w:ascii="Arial" w:cs="Arial" w:eastAsia="Arial" w:hAnsi="Arial"/>
            <w:sz w:val="12"/>
            <w:szCs w:val="12"/>
            <w:u w:val="single" w:color="auto"/>
            <w:color w:val="0000FF"/>
          </w:rPr>
          <w:t>as Borrower, the lenders party thereto, and Golub Capital Markets LLC, as administrative agent</w:t>
        </w:r>
      </w:hyperlink>
    </w:p>
    <w:p>
      <w:pPr>
        <w:spacing w:after="0" w:line="341" w:lineRule="exact"/>
        <w:rPr>
          <w:sz w:val="20"/>
          <w:szCs w:val="20"/>
          <w:color w:val="auto"/>
        </w:rPr>
      </w:pPr>
    </w:p>
    <w:p>
      <w:pPr>
        <w:ind w:right="280"/>
        <w:spacing w:after="0" w:line="226"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Second Amendment to Credit Agreement, dated as of December 20, 2019, between FWR Holding</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Corporation as Borrower, the lenders party thereto, and Golub Capital Markets LLC, as administrative</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agent</w:t>
        </w:r>
      </w:hyperlink>
    </w:p>
    <w:p>
      <w:pPr>
        <w:spacing w:after="0" w:line="1" w:lineRule="exact"/>
        <w:rPr>
          <w:rFonts w:ascii="Arial" w:cs="Arial" w:eastAsia="Arial" w:hAnsi="Arial"/>
          <w:sz w:val="14"/>
          <w:szCs w:val="14"/>
          <w:u w:val="single" w:color="auto"/>
          <w:color w:val="0000FF"/>
        </w:rPr>
      </w:pPr>
    </w:p>
    <w:p>
      <w:pPr>
        <w:ind w:right="40"/>
        <w:spacing w:after="0" w:line="270" w:lineRule="auto"/>
        <w:rPr>
          <w:rFonts w:ascii="Arial" w:cs="Arial" w:eastAsia="Arial" w:hAnsi="Arial"/>
          <w:sz w:val="13"/>
          <w:szCs w:val="13"/>
          <w:u w:val="single" w:color="auto"/>
          <w:color w:val="0000FF"/>
        </w:rPr>
      </w:pPr>
      <w:hyperlink r:id="rId157">
        <w:r>
          <w:rPr>
            <w:rFonts w:ascii="Arial" w:cs="Arial" w:eastAsia="Arial" w:hAnsi="Arial"/>
            <w:sz w:val="13"/>
            <w:szCs w:val="13"/>
            <w:u w:val="single" w:color="auto"/>
            <w:color w:val="0000FF"/>
          </w:rPr>
          <w:t>Third Amendment to Credit Agreement, dated as of April 27, 2020, between FWR Holding Corporation as</w:t>
        </w:r>
      </w:hyperlink>
      <w:r>
        <w:rPr>
          <w:rFonts w:ascii="Arial" w:cs="Arial" w:eastAsia="Arial" w:hAnsi="Arial"/>
          <w:sz w:val="13"/>
          <w:szCs w:val="13"/>
          <w:u w:val="single" w:color="auto"/>
          <w:color w:val="0000FF"/>
        </w:rPr>
        <w:t xml:space="preserve"> </w:t>
      </w:r>
      <w:hyperlink r:id="rId157">
        <w:r>
          <w:rPr>
            <w:rFonts w:ascii="Arial" w:cs="Arial" w:eastAsia="Arial" w:hAnsi="Arial"/>
            <w:sz w:val="13"/>
            <w:szCs w:val="13"/>
            <w:u w:val="single" w:color="auto"/>
            <w:color w:val="0000FF"/>
          </w:rPr>
          <w:t>Borrower, the lenders party thereto, and Golub Capital Markets LLC, as administrative agent</w:t>
        </w:r>
      </w:hyperlink>
    </w:p>
    <w:p>
      <w:pPr>
        <w:spacing w:after="0" w:line="364" w:lineRule="exact"/>
        <w:rPr>
          <w:sz w:val="20"/>
          <w:szCs w:val="20"/>
          <w:color w:val="auto"/>
        </w:rPr>
      </w:pPr>
    </w:p>
    <w:p>
      <w:pPr>
        <w:ind w:right="20"/>
        <w:spacing w:after="0" w:line="276" w:lineRule="auto"/>
        <w:rPr>
          <w:rFonts w:ascii="Arial" w:cs="Arial" w:eastAsia="Arial" w:hAnsi="Arial"/>
          <w:sz w:val="12"/>
          <w:szCs w:val="12"/>
          <w:u w:val="single" w:color="auto"/>
          <w:color w:val="0000FF"/>
        </w:rPr>
      </w:pPr>
      <w:hyperlink r:id="rId158">
        <w:r>
          <w:rPr>
            <w:rFonts w:ascii="Arial" w:cs="Arial" w:eastAsia="Arial" w:hAnsi="Arial"/>
            <w:sz w:val="12"/>
            <w:szCs w:val="12"/>
            <w:u w:val="single" w:color="auto"/>
            <w:color w:val="0000FF"/>
          </w:rPr>
          <w:t>Fourth Amendment to Credit Agreement, dated as of August 14, 2020, between FWR Holding Corporation</w:t>
        </w:r>
      </w:hyperlink>
      <w:r>
        <w:rPr>
          <w:rFonts w:ascii="Arial" w:cs="Arial" w:eastAsia="Arial" w:hAnsi="Arial"/>
          <w:sz w:val="12"/>
          <w:szCs w:val="12"/>
          <w:u w:val="single" w:color="auto"/>
          <w:color w:val="0000FF"/>
        </w:rPr>
        <w:t xml:space="preserve"> </w:t>
      </w:r>
      <w:hyperlink r:id="rId158">
        <w:r>
          <w:rPr>
            <w:rFonts w:ascii="Arial" w:cs="Arial" w:eastAsia="Arial" w:hAnsi="Arial"/>
            <w:sz w:val="12"/>
            <w:szCs w:val="12"/>
            <w:u w:val="single" w:color="auto"/>
            <w:color w:val="0000FF"/>
          </w:rPr>
          <w:t>as Borrower, the lenders party thereto, and Golub Capital Markets LLC, as Administrative Agent</w:t>
        </w:r>
      </w:hyperlink>
    </w:p>
    <w:p>
      <w:pPr>
        <w:spacing w:after="0" w:line="1" w:lineRule="exact"/>
        <w:rPr>
          <w:sz w:val="20"/>
          <w:szCs w:val="20"/>
          <w:color w:val="auto"/>
        </w:rPr>
      </w:pPr>
    </w:p>
    <w:p>
      <w:pPr>
        <w:ind w:right="580"/>
        <w:spacing w:after="0" w:line="236" w:lineRule="auto"/>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Employment Agreement, dated March 9, 2022, by and between First Watch Restaurants, Inc. and</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Christopher A. Tomasso</w:t>
        </w:r>
      </w:hyperlink>
    </w:p>
    <w:p>
      <w:pPr>
        <w:spacing w:after="0" w:line="384" w:lineRule="exact"/>
        <w:rPr>
          <w:sz w:val="20"/>
          <w:szCs w:val="20"/>
          <w:color w:val="auto"/>
        </w:rPr>
      </w:pPr>
    </w:p>
    <w:p>
      <w:pPr>
        <w:ind w:right="100"/>
        <w:spacing w:after="0" w:line="236" w:lineRule="auto"/>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Employment Agreement, dated August 21, 2017, by and between First Watch Restaurants, Inc. and Laura</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Sorensen</w:t>
        </w:r>
      </w:hyperlink>
    </w:p>
    <w:p>
      <w:pPr>
        <w:spacing w:after="0" w:line="384" w:lineRule="exact"/>
        <w:rPr>
          <w:sz w:val="20"/>
          <w:szCs w:val="20"/>
          <w:color w:val="auto"/>
        </w:rPr>
      </w:pPr>
    </w:p>
    <w:p>
      <w:pPr>
        <w:spacing w:after="0"/>
        <w:rPr>
          <w:rFonts w:ascii="Arial" w:cs="Arial" w:eastAsia="Arial" w:hAnsi="Arial"/>
          <w:sz w:val="13"/>
          <w:szCs w:val="13"/>
          <w:u w:val="single" w:color="auto"/>
          <w:color w:val="0000FF"/>
        </w:rPr>
      </w:pPr>
      <w:hyperlink r:id="rId161">
        <w:r>
          <w:rPr>
            <w:rFonts w:ascii="Arial" w:cs="Arial" w:eastAsia="Arial" w:hAnsi="Arial"/>
            <w:sz w:val="13"/>
            <w:szCs w:val="13"/>
            <w:u w:val="single" w:color="auto"/>
            <w:color w:val="0000FF"/>
          </w:rPr>
          <w:t>Letter Agreement, dated February 1, 2021, by and between First Watch Restaurants, Inc. and Kenneth L.</w:t>
        </w:r>
      </w:hyperlink>
    </w:p>
    <w:p>
      <w:pPr>
        <w:spacing w:after="0" w:line="11" w:lineRule="exact"/>
        <w:rPr>
          <w:sz w:val="20"/>
          <w:szCs w:val="20"/>
          <w:color w:val="auto"/>
        </w:rPr>
      </w:pPr>
    </w:p>
    <w:p>
      <w:pPr>
        <w:spacing w:after="0"/>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Pendery, Jr.</w:t>
        </w:r>
      </w:hyperlink>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820"/>
        <w:spacing w:after="0" w:line="342" w:lineRule="auto"/>
        <w:rPr>
          <w:sz w:val="20"/>
          <w:szCs w:val="20"/>
          <w:color w:val="auto"/>
        </w:rPr>
      </w:pPr>
      <w:r>
        <w:rPr>
          <w:rFonts w:ascii="Arial" w:cs="Arial" w:eastAsia="Arial" w:hAnsi="Arial"/>
          <w:sz w:val="12"/>
          <w:szCs w:val="12"/>
          <w:color w:val="auto"/>
        </w:rPr>
        <w:t>October 6, 2021 Form 8-K, Exhibit 3.1 October 6, 2021 Form 8-K, Exhibit 3.2 September 7, 2021 Form S-1, Exhibit 4.1</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October 6, 2021, Form 8-K, Exhibit 10.1</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10.1(a)</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10.1(b)</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10.1(c)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10.1(d)</w:t>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10.1(e)</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March 11, 2022, Form 8-K, Exhibit 10.1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September 7, 2021, Form S-1, Exhibit 10.4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September 7, 2021, Form S-1, Exhibit 10.8</w:t>
      </w:r>
    </w:p>
    <w:p>
      <w:pPr>
        <w:spacing w:after="0" w:line="205" w:lineRule="exact"/>
        <w:rPr>
          <w:sz w:val="20"/>
          <w:szCs w:val="20"/>
          <w:color w:val="auto"/>
        </w:rPr>
      </w:pPr>
    </w:p>
    <w:p>
      <w:pPr>
        <w:sectPr>
          <w:pgSz w:w="11900" w:h="16838" w:orient="portrait"/>
          <w:cols w:equalWidth="0" w:num="3">
            <w:col w:w="600" w:space="300"/>
            <w:col w:w="6080" w:space="160"/>
            <w:col w:w="4040"/>
          </w:cols>
          <w:pgMar w:left="300" w:top="13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9" w:right="4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7020" w:type="dxa"/>
            <w:vAlign w:val="bottom"/>
            <w:gridSpan w:val="6"/>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vMerge w:val="restart"/>
          </w:tcPr>
          <w:p>
            <w:pPr>
              <w:ind w:left="12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line="20" w:lineRule="exact"/>
              <w:rPr>
                <w:sz w:val="1"/>
                <w:szCs w:val="1"/>
                <w:color w:val="auto"/>
              </w:rPr>
            </w:pPr>
          </w:p>
        </w:tc>
      </w:tr>
      <w:tr>
        <w:trPr>
          <w:trHeight w:val="638"/>
        </w:trPr>
        <w:tc>
          <w:tcPr>
            <w:tcW w:w="900" w:type="dxa"/>
            <w:vAlign w:val="bottom"/>
          </w:tcPr>
          <w:p>
            <w:pPr>
              <w:jc w:val="right"/>
              <w:ind w:right="269"/>
              <w:spacing w:after="0"/>
              <w:rPr>
                <w:sz w:val="20"/>
                <w:szCs w:val="20"/>
                <w:color w:val="auto"/>
              </w:rPr>
            </w:pPr>
            <w:r>
              <w:rPr>
                <w:rFonts w:ascii="Arial" w:cs="Arial" w:eastAsia="Arial" w:hAnsi="Arial"/>
                <w:sz w:val="14"/>
                <w:szCs w:val="14"/>
                <w:color w:val="auto"/>
              </w:rPr>
              <w:t>10.7*</w:t>
            </w:r>
          </w:p>
        </w:tc>
        <w:tc>
          <w:tcPr>
            <w:tcW w:w="566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159">
              <w:r>
                <w:rPr>
                  <w:rFonts w:ascii="Arial" w:cs="Arial" w:eastAsia="Arial" w:hAnsi="Arial"/>
                  <w:sz w:val="14"/>
                  <w:szCs w:val="14"/>
                  <w:color w:val="0000FF"/>
                  <w:w w:val="90"/>
                </w:rPr>
                <w:t>Letter Agreement, dated July 12, 2018, by and between First Watch Restaurants, Inc. and Mel Hope</w:t>
              </w:r>
            </w:hyperlink>
          </w:p>
        </w:tc>
        <w:tc>
          <w:tcPr>
            <w:tcW w:w="460" w:type="dxa"/>
            <w:vAlign w:val="bottom"/>
            <w:gridSpan w:val="2"/>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vMerge w:val="restart"/>
          </w:tcPr>
          <w:p>
            <w:pPr>
              <w:jc w:val="right"/>
              <w:ind w:right="269"/>
              <w:spacing w:after="0"/>
              <w:rPr>
                <w:sz w:val="20"/>
                <w:szCs w:val="20"/>
                <w:color w:val="auto"/>
              </w:rPr>
            </w:pPr>
            <w:r>
              <w:rPr>
                <w:rFonts w:ascii="Arial" w:cs="Arial" w:eastAsia="Arial" w:hAnsi="Arial"/>
                <w:sz w:val="14"/>
                <w:szCs w:val="14"/>
                <w:color w:val="auto"/>
              </w:rPr>
              <w:t>10.8*</w:t>
            </w:r>
          </w:p>
        </w:tc>
        <w:tc>
          <w:tcPr>
            <w:tcW w:w="6120" w:type="dxa"/>
            <w:vAlign w:val="bottom"/>
            <w:gridSpan w:val="5"/>
          </w:tcPr>
          <w:p>
            <w:pPr>
              <w:spacing w:after="0"/>
              <w:rPr>
                <w:rFonts w:ascii="Arial" w:cs="Arial" w:eastAsia="Arial" w:hAnsi="Arial"/>
                <w:sz w:val="14"/>
                <w:szCs w:val="14"/>
                <w:color w:val="0000FF"/>
                <w:w w:val="94"/>
              </w:rPr>
            </w:pPr>
            <w:hyperlink r:id="rId163">
              <w:r>
                <w:rPr>
                  <w:rFonts w:ascii="Arial" w:cs="Arial" w:eastAsia="Arial" w:hAnsi="Arial"/>
                  <w:sz w:val="14"/>
                  <w:szCs w:val="14"/>
                  <w:color w:val="0000FF"/>
                  <w:w w:val="94"/>
                </w:rPr>
                <w:t>First Watch Restaurant Group, Inc. 2017 Omnibus Equity Incentive Plan (formerly known as the AI Fresh</w:t>
              </w:r>
            </w:hyperlink>
          </w:p>
        </w:tc>
        <w:tc>
          <w:tcPr>
            <w:tcW w:w="2440" w:type="dxa"/>
            <w:vAlign w:val="bottom"/>
            <w:vMerge w:val="restart"/>
          </w:tcPr>
          <w:p>
            <w:pPr>
              <w:ind w:left="120"/>
              <w:spacing w:after="0"/>
              <w:rPr>
                <w:sz w:val="20"/>
                <w:szCs w:val="20"/>
                <w:color w:val="auto"/>
              </w:rPr>
            </w:pPr>
            <w:r>
              <w:rPr>
                <w:rFonts w:ascii="Arial" w:cs="Arial" w:eastAsia="Arial" w:hAnsi="Arial"/>
                <w:sz w:val="13"/>
                <w:szCs w:val="13"/>
                <w:color w:val="auto"/>
                <w:w w:val="93"/>
              </w:rPr>
              <w:t>September 7, 2021, Form S-1, Exhibit 10.3</w:t>
            </w:r>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6000" w:type="dxa"/>
            <w:vAlign w:val="bottom"/>
            <w:tcBorders>
              <w:top w:val="single" w:sz="8" w:color="0000FF"/>
            </w:tcBorders>
            <w:gridSpan w:val="4"/>
            <w:vMerge w:val="restart"/>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Super Holdco, Inc. 2017 Omnibus Equity Incentive Plan)</w:t>
              </w:r>
            </w:hyperlink>
          </w:p>
        </w:tc>
        <w:tc>
          <w:tcPr>
            <w:tcW w:w="120" w:type="dxa"/>
            <w:vAlign w:val="bottom"/>
            <w:vMerge w:val="restart"/>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900" w:type="dxa"/>
            <w:vAlign w:val="bottom"/>
          </w:tcPr>
          <w:p>
            <w:pPr>
              <w:spacing w:after="0"/>
              <w:rPr>
                <w:sz w:val="3"/>
                <w:szCs w:val="3"/>
                <w:color w:val="auto"/>
              </w:rPr>
            </w:pPr>
          </w:p>
        </w:tc>
        <w:tc>
          <w:tcPr>
            <w:tcW w:w="6000" w:type="dxa"/>
            <w:vAlign w:val="bottom"/>
            <w:gridSpan w:val="4"/>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1">
            <w:col w:w="11280"/>
          </w:cols>
          <w:pgMar w:left="300" w:top="127" w:right="319" w:bottom="1440" w:gutter="0" w:footer="0" w:header="0"/>
        </w:sectPr>
      </w:pPr>
    </w:p>
    <w:tbl>
      <w:tblPr>
        <w:tblLayout w:type="fixed"/>
        <w:tblInd w:w="200" w:type="dxa"/>
        <w:tblCellMar>
          <w:top w:w="0" w:type="dxa"/>
          <w:left w:w="0" w:type="dxa"/>
          <w:bottom w:w="0" w:type="dxa"/>
          <w:right w:w="0" w:type="dxa"/>
        </w:tblCellMar>
      </w:tblPr>
      <w:tr>
        <w:trPr>
          <w:trHeight w:val="161"/>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97"/>
              </w:rPr>
              <w:t>10.9*</w:t>
            </w:r>
          </w:p>
        </w:tc>
        <w:tc>
          <w:tcPr>
            <w:tcW w:w="3560" w:type="dxa"/>
            <w:vAlign w:val="bottom"/>
            <w:tcBorders>
              <w:bottom w:val="single" w:sz="8" w:color="0000FF"/>
            </w:tcBorders>
            <w:gridSpan w:val="4"/>
          </w:tcPr>
          <w:p>
            <w:pPr>
              <w:spacing w:after="0"/>
              <w:rPr>
                <w:rFonts w:ascii="Arial" w:cs="Arial" w:eastAsia="Arial" w:hAnsi="Arial"/>
                <w:sz w:val="14"/>
                <w:szCs w:val="14"/>
                <w:color w:val="0000FF"/>
                <w:w w:val="91"/>
              </w:rPr>
            </w:pPr>
            <w:hyperlink w:anchor="page165">
              <w:r>
                <w:rPr>
                  <w:rFonts w:ascii="Arial" w:cs="Arial" w:eastAsia="Arial" w:hAnsi="Arial"/>
                  <w:sz w:val="14"/>
                  <w:szCs w:val="14"/>
                  <w:color w:val="0000FF"/>
                  <w:w w:val="91"/>
                </w:rPr>
                <w:t>First Watch Restaurant Group, Inc. 2021 Equity Incentive Plan</w:t>
              </w:r>
            </w:hyperlink>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98"/>
              </w:rPr>
              <w:t>10.10*</w:t>
            </w:r>
          </w:p>
        </w:tc>
        <w:tc>
          <w:tcPr>
            <w:tcW w:w="3860" w:type="dxa"/>
            <w:vAlign w:val="bottom"/>
            <w:gridSpan w:val="5"/>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Form of 2022 Stock Option Agreement</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0" w:type="dxa"/>
            <w:vAlign w:val="bottom"/>
          </w:tcPr>
          <w:p>
            <w:pPr>
              <w:jc w:val="center"/>
              <w:ind w:right="209"/>
              <w:spacing w:after="0"/>
              <w:rPr>
                <w:sz w:val="20"/>
                <w:szCs w:val="20"/>
                <w:color w:val="auto"/>
              </w:rPr>
            </w:pPr>
            <w:r>
              <w:rPr>
                <w:rFonts w:ascii="Arial" w:cs="Arial" w:eastAsia="Arial" w:hAnsi="Arial"/>
                <w:sz w:val="14"/>
                <w:szCs w:val="14"/>
                <w:color w:val="auto"/>
                <w:w w:val="93"/>
              </w:rPr>
              <w:t>10.11*</w:t>
            </w:r>
          </w:p>
        </w:tc>
        <w:tc>
          <w:tcPr>
            <w:tcW w:w="6080" w:type="dxa"/>
            <w:vAlign w:val="bottom"/>
            <w:gridSpan w:val="12"/>
          </w:tcPr>
          <w:p>
            <w:pPr>
              <w:spacing w:after="0"/>
              <w:rPr>
                <w:rFonts w:ascii="Arial" w:cs="Arial" w:eastAsia="Arial" w:hAnsi="Arial"/>
                <w:sz w:val="14"/>
                <w:szCs w:val="14"/>
                <w:color w:val="0000FF"/>
              </w:rPr>
            </w:pPr>
            <w:hyperlink r:id="rId164">
              <w:r>
                <w:rPr>
                  <w:rFonts w:ascii="Arial" w:cs="Arial" w:eastAsia="Arial" w:hAnsi="Arial"/>
                  <w:sz w:val="14"/>
                  <w:szCs w:val="14"/>
                  <w:color w:val="0000FF"/>
                </w:rPr>
                <w:t>Form of Director Indemnification Agreement for First Watch Restaurant Group, Inc.</w:t>
              </w:r>
            </w:hyperlink>
          </w:p>
        </w:tc>
        <w:tc>
          <w:tcPr>
            <w:tcW w:w="0" w:type="dxa"/>
            <w:vAlign w:val="bottom"/>
          </w:tcPr>
          <w:p>
            <w:pPr>
              <w:spacing w:after="0"/>
              <w:rPr>
                <w:sz w:val="1"/>
                <w:szCs w:val="1"/>
                <w:color w:val="auto"/>
              </w:rPr>
            </w:pPr>
          </w:p>
        </w:tc>
      </w:tr>
      <w:tr>
        <w:trPr>
          <w:trHeight w:val="171"/>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87"/>
              </w:rPr>
              <w:t>21.1</w:t>
            </w:r>
          </w:p>
        </w:tc>
        <w:tc>
          <w:tcPr>
            <w:tcW w:w="1080" w:type="dxa"/>
            <w:vAlign w:val="bottom"/>
            <w:tcBorders>
              <w:top w:val="single" w:sz="8" w:color="0000FF"/>
              <w:bottom w:val="single" w:sz="8" w:color="0000FF"/>
            </w:tcBorders>
          </w:tcPr>
          <w:p>
            <w:pPr>
              <w:spacing w:after="0"/>
              <w:rPr>
                <w:rFonts w:ascii="Arial" w:cs="Arial" w:eastAsia="Arial" w:hAnsi="Arial"/>
                <w:sz w:val="14"/>
                <w:szCs w:val="14"/>
                <w:color w:val="0000FF"/>
                <w:w w:val="92"/>
              </w:rPr>
            </w:pPr>
            <w:hyperlink w:anchor="page198">
              <w:r>
                <w:rPr>
                  <w:rFonts w:ascii="Arial" w:cs="Arial" w:eastAsia="Arial" w:hAnsi="Arial"/>
                  <w:sz w:val="14"/>
                  <w:szCs w:val="14"/>
                  <w:color w:val="0000FF"/>
                  <w:w w:val="92"/>
                </w:rPr>
                <w:t>List of subsidiaries</w:t>
              </w:r>
            </w:hyperlink>
          </w:p>
        </w:tc>
        <w:tc>
          <w:tcPr>
            <w:tcW w:w="2780" w:type="dxa"/>
            <w:vAlign w:val="bottom"/>
            <w:tcBorders>
              <w:top w:val="single" w:sz="8" w:color="0000FF"/>
            </w:tcBorders>
            <w:gridSpan w:val="4"/>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87"/>
              </w:rPr>
              <w:t>23.1</w:t>
            </w:r>
          </w:p>
        </w:tc>
        <w:tc>
          <w:tcPr>
            <w:tcW w:w="340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199">
              <w:r>
                <w:rPr>
                  <w:rFonts w:ascii="Arial" w:cs="Arial" w:eastAsia="Arial" w:hAnsi="Arial"/>
                  <w:sz w:val="14"/>
                  <w:szCs w:val="14"/>
                  <w:color w:val="0000FF"/>
                  <w:w w:val="91"/>
                </w:rPr>
                <w:t>Consent of Independent Registered Public Accounting Firm</w:t>
              </w:r>
            </w:hyperlink>
          </w:p>
        </w:tc>
        <w:tc>
          <w:tcPr>
            <w:tcW w:w="4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87"/>
              </w:rPr>
              <w:t>24.1</w:t>
            </w:r>
          </w:p>
        </w:tc>
        <w:tc>
          <w:tcPr>
            <w:tcW w:w="4820" w:type="dxa"/>
            <w:vAlign w:val="bottom"/>
            <w:tcBorders>
              <w:bottom w:val="single" w:sz="8" w:color="0000FF"/>
            </w:tcBorders>
            <w:gridSpan w:val="9"/>
          </w:tcPr>
          <w:p>
            <w:pPr>
              <w:spacing w:after="0"/>
              <w:rPr>
                <w:rFonts w:ascii="Arial" w:cs="Arial" w:eastAsia="Arial" w:hAnsi="Arial"/>
                <w:sz w:val="14"/>
                <w:szCs w:val="14"/>
                <w:color w:val="0000FF"/>
                <w:w w:val="92"/>
              </w:rPr>
            </w:pPr>
            <w:hyperlink w:anchor="page99">
              <w:r>
                <w:rPr>
                  <w:rFonts w:ascii="Arial" w:cs="Arial" w:eastAsia="Arial" w:hAnsi="Arial"/>
                  <w:sz w:val="14"/>
                  <w:szCs w:val="14"/>
                  <w:color w:val="0000FF"/>
                  <w:w w:val="92"/>
                </w:rPr>
                <w:t>Power of Attorney (included on signature page of this Annual Report on Form 10-K)</w:t>
              </w:r>
            </w:hyperlink>
          </w:p>
        </w:tc>
        <w:tc>
          <w:tcPr>
            <w:tcW w:w="12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87"/>
              </w:rPr>
              <w:t>31.1</w:t>
            </w:r>
          </w:p>
        </w:tc>
        <w:tc>
          <w:tcPr>
            <w:tcW w:w="5860" w:type="dxa"/>
            <w:vAlign w:val="bottom"/>
            <w:tcBorders>
              <w:bottom w:val="single" w:sz="8" w:color="0000FF"/>
            </w:tcBorders>
            <w:gridSpan w:val="11"/>
          </w:tcPr>
          <w:p>
            <w:pPr>
              <w:spacing w:after="0"/>
              <w:rPr>
                <w:rFonts w:ascii="Arial" w:cs="Arial" w:eastAsia="Arial" w:hAnsi="Arial"/>
                <w:sz w:val="14"/>
                <w:szCs w:val="14"/>
                <w:color w:val="0000FF"/>
                <w:w w:val="92"/>
              </w:rPr>
            </w:pPr>
            <w:hyperlink w:anchor="page200">
              <w:r>
                <w:rPr>
                  <w:rFonts w:ascii="Arial" w:cs="Arial" w:eastAsia="Arial" w:hAnsi="Arial"/>
                  <w:sz w:val="14"/>
                  <w:szCs w:val="14"/>
                  <w:color w:val="0000FF"/>
                  <w:w w:val="92"/>
                </w:rPr>
                <w:t>Certification of the Chief Executive Officer pursuant to Section 302 of the Sarbanes-Oxley Act of 2002</w:t>
              </w:r>
            </w:hyperlink>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center"/>
              <w:ind w:right="229"/>
              <w:spacing w:after="0"/>
              <w:rPr>
                <w:sz w:val="20"/>
                <w:szCs w:val="20"/>
                <w:color w:val="auto"/>
              </w:rPr>
            </w:pPr>
            <w:r>
              <w:rPr>
                <w:rFonts w:ascii="Arial" w:cs="Arial" w:eastAsia="Arial" w:hAnsi="Arial"/>
                <w:sz w:val="14"/>
                <w:szCs w:val="14"/>
                <w:color w:val="auto"/>
                <w:w w:val="87"/>
              </w:rPr>
              <w:t>31.2</w:t>
            </w:r>
          </w:p>
        </w:tc>
        <w:tc>
          <w:tcPr>
            <w:tcW w:w="5820" w:type="dxa"/>
            <w:vAlign w:val="bottom"/>
            <w:tcBorders>
              <w:bottom w:val="single" w:sz="8" w:color="0000FF"/>
            </w:tcBorders>
            <w:gridSpan w:val="10"/>
          </w:tcPr>
          <w:p>
            <w:pPr>
              <w:spacing w:after="0"/>
              <w:rPr>
                <w:rFonts w:ascii="Arial" w:cs="Arial" w:eastAsia="Arial" w:hAnsi="Arial"/>
                <w:sz w:val="14"/>
                <w:szCs w:val="14"/>
                <w:color w:val="0000FF"/>
                <w:w w:val="92"/>
              </w:rPr>
            </w:pPr>
            <w:hyperlink w:anchor="page201">
              <w:r>
                <w:rPr>
                  <w:rFonts w:ascii="Arial" w:cs="Arial" w:eastAsia="Arial" w:hAnsi="Arial"/>
                  <w:sz w:val="14"/>
                  <w:szCs w:val="14"/>
                  <w:color w:val="0000FF"/>
                  <w:w w:val="92"/>
                </w:rPr>
                <w:t>Certification of the Chief Financial Officer pursuant to Section 302 of the Sarbanes-Oxley Act of 2002</w:t>
              </w:r>
            </w:hyperlink>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0" w:type="dxa"/>
            <w:vAlign w:val="bottom"/>
            <w:vMerge w:val="restart"/>
          </w:tcPr>
          <w:p>
            <w:pPr>
              <w:jc w:val="center"/>
              <w:ind w:right="229"/>
              <w:spacing w:after="0"/>
              <w:rPr>
                <w:sz w:val="20"/>
                <w:szCs w:val="20"/>
                <w:color w:val="auto"/>
              </w:rPr>
            </w:pPr>
            <w:r>
              <w:rPr>
                <w:rFonts w:ascii="Arial" w:cs="Arial" w:eastAsia="Arial" w:hAnsi="Arial"/>
                <w:sz w:val="14"/>
                <w:szCs w:val="14"/>
                <w:color w:val="auto"/>
                <w:w w:val="87"/>
              </w:rPr>
              <w:t>32.1</w:t>
            </w:r>
          </w:p>
        </w:tc>
        <w:tc>
          <w:tcPr>
            <w:tcW w:w="6080" w:type="dxa"/>
            <w:vAlign w:val="bottom"/>
            <w:gridSpan w:val="12"/>
          </w:tcPr>
          <w:p>
            <w:pPr>
              <w:spacing w:after="0" w:line="150" w:lineRule="exact"/>
              <w:rPr>
                <w:rFonts w:ascii="Arial" w:cs="Arial" w:eastAsia="Arial" w:hAnsi="Arial"/>
                <w:sz w:val="14"/>
                <w:szCs w:val="14"/>
                <w:u w:val="single" w:color="auto"/>
                <w:color w:val="0000FF"/>
                <w:w w:val="93"/>
              </w:rPr>
            </w:pPr>
            <w:hyperlink w:anchor="page202">
              <w:r>
                <w:rPr>
                  <w:rFonts w:ascii="Arial" w:cs="Arial" w:eastAsia="Arial" w:hAnsi="Arial"/>
                  <w:sz w:val="14"/>
                  <w:szCs w:val="14"/>
                  <w:u w:val="single" w:color="auto"/>
                  <w:color w:val="0000FF"/>
                  <w:w w:val="93"/>
                </w:rPr>
                <w:t>Certification of Chief Executive Officer and Chief Financial Officer pursuant to 18 U.S.C. Section 1350, as</w:t>
              </w:r>
            </w:hyperlink>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3860" w:type="dxa"/>
            <w:vAlign w:val="bottom"/>
            <w:gridSpan w:val="5"/>
            <w:vMerge w:val="restart"/>
          </w:tcPr>
          <w:p>
            <w:pPr>
              <w:spacing w:after="0" w:line="149" w:lineRule="exact"/>
              <w:rPr>
                <w:rFonts w:ascii="Arial" w:cs="Arial" w:eastAsia="Arial" w:hAnsi="Arial"/>
                <w:sz w:val="14"/>
                <w:szCs w:val="14"/>
                <w:color w:val="0000FF"/>
                <w:w w:val="91"/>
              </w:rPr>
            </w:pPr>
            <w:hyperlink w:anchor="page202">
              <w:r>
                <w:rPr>
                  <w:rFonts w:ascii="Arial" w:cs="Arial" w:eastAsia="Arial" w:hAnsi="Arial"/>
                  <w:sz w:val="14"/>
                  <w:szCs w:val="14"/>
                  <w:color w:val="0000FF"/>
                  <w:w w:val="91"/>
                </w:rPr>
                <w:t>adopted pursuant to Section 906 of the Sarbanes-Oxley Act of 2002</w:t>
              </w:r>
            </w:hyperlink>
          </w:p>
        </w:tc>
        <w:tc>
          <w:tcPr>
            <w:tcW w:w="160" w:type="dxa"/>
            <w:vAlign w:val="bottom"/>
            <w:tcBorders>
              <w:bottom w:val="single" w:sz="8" w:color="0000FF"/>
            </w:tcBorders>
            <w:gridSpan w:val="2"/>
          </w:tcPr>
          <w:p>
            <w:pPr>
              <w:jc w:val="right"/>
              <w:spacing w:after="0" w:line="33" w:lineRule="exact"/>
              <w:rPr>
                <w:rFonts w:ascii="Arial" w:cs="Arial" w:eastAsia="Arial" w:hAnsi="Arial"/>
                <w:sz w:val="3"/>
                <w:szCs w:val="3"/>
                <w:color w:val="0000FF"/>
              </w:rPr>
            </w:pPr>
            <w:hyperlink w:anchor="page202">
              <w:r>
                <w:rPr>
                  <w:rFonts w:ascii="Arial" w:cs="Arial" w:eastAsia="Arial" w:hAnsi="Arial"/>
                  <w:sz w:val="3"/>
                  <w:szCs w:val="3"/>
                  <w:color w:val="0000FF"/>
                </w:rPr>
                <w:t>(**)</w:t>
              </w:r>
            </w:hyperlink>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3860" w:type="dxa"/>
            <w:vAlign w:val="bottom"/>
            <w:tcBorders>
              <w:bottom w:val="single" w:sz="8" w:color="0000FF"/>
            </w:tcBorders>
            <w:gridSpan w:val="5"/>
            <w:vMerge w:val="continue"/>
          </w:tcPr>
          <w:p>
            <w:pPr>
              <w:spacing w:after="0"/>
              <w:rPr>
                <w:sz w:val="6"/>
                <w:szCs w:val="6"/>
                <w:color w:val="auto"/>
              </w:rPr>
            </w:pPr>
          </w:p>
        </w:tc>
        <w:tc>
          <w:tcPr>
            <w:tcW w:w="20" w:type="dxa"/>
            <w:vAlign w:val="bottom"/>
            <w:tcBorders>
              <w:bottom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financial information from First Watch Restaurant Group, Inc.’s Annual Report on Form 10-K for the</w:t>
      </w:r>
    </w:p>
    <w:p>
      <w:pPr>
        <w:spacing w:after="0" w:line="11" w:lineRule="exact"/>
        <w:rPr>
          <w:sz w:val="20"/>
          <w:szCs w:val="20"/>
          <w:color w:val="auto"/>
        </w:rPr>
      </w:pPr>
    </w:p>
    <w:p>
      <w:pPr>
        <w:ind w:left="900" w:right="240" w:hanging="603"/>
        <w:spacing w:after="0" w:line="235" w:lineRule="auto"/>
        <w:tabs>
          <w:tab w:leader="none" w:pos="9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fiscal year ended December 26, 2021, filed on March 23, 2022, formatted in Inline Extensible Business Reporting Language (“iXBRL”)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Filed herewith</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September 7, 2021, Form S-1, Exhibit 10.7</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Furnished herewith</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79" w:lineRule="exact"/>
        <w:rPr>
          <w:sz w:val="20"/>
          <w:szCs w:val="20"/>
          <w:color w:val="auto"/>
        </w:rPr>
      </w:pPr>
    </w:p>
    <w:p>
      <w:pPr>
        <w:sectPr>
          <w:pgSz w:w="11900" w:h="16838" w:orient="portrait"/>
          <w:cols w:equalWidth="0" w:num="2">
            <w:col w:w="6980" w:space="160"/>
            <w:col w:w="4140"/>
          </w:cols>
          <w:pgMar w:left="300" w:top="127" w:right="319" w:bottom="1440" w:gutter="0" w:footer="0" w:header="0"/>
          <w:type w:val="continuous"/>
        </w:sectPr>
      </w:pPr>
    </w:p>
    <w:p>
      <w:pPr>
        <w:ind w:left="300"/>
        <w:spacing w:after="0"/>
        <w:tabs>
          <w:tab w:leader="none" w:pos="880" w:val="left"/>
          <w:tab w:leader="none" w:pos="71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Date File (formatted as iXBRL and contained in Exhibit 101)</w:t>
      </w:r>
      <w:r>
        <w:rPr>
          <w:sz w:val="20"/>
          <w:szCs w:val="20"/>
          <w:color w:val="auto"/>
        </w:rPr>
        <w:tab/>
      </w: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14420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442085" cy="698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 Denotes a management contract or compensatory plan or arrangement.</w:t>
      </w:r>
    </w:p>
    <w:p>
      <w:pPr>
        <w:spacing w:after="0" w:line="19" w:lineRule="exact"/>
        <w:rPr>
          <w:sz w:val="20"/>
          <w:szCs w:val="20"/>
          <w:color w:val="auto"/>
        </w:rPr>
      </w:pPr>
    </w:p>
    <w:p>
      <w:pPr>
        <w:ind w:firstLine="5"/>
        <w:spacing w:after="0" w:line="247" w:lineRule="auto"/>
        <w:tabs>
          <w:tab w:leader="none" w:pos="1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FIRST WATCH RESTAURANT GROUP, INC.</w:t>
      </w:r>
    </w:p>
    <w:p>
      <w:pPr>
        <w:spacing w:after="0" w:line="225"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Mel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12065</wp:posOffset>
            </wp:positionV>
            <wp:extent cx="29641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964180" cy="6985"/>
                    </a:xfrm>
                    <a:prstGeom prst="rect">
                      <a:avLst/>
                    </a:prstGeom>
                    <a:noFill/>
                  </pic:spPr>
                </pic:pic>
              </a:graphicData>
            </a:graphic>
          </wp:anchor>
        </w:drawing>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Mel Hope, Chief Financial Officer</w:t>
      </w:r>
    </w:p>
    <w:p>
      <w:pPr>
        <w:spacing w:after="0" w:line="19"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23, 2022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72" w:lineRule="exact"/>
        <w:rPr>
          <w:sz w:val="20"/>
          <w:szCs w:val="20"/>
          <w:color w:val="auto"/>
        </w:rPr>
      </w:pPr>
    </w:p>
    <w:p>
      <w:pPr>
        <w:jc w:val="both"/>
        <w:spacing w:after="0" w:line="218"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Christopher A. Tomasso and Mel Hope,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their substitutes, and each of them, full power and authority to do and perform each and every act and thing requisite and necessary to be done in connection therewith, as fully as he or she might or could do in person, hereby ratifying and confirming all that each of said attorneys-in-fact or their substitute or substitutes may do or cause to be done by virtue hereof.</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00" w:type="dxa"/>
            <w:vAlign w:val="bottom"/>
          </w:tcPr>
          <w:p>
            <w:pPr>
              <w:spacing w:after="0"/>
              <w:rPr>
                <w:sz w:val="16"/>
                <w:szCs w:val="16"/>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6"/>
                <w:szCs w:val="16"/>
                <w:color w:val="auto"/>
              </w:rPr>
            </w:pP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20"/>
        </w:trPr>
        <w:tc>
          <w:tcPr>
            <w:tcW w:w="3700" w:type="dxa"/>
            <w:vAlign w:val="bottom"/>
            <w:vMerge w:val="restart"/>
          </w:tcPr>
          <w:p>
            <w:pPr>
              <w:jc w:val="center"/>
              <w:spacing w:after="0"/>
              <w:rPr>
                <w:sz w:val="20"/>
                <w:szCs w:val="20"/>
                <w:color w:val="auto"/>
              </w:rPr>
            </w:pPr>
            <w:r>
              <w:rPr>
                <w:rFonts w:ascii="Arial" w:cs="Arial" w:eastAsia="Arial" w:hAnsi="Arial"/>
                <w:sz w:val="14"/>
                <w:szCs w:val="14"/>
                <w:color w:val="auto"/>
                <w:w w:val="90"/>
              </w:rPr>
              <w:t>/s/ Christopher A. Tomasso</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President, Chief Executive Officer and Director (Principal Executive</w:t>
            </w: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1"/>
              </w:rPr>
              <w:t>Christopher A. Tomasso</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3700" w:type="dxa"/>
            <w:vAlign w:val="bottom"/>
            <w:vMerge w:val="restart"/>
          </w:tcPr>
          <w:p>
            <w:pPr>
              <w:jc w:val="center"/>
              <w:spacing w:after="0"/>
              <w:rPr>
                <w:sz w:val="20"/>
                <w:szCs w:val="20"/>
                <w:color w:val="auto"/>
              </w:rPr>
            </w:pPr>
            <w:r>
              <w:rPr>
                <w:rFonts w:ascii="Arial" w:cs="Arial" w:eastAsia="Arial" w:hAnsi="Arial"/>
                <w:sz w:val="14"/>
                <w:szCs w:val="14"/>
                <w:color w:val="auto"/>
                <w:w w:val="94"/>
              </w:rPr>
              <w:t>/s/ Mel Hope</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Chief Financial Officer (Principal Financial Officer and Principal</w:t>
            </w: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Accounting Officer)</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3"/>
              </w:rPr>
              <w:t>Mel Hope</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 Kenneth L. Pendery, Jr.</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 and Chairman Emeritus</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89"/>
              </w:rPr>
              <w:t>Kenneth L. Pendery, Jr.</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Ralph Alvarez</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 and Chairman of the Board</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4"/>
              </w:rPr>
              <w:t>Ralph Alvarez</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Julie M.B. Bradley</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5"/>
              </w:rPr>
              <w:t>Julie M.B. Bradley</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Tricia Glynn</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6"/>
              </w:rPr>
              <w:t>Tricia Glynn</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William Kussell</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7"/>
              </w:rPr>
              <w:t>William Kussell</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Lisa Price</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1"/>
              </w:rPr>
              <w:t>Lisa Price</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Michael White</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ind w:left="20"/>
              <w:spacing w:after="0"/>
              <w:rPr>
                <w:sz w:val="20"/>
                <w:szCs w:val="20"/>
                <w:color w:val="auto"/>
              </w:rPr>
            </w:pPr>
            <w:r>
              <w:rPr>
                <w:rFonts w:ascii="Arial" w:cs="Arial" w:eastAsia="Arial" w:hAnsi="Arial"/>
                <w:sz w:val="14"/>
                <w:szCs w:val="14"/>
                <w:color w:val="auto"/>
              </w:rPr>
              <w:t>March 23, 2022</w:t>
            </w:r>
          </w:p>
        </w:tc>
        <w:tc>
          <w:tcPr>
            <w:tcW w:w="0" w:type="dxa"/>
            <w:vAlign w:val="bottom"/>
          </w:tcPr>
          <w:p>
            <w:pPr>
              <w:spacing w:after="0"/>
              <w:rPr>
                <w:sz w:val="1"/>
                <w:szCs w:val="1"/>
                <w:color w:val="auto"/>
              </w:rPr>
            </w:pPr>
          </w:p>
        </w:tc>
      </w:tr>
      <w:tr>
        <w:trPr>
          <w:trHeight w:val="171"/>
        </w:trPr>
        <w:tc>
          <w:tcPr>
            <w:tcW w:w="3700" w:type="dxa"/>
            <w:vAlign w:val="bottom"/>
          </w:tcPr>
          <w:p>
            <w:pPr>
              <w:jc w:val="center"/>
              <w:spacing w:after="0"/>
              <w:rPr>
                <w:sz w:val="20"/>
                <w:szCs w:val="20"/>
                <w:color w:val="auto"/>
              </w:rPr>
            </w:pPr>
            <w:r>
              <w:rPr>
                <w:rFonts w:ascii="Arial" w:cs="Arial" w:eastAsia="Arial" w:hAnsi="Arial"/>
                <w:sz w:val="14"/>
                <w:szCs w:val="14"/>
                <w:color w:val="auto"/>
                <w:w w:val="95"/>
              </w:rPr>
              <w:t>Michael White</w:t>
            </w:r>
          </w:p>
        </w:tc>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1"/>
        </w:trPr>
        <w:tc>
          <w:tcPr>
            <w:tcW w:w="3700" w:type="dxa"/>
            <w:vAlign w:val="bottom"/>
          </w:tcPr>
          <w:p>
            <w:pPr>
              <w:spacing w:after="0"/>
              <w:rPr>
                <w:sz w:val="24"/>
                <w:szCs w:val="24"/>
                <w:color w:val="auto"/>
              </w:rPr>
            </w:pPr>
          </w:p>
        </w:tc>
        <w:tc>
          <w:tcPr>
            <w:tcW w:w="4640" w:type="dxa"/>
            <w:vAlign w:val="bottom"/>
            <w:gridSpan w:val="2"/>
          </w:tcPr>
          <w:p>
            <w:pPr>
              <w:jc w:val="right"/>
              <w:ind w:right="2549"/>
              <w:spacing w:after="0"/>
              <w:rPr>
                <w:sz w:val="20"/>
                <w:szCs w:val="20"/>
                <w:color w:val="auto"/>
              </w:rPr>
            </w:pPr>
            <w:r>
              <w:rPr>
                <w:rFonts w:ascii="Arial" w:cs="Arial" w:eastAsia="Arial" w:hAnsi="Arial"/>
                <w:sz w:val="14"/>
                <w:szCs w:val="14"/>
                <w:color w:val="auto"/>
              </w:rPr>
              <w:t>99</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39" w:right="319" w:bottom="1440"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4.3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REGISTRANT’S SECURITIES REGISTERED PURSUANT TO SECTION 12 OF THE SECURITIES EXCHANGE ACT OF 1934</w:t>
      </w:r>
    </w:p>
    <w:p>
      <w:pPr>
        <w:spacing w:after="0" w:line="373" w:lineRule="exact"/>
        <w:rPr>
          <w:sz w:val="20"/>
          <w:szCs w:val="20"/>
          <w:color w:val="auto"/>
        </w:rPr>
      </w:pPr>
    </w:p>
    <w:p>
      <w:pPr>
        <w:ind w:right="60" w:firstLine="347"/>
        <w:spacing w:after="0" w:line="249" w:lineRule="auto"/>
        <w:rPr>
          <w:sz w:val="20"/>
          <w:szCs w:val="20"/>
          <w:color w:val="auto"/>
        </w:rPr>
      </w:pPr>
      <w:r>
        <w:rPr>
          <w:rFonts w:ascii="Arial" w:cs="Arial" w:eastAsia="Arial" w:hAnsi="Arial"/>
          <w:sz w:val="14"/>
          <w:szCs w:val="14"/>
          <w:color w:val="auto"/>
        </w:rPr>
        <w:t>The following is a brief description of the common stock, par value $0.01 per share (the “common stock”) of First Watch Restaurant Group, Inc. (the “Company”), which is the only security of the Company registered pursuant to Section 12 of the Securities Exchange Act of 1934, as amended (the “Exchange Act”).</w:t>
      </w:r>
    </w:p>
    <w:p>
      <w:pPr>
        <w:spacing w:after="0" w:line="101" w:lineRule="exact"/>
        <w:rPr>
          <w:sz w:val="20"/>
          <w:szCs w:val="20"/>
          <w:color w:val="auto"/>
        </w:rPr>
      </w:pPr>
    </w:p>
    <w:p>
      <w:pPr>
        <w:ind w:right="280" w:firstLine="347"/>
        <w:spacing w:after="0" w:line="249" w:lineRule="auto"/>
        <w:rPr>
          <w:sz w:val="20"/>
          <w:szCs w:val="20"/>
          <w:color w:val="auto"/>
        </w:rPr>
      </w:pPr>
      <w:r>
        <w:rPr>
          <w:rFonts w:ascii="Arial" w:cs="Arial" w:eastAsia="Arial" w:hAnsi="Arial"/>
          <w:sz w:val="14"/>
          <w:szCs w:val="14"/>
          <w:color w:val="auto"/>
        </w:rPr>
        <w:t>The following description does not purport to be complete and is qualified in its entirety by reference to the Company’s amended and restated certificate of incorporation (our “certificate of incorporation”), our amended and restated bylaws (our “bylaws”) and the General Corporation Law of the State of Delaware (the “DGCL”).</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References in this exhibit to “we,” “us” and “our” refer to the Company and not to any of its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83" w:lineRule="exact"/>
        <w:rPr>
          <w:sz w:val="20"/>
          <w:szCs w:val="20"/>
          <w:color w:val="auto"/>
        </w:rPr>
      </w:pPr>
    </w:p>
    <w:p>
      <w:pPr>
        <w:ind w:right="60" w:firstLine="347"/>
        <w:spacing w:after="0" w:line="249" w:lineRule="auto"/>
        <w:rPr>
          <w:sz w:val="20"/>
          <w:szCs w:val="20"/>
          <w:color w:val="auto"/>
        </w:rPr>
      </w:pPr>
      <w:r>
        <w:rPr>
          <w:rFonts w:ascii="Arial" w:cs="Arial" w:eastAsia="Arial" w:hAnsi="Arial"/>
          <w:sz w:val="14"/>
          <w:szCs w:val="14"/>
          <w:color w:val="auto"/>
        </w:rPr>
        <w:t>Our authorized capital stock consists of 300,000,000 shares of common stock, par value $0.01 per share and 10,000,000 shares of preferred stock, par value $0.01 per share. Shares of preferred stock have not been issued. Unless our board of directors (our “Board”) determines otherwise, we will issue all shares of our capital stock in uncertificated form.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Holders of our common stock are entitled to the rights set forth below.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79" w:lineRule="exact"/>
        <w:rPr>
          <w:sz w:val="20"/>
          <w:szCs w:val="20"/>
          <w:color w:val="auto"/>
        </w:rPr>
      </w:pPr>
    </w:p>
    <w:p>
      <w:pPr>
        <w:ind w:right="80" w:firstLine="347"/>
        <w:spacing w:after="0" w:line="233" w:lineRule="auto"/>
        <w:rPr>
          <w:sz w:val="20"/>
          <w:szCs w:val="20"/>
          <w:color w:val="auto"/>
        </w:rPr>
      </w:pPr>
      <w:r>
        <w:rPr>
          <w:rFonts w:ascii="Arial" w:cs="Arial" w:eastAsia="Arial" w:hAnsi="Arial"/>
          <w:sz w:val="14"/>
          <w:szCs w:val="14"/>
          <w:color w:val="auto"/>
        </w:rPr>
        <w:t>At any meeting of stockholders at which directors are to be elected, directors will be elected by a plurality of the votes cast by the holders of shares present in person or represented by proxy at the meeting and entitled to vote on the election of directors. Our stockholders do not have cumulative voting rights. Except as otherwise provided in our certificate of incorporation, our bylaws or as required by law, all matters to be voted on by our stockholders other than matters relating to the election and removal of directors must be approved by a majority of the shares present in person or represented by proxy at the meeting and voting on the subject matter.</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Rights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Holders of common stock share equally in any dividend declared by our Board, subject to the rights of the holders of any outstanding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 Rights</w:t>
      </w:r>
    </w:p>
    <w:p>
      <w:pPr>
        <w:spacing w:after="0" w:line="179" w:lineRule="exact"/>
        <w:rPr>
          <w:sz w:val="20"/>
          <w:szCs w:val="20"/>
          <w:color w:val="auto"/>
        </w:rPr>
      </w:pPr>
    </w:p>
    <w:p>
      <w:pPr>
        <w:ind w:right="220" w:firstLine="347"/>
        <w:spacing w:after="0" w:line="233" w:lineRule="auto"/>
        <w:rPr>
          <w:sz w:val="20"/>
          <w:szCs w:val="20"/>
          <w:color w:val="auto"/>
        </w:rPr>
      </w:pPr>
      <w:r>
        <w:rPr>
          <w:rFonts w:ascii="Arial" w:cs="Arial" w:eastAsia="Arial" w:hAnsi="Arial"/>
          <w:sz w:val="14"/>
          <w:szCs w:val="14"/>
          <w:color w:val="auto"/>
        </w:rPr>
        <w:t>In the event of any voluntary or involuntary liquidation, dissolution, distribution of assets or winding up of our affairs, holders of our common stock would be entitled to share ratably in our assets that are legally available for distribution to stockholders after payment of liabilities. If we have any preferred stock outstanding at such time, holders of the preferred stock may be entitled to distribution and/or liquidation preferences. In either such case, we must pay the applicable distribution to the holders of our preferred stock before we may pay distributions to the holders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Rights</w:t>
      </w:r>
    </w:p>
    <w:p>
      <w:pPr>
        <w:spacing w:after="0" w:line="179" w:lineRule="exact"/>
        <w:rPr>
          <w:sz w:val="20"/>
          <w:szCs w:val="20"/>
          <w:color w:val="auto"/>
        </w:rPr>
      </w:pPr>
    </w:p>
    <w:p>
      <w:pPr>
        <w:ind w:right="280" w:firstLine="347"/>
        <w:spacing w:after="0" w:line="249" w:lineRule="auto"/>
        <w:rPr>
          <w:sz w:val="20"/>
          <w:szCs w:val="20"/>
          <w:color w:val="auto"/>
        </w:rPr>
      </w:pPr>
      <w:r>
        <w:rPr>
          <w:rFonts w:ascii="Arial" w:cs="Arial" w:eastAsia="Arial" w:hAnsi="Arial"/>
          <w:sz w:val="14"/>
          <w:szCs w:val="14"/>
          <w:color w:val="auto"/>
        </w:rPr>
        <w:t>Our stockholders have no preemptive or other rights to subscribe for additional shares. There are no redemption, conversion or sinking fund provisions applicable to our common stock. All holders of our common stock are entitled to share equally on a share-for-share basis in any assets available for distribution to common</w:t>
      </w:r>
    </w:p>
    <w:p>
      <w:pPr>
        <w:sectPr>
          <w:pgSz w:w="11900" w:h="16838" w:orient="portrait"/>
          <w:cols w:equalWidth="0" w:num="1">
            <w:col w:w="11280"/>
          </w:cols>
          <w:pgMar w:left="300" w:top="1133"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auto"/>
        </w:rPr>
        <w:t>stockholders upon our liquidation, dissolution or winding up. All outstanding shares are validly issued, fully paid and non-assessable.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83" w:lineRule="exact"/>
        <w:rPr>
          <w:sz w:val="20"/>
          <w:szCs w:val="20"/>
          <w:color w:val="auto"/>
        </w:rPr>
      </w:pPr>
    </w:p>
    <w:p>
      <w:pPr>
        <w:ind w:right="140" w:firstLine="347"/>
        <w:spacing w:after="0" w:line="229" w:lineRule="auto"/>
        <w:rPr>
          <w:sz w:val="20"/>
          <w:szCs w:val="20"/>
          <w:color w:val="auto"/>
        </w:rPr>
      </w:pPr>
      <w:r>
        <w:rPr>
          <w:rFonts w:ascii="Arial" w:cs="Arial" w:eastAsia="Arial" w:hAnsi="Arial"/>
          <w:sz w:val="14"/>
          <w:szCs w:val="14"/>
          <w:color w:val="auto"/>
        </w:rPr>
        <w:t>No shares of preferred stock have been issued. Our Board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83" w:lineRule="exact"/>
        <w:rPr>
          <w:sz w:val="20"/>
          <w:szCs w:val="20"/>
          <w:color w:val="auto"/>
        </w:rPr>
      </w:pPr>
    </w:p>
    <w:p>
      <w:pPr>
        <w:ind w:right="40" w:firstLine="347"/>
        <w:spacing w:after="0" w:line="276" w:lineRule="auto"/>
        <w:rPr>
          <w:sz w:val="20"/>
          <w:szCs w:val="20"/>
          <w:color w:val="auto"/>
        </w:rPr>
      </w:pPr>
      <w:r>
        <w:rPr>
          <w:rFonts w:ascii="Arial" w:cs="Arial" w:eastAsia="Arial" w:hAnsi="Arial"/>
          <w:sz w:val="12"/>
          <w:szCs w:val="12"/>
          <w:color w:val="auto"/>
        </w:rPr>
        <w:t>Our certificate of incorporation and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79" w:lineRule="exact"/>
        <w:rPr>
          <w:sz w:val="20"/>
          <w:szCs w:val="20"/>
          <w:color w:val="auto"/>
        </w:rPr>
      </w:pPr>
    </w:p>
    <w:p>
      <w:pPr>
        <w:ind w:firstLine="347"/>
        <w:spacing w:after="0" w:line="248" w:lineRule="auto"/>
        <w:rPr>
          <w:sz w:val="20"/>
          <w:szCs w:val="20"/>
          <w:color w:val="auto"/>
        </w:rPr>
      </w:pPr>
      <w:r>
        <w:rPr>
          <w:rFonts w:ascii="Arial" w:cs="Arial" w:eastAsia="Arial" w:hAnsi="Arial"/>
          <w:sz w:val="13"/>
          <w:szCs w:val="13"/>
          <w:color w:val="auto"/>
        </w:rPr>
        <w:t>Our Board is divided into three classes, Class I, Class II and Class III, with members of each class serving staggered three-year terms. Our certificate of incorporation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Our certificate of incorporation and our bylaws also provide that a director may be removed by the affirmative vote of the holders of a majority of the voting power of our outstanding shares of capital stock entitled to vote generally in the election of directors, voting together as a single class, and only for cause so long as our Board is classified. Any vacancy on our Board, including a vacancy resulting from an enlargement of our Board, may be filled only by vote of a majority of our directors then in office. Our classified Board could have the effect of delaying or discouraging an acquisition of us or a change in our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Meetings of Stockholders and Advance Notice Requirements for Stockholder Meetings, Nominations and Proposals</w:t>
      </w:r>
    </w:p>
    <w:p>
      <w:pPr>
        <w:spacing w:after="0" w:line="179" w:lineRule="exact"/>
        <w:rPr>
          <w:sz w:val="20"/>
          <w:szCs w:val="20"/>
          <w:color w:val="auto"/>
        </w:rPr>
      </w:pPr>
    </w:p>
    <w:p>
      <w:pPr>
        <w:ind w:right="100" w:firstLine="347"/>
        <w:spacing w:after="0" w:line="233" w:lineRule="auto"/>
        <w:rPr>
          <w:sz w:val="20"/>
          <w:szCs w:val="20"/>
          <w:color w:val="auto"/>
        </w:rPr>
      </w:pPr>
      <w:r>
        <w:rPr>
          <w:rFonts w:ascii="Arial" w:cs="Arial" w:eastAsia="Arial" w:hAnsi="Arial"/>
          <w:sz w:val="14"/>
          <w:szCs w:val="14"/>
          <w:color w:val="auto"/>
        </w:rPr>
        <w:t>Our bylaws provide that special meetings of the stockholders may be called only upon the request of a majority of our Board, the Chairperson of our Board or the Chief Executive Officer. Our bylaws prohibit the conduct of any business at an annual or special meeting other than as specified in the notice for such meeting or otherwise brought before the meeting by or at the direction of the Board or a duly authorized committee or authorized officer to whom the Board or committee delegated such authority. These provisions may have the effect of deferring, delaying or discouraging hostile takeovers or changes in control or management of our company.</w:t>
      </w:r>
    </w:p>
    <w:p>
      <w:pPr>
        <w:spacing w:after="0" w:line="160" w:lineRule="exact"/>
        <w:rPr>
          <w:sz w:val="20"/>
          <w:szCs w:val="20"/>
          <w:color w:val="auto"/>
        </w:rPr>
      </w:pPr>
    </w:p>
    <w:p>
      <w:pPr>
        <w:ind w:right="40" w:firstLine="347"/>
        <w:spacing w:after="0" w:line="233" w:lineRule="auto"/>
        <w:rPr>
          <w:sz w:val="20"/>
          <w:szCs w:val="20"/>
          <w:color w:val="auto"/>
        </w:rPr>
      </w:pPr>
      <w:r>
        <w:rPr>
          <w:rFonts w:ascii="Arial" w:cs="Arial" w:eastAsia="Arial" w:hAnsi="Arial"/>
          <w:sz w:val="14"/>
          <w:szCs w:val="14"/>
          <w:color w:val="auto"/>
        </w:rPr>
        <w:t>Our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bylaws allow the presiding officer at a meeting of the stockholders to adopt rules and regulations for the conduct of meetings, which may have the effect of</w:t>
      </w:r>
    </w:p>
    <w:p>
      <w:pPr>
        <w:sectPr>
          <w:pgSz w:w="11900" w:h="16838" w:orient="portrait"/>
          <w:cols w:equalWidth="0" w:num="1">
            <w:col w:w="11280"/>
          </w:cols>
          <w:pgMar w:left="300" w:top="1136" w:right="319" w:bottom="1440" w:gutter="0" w:footer="0" w:header="0"/>
        </w:sectPr>
      </w:pPr>
    </w:p>
    <w:bookmarkStart w:id="157" w:name="page158"/>
    <w:bookmarkEnd w:id="157"/>
    <w:p>
      <w:pPr>
        <w:ind w:right="360"/>
        <w:spacing w:after="0" w:line="249" w:lineRule="auto"/>
        <w:rPr>
          <w:sz w:val="20"/>
          <w:szCs w:val="20"/>
          <w:color w:val="auto"/>
        </w:rPr>
      </w:pPr>
      <w:r>
        <w:rPr>
          <w:rFonts w:ascii="Arial" w:cs="Arial" w:eastAsia="Arial" w:hAnsi="Arial"/>
          <w:sz w:val="14"/>
          <w:szCs w:val="14"/>
          <w:color w:val="auto"/>
        </w:rPr>
        <w:t>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Stockholder Action by Written Consent</w:t>
      </w:r>
    </w:p>
    <w:p>
      <w:pPr>
        <w:spacing w:after="0" w:line="179" w:lineRule="exact"/>
        <w:rPr>
          <w:sz w:val="20"/>
          <w:szCs w:val="20"/>
          <w:color w:val="auto"/>
        </w:rPr>
      </w:pPr>
    </w:p>
    <w:p>
      <w:pPr>
        <w:ind w:right="80" w:firstLine="347"/>
        <w:spacing w:after="0" w:line="233" w:lineRule="auto"/>
        <w:rPr>
          <w:sz w:val="20"/>
          <w:szCs w:val="20"/>
          <w:color w:val="auto"/>
        </w:rPr>
      </w:pPr>
      <w:r>
        <w:rPr>
          <w:rFonts w:ascii="Arial" w:cs="Arial" w:eastAsia="Arial" w:hAnsi="Arial"/>
          <w:sz w:val="14"/>
          <w:szCs w:val="14"/>
          <w:color w:val="auto"/>
        </w:rPr>
        <w:t>Our certificate of incorporation and our bylaws provide that after the time that our sponsor, Advent International Corporation (“Advent”), collectively owns less than 50% of our then 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203 of the DGCL</w:t>
      </w:r>
    </w:p>
    <w:p>
      <w:pPr>
        <w:spacing w:after="0" w:line="179" w:lineRule="exact"/>
        <w:rPr>
          <w:sz w:val="20"/>
          <w:szCs w:val="20"/>
          <w:color w:val="auto"/>
        </w:rPr>
      </w:pPr>
    </w:p>
    <w:p>
      <w:pPr>
        <w:ind w:right="40" w:firstLine="347"/>
        <w:spacing w:after="0" w:line="270" w:lineRule="auto"/>
        <w:rPr>
          <w:sz w:val="20"/>
          <w:szCs w:val="20"/>
          <w:color w:val="auto"/>
        </w:rPr>
      </w:pPr>
      <w:r>
        <w:rPr>
          <w:rFonts w:ascii="Arial" w:cs="Arial" w:eastAsia="Arial" w:hAnsi="Arial"/>
          <w:sz w:val="12"/>
          <w:szCs w:val="12"/>
          <w:color w:val="auto"/>
        </w:rPr>
        <w:t>Our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certificate of incorporation contains provisions that have the same effect as Section 203 of the DGCL and provides that Advent, their respective affiliates or successors, their transferees, and any group as to which such persons are party do not constitute interested stockholders for purposes of these provisions for so long as they collectively own, directly or indirectly, 10% or more of the voting power of our then outstanding shares of voting stock. Although we have elected to opt out of the statute’s provisions, we could elect to be subject to Section 203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to Bylaws and Certificate of Incorporation</w:t>
      </w:r>
    </w:p>
    <w:p>
      <w:pPr>
        <w:spacing w:after="0" w:line="183" w:lineRule="exact"/>
        <w:rPr>
          <w:sz w:val="20"/>
          <w:szCs w:val="20"/>
          <w:color w:val="auto"/>
        </w:rPr>
      </w:pPr>
    </w:p>
    <w:p>
      <w:pPr>
        <w:ind w:firstLine="347"/>
        <w:spacing w:after="0" w:line="294" w:lineRule="auto"/>
        <w:rPr>
          <w:sz w:val="20"/>
          <w:szCs w:val="20"/>
          <w:color w:val="auto"/>
        </w:rPr>
      </w:pPr>
      <w:r>
        <w:rPr>
          <w:rFonts w:ascii="Arial" w:cs="Arial" w:eastAsia="Arial" w:hAnsi="Arial"/>
          <w:sz w:val="12"/>
          <w:szCs w:val="12"/>
          <w:color w:val="auto"/>
        </w:rPr>
        <w:t>Any amendment to our certificate of incorporation must first be approved by a majority of our Board and if required by law, thereafter be approved by a majority of the outstanding shares entitled to vote on the amendment. Our bylaws may be amended (x) by the affirmative vote of a majority of the directors then in office, without further stockholder action or (y) by the affirmative vote of at least a majority of the voting power of the then outstanding shares entitled to vote generally in the election of directors, voting together as a single class, without further action by our Board.</w:t>
      </w:r>
    </w:p>
    <w:p>
      <w:pPr>
        <w:sectPr>
          <w:pgSz w:w="11900" w:h="16838" w:orient="portrait"/>
          <w:cols w:equalWidth="0" w:num="1">
            <w:col w:w="11260"/>
          </w:cols>
          <w:pgMar w:left="300" w:top="1137" w:right="339" w:bottom="1440" w:gutter="0" w:footer="0" w:header="0"/>
        </w:sectPr>
      </w:pPr>
    </w:p>
    <w:bookmarkStart w:id="158" w:name="page159"/>
    <w:bookmarkEnd w:id="15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94" w:lineRule="auto"/>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9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94" w:lineRule="auto"/>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10.10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WATCH RESTAURANT GROUP,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2021 Equity Incentive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Award Agreement</w:t>
      </w:r>
    </w:p>
    <w:p>
      <w:pPr>
        <w:spacing w:after="0" w:line="180" w:lineRule="exact"/>
        <w:rPr>
          <w:sz w:val="20"/>
          <w:szCs w:val="20"/>
          <w:color w:val="auto"/>
        </w:rPr>
      </w:pPr>
    </w:p>
    <w:p>
      <w:pPr>
        <w:jc w:val="both"/>
        <w:ind w:firstLine="1019"/>
        <w:spacing w:after="0" w:line="245" w:lineRule="auto"/>
        <w:rPr>
          <w:sz w:val="20"/>
          <w:szCs w:val="20"/>
          <w:color w:val="auto"/>
        </w:rPr>
      </w:pPr>
      <w:r>
        <w:rPr>
          <w:rFonts w:ascii="Arial" w:cs="Arial" w:eastAsia="Arial" w:hAnsi="Arial"/>
          <w:sz w:val="17"/>
          <w:szCs w:val="17"/>
          <w:color w:val="auto"/>
        </w:rPr>
        <w:t>This Stock Option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by and between First Watch Restaurant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 (the “</w:t>
      </w:r>
      <w:r>
        <w:rPr>
          <w:rFonts w:ascii="Arial" w:cs="Arial" w:eastAsia="Arial" w:hAnsi="Arial"/>
          <w:sz w:val="17"/>
          <w:szCs w:val="17"/>
          <w:u w:val="single" w:color="auto"/>
          <w:color w:val="auto"/>
        </w:rPr>
        <w:t>Participant</w:t>
      </w:r>
      <w:r>
        <w:rPr>
          <w:rFonts w:ascii="Arial" w:cs="Arial" w:eastAsia="Arial" w:hAnsi="Arial"/>
          <w:sz w:val="17"/>
          <w:szCs w:val="17"/>
          <w:color w:val="auto"/>
        </w:rPr>
        <w:t>”), effective as of [●], 2022 (the “</w:t>
      </w:r>
      <w:r>
        <w:rPr>
          <w:rFonts w:ascii="Arial" w:cs="Arial" w:eastAsia="Arial" w:hAnsi="Arial"/>
          <w:sz w:val="17"/>
          <w:szCs w:val="17"/>
          <w:u w:val="single" w:color="auto"/>
          <w:color w:val="auto"/>
        </w:rPr>
        <w:t>Date of Grant</w:t>
      </w:r>
      <w:r>
        <w:rPr>
          <w:rFonts w:ascii="Arial" w:cs="Arial" w:eastAsia="Arial" w:hAnsi="Arial"/>
          <w:sz w:val="17"/>
          <w:szCs w:val="17"/>
          <w:color w:val="auto"/>
          <w:highlight w:val="white"/>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176" w:lineRule="exact"/>
        <w:rPr>
          <w:sz w:val="20"/>
          <w:szCs w:val="20"/>
          <w:color w:val="auto"/>
        </w:rPr>
      </w:pPr>
    </w:p>
    <w:p>
      <w:pPr>
        <w:jc w:val="both"/>
        <w:ind w:firstLine="1019"/>
        <w:spacing w:after="0" w:line="23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adopted the First Watch Restaurant Group, Inc.,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which is incorporated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by reference and made a part of this Agreement. Capitalized terms not otherwise defined in this Agreement shall have the meanings ascribed to those terms in the Plan; and</w:t>
      </w:r>
    </w:p>
    <w:p>
      <w:pPr>
        <w:spacing w:after="0" w:line="153" w:lineRule="exact"/>
        <w:rPr>
          <w:sz w:val="20"/>
          <w:szCs w:val="20"/>
          <w:color w:val="auto"/>
        </w:rPr>
      </w:pPr>
    </w:p>
    <w:p>
      <w:pPr>
        <w:jc w:val="both"/>
        <w:ind w:firstLine="1019"/>
        <w:spacing w:after="0" w:line="25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Committee has authorized and approved the grant of an Award to the Participant of options to purchase shares of Common Stock 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set forth in the Plan and this Agreement.</w:t>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set forth in this Agreement, the parties agree as follows:</w:t>
      </w:r>
    </w:p>
    <w:p>
      <w:pPr>
        <w:spacing w:after="0" w:line="180" w:lineRule="exact"/>
        <w:rPr>
          <w:sz w:val="20"/>
          <w:szCs w:val="20"/>
          <w:color w:val="auto"/>
        </w:rPr>
      </w:pPr>
    </w:p>
    <w:p>
      <w:pPr>
        <w:ind w:left="520" w:hanging="260"/>
        <w:spacing w:after="0" w:line="276"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effective as of the Date of Grant, options to purchase [ ● ] shares of Common Stock (“</w:t>
      </w:r>
      <w:r>
        <w:rPr>
          <w:rFonts w:ascii="Arial" w:cs="Arial" w:eastAsia="Arial" w:hAnsi="Arial"/>
          <w:sz w:val="16"/>
          <w:szCs w:val="16"/>
          <w:u w:val="single" w:color="auto"/>
          <w:color w:val="auto"/>
        </w:rPr>
        <w:t>Options</w:t>
      </w:r>
      <w:r>
        <w:rPr>
          <w:rFonts w:ascii="Arial" w:cs="Arial" w:eastAsia="Arial" w:hAnsi="Arial"/>
          <w:sz w:val="16"/>
          <w:szCs w:val="16"/>
          <w:color w:val="auto"/>
        </w:rPr>
        <w:t>”), on the terms and conditions set forth in the Plan and this Agreement. The Options are intended to be Nonqualified Stock Options.</w:t>
      </w:r>
    </w:p>
    <w:p>
      <w:pPr>
        <w:spacing w:after="0" w:line="128" w:lineRule="exact"/>
        <w:rPr>
          <w:rFonts w:ascii="Arial" w:cs="Arial" w:eastAsia="Arial" w:hAnsi="Arial"/>
          <w:sz w:val="16"/>
          <w:szCs w:val="16"/>
          <w:color w:val="auto"/>
        </w:rPr>
      </w:pPr>
    </w:p>
    <w:p>
      <w:pPr>
        <w:ind w:left="520" w:hanging="26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of each Option is $[●] per share of Common Stock, subject to adjustment as set forth in the Plan (the “</w:t>
      </w:r>
      <w:r>
        <w:rPr>
          <w:rFonts w:ascii="Arial" w:cs="Arial" w:eastAsia="Arial" w:hAnsi="Arial"/>
          <w:sz w:val="15"/>
          <w:szCs w:val="15"/>
          <w:u w:val="single" w:color="auto"/>
          <w:color w:val="auto"/>
        </w:rPr>
        <w:t>Exercise Price</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20" w:hanging="260"/>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Vesting of the Options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left="1020" w:hanging="251"/>
        <w:spacing w:after="0" w:line="232" w:lineRule="auto"/>
        <w:tabs>
          <w:tab w:leader="none" w:pos="101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the terms and conditions set forth in the Plan and this Agreement, one-third of the Options (rounded down to the nearest whole number) shall vest on each of the first three anniversaries of the Vesting Commencement Date (each, a “</w:t>
      </w:r>
      <w:r>
        <w:rPr>
          <w:rFonts w:ascii="Arial" w:cs="Arial" w:eastAsia="Arial" w:hAnsi="Arial"/>
          <w:sz w:val="17"/>
          <w:szCs w:val="17"/>
          <w:u w:val="single" w:color="auto"/>
          <w:color w:val="auto"/>
        </w:rPr>
        <w:t>Vesting Date</w:t>
      </w:r>
      <w:r>
        <w:rPr>
          <w:rFonts w:ascii="Arial" w:cs="Arial" w:eastAsia="Arial" w:hAnsi="Arial"/>
          <w:sz w:val="17"/>
          <w:szCs w:val="17"/>
          <w:color w:val="auto"/>
        </w:rPr>
        <w:t>”), subject to the Participant’s continued Service on the applicable Vesting Date, such that 100% of the Options shall be vested on the third anniversary of the Vesting Commencement Date. For purposes of this Agreement, “Vesting Commencement Date” shall mean [●].</w:t>
      </w:r>
    </w:p>
    <w:p>
      <w:pPr>
        <w:spacing w:after="0" w:line="156" w:lineRule="exact"/>
        <w:rPr>
          <w:rFonts w:ascii="Arial" w:cs="Arial" w:eastAsia="Arial" w:hAnsi="Arial"/>
          <w:sz w:val="17"/>
          <w:szCs w:val="17"/>
          <w:color w:val="auto"/>
        </w:rPr>
      </w:pPr>
    </w:p>
    <w:p>
      <w:pPr>
        <w:jc w:val="both"/>
        <w:ind w:left="1020" w:hanging="251"/>
        <w:spacing w:after="0" w:line="235" w:lineRule="auto"/>
        <w:tabs>
          <w:tab w:leader="none" w:pos="10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Upon the Participant’s termination of Service by the Company without Cause or by the Participant for Good Reason (as defined on Exhibit A), in each case, on or prior to the first anniversary of a Change in Control, a portion of the Options, if any, that remain unvested as of the date of such termination of</w:t>
      </w:r>
    </w:p>
    <w:p>
      <w:pPr>
        <w:sectPr>
          <w:pgSz w:w="11900" w:h="16838" w:orient="portrait"/>
          <w:cols w:equalWidth="0" w:num="1">
            <w:col w:w="11280"/>
          </w:cols>
          <w:pgMar w:left="300" w:top="1137" w:right="319" w:bottom="1440" w:gutter="0" w:footer="0" w:header="0"/>
        </w:sectPr>
      </w:pPr>
    </w:p>
    <w:bookmarkStart w:id="189" w:name="page190"/>
    <w:bookmarkEnd w:id="189"/>
    <w:p>
      <w:pPr>
        <w:jc w:val="both"/>
        <w:ind w:left="1020"/>
        <w:spacing w:after="0" w:line="288" w:lineRule="auto"/>
        <w:rPr>
          <w:sz w:val="20"/>
          <w:szCs w:val="20"/>
          <w:color w:val="auto"/>
        </w:rPr>
      </w:pPr>
      <w:r>
        <w:rPr>
          <w:rFonts w:ascii="Arial" w:cs="Arial" w:eastAsia="Arial" w:hAnsi="Arial"/>
          <w:sz w:val="15"/>
          <w:szCs w:val="15"/>
          <w:color w:val="auto"/>
        </w:rPr>
        <w:t>Service, representing the lower of (i) the number of Participant’s Options that remain unvested as of the date of such termination of Service and (ii) [25%] / [37.5%] / [50%] of the Options (rounded down to the nearest whole number) granted pursuant to this Agreement which have not yet become vested as of the date of such termination of Service shall become fully exercisable and vested upon the date of such termination of Service.</w:t>
      </w:r>
      <w:r>
        <w:rPr>
          <w:rFonts w:ascii="Arial" w:cs="Arial" w:eastAsia="Arial" w:hAnsi="Arial"/>
          <w:sz w:val="19"/>
          <w:szCs w:val="19"/>
          <w:color w:val="auto"/>
          <w:vertAlign w:val="superscript"/>
        </w:rPr>
        <w:t>1</w:t>
      </w:r>
    </w:p>
    <w:p>
      <w:pPr>
        <w:spacing w:after="0" w:line="56" w:lineRule="exact"/>
        <w:rPr>
          <w:sz w:val="20"/>
          <w:szCs w:val="20"/>
          <w:color w:val="auto"/>
        </w:rPr>
      </w:pPr>
    </w:p>
    <w:p>
      <w:pPr>
        <w:ind w:left="600" w:hanging="340"/>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Forfeiture; Acceleration; and Expiration</w:t>
      </w:r>
    </w:p>
    <w:p>
      <w:pPr>
        <w:spacing w:after="0" w:line="175" w:lineRule="exact"/>
        <w:rPr>
          <w:rFonts w:ascii="Arial" w:cs="Arial" w:eastAsia="Arial" w:hAnsi="Arial"/>
          <w:sz w:val="17"/>
          <w:szCs w:val="17"/>
          <w:color w:val="auto"/>
        </w:rPr>
      </w:pPr>
    </w:p>
    <w:p>
      <w:pPr>
        <w:jc w:val="both"/>
        <w:ind w:left="1020" w:hanging="251"/>
        <w:spacing w:after="0" w:line="230" w:lineRule="auto"/>
        <w:tabs>
          <w:tab w:leader="none" w:pos="1010"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upon termination of the Participant’s Service for any reason or no reason, any then unvested Options will be forfeited immediately, automatically and without consideration. In the event the Participant’s Service is terminated for Cause, all vested Options will also be forfeited immediately, automatically and without consideration upon such termination for Cause. Without limiting the generality of the foregoing, the Options and the shares of Common Stock (and any resulting proceeds) will continue to be subject to Sections 12.2 (Termination for Cause) and 12.3 (Right of Recapture) of the Plan.</w:t>
      </w:r>
    </w:p>
    <w:p>
      <w:pPr>
        <w:spacing w:after="0" w:line="156" w:lineRule="exact"/>
        <w:rPr>
          <w:rFonts w:ascii="Arial" w:cs="Arial" w:eastAsia="Arial" w:hAnsi="Arial"/>
          <w:sz w:val="17"/>
          <w:szCs w:val="17"/>
          <w:color w:val="auto"/>
        </w:rPr>
      </w:pPr>
    </w:p>
    <w:p>
      <w:pPr>
        <w:ind w:left="1020" w:hanging="251"/>
        <w:spacing w:after="0" w:line="245" w:lineRule="auto"/>
        <w:tabs>
          <w:tab w:leader="none" w:pos="1020"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Any unexercised Options will expire on the tenth anniversary of the Date of Grant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or earlier as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of this Agreement or in the Plan.</w:t>
      </w:r>
    </w:p>
    <w:p>
      <w:pPr>
        <w:spacing w:after="0" w:line="152" w:lineRule="exact"/>
        <w:rPr>
          <w:rFonts w:ascii="Arial" w:cs="Arial" w:eastAsia="Arial" w:hAnsi="Arial"/>
          <w:sz w:val="17"/>
          <w:szCs w:val="17"/>
          <w:color w:val="auto"/>
        </w:rPr>
      </w:pPr>
    </w:p>
    <w:p>
      <w:pPr>
        <w:ind w:left="600" w:hanging="340"/>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Period of Exercise</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1020" w:hanging="251"/>
        <w:spacing w:after="0" w:line="245" w:lineRule="auto"/>
        <w:tabs>
          <w:tab w:leader="none" w:pos="101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Subject to the provisions of the Plan and this Agreement, the Participant may exercise all or any part of the vested Options at any time prior to the earliest to occur of:</w:t>
      </w:r>
    </w:p>
    <w:p>
      <w:pPr>
        <w:spacing w:after="0" w:line="151" w:lineRule="exact"/>
        <w:rPr>
          <w:rFonts w:ascii="Arial" w:cs="Arial" w:eastAsia="Arial" w:hAnsi="Arial"/>
          <w:sz w:val="17"/>
          <w:szCs w:val="17"/>
          <w:color w:val="auto"/>
        </w:rPr>
      </w:pPr>
    </w:p>
    <w:p>
      <w:pPr>
        <w:ind w:left="1540" w:hanging="351"/>
        <w:spacing w:after="0"/>
        <w:tabs>
          <w:tab w:leader="none" w:pos="1540" w:val="left"/>
        </w:tabs>
        <w:numPr>
          <w:ilvl w:val="3"/>
          <w:numId w:val="42"/>
        </w:numPr>
        <w:rPr>
          <w:rFonts w:ascii="Arial" w:cs="Arial" w:eastAsia="Arial" w:hAnsi="Arial"/>
          <w:sz w:val="17"/>
          <w:szCs w:val="17"/>
          <w:color w:val="auto"/>
        </w:rPr>
      </w:pPr>
      <w:r>
        <w:rPr>
          <w:rFonts w:ascii="Arial" w:cs="Arial" w:eastAsia="Arial" w:hAnsi="Arial"/>
          <w:sz w:val="17"/>
          <w:szCs w:val="17"/>
          <w:color w:val="auto"/>
        </w:rPr>
        <w:t>the Expiration Date;</w:t>
      </w:r>
    </w:p>
    <w:p>
      <w:pPr>
        <w:ind w:left="1540" w:hanging="399"/>
        <w:spacing w:after="0" w:line="221" w:lineRule="auto"/>
        <w:tabs>
          <w:tab w:leader="none" w:pos="1540" w:val="left"/>
        </w:tabs>
        <w:numPr>
          <w:ilvl w:val="3"/>
          <w:numId w:val="42"/>
        </w:numPr>
        <w:rPr>
          <w:rFonts w:ascii="Arial" w:cs="Arial" w:eastAsia="Arial" w:hAnsi="Arial"/>
          <w:sz w:val="17"/>
          <w:szCs w:val="17"/>
          <w:color w:val="auto"/>
        </w:rPr>
      </w:pPr>
      <w:r>
        <w:rPr>
          <w:rFonts w:ascii="Arial" w:cs="Arial" w:eastAsia="Arial" w:hAnsi="Arial"/>
          <w:sz w:val="17"/>
          <w:szCs w:val="17"/>
          <w:color w:val="auto"/>
        </w:rPr>
        <w:t>the date that is twelve months following termination of the Participant’s Service due to death or Disability;</w:t>
      </w:r>
    </w:p>
    <w:p>
      <w:pPr>
        <w:ind w:left="1540" w:hanging="446"/>
        <w:spacing w:after="0" w:line="221" w:lineRule="auto"/>
        <w:tabs>
          <w:tab w:leader="none" w:pos="1540" w:val="left"/>
        </w:tabs>
        <w:numPr>
          <w:ilvl w:val="3"/>
          <w:numId w:val="42"/>
        </w:numPr>
        <w:rPr>
          <w:rFonts w:ascii="Arial" w:cs="Arial" w:eastAsia="Arial" w:hAnsi="Arial"/>
          <w:sz w:val="17"/>
          <w:szCs w:val="17"/>
          <w:color w:val="auto"/>
        </w:rPr>
      </w:pPr>
      <w:r>
        <w:rPr>
          <w:rFonts w:ascii="Arial" w:cs="Arial" w:eastAsia="Arial" w:hAnsi="Arial"/>
          <w:sz w:val="17"/>
          <w:szCs w:val="17"/>
          <w:color w:val="auto"/>
        </w:rPr>
        <w:t>the date that is ninety days following termination of the Participant’s Service other than for death, Disability or Cause; or</w:t>
      </w:r>
    </w:p>
    <w:p>
      <w:pPr>
        <w:ind w:left="1520" w:hanging="416"/>
        <w:spacing w:after="0"/>
        <w:tabs>
          <w:tab w:leader="none" w:pos="1520"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date of termination of the Participant’s Service for Cause.</w:t>
      </w:r>
    </w:p>
    <w:p>
      <w:pPr>
        <w:spacing w:after="0" w:line="161" w:lineRule="exact"/>
        <w:rPr>
          <w:rFonts w:ascii="Arial" w:cs="Arial" w:eastAsia="Arial" w:hAnsi="Arial"/>
          <w:sz w:val="17"/>
          <w:szCs w:val="17"/>
          <w:color w:val="auto"/>
        </w:rPr>
      </w:pPr>
    </w:p>
    <w:p>
      <w:pPr>
        <w:jc w:val="both"/>
        <w:ind w:left="1020" w:hanging="251"/>
        <w:spacing w:after="0" w:line="270" w:lineRule="auto"/>
        <w:tabs>
          <w:tab w:leader="none" w:pos="102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Extension of Termination Date. If following the Participant's termination of Service for any reason the exercise of the Options is prohibited because the exercise of the Options would violate the registration requirements under the Securities Act or any other state or federal securities law or the rules of any securities exchange, then the expiration of the Options shall be tolled until the earlier of (i) date that is thirty days after the end of the period during which the exercise of the Options would be in violation of such registration or other securities requirements or (ii) the Expiration Date.</w:t>
      </w:r>
    </w:p>
    <w:p>
      <w:pPr>
        <w:spacing w:after="0" w:line="323" w:lineRule="exact"/>
        <w:rPr>
          <w:sz w:val="20"/>
          <w:szCs w:val="20"/>
          <w:color w:val="auto"/>
        </w:rPr>
      </w:pPr>
    </w:p>
    <w:p>
      <w:pPr>
        <w:ind w:firstLine="5"/>
        <w:spacing w:after="0" w:line="228" w:lineRule="auto"/>
        <w:tabs>
          <w:tab w:leader="none" w:pos="69" w:val="left"/>
        </w:tabs>
        <w:numPr>
          <w:ilvl w:val="0"/>
          <w:numId w:val="43"/>
        </w:numPr>
        <w:rPr>
          <w:rFonts w:ascii="Arial" w:cs="Arial" w:eastAsia="Arial" w:hAnsi="Arial"/>
          <w:sz w:val="17"/>
          <w:szCs w:val="17"/>
          <w:color w:val="0000FF"/>
          <w:vertAlign w:val="superscript"/>
        </w:rPr>
      </w:pPr>
      <w:r>
        <w:rPr>
          <w:rFonts w:ascii="Arial" w:cs="Arial" w:eastAsia="Arial" w:hAnsi="Arial"/>
          <w:sz w:val="13"/>
          <w:szCs w:val="13"/>
          <w:color w:val="auto"/>
        </w:rPr>
        <w:t>NTD: Include 50% acceleration for CEO and CFO. Include 37.5% acceleration for Section 16 Officers other than the CEO and CFO. Include 25% acceleration for employees at the level of senior vice-president and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41" w:right="319" w:bottom="1440" w:gutter="0" w:footer="0" w:header="0"/>
        </w:sectPr>
      </w:pPr>
    </w:p>
    <w:bookmarkStart w:id="190" w:name="page191"/>
    <w:bookmarkEnd w:id="190"/>
    <w:p>
      <w:pPr>
        <w:ind w:left="340" w:hanging="340"/>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p>
    <w:p>
      <w:pPr>
        <w:spacing w:after="0" w:line="175" w:lineRule="exact"/>
        <w:rPr>
          <w:rFonts w:ascii="Arial" w:cs="Arial" w:eastAsia="Arial" w:hAnsi="Arial"/>
          <w:sz w:val="17"/>
          <w:szCs w:val="17"/>
          <w:color w:val="auto"/>
        </w:rPr>
      </w:pPr>
    </w:p>
    <w:p>
      <w:pPr>
        <w:jc w:val="both"/>
        <w:ind w:left="760" w:hanging="251"/>
        <w:spacing w:after="0" w:line="242" w:lineRule="auto"/>
        <w:tabs>
          <w:tab w:leader="none" w:pos="75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Election to Exercise</w:t>
      </w:r>
      <w:r>
        <w:rPr>
          <w:rFonts w:ascii="Arial" w:cs="Arial" w:eastAsia="Arial" w:hAnsi="Arial"/>
          <w:sz w:val="16"/>
          <w:szCs w:val="16"/>
          <w:color w:val="auto"/>
        </w:rPr>
        <w:t>. The Participant (or in the case of exercise after the Participant's death or incapacity, the Participant's executor, administrator, heir or legatee, as the case may be) may exercise all or any part of the vested Options by delivering to the Company an executed stock option exercise notice in such form as is approved by the Committee from time to time, which shall set forth: (i) the Participant's election to exercise the Options, (ii) the number of shares of Common Stock being purchased, (iii) any restrictions imposed on the shares, and (iv) any representations, warranties and agreements regarding the Participant's investment intent and access to information as may be required by the Company to comply with applicable securities laws. If someone other than the Participant exercises the Options, then such person must submit documentation reasonably acceptable to the Company verifying that such person has the legal right to exercise the Options.</w:t>
      </w:r>
    </w:p>
    <w:p>
      <w:pPr>
        <w:spacing w:after="0" w:line="154" w:lineRule="exact"/>
        <w:rPr>
          <w:rFonts w:ascii="Arial" w:cs="Arial" w:eastAsia="Arial" w:hAnsi="Arial"/>
          <w:sz w:val="16"/>
          <w:szCs w:val="16"/>
          <w:color w:val="auto"/>
        </w:rPr>
      </w:pPr>
    </w:p>
    <w:p>
      <w:pPr>
        <w:jc w:val="both"/>
        <w:ind w:left="760" w:hanging="251"/>
        <w:spacing w:after="0" w:line="262" w:lineRule="auto"/>
        <w:tabs>
          <w:tab w:leader="none" w:pos="760" w:val="left"/>
        </w:tabs>
        <w:numPr>
          <w:ilvl w:val="1"/>
          <w:numId w:val="44"/>
        </w:numPr>
        <w:rPr>
          <w:rFonts w:ascii="Arial" w:cs="Arial" w:eastAsia="Arial" w:hAnsi="Arial"/>
          <w:sz w:val="15"/>
          <w:szCs w:val="15"/>
          <w:color w:val="auto"/>
        </w:rPr>
      </w:pPr>
      <w:r>
        <w:rPr>
          <w:rFonts w:ascii="Arial" w:cs="Arial" w:eastAsia="Arial" w:hAnsi="Arial"/>
          <w:sz w:val="15"/>
          <w:szCs w:val="15"/>
          <w:u w:val="single" w:color="auto"/>
          <w:color w:val="auto"/>
        </w:rPr>
        <w:t>Withholding Requirements</w:t>
      </w:r>
      <w:r>
        <w:rPr>
          <w:rFonts w:ascii="Arial" w:cs="Arial" w:eastAsia="Arial" w:hAnsi="Arial"/>
          <w:sz w:val="15"/>
          <w:szCs w:val="15"/>
          <w:color w:val="auto"/>
        </w:rPr>
        <w:t>. The Company shall have the power and the right to require the Participant to remit to the Company the amount necessary to satisfy federal, state, provincial and local taxes, domestic or foreign, required by law or regulation to be withheld, and to deduct or withhold from any shares of Common Stock deliverable under this Agreement to satisfy such withholding obligation, or in the sole discretion of the Committee, such greater amount necessary to satisfy the Participant’s maximum expected tax liability, provided that such withholding does not result in adverse tax or accounting consequences to the Company (collectively, “</w:t>
      </w:r>
      <w:r>
        <w:rPr>
          <w:rFonts w:ascii="Arial" w:cs="Arial" w:eastAsia="Arial" w:hAnsi="Arial"/>
          <w:sz w:val="15"/>
          <w:szCs w:val="15"/>
          <w:u w:val="single" w:color="auto"/>
          <w:color w:val="auto"/>
        </w:rPr>
        <w:t>Withheld Taxes</w:t>
      </w:r>
      <w:r>
        <w:rPr>
          <w:rFonts w:ascii="Arial" w:cs="Arial" w:eastAsia="Arial" w:hAnsi="Arial"/>
          <w:sz w:val="15"/>
          <w:szCs w:val="15"/>
          <w:color w:val="auto"/>
        </w:rPr>
        <w:t xml:space="preserve">”); provided further, that any obligations to pay Withheld Taxes may be satisfied in the manner in which the Exercise Price is permitted to be paid under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or any other manner permitted by the Plan.</w:t>
      </w:r>
    </w:p>
    <w:p>
      <w:pPr>
        <w:spacing w:after="0" w:line="143" w:lineRule="exact"/>
        <w:rPr>
          <w:rFonts w:ascii="Arial" w:cs="Arial" w:eastAsia="Arial" w:hAnsi="Arial"/>
          <w:sz w:val="15"/>
          <w:szCs w:val="15"/>
          <w:color w:val="auto"/>
        </w:rPr>
      </w:pPr>
    </w:p>
    <w:p>
      <w:pPr>
        <w:ind w:left="760" w:hanging="251"/>
        <w:spacing w:after="0" w:line="245" w:lineRule="auto"/>
        <w:tabs>
          <w:tab w:leader="none" w:pos="751"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Payment of Exercise Price.</w:t>
      </w:r>
      <w:r>
        <w:rPr>
          <w:rFonts w:ascii="Arial" w:cs="Arial" w:eastAsia="Arial" w:hAnsi="Arial"/>
          <w:sz w:val="17"/>
          <w:szCs w:val="17"/>
          <w:color w:val="auto"/>
        </w:rPr>
        <w:t xml:space="preserve"> The entire Exercise Price of the Options shall be payable in full at the time of exercise. All or part of the Exercise Price and any Withheld Taxes may be paid as follows to the extent permitted by applicable statutes and regulations:</w:t>
      </w:r>
    </w:p>
    <w:p>
      <w:pPr>
        <w:spacing w:after="0" w:line="152" w:lineRule="exact"/>
        <w:rPr>
          <w:rFonts w:ascii="Arial" w:cs="Arial" w:eastAsia="Arial" w:hAnsi="Arial"/>
          <w:sz w:val="17"/>
          <w:szCs w:val="17"/>
          <w:color w:val="auto"/>
        </w:rPr>
      </w:pPr>
    </w:p>
    <w:p>
      <w:pPr>
        <w:ind w:left="1280" w:hanging="351"/>
        <w:spacing w:after="0"/>
        <w:tabs>
          <w:tab w:leader="none" w:pos="1280"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Cash or Chec</w:t>
      </w:r>
      <w:r>
        <w:rPr>
          <w:rFonts w:ascii="Arial" w:cs="Arial" w:eastAsia="Arial" w:hAnsi="Arial"/>
          <w:sz w:val="17"/>
          <w:szCs w:val="17"/>
          <w:color w:val="auto"/>
        </w:rPr>
        <w:t>k. In cash or by certified or bank check.</w:t>
      </w:r>
    </w:p>
    <w:p>
      <w:pPr>
        <w:spacing w:after="0" w:line="175" w:lineRule="exact"/>
        <w:rPr>
          <w:rFonts w:ascii="Arial" w:cs="Arial" w:eastAsia="Arial" w:hAnsi="Arial"/>
          <w:sz w:val="17"/>
          <w:szCs w:val="17"/>
          <w:color w:val="auto"/>
        </w:rPr>
      </w:pPr>
    </w:p>
    <w:p>
      <w:pPr>
        <w:jc w:val="both"/>
        <w:ind w:left="1280" w:hanging="399"/>
        <w:spacing w:after="0" w:line="235" w:lineRule="auto"/>
        <w:tabs>
          <w:tab w:leader="none" w:pos="1281"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Net Exercise</w:t>
      </w:r>
      <w:r>
        <w:rPr>
          <w:rFonts w:ascii="Arial" w:cs="Arial" w:eastAsia="Arial" w:hAnsi="Arial"/>
          <w:sz w:val="17"/>
          <w:szCs w:val="17"/>
          <w:color w:val="auto"/>
        </w:rPr>
        <w:t>. Unless otherwise determined by the Committee, by reducing the number of shares of Common Stock otherwise deliverable upon the exercise of the Options by the number of shares of Common Stock having a Fair Market Value on the date of exercise equal to the amount of the Exercise Price and/or Withheld Taxes, as applicable.</w:t>
      </w:r>
    </w:p>
    <w:p>
      <w:pPr>
        <w:spacing w:after="0" w:line="157" w:lineRule="exact"/>
        <w:rPr>
          <w:rFonts w:ascii="Arial" w:cs="Arial" w:eastAsia="Arial" w:hAnsi="Arial"/>
          <w:sz w:val="17"/>
          <w:szCs w:val="17"/>
          <w:color w:val="auto"/>
        </w:rPr>
      </w:pPr>
    </w:p>
    <w:p>
      <w:pPr>
        <w:jc w:val="both"/>
        <w:ind w:left="1280" w:hanging="446"/>
        <w:spacing w:after="0" w:line="232" w:lineRule="auto"/>
        <w:tabs>
          <w:tab w:leader="none" w:pos="1281"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Surrender of Stock</w:t>
      </w:r>
      <w:r>
        <w:rPr>
          <w:rFonts w:ascii="Arial" w:cs="Arial" w:eastAsia="Arial" w:hAnsi="Arial"/>
          <w:sz w:val="17"/>
          <w:szCs w:val="17"/>
          <w:color w:val="auto"/>
        </w:rPr>
        <w:t>. In each instance, at the sole discretion of the Committee, by surrendering, or attesting to the ownership of, shares of Common Stock that are already owned by the Participant free and clear of any restriction or limitation, unless the Committee specifically agrees in writing to accept such shares of Common Stock subject to such restriction or limitation. Such shares of Common Stock will be surrendered to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20"/>
          </w:cols>
          <w:pgMar w:left="560" w:top="1141" w:right="319" w:bottom="1440" w:gutter="0" w:footer="0" w:header="0"/>
        </w:sectPr>
      </w:pPr>
    </w:p>
    <w:bookmarkStart w:id="191" w:name="page192"/>
    <w:bookmarkEnd w:id="191"/>
    <w:p>
      <w:pPr>
        <w:jc w:val="both"/>
        <w:ind w:left="1280"/>
        <w:spacing w:after="0" w:line="230" w:lineRule="auto"/>
        <w:rPr>
          <w:sz w:val="20"/>
          <w:szCs w:val="20"/>
          <w:color w:val="auto"/>
        </w:rPr>
      </w:pPr>
      <w:r>
        <w:rPr>
          <w:rFonts w:ascii="Arial" w:cs="Arial" w:eastAsia="Arial" w:hAnsi="Arial"/>
          <w:sz w:val="17"/>
          <w:szCs w:val="17"/>
          <w:color w:val="auto"/>
        </w:rPr>
        <w:t>Company in good form for transfer and will be valued by the Company at Fair Market Value on the date of the applicable exercise of the Options, or to the extent applicable, on the date the Withheld Taxes are to be determined. The Participant will not surrender, or attest to the ownership of, shares of Common Stock in payment of the Exercise Price (or Withheld Taxes) if such action would cause the Company to recognize compensation expense (or additional compensation expense) with respect to the Options for financial reporting purposes that otherwise would not have been recognized.</w:t>
      </w:r>
    </w:p>
    <w:p>
      <w:pPr>
        <w:spacing w:after="0" w:line="156" w:lineRule="exact"/>
        <w:rPr>
          <w:sz w:val="20"/>
          <w:szCs w:val="20"/>
          <w:color w:val="auto"/>
        </w:rPr>
      </w:pPr>
    </w:p>
    <w:p>
      <w:pPr>
        <w:jc w:val="both"/>
        <w:ind w:left="1280" w:hanging="436"/>
        <w:spacing w:after="0" w:line="265" w:lineRule="auto"/>
        <w:tabs>
          <w:tab w:leader="none" w:pos="1270" w:val="left"/>
        </w:tabs>
        <w:numPr>
          <w:ilvl w:val="2"/>
          <w:numId w:val="45"/>
        </w:numPr>
        <w:rPr>
          <w:rFonts w:ascii="Arial" w:cs="Arial" w:eastAsia="Arial" w:hAnsi="Arial"/>
          <w:sz w:val="15"/>
          <w:szCs w:val="15"/>
          <w:color w:val="auto"/>
        </w:rPr>
      </w:pPr>
      <w:r>
        <w:rPr>
          <w:rFonts w:ascii="Arial" w:cs="Arial" w:eastAsia="Arial" w:hAnsi="Arial"/>
          <w:sz w:val="15"/>
          <w:szCs w:val="15"/>
          <w:u w:val="single" w:color="auto"/>
          <w:color w:val="auto"/>
        </w:rPr>
        <w:t>Brokered Cashless Exercise</w:t>
      </w:r>
      <w:r>
        <w:rPr>
          <w:rFonts w:ascii="Arial" w:cs="Arial" w:eastAsia="Arial" w:hAnsi="Arial"/>
          <w:sz w:val="15"/>
          <w:szCs w:val="15"/>
          <w:color w:val="auto"/>
        </w:rPr>
        <w:t>. To the extent permitted by the Committee, from the proceeds of a sale through a broker on the date of exercise of some or all of the shares of Common Stock to which the exercise relates. In that case, the Participant will execute a notice of exercise and provide the Company’s third party Plan administrator with a copy of irrevocable instructions to a broker to deliver promptly to the Company the amount of sale proceeds to pay the aggregate Exercise Price and/or Withheld Taxes, as applicable. To facilitate the foregoing, the Company may, to the extent permitted by applicable law, enter into agreements or coordinate procedures with one or more brokerage firms.</w:t>
      </w:r>
    </w:p>
    <w:p>
      <w:pPr>
        <w:spacing w:after="0" w:line="140" w:lineRule="exact"/>
        <w:rPr>
          <w:rFonts w:ascii="Arial" w:cs="Arial" w:eastAsia="Arial" w:hAnsi="Arial"/>
          <w:sz w:val="15"/>
          <w:szCs w:val="15"/>
          <w:color w:val="auto"/>
        </w:rPr>
      </w:pPr>
    </w:p>
    <w:p>
      <w:pPr>
        <w:ind w:left="1260" w:hanging="369"/>
        <w:spacing w:after="0"/>
        <w:tabs>
          <w:tab w:leader="none" w:pos="1260"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Other Consideration</w:t>
      </w:r>
      <w:r>
        <w:rPr>
          <w:rFonts w:ascii="Arial" w:cs="Arial" w:eastAsia="Arial" w:hAnsi="Arial"/>
          <w:sz w:val="17"/>
          <w:szCs w:val="17"/>
          <w:color w:val="auto"/>
        </w:rPr>
        <w:t>. In any other form of legal consideration that may be acceptable to the Committee.</w:t>
      </w:r>
    </w:p>
    <w:p>
      <w:pPr>
        <w:spacing w:after="0" w:line="175" w:lineRule="exact"/>
        <w:rPr>
          <w:rFonts w:ascii="Arial" w:cs="Arial" w:eastAsia="Arial" w:hAnsi="Arial"/>
          <w:sz w:val="17"/>
          <w:szCs w:val="17"/>
          <w:color w:val="auto"/>
        </w:rPr>
      </w:pPr>
    </w:p>
    <w:p>
      <w:pPr>
        <w:jc w:val="both"/>
        <w:ind w:left="760" w:hanging="251"/>
        <w:spacing w:after="0" w:line="265" w:lineRule="auto"/>
        <w:tabs>
          <w:tab w:leader="none" w:pos="760" w:val="left"/>
        </w:tabs>
        <w:numPr>
          <w:ilvl w:val="1"/>
          <w:numId w:val="46"/>
        </w:numPr>
        <w:rPr>
          <w:rFonts w:ascii="Arial" w:cs="Arial" w:eastAsia="Arial" w:hAnsi="Arial"/>
          <w:sz w:val="15"/>
          <w:szCs w:val="15"/>
          <w:color w:val="auto"/>
        </w:rPr>
      </w:pPr>
      <w:r>
        <w:rPr>
          <w:rFonts w:ascii="Arial" w:cs="Arial" w:eastAsia="Arial" w:hAnsi="Arial"/>
          <w:sz w:val="15"/>
          <w:szCs w:val="15"/>
          <w:u w:val="single" w:color="auto"/>
          <w:color w:val="auto"/>
        </w:rPr>
        <w:t>Issuance of Shares.</w:t>
      </w:r>
      <w:r>
        <w:rPr>
          <w:rFonts w:ascii="Arial" w:cs="Arial" w:eastAsia="Arial" w:hAnsi="Arial"/>
          <w:sz w:val="15"/>
          <w:szCs w:val="15"/>
          <w:color w:val="auto"/>
        </w:rPr>
        <w:t xml:space="preserve"> If the exercise notice and payment of the Exercise Price are in form and substance satisfactory to the Company, the Company shall deliver such shares of Common Stock either through book entry accounts held by, or in the name of, the Participant or cause to be issued a certificate or certificates representing the number of shares to be issued, registered in the name of the Participant.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40" w:lineRule="exact"/>
        <w:rPr>
          <w:rFonts w:ascii="Arial" w:cs="Arial" w:eastAsia="Arial" w:hAnsi="Arial"/>
          <w:sz w:val="15"/>
          <w:szCs w:val="15"/>
          <w:color w:val="auto"/>
        </w:rPr>
      </w:pPr>
    </w:p>
    <w:p>
      <w:pPr>
        <w:jc w:val="both"/>
        <w:ind w:left="260" w:hanging="260"/>
        <w:spacing w:after="0" w:line="226" w:lineRule="auto"/>
        <w:tabs>
          <w:tab w:leader="none" w:pos="37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Section 280G</w:t>
      </w:r>
      <w:r>
        <w:rPr>
          <w:rFonts w:ascii="Arial" w:cs="Arial" w:eastAsia="Arial" w:hAnsi="Arial"/>
          <w:sz w:val="17"/>
          <w:szCs w:val="17"/>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20"/>
          </w:cols>
          <w:pgMar w:left="560" w:top="1141" w:right="319" w:bottom="1440" w:gutter="0" w:footer="0" w:header="0"/>
        </w:sectPr>
      </w:pPr>
    </w:p>
    <w:bookmarkStart w:id="192" w:name="page193"/>
    <w:bookmarkEnd w:id="192"/>
    <w:p>
      <w:pPr>
        <w:jc w:val="both"/>
        <w:ind w:left="260"/>
        <w:spacing w:after="0" w:line="242" w:lineRule="auto"/>
        <w:rPr>
          <w:sz w:val="20"/>
          <w:szCs w:val="20"/>
          <w:color w:val="auto"/>
        </w:rPr>
      </w:pPr>
      <w:r>
        <w:rPr>
          <w:rFonts w:ascii="Arial" w:cs="Arial" w:eastAsia="Arial" w:hAnsi="Arial"/>
          <w:sz w:val="16"/>
          <w:szCs w:val="16"/>
          <w:color w:val="auto"/>
        </w:rPr>
        <w:t xml:space="preserve">(including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made in a manner that results in the greatest economic benefit for the Participant and is consistent with the requirements of Section 409A. Any determination required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55" w:lineRule="exact"/>
        <w:rPr>
          <w:sz w:val="20"/>
          <w:szCs w:val="20"/>
          <w:color w:val="auto"/>
        </w:rPr>
      </w:pPr>
    </w:p>
    <w:p>
      <w:pPr>
        <w:ind w:left="500" w:hanging="500"/>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p>
    <w:p>
      <w:pPr>
        <w:spacing w:after="0" w:line="175" w:lineRule="exact"/>
        <w:rPr>
          <w:rFonts w:ascii="Arial" w:cs="Arial" w:eastAsia="Arial" w:hAnsi="Arial"/>
          <w:sz w:val="17"/>
          <w:szCs w:val="17"/>
          <w:color w:val="auto"/>
        </w:rPr>
      </w:pPr>
    </w:p>
    <w:p>
      <w:pPr>
        <w:jc w:val="both"/>
        <w:ind w:left="1280" w:hanging="517"/>
        <w:spacing w:after="0" w:line="235" w:lineRule="auto"/>
        <w:tabs>
          <w:tab w:leader="none" w:pos="127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Rights of a Shareholder</w:t>
      </w:r>
      <w:r>
        <w:rPr>
          <w:rFonts w:ascii="Arial" w:cs="Arial" w:eastAsia="Arial" w:hAnsi="Arial"/>
          <w:sz w:val="17"/>
          <w:szCs w:val="17"/>
          <w:color w:val="auto"/>
        </w:rPr>
        <w:t>. Prior to issuance of shares of Common Stock following the exercise of the Options, neither the Participant nor the Participant’s representative will have any rights as a shareholder of the Company with respect to any shares of Common Stock subject to the Stock Option.</w:t>
      </w:r>
    </w:p>
    <w:p>
      <w:pPr>
        <w:spacing w:after="0" w:line="157" w:lineRule="exact"/>
        <w:rPr>
          <w:rFonts w:ascii="Arial" w:cs="Arial" w:eastAsia="Arial" w:hAnsi="Arial"/>
          <w:sz w:val="17"/>
          <w:szCs w:val="17"/>
          <w:color w:val="auto"/>
        </w:rPr>
      </w:pPr>
    </w:p>
    <w:p>
      <w:pPr>
        <w:jc w:val="both"/>
        <w:ind w:left="1280" w:hanging="517"/>
        <w:spacing w:after="0" w:line="228" w:lineRule="auto"/>
        <w:tabs>
          <w:tab w:leader="none" w:pos="128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shares of Common Stock delivered pursuant to the exercise of the Options shall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58" w:lineRule="exact"/>
        <w:rPr>
          <w:rFonts w:ascii="Arial" w:cs="Arial" w:eastAsia="Arial" w:hAnsi="Arial"/>
          <w:sz w:val="17"/>
          <w:szCs w:val="17"/>
          <w:color w:val="auto"/>
        </w:rPr>
      </w:pPr>
    </w:p>
    <w:p>
      <w:pPr>
        <w:jc w:val="both"/>
        <w:ind w:left="1280" w:hanging="517"/>
        <w:spacing w:after="0" w:line="245" w:lineRule="auto"/>
        <w:tabs>
          <w:tab w:leader="none" w:pos="127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53" w:lineRule="exact"/>
        <w:rPr>
          <w:rFonts w:ascii="Arial" w:cs="Arial" w:eastAsia="Arial" w:hAnsi="Arial"/>
          <w:sz w:val="16"/>
          <w:szCs w:val="16"/>
          <w:color w:val="auto"/>
        </w:rPr>
      </w:pPr>
    </w:p>
    <w:p>
      <w:pPr>
        <w:ind w:left="1280" w:hanging="517"/>
        <w:spacing w:after="0" w:line="245" w:lineRule="auto"/>
        <w:tabs>
          <w:tab w:leader="none" w:pos="128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change with respect to the outstanding shares of Common Stock contemplated by Section 4.5 of the Plan, the Options may be adjusted in accordance with Section 4.5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0"/>
          </w:cols>
          <w:pgMar w:left="560" w:top="1141" w:right="319" w:bottom="1440" w:gutter="0" w:footer="0" w:header="0"/>
        </w:sectPr>
      </w:pPr>
    </w:p>
    <w:bookmarkStart w:id="193" w:name="page194"/>
    <w:bookmarkEnd w:id="193"/>
    <w:p>
      <w:pPr>
        <w:jc w:val="both"/>
        <w:ind w:left="517" w:hanging="517"/>
        <w:spacing w:after="0" w:line="232" w:lineRule="auto"/>
        <w:tabs>
          <w:tab w:leader="none" w:pos="50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Right to Continued Service</w:t>
      </w:r>
      <w:r>
        <w:rPr>
          <w:rFonts w:ascii="Arial" w:cs="Arial" w:eastAsia="Arial" w:hAnsi="Arial"/>
          <w:sz w:val="17"/>
          <w:szCs w:val="17"/>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56" w:lineRule="exact"/>
        <w:rPr>
          <w:rFonts w:ascii="Arial" w:cs="Arial" w:eastAsia="Arial" w:hAnsi="Arial"/>
          <w:sz w:val="17"/>
          <w:szCs w:val="17"/>
          <w:color w:val="auto"/>
        </w:rPr>
      </w:pPr>
    </w:p>
    <w:p>
      <w:pPr>
        <w:jc w:val="both"/>
        <w:ind w:left="517" w:hanging="517"/>
        <w:spacing w:after="0" w:line="248" w:lineRule="auto"/>
        <w:tabs>
          <w:tab w:leader="none" w:pos="51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51" w:lineRule="exact"/>
        <w:rPr>
          <w:rFonts w:ascii="Arial" w:cs="Arial" w:eastAsia="Arial" w:hAnsi="Arial"/>
          <w:sz w:val="16"/>
          <w:szCs w:val="16"/>
          <w:color w:val="auto"/>
        </w:rPr>
      </w:pPr>
    </w:p>
    <w:p>
      <w:pPr>
        <w:ind w:left="517" w:hanging="517"/>
        <w:spacing w:after="0" w:line="245" w:lineRule="auto"/>
        <w:tabs>
          <w:tab w:leader="none" w:pos="51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2" w:lineRule="exact"/>
        <w:rPr>
          <w:rFonts w:ascii="Arial" w:cs="Arial" w:eastAsia="Arial" w:hAnsi="Arial"/>
          <w:sz w:val="17"/>
          <w:szCs w:val="17"/>
          <w:color w:val="auto"/>
        </w:rPr>
      </w:pPr>
    </w:p>
    <w:p>
      <w:pPr>
        <w:ind w:left="517" w:hanging="517"/>
        <w:spacing w:after="0" w:line="245" w:lineRule="auto"/>
        <w:tabs>
          <w:tab w:leader="none" w:pos="51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Except as otherwise provided in the Plan, this Agreement will not be amended unless the amendment is agreed to in writing by both the Participant and the Company.</w:t>
      </w:r>
    </w:p>
    <w:p>
      <w:pPr>
        <w:spacing w:after="0" w:line="152" w:lineRule="exact"/>
        <w:rPr>
          <w:rFonts w:ascii="Arial" w:cs="Arial" w:eastAsia="Arial" w:hAnsi="Arial"/>
          <w:sz w:val="17"/>
          <w:szCs w:val="17"/>
          <w:color w:val="auto"/>
        </w:rPr>
      </w:pPr>
    </w:p>
    <w:p>
      <w:pPr>
        <w:jc w:val="both"/>
        <w:ind w:left="517" w:hanging="517"/>
        <w:spacing w:after="0" w:line="232" w:lineRule="auto"/>
        <w:tabs>
          <w:tab w:leader="none" w:pos="51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Choice of Law; Jurisdiction</w:t>
      </w:r>
      <w:r>
        <w:rPr>
          <w:rFonts w:ascii="Arial" w:cs="Arial" w:eastAsia="Arial" w:hAnsi="Arial"/>
          <w:sz w:val="17"/>
          <w:szCs w:val="17"/>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56" w:lineRule="exact"/>
        <w:rPr>
          <w:rFonts w:ascii="Arial" w:cs="Arial" w:eastAsia="Arial" w:hAnsi="Arial"/>
          <w:sz w:val="17"/>
          <w:szCs w:val="17"/>
          <w:color w:val="auto"/>
        </w:rPr>
      </w:pPr>
    </w:p>
    <w:p>
      <w:pPr>
        <w:ind w:left="517" w:hanging="517"/>
        <w:spacing w:after="0" w:line="245" w:lineRule="auto"/>
        <w:tabs>
          <w:tab w:leader="none" w:pos="51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Signature in Counterparts</w:t>
      </w:r>
      <w:r>
        <w:rPr>
          <w:rFonts w:ascii="Arial" w:cs="Arial" w:eastAsia="Arial" w:hAnsi="Arial"/>
          <w:sz w:val="17"/>
          <w:szCs w:val="17"/>
          <w:color w:val="auto"/>
        </w:rPr>
        <w:t>. This Agreement may be signed in counterparts, manually or electronically, each of which will be an original, with the same effect as if the signatures to each were upon the same instrument.</w:t>
      </w:r>
    </w:p>
    <w:p>
      <w:pPr>
        <w:spacing w:after="0" w:line="152" w:lineRule="exact"/>
        <w:rPr>
          <w:rFonts w:ascii="Arial" w:cs="Arial" w:eastAsia="Arial" w:hAnsi="Arial"/>
          <w:sz w:val="17"/>
          <w:szCs w:val="17"/>
          <w:color w:val="auto"/>
        </w:rPr>
      </w:pPr>
    </w:p>
    <w:p>
      <w:pPr>
        <w:jc w:val="both"/>
        <w:ind w:left="517" w:hanging="517"/>
        <w:spacing w:after="0" w:line="232" w:lineRule="auto"/>
        <w:tabs>
          <w:tab w:leader="none" w:pos="51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5"/>
          <w:szCs w:val="15"/>
          <w:color w:val="auto"/>
        </w:rPr>
        <w:t>.</w:t>
      </w:r>
      <w:r>
        <w:rPr>
          <w:rFonts w:ascii="Arial" w:cs="Arial" w:eastAsia="Arial" w:hAnsi="Arial"/>
          <w:sz w:val="17"/>
          <w:szCs w:val="17"/>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6" w:lineRule="exact"/>
        <w:rPr>
          <w:rFonts w:ascii="Arial" w:cs="Arial" w:eastAsia="Arial" w:hAnsi="Arial"/>
          <w:sz w:val="17"/>
          <w:szCs w:val="17"/>
          <w:color w:val="auto"/>
        </w:rPr>
      </w:pPr>
    </w:p>
    <w:p>
      <w:pPr>
        <w:ind w:left="517" w:hanging="517"/>
        <w:spacing w:after="0" w:line="245" w:lineRule="auto"/>
        <w:tabs>
          <w:tab w:leader="none" w:pos="51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Participant hereby acknowledges receipt of a copy of the Plan and this Agreement. The Participant has read and understands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77"/>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57"/>
          </w:cols>
          <w:pgMar w:left="1323" w:top="1141" w:right="319" w:bottom="1440" w:gutter="0" w:footer="0" w:header="0"/>
        </w:sectPr>
      </w:pPr>
    </w:p>
    <w:bookmarkStart w:id="194" w:name="page195"/>
    <w:bookmarkEnd w:id="194"/>
    <w:p>
      <w:pPr>
        <w:jc w:val="both"/>
        <w:ind w:left="400"/>
        <w:spacing w:after="0" w:line="232" w:lineRule="auto"/>
        <w:rPr>
          <w:sz w:val="20"/>
          <w:szCs w:val="20"/>
          <w:color w:val="auto"/>
        </w:rPr>
      </w:pPr>
      <w:r>
        <w:rPr>
          <w:rFonts w:ascii="Arial" w:cs="Arial" w:eastAsia="Arial" w:hAnsi="Arial"/>
          <w:sz w:val="17"/>
          <w:szCs w:val="17"/>
          <w:color w:val="auto"/>
        </w:rPr>
        <w:t>terms and provisions of the Plan and this Agreement, and accepts the Options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7" w:lineRule="exact"/>
        <w:rPr>
          <w:sz w:val="20"/>
          <w:szCs w:val="20"/>
          <w:color w:val="auto"/>
        </w:rPr>
      </w:pPr>
    </w:p>
    <w:p>
      <w:pPr>
        <w:ind w:left="364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40"/>
          </w:cols>
          <w:pgMar w:left="1440" w:top="1141" w:right="319" w:bottom="1440" w:gutter="0" w:footer="0" w:header="0"/>
        </w:sectPr>
      </w:pPr>
    </w:p>
    <w:bookmarkStart w:id="195" w:name="page196"/>
    <w:bookmarkEnd w:id="195"/>
    <w:p>
      <w:pPr>
        <w:spacing w:after="0"/>
        <w:rPr>
          <w:sz w:val="20"/>
          <w:szCs w:val="20"/>
          <w:color w:val="auto"/>
        </w:rPr>
      </w:pPr>
      <w:r>
        <w:rPr>
          <w:rFonts w:ascii="Arial" w:cs="Arial" w:eastAsia="Arial" w:hAnsi="Arial"/>
          <w:sz w:val="15"/>
          <w:szCs w:val="15"/>
          <w:color w:val="auto"/>
        </w:rPr>
        <w:t>IN WITNESS WHEREOF, the Company and the Participant have executed this Stock Option Award Agreement as of the dates set forth below.</w:t>
      </w:r>
    </w:p>
    <w:p>
      <w:pPr>
        <w:spacing w:after="0" w:line="208"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PARTICIPANT FIRST WATCH RESTAURANT GROUP, INC.</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 By: ______________________________</w:t>
      </w:r>
    </w:p>
    <w:p>
      <w:pPr>
        <w:spacing w:after="0"/>
        <w:rPr>
          <w:sz w:val="20"/>
          <w:szCs w:val="20"/>
          <w:color w:val="auto"/>
        </w:rPr>
      </w:pPr>
      <w:r>
        <w:rPr>
          <w:rFonts w:ascii="Arial" w:cs="Arial" w:eastAsia="Arial" w:hAnsi="Arial"/>
          <w:sz w:val="17"/>
          <w:szCs w:val="17"/>
          <w:color w:val="auto"/>
        </w:rPr>
        <w:t>Date:_____________________________ Date: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00"/>
        <w:spacing w:after="0"/>
        <w:rPr>
          <w:sz w:val="20"/>
          <w:szCs w:val="20"/>
          <w:color w:val="auto"/>
        </w:rPr>
      </w:pPr>
      <w:r>
        <w:rPr>
          <w:rFonts w:ascii="Arial" w:cs="Arial" w:eastAsia="Arial" w:hAnsi="Arial"/>
          <w:sz w:val="17"/>
          <w:szCs w:val="17"/>
          <w:i w:val="1"/>
          <w:iCs w:val="1"/>
          <w:color w:val="auto"/>
        </w:rPr>
        <w:t>[Signature Page – Option Award Agreement]</w:t>
      </w:r>
    </w:p>
    <w:p>
      <w:pPr>
        <w:sectPr>
          <w:pgSz w:w="11900" w:h="16838" w:orient="portrait"/>
          <w:cols w:equalWidth="0" w:num="1">
            <w:col w:w="10159"/>
          </w:cols>
          <w:pgMar w:left="300" w:top="1141"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of any of the following events without the consent of the Participant: (i) the Company materially reduces the Participant’s annual base salary or annual bonus opportunity percentage; (ii) a material diminution in the Participant’s responsibilities; or (iii) the Company relocates the Participant’s principal place of employment more than twenty (20) miles from the existing location as of the Date of Grant (unless such relocation results in a reduction in the Participant’s one-way commute). Notwithstanding the foregoing, the events described in clauses (i), (ii) or (iii) shall not constitute Good Reason unless (A) the Participant has given the Company written notice of the Participant’s resignation for Good Reason, setting forth the conduct of the Company that is alleged to constitute Good Reason, within thirty (30) days following the first occurrence of such event, and (B) the Participant has provided the Company at least thirty (30) days following the date on which such notice is provided to cure such conduct and the Company has failed to do so.</w:t>
      </w:r>
    </w:p>
    <w:p>
      <w:pPr>
        <w:sectPr>
          <w:pgSz w:w="11900" w:h="16838" w:orient="portrait"/>
          <w:cols w:equalWidth="0" w:num="1">
            <w:col w:w="11280"/>
          </w:cols>
          <w:pgMar w:left="300" w:top="1137"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b w:val="1"/>
          <w:bCs w:val="1"/>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7720" w:type="dxa"/>
            <w:vAlign w:val="bottom"/>
          </w:tcPr>
          <w:p>
            <w:pPr>
              <w:ind w:left="800"/>
              <w:spacing w:after="0"/>
              <w:rPr>
                <w:sz w:val="20"/>
                <w:szCs w:val="20"/>
                <w:color w:val="auto"/>
              </w:rPr>
            </w:pPr>
            <w:r>
              <w:rPr>
                <w:rFonts w:ascii="Arial" w:cs="Arial" w:eastAsia="Arial" w:hAnsi="Arial"/>
                <w:sz w:val="14"/>
                <w:szCs w:val="14"/>
                <w:b w:val="1"/>
                <w:bCs w:val="1"/>
                <w:color w:val="auto"/>
              </w:rPr>
              <w:t>Subsidiaries of First Watch Restaurant Group, Inc.</w:t>
            </w:r>
          </w:p>
        </w:tc>
      </w:tr>
      <w:tr>
        <w:trPr>
          <w:trHeight w:val="346"/>
        </w:trPr>
        <w:tc>
          <w:tcPr>
            <w:tcW w:w="3560" w:type="dxa"/>
            <w:vAlign w:val="bottom"/>
          </w:tcPr>
          <w:p>
            <w:pPr>
              <w:spacing w:after="0"/>
              <w:rPr>
                <w:sz w:val="24"/>
                <w:szCs w:val="24"/>
                <w:color w:val="auto"/>
              </w:rPr>
            </w:pPr>
          </w:p>
        </w:tc>
        <w:tc>
          <w:tcPr>
            <w:tcW w:w="7720" w:type="dxa"/>
            <w:vAlign w:val="bottom"/>
          </w:tcPr>
          <w:p>
            <w:pPr>
              <w:ind w:left="1600"/>
              <w:spacing w:after="0"/>
              <w:rPr>
                <w:sz w:val="20"/>
                <w:szCs w:val="20"/>
                <w:color w:val="auto"/>
              </w:rPr>
            </w:pPr>
            <w:r>
              <w:rPr>
                <w:rFonts w:ascii="Arial" w:cs="Arial" w:eastAsia="Arial" w:hAnsi="Arial"/>
                <w:sz w:val="14"/>
                <w:szCs w:val="14"/>
                <w:b w:val="1"/>
                <w:bCs w:val="1"/>
                <w:color w:val="auto"/>
              </w:rPr>
              <w:t>As of December 26, 2021</w:t>
            </w:r>
          </w:p>
        </w:tc>
      </w:tr>
      <w:tr>
        <w:trPr>
          <w:trHeight w:val="584"/>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7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Jurisdiction of Formation</w:t>
            </w:r>
          </w:p>
        </w:tc>
      </w:tr>
      <w:tr>
        <w:trPr>
          <w:trHeight w:val="17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 Fresh Parent, Inc.</w:t>
            </w:r>
          </w:p>
        </w:tc>
        <w:tc>
          <w:tcPr>
            <w:tcW w:w="7720" w:type="dxa"/>
            <w:vAlign w:val="bottom"/>
            <w:shd w:val="clear" w:color="auto" w:fill="CCEEFF"/>
          </w:tcPr>
          <w:p>
            <w:pPr>
              <w:ind w:left="348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E&amp;I Holdings, Inc.</w:t>
            </w:r>
          </w:p>
        </w:tc>
        <w:tc>
          <w:tcPr>
            <w:tcW w:w="7720" w:type="dxa"/>
            <w:vAlign w:val="bottom"/>
          </w:tcPr>
          <w:p>
            <w:pPr>
              <w:ind w:left="3480"/>
              <w:spacing w:after="0"/>
              <w:rPr>
                <w:sz w:val="20"/>
                <w:szCs w:val="20"/>
                <w:color w:val="auto"/>
              </w:rPr>
            </w:pPr>
            <w:r>
              <w:rPr>
                <w:rFonts w:ascii="Arial" w:cs="Arial" w:eastAsia="Arial" w:hAnsi="Arial"/>
                <w:sz w:val="14"/>
                <w:szCs w:val="14"/>
                <w:color w:val="auto"/>
              </w:rPr>
              <w:t>Colorado</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Watch E&amp;I Restaurant Group, LLC</w:t>
            </w:r>
          </w:p>
        </w:tc>
        <w:tc>
          <w:tcPr>
            <w:tcW w:w="7720" w:type="dxa"/>
            <w:vAlign w:val="bottom"/>
            <w:shd w:val="clear" w:color="auto" w:fill="CCEEFF"/>
          </w:tcPr>
          <w:p>
            <w:pPr>
              <w:ind w:left="348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First Watch Franchise Development Co.</w:t>
            </w:r>
          </w:p>
        </w:tc>
        <w:tc>
          <w:tcPr>
            <w:tcW w:w="7720" w:type="dxa"/>
            <w:vAlign w:val="bottom"/>
          </w:tcPr>
          <w:p>
            <w:pPr>
              <w:ind w:left="348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Watch Restaurants Texas, Inc.</w:t>
            </w:r>
          </w:p>
        </w:tc>
        <w:tc>
          <w:tcPr>
            <w:tcW w:w="7720" w:type="dxa"/>
            <w:vAlign w:val="bottom"/>
            <w:shd w:val="clear" w:color="auto" w:fill="CCEEFF"/>
          </w:tcPr>
          <w:p>
            <w:pPr>
              <w:ind w:left="348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First Watch Restaurants, Inc. (d/b/a First Watch)</w:t>
            </w:r>
          </w:p>
        </w:tc>
        <w:tc>
          <w:tcPr>
            <w:tcW w:w="7720" w:type="dxa"/>
            <w:vAlign w:val="bottom"/>
          </w:tcPr>
          <w:p>
            <w:pPr>
              <w:ind w:left="348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Watch Texas Holding, Inc.</w:t>
            </w:r>
          </w:p>
        </w:tc>
        <w:tc>
          <w:tcPr>
            <w:tcW w:w="7720" w:type="dxa"/>
            <w:vAlign w:val="bottom"/>
            <w:shd w:val="clear" w:color="auto" w:fill="CCEEFF"/>
          </w:tcPr>
          <w:p>
            <w:pPr>
              <w:ind w:left="3480"/>
              <w:spacing w:after="0"/>
              <w:rPr>
                <w:sz w:val="20"/>
                <w:szCs w:val="20"/>
                <w:color w:val="auto"/>
              </w:rPr>
            </w:pPr>
            <w:r>
              <w:rPr>
                <w:rFonts w:ascii="Arial" w:cs="Arial" w:eastAsia="Arial" w:hAnsi="Arial"/>
                <w:sz w:val="14"/>
                <w:szCs w:val="14"/>
                <w:color w:val="auto"/>
              </w:rPr>
              <w:t>Delaware</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FWR Holding Corporation</w:t>
            </w:r>
          </w:p>
        </w:tc>
        <w:tc>
          <w:tcPr>
            <w:tcW w:w="7720" w:type="dxa"/>
            <w:vAlign w:val="bottom"/>
          </w:tcPr>
          <w:p>
            <w:pPr>
              <w:ind w:left="3480"/>
              <w:spacing w:after="0"/>
              <w:rPr>
                <w:sz w:val="20"/>
                <w:szCs w:val="20"/>
                <w:color w:val="auto"/>
              </w:rPr>
            </w:pPr>
            <w:r>
              <w:rPr>
                <w:rFonts w:ascii="Arial" w:cs="Arial" w:eastAsia="Arial" w:hAnsi="Arial"/>
                <w:sz w:val="14"/>
                <w:szCs w:val="14"/>
                <w:color w:val="auto"/>
              </w:rPr>
              <w:t>Delaware</w:t>
            </w:r>
          </w:p>
        </w:tc>
      </w:tr>
      <w:tr>
        <w:trPr>
          <w:trHeight w:val="181"/>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 Egg Restaurants, LLC</w:t>
            </w:r>
          </w:p>
        </w:tc>
        <w:tc>
          <w:tcPr>
            <w:tcW w:w="7720" w:type="dxa"/>
            <w:vAlign w:val="bottom"/>
            <w:shd w:val="clear" w:color="auto" w:fill="CCEEFF"/>
          </w:tcPr>
          <w:p>
            <w:pPr>
              <w:ind w:left="3480"/>
              <w:spacing w:after="0"/>
              <w:rPr>
                <w:sz w:val="20"/>
                <w:szCs w:val="20"/>
                <w:color w:val="auto"/>
              </w:rPr>
            </w:pPr>
            <w:r>
              <w:rPr>
                <w:rFonts w:ascii="Arial" w:cs="Arial" w:eastAsia="Arial" w:hAnsi="Arial"/>
                <w:sz w:val="14"/>
                <w:szCs w:val="14"/>
                <w:color w:val="auto"/>
              </w:rPr>
              <w:t>Arizona</w:t>
            </w:r>
          </w:p>
        </w:tc>
      </w:tr>
      <w:tr>
        <w:trPr>
          <w:trHeight w:val="180"/>
        </w:trPr>
        <w:tc>
          <w:tcPr>
            <w:tcW w:w="3560" w:type="dxa"/>
            <w:vAlign w:val="bottom"/>
          </w:tcPr>
          <w:p>
            <w:pPr>
              <w:ind w:left="20"/>
              <w:spacing w:after="0"/>
              <w:rPr>
                <w:sz w:val="20"/>
                <w:szCs w:val="20"/>
                <w:color w:val="auto"/>
              </w:rPr>
            </w:pPr>
            <w:r>
              <w:rPr>
                <w:rFonts w:ascii="Arial" w:cs="Arial" w:eastAsia="Arial" w:hAnsi="Arial"/>
                <w:sz w:val="14"/>
                <w:szCs w:val="14"/>
                <w:color w:val="auto"/>
              </w:rPr>
              <w:t>TFW-NC, LLC</w:t>
            </w:r>
          </w:p>
        </w:tc>
        <w:tc>
          <w:tcPr>
            <w:tcW w:w="7720" w:type="dxa"/>
            <w:vAlign w:val="bottom"/>
          </w:tcPr>
          <w:p>
            <w:pPr>
              <w:ind w:left="3480"/>
              <w:spacing w:after="0"/>
              <w:rPr>
                <w:sz w:val="20"/>
                <w:szCs w:val="20"/>
                <w:color w:val="auto"/>
              </w:rPr>
            </w:pPr>
            <w:r>
              <w:rPr>
                <w:rFonts w:ascii="Arial" w:cs="Arial" w:eastAsia="Arial" w:hAnsi="Arial"/>
                <w:sz w:val="14"/>
                <w:szCs w:val="14"/>
                <w:color w:val="auto"/>
              </w:rPr>
              <w:t>North Carolina</w:t>
            </w:r>
          </w:p>
        </w:tc>
      </w:tr>
    </w:tbl>
    <w:p>
      <w:pPr>
        <w:sectPr>
          <w:pgSz w:w="11900" w:h="16838" w:orient="portrait"/>
          <w:cols w:equalWidth="0" w:num="1">
            <w:col w:w="11280"/>
          </w:cols>
          <w:pgMar w:left="300" w:top="1143" w:right="319" w:bottom="1440" w:gutter="0" w:footer="0" w:header="0"/>
        </w:sectPr>
      </w:pPr>
    </w:p>
    <w:bookmarkStart w:id="198" w:name="page199"/>
    <w:bookmarkEnd w:id="198"/>
    <w:p>
      <w:pPr>
        <w:ind w:left="5600"/>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hereby consent to the incorporation by reference in the Registration Statement on Form S-8 (No. 333-259937) of First Watch Restaurant Group, Inc. of our report dated March 23, 2022 relating to the financial statements, which appears in this Form 10-K.</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21" w:lineRule="auto"/>
        <w:rPr>
          <w:sz w:val="20"/>
          <w:szCs w:val="20"/>
          <w:color w:val="auto"/>
        </w:rPr>
      </w:pPr>
      <w:r>
        <w:rPr>
          <w:rFonts w:ascii="Arial" w:cs="Arial" w:eastAsia="Arial" w:hAnsi="Arial"/>
          <w:sz w:val="14"/>
          <w:szCs w:val="14"/>
          <w:color w:val="auto"/>
        </w:rPr>
        <w:t>Tampa, Florida</w:t>
      </w:r>
    </w:p>
    <w:p>
      <w:pPr>
        <w:spacing w:after="0"/>
        <w:rPr>
          <w:sz w:val="20"/>
          <w:szCs w:val="20"/>
          <w:color w:val="auto"/>
        </w:rPr>
      </w:pPr>
      <w:r>
        <w:rPr>
          <w:rFonts w:ascii="Arial" w:cs="Arial" w:eastAsia="Arial" w:hAnsi="Arial"/>
          <w:sz w:val="14"/>
          <w:szCs w:val="14"/>
          <w:color w:val="auto"/>
        </w:rPr>
        <w:t>March 23, 2022</w:t>
      </w:r>
    </w:p>
    <w:p>
      <w:pPr>
        <w:sectPr>
          <w:pgSz w:w="11900" w:h="16838" w:orient="portrait"/>
          <w:cols w:equalWidth="0" w:num="1">
            <w:col w:w="11260"/>
          </w:cols>
          <w:pgMar w:left="300" w:top="125"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3"/>
          <w:szCs w:val="13"/>
          <w:b w:val="1"/>
          <w:bCs w:val="1"/>
          <w:color w:val="auto"/>
        </w:rPr>
        <w:t>Exhibit 31.1</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Certification of Principal Executive Officer Pursuant to Exchange Act Rule 13a-14(a)/15d-14(a)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I, Christopher A. Tomasso, certify that:</w:t>
      </w:r>
    </w:p>
    <w:p>
      <w:pPr>
        <w:spacing w:after="0" w:line="201"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First Watch Restaurant Group, Inc.;</w:t>
      </w:r>
    </w:p>
    <w:p>
      <w:pPr>
        <w:spacing w:after="0" w:line="200"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3"/>
          <w:szCs w:val="13"/>
          <w:color w:val="auto"/>
        </w:rPr>
      </w:pPr>
    </w:p>
    <w:p>
      <w:pPr>
        <w:ind w:left="760" w:hanging="246"/>
        <w:spacing w:after="0"/>
        <w:tabs>
          <w:tab w:leader="none" w:pos="760" w:val="left"/>
        </w:tabs>
        <w:numPr>
          <w:ilvl w:val="1"/>
          <w:numId w:val="50"/>
        </w:numPr>
        <w:rPr>
          <w:rFonts w:ascii="Arial" w:cs="Arial" w:eastAsia="Arial" w:hAnsi="Arial"/>
          <w:sz w:val="13"/>
          <w:szCs w:val="13"/>
          <w:color w:val="auto"/>
        </w:rPr>
      </w:pPr>
      <w:r>
        <w:rPr>
          <w:rFonts w:ascii="Arial" w:cs="Arial" w:eastAsia="Arial" w:hAnsi="Arial"/>
          <w:sz w:val="13"/>
          <w:szCs w:val="13"/>
          <w:color w:val="auto"/>
        </w:rPr>
        <w:t>[Omitted];</w:t>
      </w:r>
    </w:p>
    <w:p>
      <w:pPr>
        <w:spacing w:after="0" w:line="200"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760" w:hanging="246"/>
        <w:spacing w:after="0" w:line="291" w:lineRule="auto"/>
        <w:tabs>
          <w:tab w:leader="none" w:pos="757" w:val="left"/>
        </w:tabs>
        <w:numPr>
          <w:ilvl w:val="1"/>
          <w:numId w:val="5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760" w:hanging="246"/>
        <w:spacing w:after="0"/>
        <w:tabs>
          <w:tab w:leader="none" w:pos="76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Date: March 23, 2022</w:t>
      </w:r>
    </w:p>
    <w:p>
      <w:pPr>
        <w:spacing w:after="0" w:line="116" w:lineRule="exact"/>
        <w:rPr>
          <w:sz w:val="20"/>
          <w:szCs w:val="20"/>
          <w:color w:val="auto"/>
        </w:rPr>
      </w:pPr>
    </w:p>
    <w:p>
      <w:pPr>
        <w:ind w:left="2560"/>
        <w:spacing w:after="0"/>
        <w:rPr>
          <w:sz w:val="20"/>
          <w:szCs w:val="20"/>
          <w:color w:val="auto"/>
        </w:rPr>
      </w:pPr>
      <w:r>
        <w:rPr>
          <w:rFonts w:ascii="Arial" w:cs="Arial" w:eastAsia="Arial" w:hAnsi="Arial"/>
          <w:sz w:val="13"/>
          <w:szCs w:val="13"/>
          <w:u w:val="single" w:color="auto"/>
          <w:color w:val="auto"/>
        </w:rPr>
        <w:t>/s/ Christopher A. Tomasso</w:t>
      </w:r>
    </w:p>
    <w:p>
      <w:pPr>
        <w:spacing w:after="0" w:line="22"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Christopher A. Tomasso</w:t>
      </w:r>
    </w:p>
    <w:p>
      <w:pPr>
        <w:spacing w:after="0" w:line="10"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Chief Executive Officer</w:t>
      </w:r>
    </w:p>
    <w:p>
      <w:pPr>
        <w:spacing w:after="0" w:line="10"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(Principal Executive Officer)</w:t>
      </w:r>
    </w:p>
    <w:p>
      <w:pPr>
        <w:sectPr>
          <w:pgSz w:w="11900" w:h="16838" w:orient="portrait"/>
          <w:cols w:equalWidth="0" w:num="1">
            <w:col w:w="11280"/>
          </w:cols>
          <w:pgMar w:left="300" w:top="1141"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 Pursuant to Exchange Act Rule 13a-14(a)/15d-14(a) as Adopted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I, Mel Hope, certify that:</w:t>
      </w:r>
    </w:p>
    <w:p>
      <w:pPr>
        <w:spacing w:after="0" w:line="201"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First Watch Restaurant Group, Inc.;</w:t>
      </w:r>
    </w:p>
    <w:p>
      <w:pPr>
        <w:spacing w:after="0" w:line="200"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3"/>
          <w:szCs w:val="13"/>
          <w:color w:val="auto"/>
        </w:rPr>
      </w:pPr>
    </w:p>
    <w:p>
      <w:pPr>
        <w:ind w:left="760" w:hanging="246"/>
        <w:spacing w:after="0"/>
        <w:tabs>
          <w:tab w:leader="none" w:pos="7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[Omitted];</w:t>
      </w:r>
    </w:p>
    <w:p>
      <w:pPr>
        <w:spacing w:after="0" w:line="200"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3"/>
          <w:szCs w:val="13"/>
          <w:color w:val="auto"/>
        </w:rPr>
      </w:pPr>
    </w:p>
    <w:p>
      <w:pPr>
        <w:ind w:left="760" w:hanging="246"/>
        <w:spacing w:after="0" w:line="291" w:lineRule="auto"/>
        <w:tabs>
          <w:tab w:leader="none" w:pos="757" w:val="left"/>
        </w:tabs>
        <w:numPr>
          <w:ilvl w:val="1"/>
          <w:numId w:val="5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3"/>
          <w:szCs w:val="13"/>
          <w:color w:val="auto"/>
        </w:rPr>
      </w:pPr>
    </w:p>
    <w:p>
      <w:pPr>
        <w:ind w:left="520" w:hanging="260"/>
        <w:spacing w:after="0" w:line="291" w:lineRule="auto"/>
        <w:tabs>
          <w:tab w:leader="none" w:pos="5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760" w:hanging="246"/>
        <w:spacing w:after="0" w:line="291" w:lineRule="auto"/>
        <w:tabs>
          <w:tab w:leader="none" w:pos="75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760" w:hanging="246"/>
        <w:spacing w:after="0"/>
        <w:tabs>
          <w:tab w:leader="none" w:pos="7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Date: March 23, 2022</w:t>
      </w:r>
    </w:p>
    <w:p>
      <w:pPr>
        <w:spacing w:after="0" w:line="116" w:lineRule="exact"/>
        <w:rPr>
          <w:sz w:val="20"/>
          <w:szCs w:val="20"/>
          <w:color w:val="auto"/>
        </w:rPr>
      </w:pPr>
    </w:p>
    <w:p>
      <w:pPr>
        <w:ind w:left="2560"/>
        <w:spacing w:after="0"/>
        <w:rPr>
          <w:sz w:val="20"/>
          <w:szCs w:val="20"/>
          <w:color w:val="auto"/>
        </w:rPr>
      </w:pPr>
      <w:r>
        <w:rPr>
          <w:rFonts w:ascii="Arial" w:cs="Arial" w:eastAsia="Arial" w:hAnsi="Arial"/>
          <w:sz w:val="13"/>
          <w:szCs w:val="13"/>
          <w:u w:val="single" w:color="auto"/>
          <w:color w:val="auto"/>
        </w:rPr>
        <w:t>/s/ Mel Hope</w:t>
      </w:r>
    </w:p>
    <w:p>
      <w:pPr>
        <w:spacing w:after="0" w:line="22"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Mel Hope</w:t>
      </w:r>
    </w:p>
    <w:p>
      <w:pPr>
        <w:spacing w:after="0" w:line="10"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Chief Financial Officer</w:t>
      </w:r>
    </w:p>
    <w:p>
      <w:pPr>
        <w:spacing w:after="0" w:line="10"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(Principal Financial Officer)</w:t>
      </w:r>
    </w:p>
    <w:p>
      <w:pPr>
        <w:sectPr>
          <w:pgSz w:w="11900" w:h="16838" w:orient="portrait"/>
          <w:cols w:equalWidth="0" w:num="1">
            <w:col w:w="11280"/>
          </w:cols>
          <w:pgMar w:left="300" w:top="1141"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AND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30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Annual Report on Form 10-K of First Watch Restaurant Group, Inc. (the “Company”) for the fiscal year ended December 26, 2021,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78" w:lineRule="exact"/>
        <w:rPr>
          <w:sz w:val="20"/>
          <w:szCs w:val="20"/>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Date: March 23, 2022</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/s/ Christopher A. Tomasso</w:t>
      </w:r>
    </w:p>
    <w:p>
      <w:pPr>
        <w:spacing w:after="0" w:line="18"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Christopher A. Tomasso</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Chief Executive Officer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(Principal Executive Officer)</w:t>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Arial" w:cs="Arial" w:eastAsia="Arial" w:hAnsi="Arial"/>
          <w:sz w:val="13"/>
          <w:szCs w:val="13"/>
          <w:u w:val="single" w:color="auto"/>
          <w:color w:val="auto"/>
        </w:rPr>
        <w:t>/s/ Mel Hope</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Mel Hope</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Chief Financial Officer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(Principal Financial Officer)</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endash "/>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3"/>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2"/>
    </w:lvl>
  </w:abstractNum>
  <w:abstractNum w:abstractNumId="38">
    <w:nsid w:val="7A6D8D3C"/>
    <w:multiLevelType w:val="hybridMultilevel"/>
    <w:lvl w:ilvl="0">
      <w:lvlJc w:val="left"/>
      <w:lvlText w:val="%1"/>
      <w:numFmt w:val="decimal"/>
      <w:start w:val="10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lvl w:ilvl="1">
      <w:lvlJc w:val="left"/>
      <w:lvlText w:val="%2."/>
      <w:numFmt w:val="lowerLetter"/>
      <w:start w:val="1"/>
    </w:lvl>
  </w:abstractNum>
  <w:abstractNum w:abstractNumId="41">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42">
    <w:nsid w:val="38437FDB"/>
    <w:multiLevelType w:val="hybridMultilevel"/>
    <w:lvl w:ilvl="0">
      <w:lvlJc w:val="left"/>
      <w:lvlText w:val="1"/>
      <w:numFmt w:val="bullet"/>
      <w:start w:val="1"/>
    </w:lvl>
  </w:abstractNum>
  <w:abstractNum w:abstractNumId="43">
    <w:nsid w:val="7644A4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579478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749ABB43"/>
    <w:multiLevelType w:val="hybridMultilevel"/>
    <w:lvl w:ilvl="0">
      <w:lvlJc w:val="left"/>
      <w:lvlText w:val="%1."/>
      <w:numFmt w:val="decimal"/>
      <w:start w:val="8"/>
    </w:lvl>
    <w:lvl w:ilvl="1">
      <w:lvlJc w:val="left"/>
      <w:lvlText w:val="%2."/>
      <w:numFmt w:val="lowerLetter"/>
      <w:start w:val="1"/>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2"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150" Type="http://schemas.openxmlformats.org/officeDocument/2006/relationships/hyperlink" Target="https://www.sec.gov/Archives/edgar/data/1789940/000119312521293207/d212487dex31.htm" TargetMode="External"/><Relationship Id="rId151" Type="http://schemas.openxmlformats.org/officeDocument/2006/relationships/hyperlink" Target="https://www.sec.gov/Archives/edgar/data/1789940/000119312521293207/d212487dex32.htm" TargetMode="External"/><Relationship Id="rId152" Type="http://schemas.openxmlformats.org/officeDocument/2006/relationships/hyperlink" Target="https://www.sec.gov/Archives/edgar/data/1789940/000119312521266418/d177756dex41.htm" TargetMode="External"/><Relationship Id="rId153" Type="http://schemas.openxmlformats.org/officeDocument/2006/relationships/hyperlink" Target="https://www.sec.gov/Archives/edgar/data/1789940/000119312521293207/d212487dex101.htm" TargetMode="External"/><Relationship Id="rId154" Type="http://schemas.openxmlformats.org/officeDocument/2006/relationships/hyperlink" Target="https://www.sec.gov/Archives/edgar/data/1789940/000119312521266418/d177756dex101a.htm" TargetMode="External"/><Relationship Id="rId155" Type="http://schemas.openxmlformats.org/officeDocument/2006/relationships/hyperlink" Target="https://www.sec.gov/Archives/edgar/data/1789940/000119312521266418/d177756dex101b.htm" TargetMode="External"/><Relationship Id="rId156" Type="http://schemas.openxmlformats.org/officeDocument/2006/relationships/hyperlink" Target="https://www.sec.gov/Archives/edgar/data/1789940/000119312521266418/d177756dex101c.htm" TargetMode="External"/><Relationship Id="rId157" Type="http://schemas.openxmlformats.org/officeDocument/2006/relationships/hyperlink" Target="https://www.sec.gov/Archives/edgar/data/1789940/000119312521266418/d177756dex101d.htm" TargetMode="External"/><Relationship Id="rId158" Type="http://schemas.openxmlformats.org/officeDocument/2006/relationships/hyperlink" Target="https://www.sec.gov/Archives/edgar/data/1789940/000119312521266418/d177756dex101e.htm" TargetMode="External"/><Relationship Id="rId159" Type="http://schemas.openxmlformats.org/officeDocument/2006/relationships/hyperlink" Target="https://www.sec.gov/Archives/edgar/data/1789940/000178994022000005/exh101-tomassoemploymentag.htm" TargetMode="External"/><Relationship Id="rId160" Type="http://schemas.openxmlformats.org/officeDocument/2006/relationships/hyperlink" Target="https://www.sec.gov/Archives/edgar/data/1789940/000119312521266418/d177756dex104.htm" TargetMode="External"/><Relationship Id="rId161" Type="http://schemas.openxmlformats.org/officeDocument/2006/relationships/hyperlink" Target="https://www.sec.gov/Archives/edgar/data/1789940/000119312521266418/d177756dex108.htm" TargetMode="External"/><Relationship Id="rId163" Type="http://schemas.openxmlformats.org/officeDocument/2006/relationships/hyperlink" Target="https://www.sec.gov/Archives/edgar/data/1789940/000119312521266418/d177756dex103.htm" TargetMode="External"/><Relationship Id="rId164" Type="http://schemas.openxmlformats.org/officeDocument/2006/relationships/hyperlink" Target="https://www.sec.gov/Archives/edgar/data/1789940/000119312521266418/d177756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2022-03-23T06:12:46Z</dcterms:created>
  <dcterms:modified xsi:type="dcterms:W3CDTF">2022-03-23T06:12:46Z</dcterms:modified>
</cp:coreProperties>
</file>