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quarterly period ended September 26, 2021</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00"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9"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001-04321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48895</wp:posOffset>
            </wp:positionV>
            <wp:extent cx="171450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First Watch Restaurant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36" w:right="339" w:bottom="1440" w:gutter="0" w:footer="0" w:header="0"/>
        </w:sectPr>
      </w:pPr>
    </w:p>
    <w:p>
      <w:pPr>
        <w:spacing w:after="0" w:line="8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82-4271369</w:t>
      </w:r>
    </w:p>
    <w:p>
      <w:pPr>
        <w:spacing w:after="0" w:line="63" w:lineRule="exact"/>
        <w:rPr>
          <w:sz w:val="24"/>
          <w:szCs w:val="24"/>
          <w:color w:val="auto"/>
        </w:rPr>
      </w:pPr>
    </w:p>
    <w:p>
      <w:pPr>
        <w:sectPr>
          <w:pgSz w:w="11900" w:h="16838" w:orient="portrait"/>
          <w:cols w:equalWidth="0" w:num="2">
            <w:col w:w="8460" w:space="720"/>
            <w:col w:w="2060"/>
          </w:cols>
          <w:pgMar w:left="320" w:top="936" w:right="3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(State or other jurisdiction of</w:t>
      </w:r>
    </w:p>
    <w:p>
      <w:pPr>
        <w:spacing w:after="0" w:line="21" w:lineRule="exact"/>
        <w:rPr>
          <w:sz w:val="24"/>
          <w:szCs w:val="24"/>
          <w:color w:val="auto"/>
        </w:rPr>
      </w:pPr>
    </w:p>
    <w:p>
      <w:pPr>
        <w:ind w:left="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32" w:lineRule="exact"/>
        <w:rPr>
          <w:sz w:val="24"/>
          <w:szCs w:val="24"/>
          <w:color w:val="auto"/>
        </w:rPr>
      </w:pPr>
    </w:p>
    <w:p>
      <w:pPr>
        <w:sectPr>
          <w:pgSz w:w="11900" w:h="16838" w:orient="portrait"/>
          <w:cols w:equalWidth="0" w:num="2">
            <w:col w:w="7600" w:space="720"/>
            <w:col w:w="2920"/>
          </w:cols>
          <w:pgMar w:left="320" w:top="936" w:right="339" w:bottom="1440" w:gutter="0" w:footer="0" w:header="0"/>
          <w:type w:val="continuous"/>
        </w:sectPr>
      </w:pPr>
    </w:p>
    <w:p>
      <w:pPr>
        <w:jc w:val="center"/>
        <w:ind w:left="500"/>
        <w:spacing w:after="0"/>
        <w:rPr>
          <w:sz w:val="20"/>
          <w:szCs w:val="20"/>
          <w:color w:val="auto"/>
        </w:rPr>
      </w:pPr>
      <w:r>
        <w:rPr>
          <w:rFonts w:ascii="Arial" w:cs="Arial" w:eastAsia="Arial" w:hAnsi="Arial"/>
          <w:sz w:val="16"/>
          <w:szCs w:val="16"/>
          <w:b w:val="1"/>
          <w:bCs w:val="1"/>
          <w:color w:val="auto"/>
        </w:rPr>
        <w:t>8725 Pendery Place, Suite 201, Bradenton, FL 34201</w:t>
      </w:r>
    </w:p>
    <w:p>
      <w:pPr>
        <w:spacing w:after="0" w:line="63" w:lineRule="exact"/>
        <w:rPr>
          <w:sz w:val="24"/>
          <w:szCs w:val="24"/>
          <w:color w:val="auto"/>
        </w:rPr>
      </w:pPr>
    </w:p>
    <w:p>
      <w:pPr>
        <w:jc w:val="center"/>
        <w:ind w:left="500"/>
        <w:spacing w:after="0"/>
        <w:rPr>
          <w:sz w:val="20"/>
          <w:szCs w:val="20"/>
          <w:color w:val="auto"/>
        </w:rPr>
      </w:pPr>
      <w:r>
        <w:rPr>
          <w:rFonts w:ascii="Arial" w:cs="Arial" w:eastAsia="Arial" w:hAnsi="Arial"/>
          <w:sz w:val="17"/>
          <w:szCs w:val="17"/>
          <w:color w:val="auto"/>
        </w:rPr>
        <w:t>(Address of Principal Executive Offices) (Zip Code)</w:t>
      </w:r>
    </w:p>
    <w:p>
      <w:pPr>
        <w:sectPr>
          <w:pgSz w:w="11900" w:h="16838" w:orient="portrait"/>
          <w:cols w:equalWidth="0" w:num="1">
            <w:col w:w="11240"/>
          </w:cols>
          <w:pgMar w:left="320" w:top="936" w:right="339" w:bottom="1440" w:gutter="0" w:footer="0" w:header="0"/>
          <w:type w:val="continuous"/>
        </w:sectPr>
      </w:pP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(941) 907-9800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Arial" w:cs="Arial" w:eastAsia="Arial" w:hAnsi="Arial"/>
                <w:sz w:val="18"/>
                <w:szCs w:val="18"/>
                <w:color w:val="auto"/>
                <w:w w:val="90"/>
              </w:rPr>
              <w:t>Title of each class</w:t>
            </w: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360" w:type="dxa"/>
            <w:vAlign w:val="bottom"/>
            <w:vMerge w:val="restart"/>
          </w:tcPr>
          <w:p>
            <w:pPr>
              <w:jc w:val="center"/>
              <w:ind w:right="830"/>
              <w:spacing w:after="0"/>
              <w:rPr>
                <w:sz w:val="20"/>
                <w:szCs w:val="20"/>
                <w:color w:val="auto"/>
              </w:rPr>
            </w:pPr>
            <w:r>
              <w:rPr>
                <w:rFonts w:ascii="Arial" w:cs="Arial" w:eastAsia="Arial" w:hAnsi="Arial"/>
                <w:sz w:val="18"/>
                <w:szCs w:val="18"/>
                <w:b w:val="1"/>
                <w:bCs w:val="1"/>
                <w:color w:val="auto"/>
                <w:w w:val="89"/>
              </w:rPr>
              <w:t>Common Stock, $0.01 par value</w:t>
            </w:r>
          </w:p>
        </w:tc>
        <w:tc>
          <w:tcPr>
            <w:tcW w:w="284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rPr>
              <w:t>FWRG</w:t>
            </w:r>
          </w:p>
        </w:tc>
        <w:tc>
          <w:tcPr>
            <w:tcW w:w="3760" w:type="dxa"/>
            <w:vAlign w:val="bottom"/>
          </w:tcPr>
          <w:p>
            <w:pPr>
              <w:jc w:val="center"/>
              <w:ind w:left="470"/>
              <w:spacing w:after="0" w:line="18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0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8"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640" w:type="dxa"/>
            <w:vAlign w:val="bottom"/>
          </w:tcPr>
          <w:p>
            <w:pPr>
              <w:jc w:val="center"/>
              <w:ind w:right="1930"/>
              <w:spacing w:after="0"/>
              <w:rPr>
                <w:sz w:val="20"/>
                <w:szCs w:val="20"/>
                <w:color w:val="auto"/>
              </w:rPr>
            </w:pPr>
            <w:r>
              <w:rPr>
                <w:rFonts w:ascii="Arial" w:cs="Arial" w:eastAsia="Arial" w:hAnsi="Arial"/>
                <w:sz w:val="18"/>
                <w:szCs w:val="18"/>
                <w:color w:val="auto"/>
                <w:w w:val="90"/>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3640" w:type="dxa"/>
            <w:vAlign w:val="bottom"/>
          </w:tcPr>
          <w:p>
            <w:pPr>
              <w:jc w:val="center"/>
              <w:ind w:right="1950"/>
              <w:spacing w:after="0"/>
              <w:rPr>
                <w:sz w:val="20"/>
                <w:szCs w:val="20"/>
                <w:color w:val="auto"/>
              </w:rPr>
            </w:pPr>
            <w:r>
              <w:rPr>
                <w:rFonts w:ascii="Arial" w:cs="Arial" w:eastAsia="Arial" w:hAnsi="Arial"/>
                <w:sz w:val="18"/>
                <w:szCs w:val="18"/>
                <w:color w:val="auto"/>
                <w:w w:val="91"/>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4"/>
          <w:szCs w:val="24"/>
          <w:color w:val="auto"/>
        </w:rPr>
      </w:pPr>
    </w:p>
    <w:p>
      <w:pPr>
        <w:jc w:val="both"/>
        <w:ind w:right="1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59,048,446 shares of common stock as of November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80" w:type="dxa"/>
            <w:vAlign w:val="bottom"/>
            <w:gridSpan w:val="4"/>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176"/>
        </w:trPr>
        <w:tc>
          <w:tcPr>
            <w:tcW w:w="20" w:type="dxa"/>
            <w:vAlign w:val="bottom"/>
          </w:tcPr>
          <w:p>
            <w:pPr>
              <w:spacing w:after="0"/>
              <w:rPr>
                <w:sz w:val="15"/>
                <w:szCs w:val="15"/>
                <w:color w:val="auto"/>
              </w:rPr>
            </w:pPr>
          </w:p>
        </w:tc>
        <w:tc>
          <w:tcPr>
            <w:tcW w:w="10540" w:type="dxa"/>
            <w:vAlign w:val="bottom"/>
            <w:gridSpan w:val="16"/>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6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220" w:type="dxa"/>
            <w:vAlign w:val="bottom"/>
            <w:gridSpan w:val="2"/>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r>
              <w:rPr>
                <w:rFonts w:ascii="Arial" w:cs="Arial" w:eastAsia="Arial" w:hAnsi="Arial"/>
                <w:sz w:val="18"/>
                <w:szCs w:val="18"/>
                <w:color w:val="0000FF"/>
              </w:rPr>
              <w:t xml:space="preserve">Consolidated </w:t>
            </w:r>
            <w:hyperlink w:anchor="page3">
              <w:r>
                <w:rPr>
                  <w:rFonts w:ascii="Arial" w:cs="Arial" w:eastAsia="Arial" w:hAnsi="Arial"/>
                  <w:sz w:val="18"/>
                  <w:szCs w:val="18"/>
                  <w:color w:val="0000FF"/>
                </w:rPr>
                <w:t>Financial Statements and Notes to Consolidated Financial Statements (Unaudited)</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Item 2.</w:t>
              </w:r>
            </w:hyperlink>
          </w:p>
        </w:tc>
        <w:tc>
          <w:tcPr>
            <w:tcW w:w="12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17">
              <w:r>
                <w:rPr>
                  <w:rFonts w:ascii="Arial" w:cs="Arial" w:eastAsia="Arial" w:hAnsi="Arial"/>
                  <w:sz w:val="18"/>
                  <w:szCs w:val="18"/>
                  <w:color w:val="0000FF"/>
                </w:rPr>
                <w:t>Management</w:t>
              </w:r>
            </w:hyperlink>
            <w:r>
              <w:rPr>
                <w:rFonts w:ascii="Arial" w:cs="Arial" w:eastAsia="Arial" w:hAnsi="Arial"/>
                <w:sz w:val="21"/>
                <w:szCs w:val="21"/>
                <w:color w:val="000000"/>
              </w:rPr>
              <w:t>’</w:t>
            </w:r>
            <w:hyperlink w:anchor="page17">
              <w:r>
                <w:rPr>
                  <w:rFonts w:ascii="Arial" w:cs="Arial" w:eastAsia="Arial" w:hAnsi="Arial"/>
                  <w:sz w:val="18"/>
                  <w:szCs w:val="18"/>
                  <w:color w:val="0000FF"/>
                </w:rPr>
                <w: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87"/>
              </w:rPr>
              <w:t>Item 3.</w:t>
            </w:r>
          </w:p>
        </w:tc>
        <w:tc>
          <w:tcPr>
            <w:tcW w:w="340" w:type="dxa"/>
            <w:vAlign w:val="bottom"/>
            <w:gridSpan w:val="3"/>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6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60" w:type="dxa"/>
            <w:vAlign w:val="bottom"/>
            <w:tcBorders>
              <w:left w:val="single" w:sz="8" w:color="0000FF"/>
            </w:tcBorders>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Item 4.</w:t>
              </w:r>
            </w:hyperlink>
          </w:p>
        </w:tc>
        <w:tc>
          <w:tcPr>
            <w:tcW w:w="340" w:type="dxa"/>
            <w:vAlign w:val="bottom"/>
            <w:gridSpan w:val="3"/>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6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54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Part II. Other Information</w:t>
              </w:r>
            </w:hyperlink>
          </w:p>
        </w:tc>
        <w:tc>
          <w:tcPr>
            <w:tcW w:w="6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Item 1.</w:t>
              </w:r>
            </w:hyperlink>
          </w:p>
        </w:tc>
        <w:tc>
          <w:tcPr>
            <w:tcW w:w="340" w:type="dxa"/>
            <w:vAlign w:val="bottom"/>
            <w:gridSpan w:val="3"/>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1A.</w:t>
              </w:r>
            </w:hyperlink>
          </w:p>
        </w:tc>
        <w:tc>
          <w:tcPr>
            <w:tcW w:w="9680" w:type="dxa"/>
            <w:vAlign w:val="bottom"/>
            <w:gridSpan w:val="12"/>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2.</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100" w:type="dxa"/>
            <w:vAlign w:val="bottom"/>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Item 4.</w:t>
              </w:r>
            </w:hyperlink>
          </w:p>
        </w:tc>
        <w:tc>
          <w:tcPr>
            <w:tcW w:w="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Item 5.</w:t>
              </w:r>
            </w:hyperlink>
          </w:p>
        </w:tc>
        <w:tc>
          <w:tcPr>
            <w:tcW w:w="340" w:type="dxa"/>
            <w:vAlign w:val="bottom"/>
            <w:gridSpan w:val="3"/>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2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Item 6.</w:t>
              </w:r>
            </w:hyperlink>
          </w:p>
        </w:tc>
        <w:tc>
          <w:tcPr>
            <w:tcW w:w="340" w:type="dxa"/>
            <w:vAlign w:val="bottom"/>
            <w:gridSpan w:val="3"/>
          </w:tcPr>
          <w:p>
            <w:pPr>
              <w:spacing w:after="0"/>
              <w:rPr>
                <w:sz w:val="19"/>
                <w:szCs w:val="19"/>
                <w:color w:val="auto"/>
              </w:rPr>
            </w:pPr>
          </w:p>
        </w:tc>
        <w:tc>
          <w:tcPr>
            <w:tcW w:w="9680" w:type="dxa"/>
            <w:vAlign w:val="bottom"/>
            <w:gridSpan w:val="12"/>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4"/>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Signatures</w:t>
              </w:r>
            </w:hyperlink>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8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r>
      <w:tr>
        <w:trPr>
          <w:trHeight w:val="938"/>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27, 2020</w:t>
            </w:r>
          </w:p>
        </w:tc>
      </w:tr>
      <w:tr>
        <w:trPr>
          <w:trHeight w:val="202"/>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38,846</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Deferred offering costs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07"/>
        </w:trPr>
        <w:tc>
          <w:tcPr>
            <w:tcW w:w="822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66,721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49,038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345,219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143,241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143,662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307,558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fixtures and equipment, net of accumulated depreciation of $107,994 and $86,250, respectively</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163,404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160,744</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r>
      <w:tr>
        <w:trPr>
          <w:trHeight w:val="213"/>
        </w:trPr>
        <w:tc>
          <w:tcPr>
            <w:tcW w:w="822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1,038,835</w:t>
            </w:r>
          </w:p>
        </w:tc>
        <w:tc>
          <w:tcPr>
            <w:tcW w:w="8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1,007,512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13,482</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deferred payroll taxes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10,856</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Deferred revenues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4,273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40,111</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of long-term debt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3,590</w:t>
            </w: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322,516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307,802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286,400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10,313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payroll taxes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w:t>
            </w: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714,677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686,646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Preferred stock; $0.01 par value; 266,667 shares authorized, issued and outstanding</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$0.01 par value; 300,000,000 shares authorized; 45,013,784 shares issued and outstanding</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424,091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423,345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(100,386)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(102,932)</w:t>
            </w: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equity</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324,158</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320,866</w:t>
            </w:r>
          </w:p>
        </w:tc>
      </w:tr>
      <w:tr>
        <w:trPr>
          <w:trHeight w:val="23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1,038,835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1,007,512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80"/>
              <w:spacing w:after="0" w:line="135"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100"/>
              <w:spacing w:after="0" w:line="135"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155,082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98,353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432,136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229,546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157,441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99,749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438,573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232,995</w:t>
            </w:r>
          </w:p>
        </w:tc>
        <w:tc>
          <w:tcPr>
            <w:tcW w:w="0" w:type="dxa"/>
            <w:vAlign w:val="bottom"/>
          </w:tcPr>
          <w:p>
            <w:pPr>
              <w:spacing w:after="0"/>
              <w:rPr>
                <w:sz w:val="1"/>
                <w:szCs w:val="1"/>
                <w:color w:val="auto"/>
              </w:rPr>
            </w:pP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080" w:type="dxa"/>
            <w:vAlign w:val="bottom"/>
          </w:tcPr>
          <w:p>
            <w:pPr>
              <w:ind w:left="20"/>
              <w:spacing w:after="0" w:line="166" w:lineRule="exact"/>
              <w:rPr>
                <w:sz w:val="20"/>
                <w:szCs w:val="20"/>
                <w:color w:val="auto"/>
              </w:rPr>
            </w:pPr>
            <w:r>
              <w:rPr>
                <w:rFonts w:ascii="Arial" w:cs="Arial" w:eastAsia="Arial" w:hAnsi="Arial"/>
                <w:sz w:val="16"/>
                <w:szCs w:val="16"/>
                <w:color w:val="auto"/>
                <w:w w:val="95"/>
              </w:rPr>
              <w:t>Restaurant operating expenses (exclusive of depreciation and amortization</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shown below):</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 costs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53,040</w:t>
            </w:r>
          </w:p>
        </w:tc>
        <w:tc>
          <w:tcPr>
            <w:tcW w:w="0" w:type="dxa"/>
            <w:vAlign w:val="bottom"/>
          </w:tcPr>
          <w:p>
            <w:pPr>
              <w:spacing w:after="0"/>
              <w:rPr>
                <w:sz w:val="1"/>
                <w:szCs w:val="1"/>
                <w:color w:val="auto"/>
              </w:rPr>
            </w:pPr>
          </w:p>
        </w:tc>
      </w:tr>
      <w:tr>
        <w:trPr>
          <w:trHeight w:val="213"/>
        </w:trPr>
        <w:tc>
          <w:tcPr>
            <w:tcW w:w="5080" w:type="dxa"/>
            <w:vAlign w:val="bottom"/>
          </w:tcPr>
          <w:p>
            <w:pPr>
              <w:ind w:left="360"/>
              <w:spacing w:after="0"/>
              <w:rPr>
                <w:sz w:val="20"/>
                <w:szCs w:val="20"/>
                <w:color w:val="auto"/>
              </w:rPr>
            </w:pPr>
            <w:r>
              <w:rPr>
                <w:rFonts w:ascii="Arial" w:cs="Arial" w:eastAsia="Arial" w:hAnsi="Arial"/>
                <w:sz w:val="16"/>
                <w:szCs w:val="16"/>
                <w:color w:val="auto"/>
              </w:rPr>
              <w:t>Labor and other related expenses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50,587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84,127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restaurant operating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43,163</w:t>
            </w:r>
          </w:p>
        </w:tc>
        <w:tc>
          <w:tcPr>
            <w:tcW w:w="0" w:type="dxa"/>
            <w:vAlign w:val="bottom"/>
          </w:tcPr>
          <w:p>
            <w:pPr>
              <w:spacing w:after="0"/>
              <w:rPr>
                <w:sz w:val="1"/>
                <w:szCs w:val="1"/>
                <w:color w:val="auto"/>
              </w:rPr>
            </w:pPr>
          </w:p>
        </w:tc>
      </w:tr>
      <w:tr>
        <w:trPr>
          <w:trHeight w:val="213"/>
        </w:trPr>
        <w:tc>
          <w:tcPr>
            <w:tcW w:w="5080" w:type="dxa"/>
            <w:vAlign w:val="bottom"/>
          </w:tcPr>
          <w:p>
            <w:pPr>
              <w:ind w:left="360"/>
              <w:spacing w:after="0"/>
              <w:rPr>
                <w:sz w:val="20"/>
                <w:szCs w:val="20"/>
                <w:color w:val="auto"/>
              </w:rPr>
            </w:pPr>
            <w:r>
              <w:rPr>
                <w:rFonts w:ascii="Arial" w:cs="Arial" w:eastAsia="Arial" w:hAnsi="Arial"/>
                <w:sz w:val="16"/>
                <w:szCs w:val="16"/>
                <w:color w:val="auto"/>
              </w:rPr>
              <w:t>Occupancy expenses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38,309</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22,877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Transaction expenses (income), net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150,288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415,263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275,488</w:t>
            </w:r>
          </w:p>
        </w:tc>
        <w:tc>
          <w:tcPr>
            <w:tcW w:w="0" w:type="dxa"/>
            <w:vAlign w:val="bottom"/>
          </w:tcPr>
          <w:p>
            <w:pPr>
              <w:spacing w:after="0"/>
              <w:rPr>
                <w:sz w:val="1"/>
                <w:szCs w:val="1"/>
                <w:color w:val="auto"/>
              </w:rPr>
            </w:pPr>
          </w:p>
        </w:tc>
      </w:tr>
      <w:tr>
        <w:trPr>
          <w:trHeight w:val="206"/>
        </w:trPr>
        <w:tc>
          <w:tcPr>
            <w:tcW w:w="508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23,310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(42,493)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(16,499)</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before income tax expense (benefit)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(58,587)</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(16,024)</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and total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(42,563)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45,013,784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45,013,784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45,013,784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 - 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46,085,650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46,077,196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2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vMerge w:val="restart"/>
          </w:tcPr>
          <w:p>
            <w:pPr>
              <w:spacing w:after="0"/>
              <w:rPr>
                <w:sz w:val="16"/>
                <w:szCs w:val="16"/>
                <w:color w:val="auto"/>
              </w:rPr>
            </w:pPr>
          </w:p>
        </w:tc>
        <w:tc>
          <w:tcPr>
            <w:tcW w:w="214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27,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(101,169)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322,945</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26,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424,091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(100,386)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324,158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20" w:type="dxa"/>
            <w:vAlign w:val="bottom"/>
            <w:gridSpan w:val="4"/>
            <w:vMerge w:val="restart"/>
          </w:tcPr>
          <w:p>
            <w:pPr>
              <w:jc w:val="right"/>
              <w:ind w:right="419"/>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vMerge w:val="restart"/>
          </w:tcPr>
          <w:p>
            <w:pPr>
              <w:spacing w:after="0"/>
              <w:rPr>
                <w:sz w:val="16"/>
                <w:szCs w:val="16"/>
                <w:color w:val="auto"/>
              </w:rPr>
            </w:pPr>
          </w:p>
        </w:tc>
        <w:tc>
          <w:tcPr>
            <w:tcW w:w="214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27,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(102,932)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320,866</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26,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424,091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(100,386)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324,158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5"/>
                <w:szCs w:val="15"/>
                <w:color w:val="auto"/>
              </w:rPr>
            </w:pPr>
          </w:p>
        </w:tc>
        <w:tc>
          <w:tcPr>
            <w:tcW w:w="212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vMerge w:val="restart"/>
          </w:tcPr>
          <w:p>
            <w:pPr>
              <w:spacing w:after="0"/>
              <w:rPr>
                <w:sz w:val="15"/>
                <w:szCs w:val="15"/>
                <w:color w:val="auto"/>
              </w:rPr>
            </w:pPr>
          </w:p>
        </w:tc>
        <w:tc>
          <w:tcPr>
            <w:tcW w:w="214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2"/>
                <w:szCs w:val="12"/>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28, 2020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298,754</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Share issuance</w:t>
            </w:r>
          </w:p>
        </w:tc>
        <w:tc>
          <w:tcPr>
            <w:tcW w:w="1120" w:type="dxa"/>
            <w:vAlign w:val="bottom"/>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39,997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(11,141)</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27,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327,805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20" w:type="dxa"/>
            <w:vAlign w:val="bottom"/>
            <w:gridSpan w:val="4"/>
            <w:vMerge w:val="restart"/>
          </w:tcPr>
          <w:p>
            <w:pPr>
              <w:jc w:val="right"/>
              <w:ind w:right="419"/>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vMerge w:val="restart"/>
          </w:tcPr>
          <w:p>
            <w:pPr>
              <w:spacing w:after="0"/>
              <w:rPr>
                <w:sz w:val="16"/>
                <w:szCs w:val="16"/>
                <w:color w:val="auto"/>
              </w:rPr>
            </w:pPr>
          </w:p>
        </w:tc>
        <w:tc>
          <w:tcPr>
            <w:tcW w:w="214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2"/>
                <w:szCs w:val="12"/>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329,797</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Share issuance</w:t>
            </w:r>
          </w:p>
        </w:tc>
        <w:tc>
          <w:tcPr>
            <w:tcW w:w="1120" w:type="dxa"/>
            <w:vAlign w:val="bottom"/>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39,997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(42,563)</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3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27,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327,805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818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r>
      <w:tr>
        <w:trPr>
          <w:trHeight w:val="197"/>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(42,563)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22,877</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 and deferred issuance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Non-cash operating lease costs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8,757</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(16,112)</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Impairments and loss on disposal of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offering costs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1,307</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 current and long-term</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768</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Accrued compensation and deferred payroll taxes, current and long-term</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(3,188)</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revenues, current and long-term</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w:t>
            </w:r>
          </w:p>
        </w:tc>
      </w:tr>
      <w:tr>
        <w:trPr>
          <w:trHeight w:val="21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9,157</w:t>
            </w:r>
          </w:p>
        </w:tc>
      </w:tr>
      <w:tr>
        <w:trPr>
          <w:trHeight w:val="213"/>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(20,393)</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(22,179)</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intangible assets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preferred stock issuance</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54,600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Proceeds from borrowings on revolving credit facility</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22,000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borrowings on revolving credit facility</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Payment of deferred offering costs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payments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06"/>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74,167</w:t>
            </w:r>
          </w:p>
        </w:tc>
      </w:tr>
      <w:tr>
        <w:trPr>
          <w:trHeight w:val="213"/>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increase in cash and cash equivalents and restricted cash</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31,446</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39,097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11,121</w:t>
            </w: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52,102</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14,763</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14,606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 </w:t>
      </w:r>
      <w:r>
        <w:rPr>
          <w:rFonts w:ascii="Arial" w:cs="Arial" w:eastAsia="Arial" w:hAnsi="Arial"/>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816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r>
      <w:tr>
        <w:trPr>
          <w:trHeight w:val="197"/>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Interest converted to long-term debt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3,062</w:t>
            </w:r>
          </w:p>
        </w:tc>
        <w:tc>
          <w:tcPr>
            <w:tcW w:w="1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14,313</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Remeasurements of operating lease assets and lease liabilities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Terminations of operating lease liabilities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Remeasurements of finance lease assets and lease liabilities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Change in liabilities from acquisition of property, fixtures and equipment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Nature of Business and Organization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Watch Restaurant Group, Inc. (collectively with its wholly-owned subsidiaries, “the Company” or “Management”) operates and franchises restaurants in 28 states operating under the “First Watch” trade name which are focused on made-to-order breakfast, brunch and lunch. As of September 26, 2021 and December 27, 2020, the Company operated 337 company-owned restaurants and 321 company-owned restaurants, respectively, and had 91 franchise-owned restaurants and 88 franchise-owned restaurants,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September 20, 2021, the Company’s board of directors and its stockholders approved an amendment to the Company’s Certificate of Incorporation. Such amendment (i) effected a 11.838-for-1 stock split of its issued and outstanding shares of common stock and a proportional adjustment to the existing conversion ratio of the preferred stock and (ii) authorized an increase to the number of shares of common stock of the Company to 300,000,000 and an increase to the number of shares of preferred stock to 10,000,000. The par value of the Company’s common and preferred stock was not adjusted in connection with the stock split. All common share and per share amounts for all periods presented in the accompanying unaudited interim consolidated financial statements and notes thereto have been adjusted retroactively, where applicable, to reflect this stock split.</w:t>
      </w:r>
    </w:p>
    <w:p>
      <w:pPr>
        <w:spacing w:after="0" w:line="19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On September 30, 2021, the Company’s registration statement on Form S-1 related to its initial public offering (“IPO”) was declared effective and the Company’s common stock began trading on the Nasdaq Global Select Market on October 1, 2021. On October 5, 2021, the Company completed its IPO, in which the Company sold 10,877,850 shares of common stock at the initial public offering price of $18.00 per share. The shares sold included the underwriters’ full exercise of their option to purchase up to an additional 1,418,850 shares of common stock at the initial public offering price of $18.00 per share. All of the Company’s outstanding shares of preferred stock were adjusted in connection with the aforementioned stock split and were automatically converted into 3,156,812 shares of common stock immediately prior to and in connection with the consummation of the IPO.</w:t>
      </w:r>
    </w:p>
    <w:p>
      <w:pPr>
        <w:spacing w:after="0" w:line="20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On October 5, 2021, the Company received aggregate net proceeds of $182.1 million after deducting underwriting discounts and commissions of $13.7 million. The aggregate net proceeds received were used to repay $182.1 million of borrowings outstanding under the Company’s senior credit facilities, which are comprised of the Initial Term Loan Facility, Initial Delayed Draw Term Loan Facility, First Amendment Delayed Draw Term Facility, Second Amendment Delayed Draw Term Facility and Revolving Credit Facility (collectively, “Senior Credit Facilities”). On October 6, 2021, the Company entered into a new credit agreement that provides for (i) a $100 million term loan A facility and (ii) a $75 million revolving credit facility (See Note 13,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293" w:lineRule="exact"/>
        <w:rPr>
          <w:sz w:val="20"/>
          <w:szCs w:val="20"/>
          <w:color w:val="auto"/>
        </w:rPr>
      </w:pPr>
    </w:p>
    <w:p>
      <w:pPr>
        <w:ind w:right="7540" w:firstLine="8"/>
        <w:spacing w:after="0" w:line="378"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69" w:lineRule="auto"/>
        <w:rPr>
          <w:sz w:val="20"/>
          <w:szCs w:val="20"/>
          <w:color w:val="auto"/>
        </w:rPr>
      </w:pPr>
      <w:r>
        <w:rPr>
          <w:rFonts w:ascii="Arial" w:cs="Arial" w:eastAsia="Arial" w:hAnsi="Arial"/>
          <w:sz w:val="17"/>
          <w:szCs w:val="17"/>
          <w:color w:val="auto"/>
        </w:rPr>
        <w:t>The Company reports financial information on a 52- or 53-week fiscal year ending on the last Sunday of each calendar year. Our fiscal quarters are comprised of 13 weeks each, except for fiscal years consisting of 53 weeks for which the fourth quarter will consist of 14 weeks, and end on the 13th Sunday of each quarter (14th Sunday of the fourth quarter, when applicable). The quarters ended September 26, 2021 and September 27, 2020 were both 13-week periods. 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and include all adjustments necessary for the fair statement of the consolidated financial statements for the interim periods presented. The results of operations for interim periods are not necessarily indicative of the results to be expected for other interim periods or the entire fiscal year. These unaudited interim consolidated financial statements should be read in conjunction with the audited consolidated financial statements and notes thereto as of and for the year ended December 27, 2020 included in the Company’s final prospectus dated September 30, 2021 filed with the SEC in accordance with Rule 424(b) of the Securities Act on October 4, 2021 (the “IPO Prospectus”).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legal, professional accounting, and other third-party fees that are directly associated with in-process equity financings are capitalized as deferred offering costs until such financings are consummated. After consummation of the equity financing, these costs are recorded in equity as a reduction of additional paid-in capital generated as a result of the offering. As of September 26, 2021, there was a total of $3.7 million of deferred offering costs related to the Company’s IPO. There were no deferred offering costs as of December 27,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 Not Yet Adopted</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(“ASU 2020-04”). The new guidance provides optional expedients and exceptions for applying GAAP to contracts, hedging relationships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transactions affected by reference rate reform if certain criteria are met. ASU 2020-04 may be adopted beginning March 12, 2020 and may be applied prospectively to contract modifications made and hedging relationships entered into or evaluated on or before December 31, 2022. Management is currently evaluating its contracts and the optional expedients and exceptions provided by the new standard.</w:t>
      </w:r>
    </w:p>
    <w:p>
      <w:pPr>
        <w:spacing w:after="0" w:line="2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a detail of contract liabilities with customers: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27, 2020</w:t>
            </w:r>
          </w:p>
        </w:tc>
      </w:tr>
      <w:tr>
        <w:trPr>
          <w:trHeight w:val="202"/>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5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Deferred gift card revenue</w:t>
            </w: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4,024</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franchise fee revenue - current</w:t>
            </w: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Total current deferred revenues</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w:t>
            </w:r>
          </w:p>
        </w:tc>
        <w:tc>
          <w:tcPr>
            <w:tcW w:w="80" w:type="dxa"/>
            <w:vAlign w:val="bottom"/>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8220" w:type="dxa"/>
            <w:vAlign w:val="bottom"/>
          </w:tcPr>
          <w:p>
            <w:pPr>
              <w:ind w:left="360"/>
              <w:spacing w:after="0"/>
              <w:rPr>
                <w:sz w:val="20"/>
                <w:szCs w:val="20"/>
                <w:color w:val="auto"/>
              </w:rPr>
            </w:pPr>
            <w:r>
              <w:rPr>
                <w:rFonts w:ascii="Arial" w:cs="Arial" w:eastAsia="Arial" w:hAnsi="Arial"/>
                <w:sz w:val="16"/>
                <w:szCs w:val="16"/>
                <w:color w:val="auto"/>
              </w:rPr>
              <w:t>Deferred franchise fee revenue - non-current</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r>
      <w:tr>
        <w:trPr>
          <w:trHeight w:val="21"/>
        </w:trPr>
        <w:tc>
          <w:tcPr>
            <w:tcW w:w="8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gift card contract liabilities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Borders>
              <w:bottom w:val="single" w:sz="8" w:color="auto"/>
            </w:tcBorders>
          </w:tcPr>
          <w:p>
            <w:pPr>
              <w:spacing w:after="0"/>
              <w:rPr>
                <w:sz w:val="16"/>
                <w:szCs w:val="16"/>
                <w:color w:val="auto"/>
              </w:rPr>
            </w:pPr>
          </w:p>
        </w:tc>
      </w:tr>
      <w:tr>
        <w:trPr>
          <w:trHeight w:val="188"/>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c>
          <w:tcPr>
            <w:tcW w:w="10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r>
      <w:tr>
        <w:trPr>
          <w:trHeight w:val="19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gift card revenue:</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2,657</w:t>
            </w: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3,993</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6,902</w:t>
            </w:r>
          </w:p>
        </w:tc>
      </w:tr>
      <w:tr>
        <w:trPr>
          <w:trHeight w:val="219"/>
        </w:trPr>
        <w:tc>
          <w:tcPr>
            <w:tcW w:w="5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r>
      <w:tr>
        <w:trPr>
          <w:trHeight w:val="213"/>
        </w:trPr>
        <w:tc>
          <w:tcPr>
            <w:tcW w:w="5020" w:type="dxa"/>
            <w:vAlign w:val="bottom"/>
          </w:tcPr>
          <w:p>
            <w:pPr>
              <w:ind w:left="360"/>
              <w:spacing w:after="0"/>
              <w:rPr>
                <w:sz w:val="20"/>
                <w:szCs w:val="20"/>
                <w:color w:val="auto"/>
              </w:rPr>
            </w:pPr>
            <w:r>
              <w:rPr>
                <w:rFonts w:ascii="Arial" w:cs="Arial" w:eastAsia="Arial" w:hAnsi="Arial"/>
                <w:sz w:val="16"/>
                <w:szCs w:val="16"/>
                <w:color w:val="auto"/>
              </w:rPr>
              <w:t>Gift card redemptions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(5,543)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(5,455)</w:t>
            </w: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breakage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franchise fee contract liabilities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Borders>
              <w:bottom w:val="single" w:sz="8" w:color="auto"/>
            </w:tcBorders>
          </w:tcPr>
          <w:p>
            <w:pPr>
              <w:spacing w:after="0"/>
              <w:rPr>
                <w:sz w:val="16"/>
                <w:szCs w:val="16"/>
                <w:color w:val="auto"/>
              </w:rPr>
            </w:pPr>
          </w:p>
        </w:tc>
      </w:tr>
      <w:tr>
        <w:trPr>
          <w:trHeight w:val="188"/>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c>
          <w:tcPr>
            <w:tcW w:w="10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r>
      <w:tr>
        <w:trPr>
          <w:trHeight w:val="19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franchise fee revenue:</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2,232</w:t>
            </w:r>
          </w:p>
        </w:tc>
        <w:tc>
          <w:tcPr>
            <w:tcW w:w="1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2,456</w:t>
            </w:r>
          </w:p>
        </w:tc>
      </w:tr>
      <w:tr>
        <w:trPr>
          <w:trHeight w:val="219"/>
        </w:trPr>
        <w:tc>
          <w:tcPr>
            <w:tcW w:w="5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received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 revenues recognized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2,287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disaggregated by type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THIRTY-NINE WEEKS ENDED</w:t>
            </w:r>
          </w:p>
        </w:tc>
      </w:tr>
      <w:tr>
        <w:trPr>
          <w:trHeight w:val="188"/>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c>
          <w:tcPr>
            <w:tcW w:w="10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r>
      <w:tr>
        <w:trPr>
          <w:trHeight w:val="19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3"/>
        </w:trPr>
        <w:tc>
          <w:tcPr>
            <w:tcW w:w="502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123,311</w:t>
            </w: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68,853</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327,147</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182,814</w:t>
            </w:r>
          </w:p>
        </w:tc>
      </w:tr>
      <w:tr>
        <w:trPr>
          <w:trHeight w:val="219"/>
        </w:trPr>
        <w:tc>
          <w:tcPr>
            <w:tcW w:w="5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19,947</w:t>
            </w:r>
          </w:p>
        </w:tc>
      </w:tr>
      <w:tr>
        <w:trPr>
          <w:trHeight w:val="213"/>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Take-out sales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14,359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26,785</w:t>
            </w:r>
          </w:p>
        </w:tc>
      </w:tr>
      <w:tr>
        <w:trPr>
          <w:trHeight w:val="21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98,353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229,546</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Franchise revenues: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Royalty and system fund contributions</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w:t>
            </w:r>
          </w:p>
        </w:tc>
      </w:tr>
      <w:tr>
        <w:trPr>
          <w:trHeight w:val="213"/>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Initial fees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franchise revenues</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157,441</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99,749</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438,573</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232,995</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COVID-19 Charges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summary of the charges recorded in connection with the COVID-19 pandemic during the thirteen and thirty-nine weeks ended September 26, 2021 and September 27,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2800" w:type="dxa"/>
            <w:vAlign w:val="bottom"/>
            <w:gridSpan w:val="2"/>
          </w:tcPr>
          <w:p>
            <w:pPr>
              <w:jc w:val="center"/>
              <w:ind w:right="140"/>
              <w:spacing w:after="0" w:line="135" w:lineRule="exact"/>
              <w:rPr>
                <w:sz w:val="20"/>
                <w:szCs w:val="20"/>
                <w:color w:val="auto"/>
              </w:rPr>
            </w:pPr>
            <w:r>
              <w:rPr>
                <w:rFonts w:ascii="Arial" w:cs="Arial" w:eastAsia="Arial" w:hAnsi="Arial"/>
                <w:sz w:val="15"/>
                <w:szCs w:val="15"/>
                <w:b w:val="1"/>
                <w:bCs w:val="1"/>
                <w:color w:val="auto"/>
                <w:w w:val="89"/>
              </w:rPr>
              <w:t>Consolidated Statements of</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Operations and Comprehensive Income</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26,</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27,</w:t>
            </w:r>
          </w:p>
        </w:tc>
        <w:tc>
          <w:tcPr>
            <w:tcW w:w="12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26,</w:t>
            </w:r>
          </w:p>
        </w:tc>
        <w:tc>
          <w:tcPr>
            <w:tcW w:w="12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4"/>
                <w:szCs w:val="14"/>
                <w:b w:val="1"/>
                <w:bCs w:val="1"/>
                <w:color w:val="auto"/>
                <w:w w:val="99"/>
              </w:rPr>
              <w:t>SEPTEMBER 27,</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CEEFF"/>
            </w:tcBorders>
            <w:vMerge w:val="continue"/>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obsolescence and spoilage</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66"/>
        </w:trPr>
        <w:tc>
          <w:tcPr>
            <w:tcW w:w="2760" w:type="dxa"/>
            <w:vAlign w:val="bottom"/>
          </w:tcPr>
          <w:p>
            <w:pPr>
              <w:ind w:left="20"/>
              <w:spacing w:after="0" w:line="166" w:lineRule="exact"/>
              <w:rPr>
                <w:sz w:val="20"/>
                <w:szCs w:val="20"/>
                <w:color w:val="auto"/>
              </w:rPr>
            </w:pPr>
            <w:r>
              <w:rPr>
                <w:rFonts w:ascii="Arial" w:cs="Arial" w:eastAsia="Arial" w:hAnsi="Arial"/>
                <w:sz w:val="16"/>
                <w:szCs w:val="16"/>
                <w:color w:val="auto"/>
              </w:rPr>
              <w:t>Compensation for employees upon</w:t>
            </w:r>
          </w:p>
        </w:tc>
        <w:tc>
          <w:tcPr>
            <w:tcW w:w="28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Labor and other related expenses</w:t>
            </w:r>
          </w:p>
        </w:tc>
        <w:tc>
          <w:tcPr>
            <w:tcW w:w="120" w:type="dxa"/>
            <w:vAlign w:val="bottom"/>
          </w:tcPr>
          <w:p>
            <w:pPr>
              <w:spacing w:after="0"/>
              <w:rPr>
                <w:sz w:val="14"/>
                <w:szCs w:val="14"/>
                <w:color w:val="auto"/>
              </w:rPr>
            </w:pPr>
          </w:p>
        </w:tc>
        <w:tc>
          <w:tcPr>
            <w:tcW w:w="1340" w:type="dxa"/>
            <w:vAlign w:val="bottom"/>
            <w:gridSpan w:val="2"/>
            <w:vMerge w:val="restart"/>
          </w:tcPr>
          <w:p>
            <w:pPr>
              <w:ind w:left="10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6"/>
                <w:szCs w:val="16"/>
                <w:color w:val="auto"/>
              </w:rPr>
              <w:t>furlough and return from furlough</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Health insurance premiums paid for</w:t>
            </w:r>
          </w:p>
        </w:tc>
        <w:tc>
          <w:tcPr>
            <w:tcW w:w="28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Labor and other related expenses</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7"/>
              </w:rPr>
              <w:t>furloughed employees, net of employee</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retention credits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Other restaurant operating expenses</w:t>
            </w:r>
          </w:p>
        </w:tc>
        <w:tc>
          <w:tcPr>
            <w:tcW w:w="12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169"/>
        </w:trPr>
        <w:tc>
          <w:tcPr>
            <w:tcW w:w="27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Compensation for employees upon</w:t>
            </w:r>
          </w:p>
        </w:tc>
        <w:tc>
          <w:tcPr>
            <w:tcW w:w="28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General and administrative expenses</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furlough and return from furlough</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COVID-19 charges</w:t>
            </w: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5.  Accounts Receivable</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22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8"/>
        </w:trPr>
        <w:tc>
          <w:tcPr>
            <w:tcW w:w="8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27, 2020</w:t>
            </w:r>
          </w:p>
        </w:tc>
      </w:tr>
      <w:tr>
        <w:trPr>
          <w:trHeight w:val="216"/>
        </w:trPr>
        <w:tc>
          <w:tcPr>
            <w:tcW w:w="822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Receivables from third-party delivery providers</w:t>
            </w:r>
          </w:p>
        </w:tc>
        <w:tc>
          <w:tcPr>
            <w:tcW w:w="58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Borders>
              <w:top w:val="single" w:sz="8" w:color="BFE4FF"/>
            </w:tcBorders>
            <w:shd w:val="clear" w:color="auto" w:fill="BFE4FF"/>
          </w:tcPr>
          <w:p>
            <w:pPr>
              <w:spacing w:after="0"/>
              <w:rPr>
                <w:sz w:val="18"/>
                <w:szCs w:val="18"/>
                <w:color w:val="auto"/>
              </w:rPr>
            </w:pPr>
          </w:p>
        </w:tc>
        <w:tc>
          <w:tcPr>
            <w:tcW w:w="56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1,742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Receivables from franchisees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19"/>
        </w:trPr>
        <w:tc>
          <w:tcPr>
            <w:tcW w:w="8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Rebate receivables</w:t>
            </w:r>
          </w:p>
        </w:tc>
        <w:tc>
          <w:tcPr>
            <w:tcW w:w="58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Receivables related to gift card sales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16"/>
        </w:trPr>
        <w:tc>
          <w:tcPr>
            <w:tcW w:w="8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receivables</w:t>
            </w:r>
          </w:p>
        </w:tc>
        <w:tc>
          <w:tcPr>
            <w:tcW w:w="58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BFE4FF"/>
          </w:tcPr>
          <w:p>
            <w:pPr>
              <w:spacing w:after="0"/>
              <w:rPr>
                <w:sz w:val="18"/>
                <w:szCs w:val="18"/>
                <w:color w:val="auto"/>
              </w:rPr>
            </w:pPr>
          </w:p>
        </w:tc>
        <w:tc>
          <w:tcPr>
            <w:tcW w:w="560" w:type="dxa"/>
            <w:vAlign w:val="bottom"/>
            <w:tcBorders>
              <w:bottom w:val="single" w:sz="8" w:color="auto"/>
            </w:tcBorders>
            <w:shd w:val="clear" w:color="auto" w:fill="BFE4FF"/>
          </w:tcPr>
          <w:p>
            <w:pPr>
              <w:spacing w:after="0"/>
              <w:rPr>
                <w:sz w:val="18"/>
                <w:szCs w:val="18"/>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Total accounts receivable</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w:t>
            </w:r>
          </w:p>
        </w:tc>
        <w:tc>
          <w:tcPr>
            <w:tcW w:w="100" w:type="dxa"/>
            <w:vAlign w:val="bottom"/>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w:t>
            </w:r>
          </w:p>
        </w:tc>
      </w:tr>
      <w:tr>
        <w:trPr>
          <w:trHeight w:val="20"/>
        </w:trPr>
        <w:tc>
          <w:tcPr>
            <w:tcW w:w="8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27, 2020</w:t>
            </w:r>
          </w:p>
        </w:tc>
      </w:tr>
      <w:tr>
        <w:trPr>
          <w:trHeight w:val="216"/>
        </w:trPr>
        <w:tc>
          <w:tcPr>
            <w:tcW w:w="822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Sales tax</w:t>
            </w:r>
          </w:p>
        </w:tc>
        <w:tc>
          <w:tcPr>
            <w:tcW w:w="54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3,277</w:t>
            </w:r>
          </w:p>
        </w:tc>
        <w:tc>
          <w:tcPr>
            <w:tcW w:w="80" w:type="dxa"/>
            <w:vAlign w:val="bottom"/>
            <w:tcBorders>
              <w:top w:val="single" w:sz="8" w:color="BFE4FF"/>
            </w:tcBorders>
            <w:shd w:val="clear" w:color="auto" w:fill="BFE4FF"/>
          </w:tcPr>
          <w:p>
            <w:pPr>
              <w:spacing w:after="0"/>
              <w:rPr>
                <w:sz w:val="18"/>
                <w:szCs w:val="18"/>
                <w:color w:val="auto"/>
              </w:rPr>
            </w:pPr>
          </w:p>
        </w:tc>
        <w:tc>
          <w:tcPr>
            <w:tcW w:w="52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2,159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Construction liabilities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3,148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4,301</w:t>
            </w:r>
          </w:p>
        </w:tc>
      </w:tr>
      <w:tr>
        <w:trPr>
          <w:trHeight w:val="219"/>
        </w:trPr>
        <w:tc>
          <w:tcPr>
            <w:tcW w:w="8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Legal services and contingencies</w:t>
            </w:r>
          </w:p>
        </w:tc>
        <w:tc>
          <w:tcPr>
            <w:tcW w:w="54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1,602</w:t>
            </w:r>
          </w:p>
        </w:tc>
        <w:tc>
          <w:tcPr>
            <w:tcW w:w="8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Self-insurance and general liability reserves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19"/>
        </w:trPr>
        <w:tc>
          <w:tcPr>
            <w:tcW w:w="8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Utilities</w:t>
            </w:r>
          </w:p>
        </w:tc>
        <w:tc>
          <w:tcPr>
            <w:tcW w:w="54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1,284</w:t>
            </w:r>
          </w:p>
        </w:tc>
        <w:tc>
          <w:tcPr>
            <w:tcW w:w="8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1,016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tax</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19"/>
        </w:trPr>
        <w:tc>
          <w:tcPr>
            <w:tcW w:w="8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Credit card fees</w:t>
            </w:r>
          </w:p>
        </w:tc>
        <w:tc>
          <w:tcPr>
            <w:tcW w:w="54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929</w:t>
            </w:r>
          </w:p>
        </w:tc>
        <w:tc>
          <w:tcPr>
            <w:tcW w:w="8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520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Accounting and consulting</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9"/>
        </w:trPr>
        <w:tc>
          <w:tcPr>
            <w:tcW w:w="8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Common area maintenance</w:t>
            </w:r>
          </w:p>
        </w:tc>
        <w:tc>
          <w:tcPr>
            <w:tcW w:w="54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Contingent rent</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6"/>
        </w:trPr>
        <w:tc>
          <w:tcPr>
            <w:tcW w:w="8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auto"/>
            </w:tcBorders>
            <w:shd w:val="clear" w:color="auto" w:fill="BFE4FF"/>
          </w:tcPr>
          <w:p>
            <w:pPr>
              <w:spacing w:after="0"/>
              <w:rPr>
                <w:sz w:val="18"/>
                <w:szCs w:val="18"/>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2,720</w:t>
            </w:r>
          </w:p>
        </w:tc>
        <w:tc>
          <w:tcPr>
            <w:tcW w:w="80" w:type="dxa"/>
            <w:vAlign w:val="bottom"/>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spacing w:after="0"/>
              <w:rPr>
                <w:sz w:val="18"/>
                <w:szCs w:val="18"/>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2,454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Total accrued liabilities</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17,281</w:t>
            </w:r>
          </w:p>
        </w:tc>
        <w:tc>
          <w:tcPr>
            <w:tcW w:w="8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13,482</w:t>
            </w:r>
          </w:p>
        </w:tc>
      </w:tr>
      <w:tr>
        <w:trPr>
          <w:trHeight w:val="20"/>
        </w:trPr>
        <w:tc>
          <w:tcPr>
            <w:tcW w:w="8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26, 2021</w:t>
            </w:r>
          </w:p>
        </w:tc>
        <w:tc>
          <w:tcPr>
            <w:tcW w:w="220" w:type="dxa"/>
            <w:vAlign w:val="bottom"/>
          </w:tcPr>
          <w:p>
            <w:pPr>
              <w:spacing w:after="0"/>
              <w:rPr>
                <w:sz w:val="16"/>
                <w:szCs w:val="16"/>
                <w:color w:val="auto"/>
              </w:rPr>
            </w:pPr>
          </w:p>
        </w:tc>
        <w:tc>
          <w:tcPr>
            <w:tcW w:w="264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Balance</w:t>
            </w:r>
          </w:p>
        </w:tc>
        <w:tc>
          <w:tcPr>
            <w:tcW w:w="8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59"/>
              <w:spacing w:after="0" w:line="216" w:lineRule="exact"/>
              <w:rPr>
                <w:sz w:val="20"/>
                <w:szCs w:val="20"/>
                <w:color w:val="auto"/>
              </w:rPr>
            </w:pPr>
            <w:r>
              <w:rPr>
                <w:rFonts w:ascii="Arial" w:cs="Arial" w:eastAsia="Arial" w:hAnsi="Arial"/>
                <w:sz w:val="16"/>
                <w:szCs w:val="16"/>
                <w:b w:val="1"/>
                <w:bCs w:val="1"/>
                <w:color w:val="auto"/>
              </w:rPr>
              <w:t xml:space="preserve">Interest rate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59"/>
              <w:spacing w:after="0" w:line="216" w:lineRule="exact"/>
              <w:rPr>
                <w:sz w:val="20"/>
                <w:szCs w:val="20"/>
                <w:color w:val="auto"/>
              </w:rPr>
            </w:pPr>
            <w:r>
              <w:rPr>
                <w:rFonts w:ascii="Arial" w:cs="Arial" w:eastAsia="Arial" w:hAnsi="Arial"/>
                <w:sz w:val="16"/>
                <w:szCs w:val="16"/>
                <w:b w:val="1"/>
                <w:bCs w:val="1"/>
                <w:color w:val="auto"/>
              </w:rPr>
              <w:t xml:space="preserve">Interest rate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Credit Facilities: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420" w:type="dxa"/>
            <w:vAlign w:val="bottom"/>
          </w:tcPr>
          <w:p>
            <w:pPr>
              <w:ind w:left="260"/>
              <w:spacing w:after="0" w:line="166" w:lineRule="exact"/>
              <w:rPr>
                <w:sz w:val="20"/>
                <w:szCs w:val="20"/>
                <w:color w:val="auto"/>
              </w:rPr>
            </w:pPr>
            <w:r>
              <w:rPr>
                <w:rFonts w:ascii="Arial" w:cs="Arial" w:eastAsia="Arial" w:hAnsi="Arial"/>
                <w:sz w:val="16"/>
                <w:szCs w:val="16"/>
                <w:color w:val="auto"/>
              </w:rPr>
              <w:t>Initial Term Loan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440"/>
              <w:spacing w:after="0" w:line="162" w:lineRule="exact"/>
              <w:rPr>
                <w:sz w:val="20"/>
                <w:szCs w:val="20"/>
                <w:color w:val="auto"/>
              </w:rPr>
            </w:pPr>
            <w:r>
              <w:rPr>
                <w:rFonts w:ascii="Arial" w:cs="Arial" w:eastAsia="Arial" w:hAnsi="Arial"/>
                <w:sz w:val="16"/>
                <w:szCs w:val="16"/>
                <w:color w:val="auto"/>
                <w:w w:val="94"/>
              </w:rPr>
              <w:t>Repayment in quarterly installments of 0.25%; outstanding balance paid at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150,649</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6.75 %</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150,214</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Arial" w:cs="Arial" w:eastAsia="Arial" w:hAnsi="Arial"/>
                <w:sz w:val="16"/>
                <w:szCs w:val="16"/>
                <w:color w:val="auto"/>
              </w:rPr>
              <w:t>maturity</w:t>
            </w:r>
          </w:p>
        </w:tc>
        <w:tc>
          <w:tcPr>
            <w:tcW w:w="2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Initial Delayed Draw Term Loan</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w w:val="94"/>
              </w:rPr>
              <w:t>Repayment in quarterly installments of 0.25%; outstanding balance paid at</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49,138</w:t>
            </w:r>
          </w:p>
        </w:tc>
        <w:tc>
          <w:tcPr>
            <w:tcW w:w="1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48,992</w:t>
            </w:r>
          </w:p>
        </w:tc>
        <w:tc>
          <w:tcPr>
            <w:tcW w:w="16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maturity</w:t>
            </w: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420" w:type="dxa"/>
            <w:vAlign w:val="bottom"/>
          </w:tcPr>
          <w:p>
            <w:pPr>
              <w:ind w:left="260"/>
              <w:spacing w:after="0" w:line="166" w:lineRule="exact"/>
              <w:rPr>
                <w:sz w:val="20"/>
                <w:szCs w:val="20"/>
                <w:color w:val="auto"/>
              </w:rPr>
            </w:pPr>
            <w:r>
              <w:rPr>
                <w:rFonts w:ascii="Arial" w:cs="Arial" w:eastAsia="Arial" w:hAnsi="Arial"/>
                <w:sz w:val="16"/>
                <w:szCs w:val="16"/>
                <w:color w:val="auto"/>
              </w:rPr>
              <w:t>First Amendment Delayed Draw Term Facility</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440"/>
              <w:spacing w:after="0" w:line="162" w:lineRule="exact"/>
              <w:rPr>
                <w:sz w:val="20"/>
                <w:szCs w:val="20"/>
                <w:color w:val="auto"/>
              </w:rPr>
            </w:pPr>
            <w:r>
              <w:rPr>
                <w:rFonts w:ascii="Arial" w:cs="Arial" w:eastAsia="Arial" w:hAnsi="Arial"/>
                <w:sz w:val="16"/>
                <w:szCs w:val="16"/>
                <w:color w:val="auto"/>
                <w:w w:val="94"/>
              </w:rPr>
              <w:t>Repayment in quarterly installments of 0.25%; outstanding balance paid at</w:t>
            </w: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49,609</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6.75 %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49,458</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Arial" w:cs="Arial" w:eastAsia="Arial" w:hAnsi="Arial"/>
                <w:sz w:val="16"/>
                <w:szCs w:val="16"/>
                <w:color w:val="auto"/>
              </w:rPr>
              <w:t>maturity</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2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rPr>
              <w:t>Second Amendment Delayed Draw Term Facility</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w w:val="94"/>
              </w:rPr>
              <w:t>Repayment in quarterly installments of 0.25%; outstanding balance paid at</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39,491</w:t>
            </w:r>
          </w:p>
        </w:tc>
        <w:tc>
          <w:tcPr>
            <w:tcW w:w="1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39,369</w:t>
            </w:r>
          </w:p>
        </w:tc>
        <w:tc>
          <w:tcPr>
            <w:tcW w:w="16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maturity</w:t>
            </w: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Financing obligations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3,050</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 and deferred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20" w:type="dxa"/>
            <w:vAlign w:val="bottom"/>
          </w:tcPr>
          <w:p>
            <w:pPr>
              <w:ind w:left="680"/>
              <w:spacing w:after="0"/>
              <w:rPr>
                <w:sz w:val="20"/>
                <w:szCs w:val="20"/>
                <w:color w:val="auto"/>
              </w:rPr>
            </w:pPr>
            <w:r>
              <w:rPr>
                <w:rFonts w:ascii="Arial" w:cs="Arial" w:eastAsia="Arial" w:hAnsi="Arial"/>
                <w:sz w:val="16"/>
                <w:szCs w:val="16"/>
                <w:color w:val="auto"/>
              </w:rPr>
              <w:t>Total debt, net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291,286</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289,990</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680"/>
              <w:spacing w:after="0"/>
              <w:rPr>
                <w:sz w:val="20"/>
                <w:szCs w:val="20"/>
                <w:color w:val="auto"/>
              </w:rPr>
            </w:pPr>
            <w:r>
              <w:rPr>
                <w:rFonts w:ascii="Arial" w:cs="Arial" w:eastAsia="Arial" w:hAnsi="Arial"/>
                <w:sz w:val="16"/>
                <w:szCs w:val="16"/>
                <w:color w:val="auto"/>
              </w:rPr>
              <w:t>Long-term debt,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287,660</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286,400</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jc w:val="both"/>
        <w:ind w:firstLine="8"/>
        <w:spacing w:after="0" w:line="269" w:lineRule="auto"/>
        <w:tabs>
          <w:tab w:leader="none" w:pos="251" w:val="left"/>
        </w:tabs>
        <w:numPr>
          <w:ilvl w:val="0"/>
          <w:numId w:val="4"/>
        </w:numPr>
        <w:rPr>
          <w:rFonts w:ascii="Arial" w:cs="Arial" w:eastAsia="Arial" w:hAnsi="Arial"/>
          <w:sz w:val="15"/>
          <w:szCs w:val="15"/>
          <w:color w:val="auto"/>
        </w:rPr>
      </w:pPr>
      <w:r>
        <w:rPr>
          <w:rFonts w:ascii="Arial" w:cs="Arial" w:eastAsia="Arial" w:hAnsi="Arial"/>
          <w:sz w:val="15"/>
          <w:szCs w:val="15"/>
          <w:color w:val="auto"/>
        </w:rPr>
        <w:t>Borrowings under the Senior Credit Facilities bore interest, at the Company’s option, at a rate per annum equal to either (a) (i) the greater of an adjusted London Interbank Offered Rate (the “Adjusted Eurocurrency Rate”) and 1.00%, plus (ii) the applicable Adjusted Eurocurrency Rate spread, or (b) (i) the alternate base rate (“ABR”) plus (ii) the applicable ABR spread. ABR is a floating rate per annum equal to the highest of (i) the federal funds effective rate plus 0.50%, (ii) to the extent ascertainable, the London interbank offered rate for a 1-month interest period on such day plus 1.00%, (iii) the rate of interest last quoted by The Wall Street Journal as the “prime rate” in the U.S. and (iv) 1.00%. Borrowings under the Senior Credit Facilities also bore an additional interest pursuant to the Fourth Amendment that is paid in kind. The applicable rate for the additional interest ranges from 0.25% to 1.5% of the outstanding balances, depending on the leverage ratio.</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outstanding debt, excluding finance lease obligations and financing obligations, is classified as Level 3 in the fair value hierarchy and was estimated using discounted cash flow models using market yield and yield volatility. The estimated fair value of the outstanding debt, excluding finance lease liabilities and financing obligations,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27, 2020</w:t>
            </w:r>
          </w:p>
        </w:tc>
      </w:tr>
      <w:tr>
        <w:trPr>
          <w:trHeight w:val="21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Initial term loan</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150,652</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150,239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Initial delayed draw term loan</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49,139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49,000</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amendment delayed draw term facility</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Second amendment delayed draw term facility</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39,376</w:t>
            </w:r>
          </w:p>
        </w:tc>
      </w:tr>
      <w:tr>
        <w:trPr>
          <w:trHeight w:val="23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288,892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288,081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covenants as of September 26, 2021 and December 27,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detail of lease assets and liabilities: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6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Consolidated Balance Sheets Classification</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SEPTEMBER 26, 2021</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27, 2020</w:t>
            </w:r>
          </w:p>
        </w:tc>
      </w:tr>
      <w:tr>
        <w:trPr>
          <w:trHeight w:val="21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307,558</w:t>
            </w: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assets</w:t>
            </w:r>
          </w:p>
        </w:tc>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2,212</w:t>
            </w:r>
          </w:p>
        </w:tc>
      </w:tr>
      <w:tr>
        <w:trPr>
          <w:trHeight w:val="213"/>
        </w:trPr>
        <w:tc>
          <w:tcPr>
            <w:tcW w:w="4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assets</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309,770</w:t>
            </w:r>
          </w:p>
        </w:tc>
      </w:tr>
    </w:tbl>
    <w:p>
      <w:pPr>
        <w:spacing w:after="0" w:line="4"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5"/>
          <w:szCs w:val="15"/>
          <w:color w:val="auto"/>
        </w:rPr>
        <w:t xml:space="preserve">Operating lease liabilities </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 current</w:t>
      </w:r>
    </w:p>
    <w:p>
      <w:pPr>
        <w:ind w:left="20"/>
        <w:spacing w:after="0"/>
        <w:rPr>
          <w:sz w:val="20"/>
          <w:szCs w:val="20"/>
          <w:color w:val="auto"/>
        </w:rPr>
      </w:pPr>
      <w:r>
        <w:rPr>
          <w:rFonts w:ascii="Arial" w:cs="Arial" w:eastAsia="Arial" w:hAnsi="Arial"/>
          <w:sz w:val="14"/>
          <w:szCs w:val="14"/>
          <w:color w:val="auto"/>
        </w:rPr>
        <w:t>Operating lease liabilities - non-current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Finance lease liabilities - non-current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620" w:type="dxa"/>
            <w:vAlign w:val="bottom"/>
            <w:gridSpan w:val="2"/>
          </w:tcPr>
          <w:p>
            <w:pPr>
              <w:spacing w:after="0"/>
              <w:rPr>
                <w:sz w:val="20"/>
                <w:szCs w:val="20"/>
                <w:color w:val="auto"/>
              </w:rPr>
            </w:pPr>
            <w:r>
              <w:rPr>
                <w:rFonts w:ascii="Arial" w:cs="Arial" w:eastAsia="Arial" w:hAnsi="Arial"/>
                <w:sz w:val="16"/>
                <w:szCs w:val="16"/>
                <w:color w:val="auto"/>
              </w:rPr>
              <w:t>Current portion of operating lease liabilities</w:t>
            </w:r>
          </w:p>
        </w:tc>
        <w:tc>
          <w:tcPr>
            <w:tcW w:w="1000" w:type="dxa"/>
            <w:vAlign w:val="bottom"/>
          </w:tcPr>
          <w:p>
            <w:pPr>
              <w:jc w:val="right"/>
              <w:spacing w:after="0"/>
              <w:rPr>
                <w:sz w:val="20"/>
                <w:szCs w:val="20"/>
                <w:color w:val="auto"/>
              </w:rPr>
            </w:pPr>
            <w:r>
              <w:rPr>
                <w:rFonts w:ascii="Arial" w:cs="Arial" w:eastAsia="Arial" w:hAnsi="Arial"/>
                <w:sz w:val="16"/>
                <w:szCs w:val="16"/>
                <w:color w:val="auto"/>
              </w:rPr>
              <w:t>39,633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40,111</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jc w:val="right"/>
              <w:spacing w:after="0"/>
              <w:rPr>
                <w:sz w:val="20"/>
                <w:szCs w:val="20"/>
                <w:color w:val="auto"/>
              </w:rPr>
            </w:pPr>
            <w:r>
              <w:rPr>
                <w:rFonts w:ascii="Arial" w:cs="Arial" w:eastAsia="Arial" w:hAnsi="Arial"/>
                <w:sz w:val="16"/>
                <w:szCs w:val="16"/>
                <w:color w:val="auto"/>
              </w:rPr>
              <w:t>322,516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307,802</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1000" w:type="dxa"/>
            <w:vAlign w:val="bottom"/>
          </w:tcPr>
          <w:p>
            <w:pPr>
              <w:jc w:val="right"/>
              <w:spacing w:after="0"/>
              <w:rPr>
                <w:sz w:val="20"/>
                <w:szCs w:val="20"/>
                <w:color w:val="auto"/>
              </w:rPr>
            </w:pPr>
            <w:r>
              <w:rPr>
                <w:rFonts w:ascii="Arial" w:cs="Arial" w:eastAsia="Arial" w:hAnsi="Arial"/>
                <w:sz w:val="16"/>
                <w:szCs w:val="16"/>
                <w:color w:val="auto"/>
              </w:rPr>
              <w:t>679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Long-term debt, net</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w:t>
            </w:r>
          </w:p>
        </w:tc>
      </w:tr>
      <w:tr>
        <w:trPr>
          <w:trHeight w:val="209"/>
        </w:trPr>
        <w:tc>
          <w:tcPr>
            <w:tcW w:w="4620" w:type="dxa"/>
            <w:vAlign w:val="bottom"/>
            <w:gridSpan w:val="2"/>
          </w:tcPr>
          <w:p>
            <w:pPr>
              <w:ind w:left="4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364,269</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350,213</w:t>
            </w:r>
          </w:p>
        </w:tc>
      </w:tr>
      <w:tr>
        <w:trPr>
          <w:trHeight w:val="23"/>
        </w:trPr>
        <w:tc>
          <w:tcPr>
            <w:tcW w:w="41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-591185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-316230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380" w:space="720"/>
            <w:col w:w="714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Excludes all variable lease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80" w:type="dxa"/>
            <w:vAlign w:val="bottom"/>
          </w:tcPr>
          <w:p>
            <w:pPr>
              <w:spacing w:after="0"/>
              <w:rPr>
                <w:sz w:val="17"/>
                <w:szCs w:val="17"/>
                <w:color w:val="auto"/>
              </w:rPr>
            </w:pPr>
          </w:p>
        </w:tc>
        <w:tc>
          <w:tcPr>
            <w:tcW w:w="3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Consolidated Statements of Operations</w:t>
            </w: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6"/>
        </w:trPr>
        <w:tc>
          <w:tcPr>
            <w:tcW w:w="2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0"/>
              </w:rPr>
              <w:t>and Comprehensive Income (Loss)</w:t>
            </w:r>
          </w:p>
        </w:tc>
        <w:tc>
          <w:tcPr>
            <w:tcW w:w="13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SEPTEMBER 26,</w:t>
            </w:r>
          </w:p>
        </w:tc>
        <w:tc>
          <w:tcPr>
            <w:tcW w:w="13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3"/>
                <w:szCs w:val="13"/>
                <w:color w:val="auto"/>
              </w:rPr>
            </w:pPr>
          </w:p>
        </w:tc>
        <w:tc>
          <w:tcPr>
            <w:tcW w:w="13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26,</w:t>
            </w:r>
          </w:p>
        </w:tc>
        <w:tc>
          <w:tcPr>
            <w:tcW w:w="120" w:type="dxa"/>
            <w:vAlign w:val="bottom"/>
          </w:tcPr>
          <w:p>
            <w:pPr>
              <w:spacing w:after="0"/>
              <w:rPr>
                <w:sz w:val="13"/>
                <w:szCs w:val="13"/>
                <w:color w:val="auto"/>
              </w:rPr>
            </w:pPr>
          </w:p>
        </w:tc>
        <w:tc>
          <w:tcPr>
            <w:tcW w:w="1240" w:type="dxa"/>
            <w:vAlign w:val="bottom"/>
          </w:tcPr>
          <w:p>
            <w:pPr>
              <w:jc w:val="right"/>
              <w:ind w:right="42"/>
              <w:spacing w:after="0" w:line="155" w:lineRule="exact"/>
              <w:rPr>
                <w:sz w:val="20"/>
                <w:szCs w:val="20"/>
                <w:color w:val="auto"/>
              </w:rPr>
            </w:pPr>
            <w:r>
              <w:rPr>
                <w:rFonts w:ascii="Arial" w:cs="Arial" w:eastAsia="Arial" w:hAnsi="Arial"/>
                <w:sz w:val="14"/>
                <w:szCs w:val="14"/>
                <w:b w:val="1"/>
                <w:bCs w:val="1"/>
                <w:color w:val="auto"/>
                <w:w w:val="99"/>
              </w:rPr>
              <w:t>SEPTEMBER 27,</w:t>
            </w: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Classification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9"/>
        </w:trPr>
        <w:tc>
          <w:tcPr>
            <w:tcW w:w="268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Operating lease expense</w:t>
            </w:r>
          </w:p>
        </w:tc>
        <w:tc>
          <w:tcPr>
            <w:tcW w:w="30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Occupancy expenses</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General and administrative expenses</w:t>
            </w: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10,505</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33,263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31,144</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 expenses</w:t>
            </w:r>
          </w:p>
        </w:tc>
        <w:tc>
          <w:tcPr>
            <w:tcW w:w="2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20"/>
              <w:spacing w:after="0" w:line="166" w:lineRule="exact"/>
              <w:rPr>
                <w:sz w:val="20"/>
                <w:szCs w:val="20"/>
                <w:color w:val="auto"/>
              </w:rPr>
            </w:pPr>
            <w:r>
              <w:rPr>
                <w:rFonts w:ascii="Arial" w:cs="Arial" w:eastAsia="Arial" w:hAnsi="Arial"/>
                <w:sz w:val="16"/>
                <w:szCs w:val="16"/>
                <w:color w:val="auto"/>
              </w:rPr>
              <w:t>Variable lease expense</w:t>
            </w:r>
          </w:p>
        </w:tc>
        <w:tc>
          <w:tcPr>
            <w:tcW w:w="30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Occupancy expenses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3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General and administrative expenses</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209"/>
        </w:trPr>
        <w:tc>
          <w:tcPr>
            <w:tcW w:w="2680" w:type="dxa"/>
            <w:vAlign w:val="bottom"/>
          </w:tcPr>
          <w:p>
            <w:pPr>
              <w:spacing w:after="0"/>
              <w:rPr>
                <w:sz w:val="18"/>
                <w:szCs w:val="18"/>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Food and beverage costs</w:t>
            </w: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80"/>
              <w:spacing w:after="0"/>
              <w:rPr>
                <w:sz w:val="20"/>
                <w:szCs w:val="20"/>
                <w:color w:val="auto"/>
              </w:rPr>
            </w:pPr>
            <w:r>
              <w:rPr>
                <w:rFonts w:ascii="Arial" w:cs="Arial" w:eastAsia="Arial" w:hAnsi="Arial"/>
                <w:sz w:val="16"/>
                <w:szCs w:val="16"/>
                <w:color w:val="auto"/>
              </w:rPr>
              <w:t>Amortization of leased assets</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Total lease expense </w:t>
            </w:r>
            <w:r>
              <w:rPr>
                <w:rFonts w:ascii="Arial" w:cs="Arial" w:eastAsia="Arial" w:hAnsi="Arial"/>
                <w:sz w:val="21"/>
                <w:szCs w:val="21"/>
                <w:color w:val="auto"/>
                <w:vertAlign w:val="superscript"/>
              </w:rPr>
              <w:t>(1)</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38,908</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firstLine="8"/>
        <w:spacing w:after="0" w:line="262"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contingent rent of $0.3 million and $0.7 million during the thirteen and thirty-nine weeks ended September 26, 2021, respectively. There was no contingent rent during the thirteen and thirty-nine weeks ended September 27,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8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20" w:type="dxa"/>
            <w:vAlign w:val="bottom"/>
          </w:tcPr>
          <w:p>
            <w:pPr>
              <w:spacing w:after="0"/>
              <w:rPr>
                <w:sz w:val="11"/>
                <w:szCs w:val="11"/>
                <w:color w:val="auto"/>
              </w:rPr>
            </w:pPr>
          </w:p>
        </w:tc>
        <w:tc>
          <w:tcPr>
            <w:tcW w:w="1300" w:type="dxa"/>
            <w:vAlign w:val="bottom"/>
          </w:tcPr>
          <w:p>
            <w:pPr>
              <w:jc w:val="right"/>
              <w:ind w:right="83"/>
              <w:spacing w:after="0" w:line="135"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Operating cash flows - 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30,388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13,255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cash flows - 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Arial" w:cs="Arial" w:eastAsia="Arial" w:hAnsi="Arial"/>
                <w:sz w:val="16"/>
                <w:szCs w:val="16"/>
                <w:color w:val="auto"/>
              </w:rPr>
              <w:t>Financing cash flows - finance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79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26, 2021</w:t>
            </w:r>
          </w:p>
        </w:tc>
        <w:tc>
          <w:tcPr>
            <w:tcW w:w="1600" w:type="dxa"/>
            <w:vAlign w:val="bottom"/>
          </w:tcPr>
          <w:p>
            <w:pPr>
              <w:jc w:val="right"/>
              <w:ind w:right="1"/>
              <w:spacing w:after="0"/>
              <w:rPr>
                <w:sz w:val="20"/>
                <w:szCs w:val="20"/>
                <w:color w:val="auto"/>
              </w:rPr>
            </w:pPr>
            <w:r>
              <w:rPr>
                <w:rFonts w:ascii="Arial" w:cs="Arial" w:eastAsia="Arial" w:hAnsi="Arial"/>
                <w:sz w:val="14"/>
                <w:szCs w:val="14"/>
                <w:b w:val="1"/>
                <w:bCs w:val="1"/>
                <w:color w:val="auto"/>
              </w:rPr>
              <w:t>SEPTEMBER 27, 2020</w:t>
            </w:r>
          </w:p>
        </w:tc>
      </w:tr>
      <w:tr>
        <w:trPr>
          <w:trHeight w:val="197"/>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Operating leases</w:t>
            </w:r>
          </w:p>
        </w:tc>
        <w:tc>
          <w:tcPr>
            <w:tcW w:w="16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(1)</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0"/>
        </w:trPr>
        <w:tc>
          <w:tcPr>
            <w:tcW w:w="7940" w:type="dxa"/>
            <w:vAlign w:val="bottom"/>
          </w:tcPr>
          <w:p>
            <w:pPr>
              <w:ind w:left="360"/>
              <w:spacing w:after="0"/>
              <w:rPr>
                <w:sz w:val="20"/>
                <w:szCs w:val="20"/>
                <w:color w:val="auto"/>
              </w:rPr>
            </w:pPr>
            <w:r>
              <w:rPr>
                <w:rFonts w:ascii="Arial" w:cs="Arial" w:eastAsia="Arial" w:hAnsi="Arial"/>
                <w:sz w:val="16"/>
                <w:szCs w:val="16"/>
                <w:color w:val="auto"/>
              </w:rPr>
              <w:t>Finance leases</w:t>
            </w:r>
          </w:p>
        </w:tc>
        <w:tc>
          <w:tcPr>
            <w:tcW w:w="160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Based on the Company’s incremental borrowing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2021, future minimum lease payments for operating and finance leases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b w:val="1"/>
                <w:bCs w:val="1"/>
                <w:color w:val="auto"/>
              </w:rPr>
              <w:t>Operating Leases</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Finance Leases</w:t>
            </w:r>
          </w:p>
        </w:tc>
      </w:tr>
      <w:tr>
        <w:trPr>
          <w:trHeight w:val="199"/>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10,944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Total future minimum lease payments (1)</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707,016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2,449</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Total present value of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362,149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Excludes approximately $28.0 million of executed operating leases that have not commenced as of September 26, 2021.</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2017 Omnibus Equity Incentive Plan (the “2017 Equity Plan”) authorizes stock-based option awards to be granted for up to 6,138,240 shares of common stock. The awards granted under the 2017 Equity Plan consist of non-qualified stock options that generally vest based over a five-year requisite service period from the date of grant, as well as upon the occurrence of certain events and market conditions.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associated with awards granted under the 2017 Equity Plan was $0.4 million and $0.7 million during the thirteen and thirty-nine weeks ended September 26, 2021, respectively. Stock-based compensation expense was $0.2 million and $0.6 million during the thirteen and thirty-nine weeks ended September 27,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of Stock-Based Awards</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August 31, 2021, the Company’s board of directors amended the 2017 Equity Plan such that the performance-based option awards that convert into time-based options upon an initial public offering no longer vest over a period of three years, but instead one-third (1/3rd) on each of the first two anniversaries of an initial public offering and one-third (1/3rd) on the 273rd day following the second anniversary of an initial public offering. This was accounted for as a modification for accounting purposes, resulting in a new fair value for all the performance-based option awards as of the modification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19, 2021, the Company’s board of directors modified performance-based option awards that contained a market condition granted under the 2017 Equity Plan, such that the vesting terms for one such tranche of the performance-based option awards that contain a market condition were amended to waive the market condition. Accordingly, upon an initial public offering, such tranche will convert into time-based option awards and will vest one-third (1/3rd) on each of the first two anniversaries of an initial public offering and one-third (1/3rd) on the 273rd day following the second anniversary of an initial public offering. This was accounted for as a modification for accounting purposes resulting in a new fair value for such tranche as of the modification date.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19, 2021, the Company’s board of directors modified the terms of performance-based option awards granted under the 2017 Equity Plan to the Company’s Chairman Emeritus. The modification accelerated the vesting period of the performance-based option awards that convert into time-based option awards upon an initial public offering such that they no longer vest one-third (1/3rd) on each of the first two anniversaries of an initial public offering and one-third (1/3rd) on the 273rd day following the second anniversary of an initial public offering, but instead will vest on August 1, 2022. Additionally, the exercise period of these time-based and performance-based vested awards was modified such that any vested option may be exercised at any time prior to the 10th anniversary of the original grant date. These actions were accounted for as modifications for accounting purposes and resulted in an increase of $0.3 million to the fair value of these awards.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stock-based compensation expense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26, 2021, the amount of stock-based compensation expense not yet recognized on time-based option awards was approximately $0.7 million, and will be recognized over a weighted-average period of approximately 1.3 years. After consideration of the above modifications to the performance-based option awards, the amount of stock-based compensation expense not yet recognized on performance-based option awards as of September 26, 2021 was approximately $20.5 million and will be expensed over a weighted-average period of approximately 2.8 years.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total of approximately $3.8 million of stock compensation expense will be recognized in the fourth fiscal quarter of 2021 related to non-vested performance-based option awards for which the market condition was not satisfied upon the Company’s IPO.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19, 2021, the Company’s board of directors adopted, and on September 19, 2021 its stockholders approved, the First Watch Restaurant Group, Inc. 2021 Equity Incentive Plan (the “2021 Equity Plan”), which became effective on September 30, 2021. The 2021 Equity Plan provides for the grant of incentive stock options, nonqualified stock options, stock appreciation rights, restricted stock awards, restricted stock units, and stock-based awards. The number of shares of common stock to be reserved for issuance under the 2021 Equity Plan is 4,034,072 common shares (“Share Reserve”). The number of shares of common stock that may be issued under the 2021 Equity Plan will automatically increase on the first day of each fiscal year, commencing on January 1, 2023 and continuing for each fiscal year until, and including, the fiscal year ending on (and including) January 1, 2032, equal to the least of (i) 2% of the total number of shares of common stock actually issued and outstanding on the last day of the preceding fiscal year, (ii) a number of shares of common stock determined by the board of directors; and (iii) the number of shares of common stock equal to the Share Reserve. If any award granted under the 2021 Equity Plan is cancelled, expired, forfeited, or surrendered without consideration or otherwise terminated without delivery of the shares to the participant, then such unissued shares will be returned to the 2021 Equity Plan and be available for future awards under the 2021 Equity Plan.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under the 2021 Equity Plan and will not be returned to the 2021 Equity Plan nor be available for future awards under the 2021 Equity Plan.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21"/>
          <w:szCs w:val="21"/>
          <w:b w:val="1"/>
          <w:bCs w:val="1"/>
          <w:color w:val="auto"/>
        </w:rPr>
        <w:t>.</w:t>
      </w:r>
      <w:r>
        <w:rPr>
          <w:sz w:val="20"/>
          <w:szCs w:val="20"/>
          <w:color w:val="auto"/>
        </w:rPr>
        <w:tab/>
      </w:r>
      <w:r>
        <w:rPr>
          <w:rFonts w:ascii="Arial" w:cs="Arial" w:eastAsia="Arial" w:hAnsi="Arial"/>
          <w:sz w:val="15"/>
          <w:szCs w:val="15"/>
          <w:b w:val="1"/>
          <w:bCs w:val="1"/>
          <w:color w:val="auto"/>
        </w:rPr>
        <w:t>Income Taxes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THIRTEEN WEEKS ENDED</w:t>
            </w:r>
          </w:p>
        </w:tc>
        <w:tc>
          <w:tcPr>
            <w:tcW w:w="360" w:type="dxa"/>
            <w:vAlign w:val="bottom"/>
          </w:tcPr>
          <w:p>
            <w:pPr>
              <w:spacing w:after="0"/>
              <w:rPr>
                <w:sz w:val="16"/>
                <w:szCs w:val="16"/>
                <w:color w:val="auto"/>
              </w:rPr>
            </w:pPr>
          </w:p>
        </w:tc>
        <w:tc>
          <w:tcPr>
            <w:tcW w:w="290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27, 2020</w:t>
            </w:r>
          </w:p>
        </w:tc>
        <w:tc>
          <w:tcPr>
            <w:tcW w:w="80" w:type="dxa"/>
            <w:vAlign w:val="bottom"/>
          </w:tcPr>
          <w:p>
            <w:pPr>
              <w:spacing w:after="0"/>
              <w:rPr>
                <w:sz w:val="16"/>
                <w:szCs w:val="16"/>
                <w:color w:val="auto"/>
              </w:rPr>
            </w:pPr>
          </w:p>
        </w:tc>
        <w:tc>
          <w:tcPr>
            <w:tcW w:w="16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27, 2020</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 expense (benefit)</w:t>
            </w: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1,317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(14,403)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5,190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(58,587)</w:t>
            </w: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(3,262)</w:t>
            </w:r>
          </w:p>
        </w:tc>
        <w:tc>
          <w:tcPr>
            <w:tcW w:w="8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(16,024)</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27.4 %</w:t>
            </w: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income tax rate for the thirteen weeks ended September 26, 2021 was 40.5% as compared to 22.6% for the thirteen weeks ended September 27, 2020 and the effective income tax rate for the thirty-nine weeks ended September 26, 2021 was 50.9% as compared to 27.4% for the thirty-nine weeks ended September 27, 2020. The change in the effective income tax rates was primarily due to (i) the change in the valuation allowance for federal and state deferred tax assets, (ii) the benefit of tax credits for FICA taxes on certain employees’ tips and (iii) the forecasted 2021 pre-tax book income as compared to the forecasted 2020 pre-tax book loss.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blended federal and state statutory rate of approximately 25.0%. The effective income tax rates for the thirteen and thirty-nine weeks ended September 26, 2021 and September 27, 2020 were different from the blended federal and state statutory rate primarily due to the change in the valuation allowance for federal and state deferred tax assets and the benefit of tax credits for FICA taxes on certain employees’ tips.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Pursuant to the merger agreement through which the Company was acquired by funds affiliated with or managed by Advent International Corporation in August 2017, the Company is required to pay the previous stockholders an amount equal to tax savings to the extent federal and state loss carryforwards and general business credits that had been accumulated from operations prior to August 2017 are utilized to reduce tax liabilities. This requirement lapses with respect to any tax year, or portion thereof, beginning after December 31, 2024, or if a change in control event occurs. A contingent consideration liability of $1.2 million was initially recognized, of which approximately $0.2 million was paid in the fiscal year ended December 29, 2019. As a result of revaluing the contingent consideration liability using actual results and forecasted projections, an additional $0.7 million for expected payments to be made to the previous stockholders was recognized within Transaction expenses (income), net on the consolidated statements of operations and comprehensive income (loss) during the thirty-nine weeks ended September 26, 2021. As of September 26, 2021 the contingent consideration liability was $1.0 million, of which $0.1 million was recorded within Accrued liabilities and $0.9 million was recorded within Other long-term liabilities on the consolidated balance sheets. As of December 27, 2020, the contingent consideration liability was $0.3 million, of which $0.1 million was recorded within Accrued liabilities and $0.2 million was recorded within Other long-term liabilities on the consolidated balance sheets.</w:t>
      </w:r>
    </w:p>
    <w:p>
      <w:pPr>
        <w:spacing w:after="0" w:line="28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legal proceedings, claims and liabilities that arise in the ordinary course of business. In the event any litigation losses become probable and estimable, the Company will recognize any anticipated losses. In the opinion of Management, the amount of the liability with respect to these matters was not material as of September 26,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Net Income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net income (loss) per common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80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5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81"/>
              <w:spacing w:after="0" w:line="135"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81"/>
              <w:spacing w:after="0" w:line="135" w:lineRule="exact"/>
              <w:rPr>
                <w:sz w:val="20"/>
                <w:szCs w:val="20"/>
                <w:color w:val="auto"/>
              </w:rPr>
            </w:pPr>
            <w:r>
              <w:rPr>
                <w:rFonts w:ascii="Arial" w:cs="Arial" w:eastAsia="Arial" w:hAnsi="Arial"/>
                <w:sz w:val="14"/>
                <w:szCs w:val="14"/>
                <w:b w:val="1"/>
                <w:bCs w:val="1"/>
                <w:color w:val="auto"/>
                <w:w w:val="99"/>
              </w:rPr>
              <w:t>SEPTEMBER 27,</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(11,141)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(42,563)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 - basic</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45,013,784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45,013,784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45,013,784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45,013,784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 - diluted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46,085,650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45,013,784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46,077,196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45,013,784</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66"/>
        </w:trPr>
        <w:tc>
          <w:tcPr>
            <w:tcW w:w="5280" w:type="dxa"/>
            <w:vAlign w:val="bottom"/>
          </w:tcPr>
          <w:p>
            <w:pPr>
              <w:ind w:left="20"/>
              <w:spacing w:after="0" w:line="166" w:lineRule="exact"/>
              <w:rPr>
                <w:sz w:val="20"/>
                <w:szCs w:val="20"/>
                <w:color w:val="auto"/>
              </w:rPr>
            </w:pPr>
            <w:r>
              <w:rPr>
                <w:rFonts w:ascii="Arial" w:cs="Arial" w:eastAsia="Arial" w:hAnsi="Arial"/>
                <w:sz w:val="16"/>
                <w:szCs w:val="16"/>
                <w:color w:val="auto"/>
                <w:w w:val="93"/>
              </w:rPr>
              <w:t>Time-based option awards outstanding not included in diluted net income (loss)</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90,045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2,616,724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90,045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2,616,724</w:t>
            </w:r>
          </w:p>
        </w:tc>
        <w:tc>
          <w:tcPr>
            <w:tcW w:w="0" w:type="dxa"/>
            <w:vAlign w:val="bottom"/>
          </w:tcPr>
          <w:p>
            <w:pPr>
              <w:spacing w:after="0"/>
              <w:rPr>
                <w:sz w:val="1"/>
                <w:szCs w:val="1"/>
                <w:color w:val="auto"/>
              </w:rPr>
            </w:pP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per common share as their effect is anti-dilutive</w:t>
            </w: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net income (loss) per common share is calculated by adjusting the weighted average shares outstanding for the theoretical effect of potential common shares that would be issued for preferred stock and stock option awards outstanding and unvested as of the respective periods using the two-class method and treasury method,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performance-based option awards have been excluded from the diluted net income (loss) per common share calculation for all periods presented as the performance condition was not considered probable of being met.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thirteen and thirty-nine weeks ended September 27, 2020, all time-based option awards outstanding were excluded from the calculation of diluted net loss per common share because of their anti-dilutive impact.</w:t>
      </w:r>
    </w:p>
    <w:p>
      <w:pPr>
        <w:spacing w:after="0" w:line="2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Subsequent Events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October 6, 2021, FWR Holding Corporation (“FWR”), an indirect subsidiary of the Company entered into a credit agreement (the “FWR Credit Agreement”) with Bank of America, N.A., and other parties specified therein. The FWR Credit Agreement provides for (i) a $100 million term loan A facility (the “New Term Facility”) and (ii) a $75 million revolving credit facility (the “New Revolving Credit Facility” and, together with the New Term Facility, collectively, the “New Facilities”). The loans under the New Facilities mature on October 6, 2026. Substantially all of FWR’s assets, including fixed assets and intangibles, are pledged as collateral, subject to customary exceptions, under the New Facilities. The New Facilities contain covenants that provide for, among other things, maintenance of certain financial ratios and restrictions on (i) payment of dividends or other distributions; (ii) granting liens; (iii) making investments, including acquisitions, loans, and advances; (iv) incurring additional indebtedness; (v) selling, transferring, or otherwise disposing of assets; (vi) liquidating or dissolving subsidiaries of the Company; (vii) materially altering the Company’s business; (viii) engaging in transactions with affiliates; and (ix) entering into burdensome agreements, each subject to certain exceptions.</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proceeds from the IPO, the proceeds of the loans under the New Facilities and cash on hand were used to repay in full the outstanding indebtedness of the Senior Credit Facilities. This repayment was accounted for as a debt extinguishment for accounting purposes and a loss on debt extinguishment of approximately $2.4 million will be recorded in the fourth fiscal quarter of 2021.</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October 2021, the Company entered into a financing agreement for approximately $3.0 million that bears interest of 2.41% and is payable in monthly installments of $0.3 million through August 30, 2022.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interim consolidated financial statements and notes thereto included in Part I, Item 1 of this Quarterly Report on Form 10-Q (“Form 10-Q</w:t>
      </w:r>
      <w:r>
        <w:rPr>
          <w:rFonts w:ascii="Arial" w:cs="Arial" w:eastAsia="Arial" w:hAnsi="Arial"/>
          <w:sz w:val="16"/>
          <w:szCs w:val="16"/>
          <w:color w:val="auto"/>
        </w:rPr>
        <w:t>”</w:t>
      </w:r>
      <w:r>
        <w:rPr>
          <w:rFonts w:ascii="Arial" w:cs="Arial" w:eastAsia="Arial" w:hAnsi="Arial"/>
          <w:sz w:val="16"/>
          <w:szCs w:val="16"/>
          <w:i w:val="1"/>
          <w:iCs w:val="1"/>
          <w:color w:val="auto"/>
        </w:rPr>
        <w:t>) and our audited consolidated financial statements as of and for the year ended December 27, 2020 and notes included in our final prospectus dated September 30, 2021 and filed with the Securities and Exchange Commission on October 4, 2021 (the “IPO Prospectus”). This section and other parts of this Form 10-Q contain forward-looking statements, within the meaning of the Private Securities Litigation Reform Act of 1995 (</w:t>
      </w:r>
      <w:r>
        <w:rPr>
          <w:rFonts w:ascii="Arial" w:cs="Arial" w:eastAsia="Arial" w:hAnsi="Arial"/>
          <w:sz w:val="16"/>
          <w:szCs w:val="16"/>
          <w:color w:val="auto"/>
        </w:rPr>
        <w:t>“</w:t>
      </w:r>
      <w:r>
        <w:rPr>
          <w:rFonts w:ascii="Arial" w:cs="Arial" w:eastAsia="Arial" w:hAnsi="Arial"/>
          <w:sz w:val="16"/>
          <w:szCs w:val="16"/>
          <w:i w:val="1"/>
          <w:iCs w:val="1"/>
          <w:color w:val="auto"/>
        </w:rPr>
        <w:t>PSLRA</w:t>
      </w:r>
      <w:r>
        <w:rPr>
          <w:rFonts w:ascii="Arial" w:cs="Arial" w:eastAsia="Arial" w:hAnsi="Arial"/>
          <w:sz w:val="16"/>
          <w:szCs w:val="16"/>
          <w:color w:val="auto"/>
        </w:rPr>
        <w:t>”</w:t>
      </w:r>
      <w:r>
        <w:rPr>
          <w:rFonts w:ascii="Arial" w:cs="Arial" w:eastAsia="Arial" w:hAnsi="Arial"/>
          <w:sz w:val="16"/>
          <w:szCs w:val="16"/>
          <w:i w:val="1"/>
          <w:iCs w:val="1"/>
          <w:color w:val="auto"/>
        </w:rPr>
        <w:t xml:space="preserve">),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w:t>
      </w:r>
      <w:r>
        <w:rPr>
          <w:rFonts w:ascii="Arial" w:cs="Arial" w:eastAsia="Arial" w:hAnsi="Arial"/>
          <w:sz w:val="16"/>
          <w:szCs w:val="16"/>
          <w:color w:val="auto"/>
        </w:rPr>
        <w:t>“</w:t>
      </w:r>
      <w:r>
        <w:rPr>
          <w:rFonts w:ascii="Arial" w:cs="Arial" w:eastAsia="Arial" w:hAnsi="Arial"/>
          <w:sz w:val="16"/>
          <w:szCs w:val="16"/>
          <w:i w:val="1"/>
          <w:iCs w:val="1"/>
          <w:color w:val="auto"/>
        </w:rPr>
        <w:t>aim,</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forecast,</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projection,</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can,</w:t>
      </w:r>
      <w:r>
        <w:rPr>
          <w:rFonts w:ascii="Arial" w:cs="Arial" w:eastAsia="Arial" w:hAnsi="Arial"/>
          <w:sz w:val="16"/>
          <w:szCs w:val="16"/>
          <w:color w:val="auto"/>
        </w:rPr>
        <w:t>” “</w:t>
      </w:r>
      <w:r>
        <w:rPr>
          <w:rFonts w:ascii="Arial" w:cs="Arial" w:eastAsia="Arial" w:hAnsi="Arial"/>
          <w:sz w:val="16"/>
          <w:szCs w:val="16"/>
          <w:i w:val="1"/>
          <w:iCs w:val="1"/>
          <w:color w:val="auto"/>
        </w:rPr>
        <w:t>can have,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xml:space="preserve">” </w:t>
      </w:r>
      <w:r>
        <w:rPr>
          <w:rFonts w:ascii="Arial" w:cs="Arial" w:eastAsia="Arial" w:hAnsi="Arial"/>
          <w:sz w:val="16"/>
          <w:szCs w:val="16"/>
          <w:i w:val="1"/>
          <w:iCs w:val="1"/>
          <w:color w:val="auto"/>
        </w:rPr>
        <w:t>the negatives thereof and other similar expressions. All forward-looking statements are expressly qualified in</w:t>
      </w:r>
      <w:r>
        <w:rPr>
          <w:rFonts w:ascii="Arial" w:cs="Arial" w:eastAsia="Arial" w:hAnsi="Arial"/>
          <w:sz w:val="16"/>
          <w:szCs w:val="16"/>
          <w:color w:val="auto"/>
        </w:rPr>
        <w:t xml:space="preserve"> </w:t>
      </w:r>
      <w:r>
        <w:rPr>
          <w:rFonts w:ascii="Arial" w:cs="Arial" w:eastAsia="Arial" w:hAnsi="Arial"/>
          <w:sz w:val="16"/>
          <w:szCs w:val="16"/>
          <w:i w:val="1"/>
          <w:iCs w:val="1"/>
          <w:color w:val="auto"/>
        </w:rPr>
        <w:t>their entirety by these cautionary statements. You should evaluate all forward-looking statements made in this Form 10-Q in the context of the risks and uncertainties disclosed in our IPO Prospectus. The forward-looking statements included in this Form 10-Q are made only as of the date hereof.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First Watch is an award-winning daytime restaurant concept serving made-to-order breakfast, brunch and lunch using fresh ingredients. We incorporate fresh, quality ingredients into elevated executions of classic dishes during our limited hours of 7:00 a.m. until 2:30 p.m. As of September 26, 2021, we had 428 system-wide restaurants across 28 states, 337 of our restaurants were company-owned and 91 were franchise-owned.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thirteen weeks ended September 26, 2021, we continued to experience the momentum of the recovery of our in-restaurant dining sales.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highlights for the thirteen weeks ended September 26, 2021 as compared to the thirteen weeks ended September 27, 2020 include the following:</w:t>
      </w:r>
    </w:p>
    <w:p>
      <w:pPr>
        <w:spacing w:after="0" w:line="261" w:lineRule="exact"/>
        <w:rPr>
          <w:sz w:val="20"/>
          <w:szCs w:val="20"/>
          <w:color w:val="auto"/>
        </w:rPr>
      </w:pPr>
    </w:p>
    <w:p>
      <w:pPr>
        <w:ind w:left="580" w:hanging="410"/>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revenues increased 57.8% to $157.4 million</w:t>
      </w:r>
    </w:p>
    <w:p>
      <w:pPr>
        <w:spacing w:after="0" w:line="23" w:lineRule="exact"/>
        <w:rPr>
          <w:rFonts w:ascii="Arial" w:cs="Arial" w:eastAsia="Arial" w:hAnsi="Arial"/>
          <w:sz w:val="18"/>
          <w:szCs w:val="18"/>
          <w:color w:val="auto"/>
        </w:rPr>
      </w:pPr>
    </w:p>
    <w:p>
      <w:pPr>
        <w:ind w:left="580" w:hanging="410"/>
        <w:spacing w:after="0" w:line="19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Same-restaurant sales growth of 46.2% (19.7% compared to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19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Same-restaurant traffic growth of 40.1% (4.8% growth compared to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19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from operations margin of 4.6% compared to (8.8)% ((3.4)% in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19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Restaurant level operating profit margin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to 19.5% from 9.9% (16.0% in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214"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of $0.8 million, or $0.02 per diluted share, compared to Net loss of $11.1 million, or $(0.25) per diluted share (Net loss of $7.0 million, or $(0.16) per diluted share in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20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to $17.0 million from $2.6 million ($7.7 million in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253"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Five system-wide new restaurant openings during the thirteen weeks ended September 26, 2021 resulting in a total of 428 system-wide restaurants (337 company-owned and 91 franchise-owned) across 28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 w:lineRule="exact"/>
        <w:rPr>
          <w:sz w:val="20"/>
          <w:szCs w:val="20"/>
          <w:color w:val="auto"/>
        </w:rPr>
      </w:pPr>
    </w:p>
    <w:p>
      <w:pPr>
        <w:ind w:right="4580" w:firstLine="8"/>
        <w:spacing w:after="0" w:line="275" w:lineRule="auto"/>
        <w:tabs>
          <w:tab w:leader="none" w:pos="102" w:val="left"/>
        </w:tabs>
        <w:numPr>
          <w:ilvl w:val="0"/>
          <w:numId w:val="8"/>
        </w:numPr>
        <w:rPr>
          <w:rFonts w:ascii="Arial" w:cs="Arial" w:eastAsia="Arial" w:hAnsi="Arial"/>
          <w:sz w:val="15"/>
          <w:szCs w:val="15"/>
          <w:i w:val="1"/>
          <w:iCs w:val="1"/>
          <w:color w:val="auto"/>
        </w:rPr>
      </w:pPr>
      <w:r>
        <w:rPr>
          <w:rFonts w:ascii="Arial" w:cs="Arial" w:eastAsia="Arial" w:hAnsi="Arial"/>
          <w:sz w:val="16"/>
          <w:szCs w:val="16"/>
          <w:color w:val="auto"/>
        </w:rPr>
        <w:t xml:space="preserve">Comparison to the thirteen weeks ended September 29, 2019 is provided for improved comparability </w:t>
      </w:r>
      <w:r>
        <w:rPr>
          <w:rFonts w:ascii="Arial" w:cs="Arial" w:eastAsia="Arial" w:hAnsi="Arial"/>
          <w:sz w:val="15"/>
          <w:szCs w:val="15"/>
          <w:i w:val="1"/>
          <w:iCs w:val="1"/>
          <w:color w:val="auto"/>
        </w:rPr>
        <w:t xml:space="preserve">** </w:t>
      </w:r>
      <w:r>
        <w:rPr>
          <w:rFonts w:ascii="Arial" w:cs="Arial" w:eastAsia="Arial" w:hAnsi="Arial"/>
          <w:sz w:val="16"/>
          <w:szCs w:val="16"/>
          <w:color w:val="auto"/>
        </w:rPr>
        <w:t>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herein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0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September 20, 2021, the Company’s board of directors and its stockholders approved an amendment to the Company’s Certificate of Incorporation. Such amendment (i) effected a 11.838-for-1 stock split of its issued and outstanding shares of common stock and a proportional adjustment to the existing conversion ratio of the preferred stock and (ii) authorized an increase to the number of shares of common stock of the Company to 300,000,000 and an increase to the number of shares of preferred stock to 10,000,000. The par value of the Company’s common and preferred stock was not adjusted in connection with the stock split.</w:t>
      </w:r>
    </w:p>
    <w:p>
      <w:pPr>
        <w:spacing w:after="0" w:line="70"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September 30, 2021, the Company’s registration statement on Form S-1 related to its initial public offering (“IPO”) was declared effective and the Company’s common stock began trading on the Nasdaq Global Select Market on October 1, 2021. On October 5, 2021, the Company completed its IPO, in which the Company sold 10,877,850 shares of common stock at the initial public offering price of $18.00 per share. The shares sold included the underwriters’ full exercise of their option to purchase up to an additional 1,418,850 shares of common stock at the initial public offering price of $18.00 per share. All of the Company’s outstanding shares of preferred stock were adjusted in connection with the stock split and were automatically converted into 3,156,812 shares of common stock immediately prior to and in connection with the consummation of the IPO.</w:t>
      </w:r>
    </w:p>
    <w:p>
      <w:pPr>
        <w:spacing w:after="0" w:line="20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October 5, 2021, the Company received aggregate net proceeds of $182.1 million after deducting underwriting discounts and commissions of $13.7 million. The aggregate net proceeds received were used to repay $182.1 million of borrowings outstanding under the senior credit facilities, which are comprised of the Initial Term Loan Facility, Initial Delayed Draw Term Loan Facility, First Amendment Delayed Draw Term Facility, Second Amendment Delayed Draw Term Facility and Revolving Credit Facility (collectively, “Senior Credit Facilities”). On October 6, 2021, the Company entered into a new credit agreement, that provides for (i) a $100 million term loan A facility and (ii) a $75 million revolving credit facility (See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and Capital Resources - Debt Refinancing</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new restaurant development, same-restaurant sales growth, same-restaurant traffic growth, average unit volume, system-wide restaurants and system-wide sales. In addition, we use the following non-GAAP metrics: Restaurant level operating profit, Restaurant level operating profit margin, Adjusted EBITDA and Adjusted EBITDA Margin.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Development</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New restaurant development is central to growing our footprint and executing our growth strategy. New restaurant development has historically included both new restaurant openings and conversion of acquired restaurants. Potential new restaurant sites are typically identified and evaluated at least 18 months prior to opening. New restaurant opening dates trigger advance staff recruiting and training, in addition to the relocation of experienced general managers from existing restaurants and other pre-opening expenses. We intend to open more than 130 company-owned restaurants from 2022 through 2024, which is expected to be the primary driver of our expected restaurant sales growth, but which may impact operating profit margins in the interim, as our restaurant level operating profit margins are generally lower through the first 12 months of operation. The total number of new restaurants per year and the timing of new restaurant openings has, and will continue to have, an impact on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New restaurant openings (“NROs”) are the number of new company-owned First Watch restaurants commencing operations during the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reviews the number of new restaurants to assess new restaurant growth and company-owned restaurant sales.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Franchise-owned New Restaurant Openings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Franchise-owned new restaurant openings (“Franchise-owned NROs”) are the number of new franchise-owned First Watch restaurants commencing operations during the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Same-Restaurant Sales Growth</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Same-restaurant sales growth is the percentage change in year-over-year restaurant sales (excluding gift card breakage) for the comparable restaurant base, which we define as the number of company-owned First Watch branded restaurants open for 18 months or longer as of the beginning of the fiscal year (“Comparable Restaurant Base”). For the thirteen and thirty-nine weeks ended September 26, 2021, there were 270 restaurants in our Comparable Restaurant Base. For the thirteen and thirty-nine weeks ended September 27, 2020, there were 212 restaurants in our Comparable Restaurant Base. An increase in same-restaurant sales growth is the result of increased restaurant traffic, increased average customer check or a combination of the two. We gather daily sales data and regularly analyze the customer traffic counts and the mix of menu items sold to aid in developing menu pricing, product offerings and promotional strategies designed to produce sustainable same-restaurant sales growth.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Same-Restaurant Traffic Growth</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Same-restaurant traffic growth is the percentage change in traffic counts as compared to the same period in the prior year using the Comparable 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Unit Volume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Unit Volume (“AUV”) is the total restaurant sales (excluding gift card breakage) recognized in the Comparable Restaurant Base, divided by the number of restaurants in the Comparable Restaurant Base during the period. This measurement allows management to assess changes in consumer spending patterns at our restaurants and the overall performance of our restaurant base.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restaurants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System-wide restaurants is the total number of restaurants, including all company-owned and franchise-owned restaurants.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sales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System-wide sales consist of restaurant sales from our company-owned restaurants and franchise-owned restaurants. We do not recognize the restaurant sales from our franchise-owned restaurants as revenue.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audited consolidated financial statements included in the IPO Prospectus for a description of our revenue recognition policy.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represents Net income (loss) before depreciation and amortization, interest expense and income taxes, and items that we do not consider in our evaluation of ongoing core operating performance as identified in the reconciliation of Net income (loss), the most directly comparable GAAP measure, to Adjusted EBITDA, included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herein</w:t>
      </w:r>
      <w:r>
        <w:rPr>
          <w:rFonts w:ascii="Arial" w:cs="Arial" w:eastAsia="Arial" w:hAnsi="Arial"/>
          <w:sz w:val="18"/>
          <w:szCs w:val="18"/>
          <w:i w:val="1"/>
          <w:iCs w:val="1"/>
          <w:color w:val="auto"/>
        </w:rPr>
        <w:t>.</w:t>
      </w:r>
      <w:r>
        <w:rPr>
          <w:rFonts w:ascii="Arial" w:cs="Arial" w:eastAsia="Arial" w:hAnsi="Arial"/>
          <w:sz w:val="18"/>
          <w:szCs w:val="18"/>
          <w:color w:val="auto"/>
        </w:rPr>
        <w:t xml:space="preserve"> Adjusted EBITDA margin represents Adjusted EBITDA as a percentage of total revenues. 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Adjusted EBITDA and Adjusted EBITDA margin are important measures of operating performance because they eliminate the impact of expenses that do not relate to our core operating performance. Adjusted EBITDA and Adjusted EBITDA margin have important limitations as analytical tools and should not be considered in isolation as substitutes for analysis of our results as reported under GAAP. Such non-GAAP measures may not provide a complete understanding of our results of operations as a whole and should be reviewed in conjunction with our GAAP financial results.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Level Operating Profit and Restaurant Level Operating Profit Margin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Restaurant level operating profit is defined as restaurant sales, less restaurant operating expenses, which include food and beverage costs, labor and other related expenses, other restaurant operating expenses and occupancy expenses. Restaurant level operating profit excludes corporate-level expenses and other items that we do not consider in the evaluation of the ongoing core operating performance of our restaurants as identified in the reconciliation of Net income (loss) from operations, the most directly comparable GAAP measure, to Restaurant level operating profit, included in “</w:t>
      </w:r>
      <w:r>
        <w:rPr>
          <w:rFonts w:ascii="Arial" w:cs="Arial" w:eastAsia="Arial" w:hAnsi="Arial"/>
          <w:sz w:val="16"/>
          <w:szCs w:val="16"/>
          <w:i w:val="1"/>
          <w:iCs w:val="1"/>
          <w:color w:val="auto"/>
        </w:rPr>
        <w:t>Non-GAAP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Measures,</w:t>
      </w:r>
      <w:r>
        <w:rPr>
          <w:rFonts w:ascii="Arial" w:cs="Arial" w:eastAsia="Arial" w:hAnsi="Arial"/>
          <w:sz w:val="16"/>
          <w:szCs w:val="16"/>
          <w:color w:val="auto"/>
        </w:rPr>
        <w:t>” herein. Restaurant level operating profit margin represents Restaurant level operating profit as a percentage of restaurant sales.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Restaurant level operating profit and Restaurant level operating profit margin are not required by, nor presented in accordance with GAAP. Rather, Restaurant level operating profit and Restaurant level operating profit margin are supplemental measures of operating performance of our restaurants and our calculations thereof may not be comparable to similar measures reported by other companies. We believe that Restaurant level operating profit and Restaurant level operating profit margin are important measures to evaluate the performance and profitability of each restaurant, individually and in the aggregate. Restaurant level operating profit and Restaurant level operating profit margin are not indicative of our overall results, and because they exclude corporate-level expenses, do not accrue directly to the benefit of our stockholders. Restaurant level operating profit and Restaurant level operating profit margin have limitations as analytical tools and should not be considered in isolation as a substitute for analysis of our results as reported under GAAP. Such non-GAAP measures may not provide a complete understanding of the results of our operations as a whole and should be reviewed in conjunction with our GAAP financial results.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Operating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8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5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80"/>
              <w:spacing w:after="0" w:line="135"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00"/>
              <w:spacing w:after="0" w:line="135" w:lineRule="exact"/>
              <w:rPr>
                <w:sz w:val="20"/>
                <w:szCs w:val="20"/>
                <w:color w:val="auto"/>
              </w:rPr>
            </w:pPr>
            <w:r>
              <w:rPr>
                <w:rFonts w:ascii="Arial" w:cs="Arial" w:eastAsia="Arial" w:hAnsi="Arial"/>
                <w:sz w:val="14"/>
                <w:szCs w:val="14"/>
                <w:b w:val="1"/>
                <w:bCs w:val="1"/>
                <w:color w:val="auto"/>
                <w:w w:val="99"/>
              </w:rPr>
              <w:t>SEPTEMBER 27,</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System-wide sales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197,409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124,718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548,005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291,008</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Same-restaurant sales growth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Same-restaurant traffic growth</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AUV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System-wide restaurants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Company-owned</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Franchise-owned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Income (Loss) from operations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7,153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(8,616)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23,310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(42,493)</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from operations margin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66"/>
        </w:trPr>
        <w:tc>
          <w:tcPr>
            <w:tcW w:w="5180" w:type="dxa"/>
            <w:vAlign w:val="bottom"/>
          </w:tcPr>
          <w:p>
            <w:pPr>
              <w:ind w:left="20"/>
              <w:spacing w:after="0" w:line="166" w:lineRule="exact"/>
              <w:rPr>
                <w:sz w:val="20"/>
                <w:szCs w:val="20"/>
                <w:color w:val="auto"/>
              </w:rPr>
            </w:pPr>
            <w:r>
              <w:rPr>
                <w:rFonts w:ascii="Arial" w:cs="Arial" w:eastAsia="Arial" w:hAnsi="Arial"/>
                <w:sz w:val="16"/>
                <w:szCs w:val="16"/>
                <w:color w:val="auto"/>
              </w:rPr>
              <w:t>Net income (loss) and total comprehensive income (loss)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ind w:right="120"/>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ind w:right="80"/>
              <w:spacing w:after="0"/>
              <w:rPr>
                <w:sz w:val="20"/>
                <w:szCs w:val="20"/>
                <w:color w:val="auto"/>
              </w:rPr>
            </w:pPr>
            <w:r>
              <w:rPr>
                <w:rFonts w:ascii="Arial" w:cs="Arial" w:eastAsia="Arial" w:hAnsi="Arial"/>
                <w:sz w:val="16"/>
                <w:szCs w:val="16"/>
                <w:color w:val="auto"/>
              </w:rPr>
              <w:t>(11,141)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ind w:right="120"/>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ind w:right="80"/>
              <w:spacing w:after="0"/>
              <w:rPr>
                <w:sz w:val="20"/>
                <w:szCs w:val="20"/>
                <w:color w:val="auto"/>
              </w:rPr>
            </w:pPr>
            <w:r>
              <w:rPr>
                <w:rFonts w:ascii="Arial" w:cs="Arial" w:eastAsia="Arial" w:hAnsi="Arial"/>
                <w:sz w:val="16"/>
                <w:szCs w:val="16"/>
                <w:color w:val="auto"/>
              </w:rPr>
              <w:t>(42,563)</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 and total comprehensive income (loss) margin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Restaurant level operating profit (in thousands)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30,240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9,762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86,230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14,202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Restaurant level operating profit margin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(in thousands)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16,952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52,134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(9,221)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Pre-opening expenses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Deferred rent (income) expense</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9,939</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4" w:lineRule="exact"/>
        <w:rPr>
          <w:sz w:val="20"/>
          <w:szCs w:val="20"/>
          <w:color w:val="auto"/>
        </w:rPr>
      </w:pPr>
    </w:p>
    <w:p>
      <w:pPr>
        <w:ind w:firstLine="8"/>
        <w:spacing w:after="0" w:line="244" w:lineRule="auto"/>
        <w:tabs>
          <w:tab w:leader="none" w:pos="228" w:val="left"/>
        </w:tabs>
        <w:numPr>
          <w:ilvl w:val="0"/>
          <w:numId w:val="9"/>
        </w:numPr>
        <w:rPr>
          <w:rFonts w:ascii="Arial" w:cs="Arial" w:eastAsia="Arial" w:hAnsi="Arial"/>
          <w:sz w:val="15"/>
          <w:szCs w:val="15"/>
          <w:color w:val="auto"/>
        </w:rPr>
      </w:pPr>
      <w:r>
        <w:rPr>
          <w:rFonts w:ascii="Arial" w:cs="Arial" w:eastAsia="Arial" w:hAnsi="Arial"/>
          <w:sz w:val="15"/>
          <w:szCs w:val="15"/>
          <w:color w:val="auto"/>
        </w:rPr>
        <w:t>Reconciliations from Income (Loss) from operations and Income (Loss) from operations margin, the most comparable GAAP measures to Restaurant level operating profit and Restaurant level operating profit margin, are set forth in the schedules within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herein.</w:t>
      </w:r>
    </w:p>
    <w:p>
      <w:pPr>
        <w:ind w:firstLine="8"/>
        <w:spacing w:after="0" w:line="244" w:lineRule="auto"/>
        <w:tabs>
          <w:tab w:leader="none" w:pos="221" w:val="left"/>
        </w:tabs>
        <w:numPr>
          <w:ilvl w:val="0"/>
          <w:numId w:val="9"/>
        </w:numPr>
        <w:rPr>
          <w:rFonts w:ascii="Arial" w:cs="Arial" w:eastAsia="Arial" w:hAnsi="Arial"/>
          <w:sz w:val="15"/>
          <w:szCs w:val="15"/>
          <w:color w:val="auto"/>
        </w:rPr>
      </w:pPr>
      <w:r>
        <w:rPr>
          <w:rFonts w:ascii="Arial" w:cs="Arial" w:eastAsia="Arial" w:hAnsi="Arial"/>
          <w:sz w:val="15"/>
          <w:szCs w:val="15"/>
          <w:color w:val="auto"/>
        </w:rPr>
        <w:t>Reconciliations from Net income (loss) and Net income (loss) margin, the most comparable GAAP measures to Adjusted EBITDA and Adjusted EBITDA margin, are set forth in the schedules within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herein.</w:t>
      </w:r>
    </w:p>
    <w:p>
      <w:pPr>
        <w:ind w:firstLine="8"/>
        <w:spacing w:after="0" w:line="281" w:lineRule="auto"/>
        <w:tabs>
          <w:tab w:leader="none" w:pos="224"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expenses directly incurred to open new restaurants, including pre-opening rent, manager salaries, recruiting expenses, employee payroll, training and marketing costs. These expenses are recorded in Other restaurant operating expenses and Occupancy expenses on the Consolidated Statements of Operations and Comprehensive Income (Loss).</w:t>
      </w:r>
    </w:p>
    <w:p>
      <w:pPr>
        <w:jc w:val="both"/>
        <w:ind w:firstLine="8"/>
        <w:spacing w:after="0" w:line="248" w:lineRule="auto"/>
        <w:tabs>
          <w:tab w:leader="none" w:pos="222"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Consists of the non-cash portion of straight-line rent expense primarily included in Occupancy expenses and General and administrative expenses on the Consolidated Statements of Operations and Comprehensive Income (Loss). This amount represents the extent to which our straight-line rent expense exceeds or is less than our cash rent payments and varies depending on the average age of our lease portfolio. For newer leases, straight-line rent expense typically exceeds cash rent payments. For more mature leases, straight-line rent expense is typically less than cash rent payments.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Thirteen and Thirty-Nine Weeks Ended September 26, 2021 Compared to Thirteen and Thirty-Nine Weeks Ended September 27, 2020</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results of operations and the percentages of certain items in relation to total revenues or restaurant sales for the thirteen and thirty-nine weeks ended September 26, 2021 and the thirteen and thirty-nine weeks ended September 27,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THIRTY-NINE WEEKS ENDED</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SEPTEMBER 26, 2021</w:t>
            </w: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27, 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26, 2021</w:t>
            </w: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SEPTEMBER 27, 2020</w:t>
            </w:r>
          </w:p>
        </w:tc>
        <w:tc>
          <w:tcPr>
            <w:tcW w:w="0" w:type="dxa"/>
            <w:vAlign w:val="bottom"/>
          </w:tcPr>
          <w:p>
            <w:pPr>
              <w:spacing w:after="0"/>
              <w:rPr>
                <w:sz w:val="1"/>
                <w:szCs w:val="1"/>
                <w:color w:val="auto"/>
              </w:rPr>
            </w:pPr>
          </w:p>
        </w:tc>
      </w:tr>
      <w:tr>
        <w:trPr>
          <w:trHeight w:val="181"/>
        </w:trPr>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98.5 %</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Franchise revenues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99,749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438,573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Restaurant operating expenses: (exclusive of</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shown below)</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Food and beverage costs </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35,871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22,053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96,383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Labor and other related expenses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50,587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36.6 %</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Other restaurant operating expenses </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24,185</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19,881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71,000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Occupancy expenses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17,019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11,347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44,360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(income), net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7"/>
        </w:trPr>
        <w:tc>
          <w:tcPr>
            <w:tcW w:w="3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costs and expenses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150,288</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108,365</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415,263</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118.2 %</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Income (Loss) from operations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(6,051)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(5,832)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(18,656)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42"/>
        </w:trPr>
        <w:tc>
          <w:tcPr>
            <w:tcW w:w="34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Income (Loss) before income tax expense</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1,317</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(14,403)</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5,190</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(58,587)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(benefit)</w:t>
            </w: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42"/>
        </w:trPr>
        <w:tc>
          <w:tcPr>
            <w:tcW w:w="34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Net income (loss) and total comprehensive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(11,141)</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2,546</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(42,563)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income (loss)</w:t>
            </w: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As a percentage of restaurant sales.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THIRTEEN WEEKS ENDED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THIRTY-NINE WEEKS ENDED</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0" w:type="dxa"/>
            <w:vAlign w:val="bottom"/>
            <w:gridSpan w:val="4"/>
          </w:tcPr>
          <w:p>
            <w:pPr>
              <w:jc w:val="right"/>
              <w:ind w:right="420"/>
              <w:spacing w:after="0" w:line="135" w:lineRule="exact"/>
              <w:rPr>
                <w:sz w:val="20"/>
                <w:szCs w:val="20"/>
                <w:color w:val="auto"/>
              </w:rPr>
            </w:pPr>
            <w:r>
              <w:rPr>
                <w:rFonts w:ascii="Arial" w:cs="Arial" w:eastAsia="Arial" w:hAnsi="Arial"/>
                <w:sz w:val="14"/>
                <w:szCs w:val="14"/>
                <w:b w:val="1"/>
                <w:bCs w:val="1"/>
                <w:color w:val="auto"/>
              </w:rPr>
              <w:t>SEPTEMBER 27,</w:t>
            </w: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20" w:type="dxa"/>
            <w:vAlign w:val="bottom"/>
            <w:gridSpan w:val="4"/>
          </w:tcPr>
          <w:p>
            <w:pPr>
              <w:ind w:left="60"/>
              <w:spacing w:after="0" w:line="135" w:lineRule="exact"/>
              <w:rPr>
                <w:sz w:val="20"/>
                <w:szCs w:val="20"/>
                <w:color w:val="auto"/>
              </w:rPr>
            </w:pPr>
            <w:r>
              <w:rPr>
                <w:rFonts w:ascii="Arial" w:cs="Arial" w:eastAsia="Arial" w:hAnsi="Arial"/>
                <w:sz w:val="14"/>
                <w:szCs w:val="14"/>
                <w:b w:val="1"/>
                <w:bCs w:val="1"/>
                <w:color w:val="auto"/>
              </w:rPr>
              <w:t>SEPTEMBER 27,</w:t>
            </w:r>
          </w:p>
        </w:tc>
        <w:tc>
          <w:tcPr>
            <w:tcW w:w="8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123,311</w:t>
            </w:r>
          </w:p>
        </w:tc>
        <w:tc>
          <w:tcPr>
            <w:tcW w:w="80" w:type="dxa"/>
            <w:vAlign w:val="bottom"/>
          </w:tcPr>
          <w:p>
            <w:pPr>
              <w:spacing w:after="0"/>
              <w:rPr>
                <w:sz w:val="18"/>
                <w:szCs w:val="18"/>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68,853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79.1 %</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327,147</w:t>
            </w:r>
          </w:p>
        </w:tc>
        <w:tc>
          <w:tcPr>
            <w:tcW w:w="100" w:type="dxa"/>
            <w:vAlign w:val="bottom"/>
          </w:tcPr>
          <w:p>
            <w:pPr>
              <w:spacing w:after="0"/>
              <w:rPr>
                <w:sz w:val="18"/>
                <w:szCs w:val="18"/>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182,814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79.0 %</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9"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Take-out sales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16,539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52,405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26,785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95.7 %</w:t>
            </w: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155,082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98,353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229,546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88.3 %</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increase in total restaurant sales during the thirteen weeks ended September 26, 2021 as compared to the same period in the prior year was primarily as a result of (i) same-restaurant sales growth of 46.2%, which was driven by same-restaurant traffic growth of 40.1%, relative to depressed levels in fiscal 2020 due to effects of the COVID-19 pandemic, (ii) $9.3 million from sales recognized from 19 NROs that have opened since September 27, 2020 and (iii) menu price increases. For further comparability, same-restaurant sales growth and traffic growth during the thirteen weeks ended September 26, 2021 was 19.7% and 4.8%, respectively, when compared to the thirteen weeks ended September 29, 2019.</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Comparison of the thirty-nine weeks ended September 26, 2021 to the thirty-nine weeks ended September 27, 2020 is impacted by the effects of the COVID-19 pandemic in 2020 including the temporary suspension of all our company-owned restaurant operations starting April 13, 2020. We reopened substantially all of our company-owned restaurants in four phases by the end of June 2020. The increase in total restaurant sales during the thirty-nine weeks ended September 26, 2021 as compared to the same period in the prior year was also driven by $18.6 million of sales recognized from 19 NROs that have opened since September 27, 2020, as well as menu price increases. For further comparability, same-restaurant sales growth during the thirty-nine weeks ended September 26, 2021 was 12.1% when compared to the thirty-nine weeks ended September 29, 2019.</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During fiscal 2020, we enabled off-premises sales occasions (third-party delivery and take-out) with new availability and access to online ordering. Off-premises occasions increased immediately and for the thirty-nine weeks ended September 26, 2021, our sales from those channels were $105.0 million compared to $46.7 million recognized in the same period in 2020. Off-premises sales increased to $31.8 million during the thirteen weeks ended September 26, 2021 as compared to $29.5 million in the same period in 2020, even as our in-restaurant dining traffic has rebounded to nearly 90% of pre-pandemic levels. Given that this volume of off-premises sales emerged during the COVID-19 pandemic, and the fact that our in-restaurant dining room occasions have not fully returned to pre-pandemic levels, we cannot be certain similar volumes of off-premises occasions will continue. Menu price increases were implemented to compensate for third-party delivery fees in connection with the off-premises sales resulting in a relatively neutral margin on off-premises sales as compared to in-restaurant dining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THIRTY-NINE WEEKS ENDED</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3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580" w:type="dxa"/>
            <w:vAlign w:val="bottom"/>
            <w:gridSpan w:val="4"/>
          </w:tcPr>
          <w:p>
            <w:pPr>
              <w:ind w:left="60"/>
              <w:spacing w:after="0" w:line="135" w:lineRule="exact"/>
              <w:rPr>
                <w:sz w:val="20"/>
                <w:szCs w:val="20"/>
                <w:color w:val="auto"/>
              </w:rPr>
            </w:pPr>
            <w:r>
              <w:rPr>
                <w:rFonts w:ascii="Arial" w:cs="Arial" w:eastAsia="Arial" w:hAnsi="Arial"/>
                <w:sz w:val="14"/>
                <w:szCs w:val="14"/>
                <w:b w:val="1"/>
                <w:bCs w:val="1"/>
                <w:color w:val="auto"/>
              </w:rPr>
              <w:t>SEPTEMBER 27,</w:t>
            </w: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560" w:type="dxa"/>
            <w:vAlign w:val="bottom"/>
            <w:gridSpan w:val="4"/>
          </w:tcPr>
          <w:p>
            <w:pPr>
              <w:ind w:left="60"/>
              <w:spacing w:after="0" w:line="135" w:lineRule="exact"/>
              <w:rPr>
                <w:sz w:val="20"/>
                <w:szCs w:val="20"/>
                <w:color w:val="auto"/>
              </w:rPr>
            </w:pPr>
            <w:r>
              <w:rPr>
                <w:rFonts w:ascii="Arial" w:cs="Arial" w:eastAsia="Arial" w:hAnsi="Arial"/>
                <w:sz w:val="14"/>
                <w:szCs w:val="14"/>
                <w:b w:val="1"/>
                <w:bCs w:val="1"/>
                <w:color w:val="auto"/>
              </w:rPr>
              <w:t>SEPTEMBER 27,</w:t>
            </w:r>
          </w:p>
        </w:tc>
        <w:tc>
          <w:tcPr>
            <w:tcW w:w="7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40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Franchise revenues:</w:t>
            </w:r>
          </w:p>
        </w:tc>
        <w:tc>
          <w:tcPr>
            <w:tcW w:w="2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8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8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Royalty and system fund contributions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1,342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71.4 %</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6,254</w:t>
            </w:r>
          </w:p>
        </w:tc>
        <w:tc>
          <w:tcPr>
            <w:tcW w:w="100" w:type="dxa"/>
            <w:vAlign w:val="bottom"/>
          </w:tcPr>
          <w:p>
            <w:pPr>
              <w:spacing w:after="0"/>
              <w:rPr>
                <w:sz w:val="18"/>
                <w:szCs w:val="18"/>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97.5 %</w:t>
            </w:r>
          </w:p>
        </w:tc>
        <w:tc>
          <w:tcPr>
            <w:tcW w:w="0" w:type="dxa"/>
            <w:vAlign w:val="bottom"/>
          </w:tcPr>
          <w:p>
            <w:pPr>
              <w:spacing w:after="0"/>
              <w:rPr>
                <w:sz w:val="1"/>
                <w:szCs w:val="1"/>
                <w:color w:val="auto"/>
              </w:rPr>
            </w:pPr>
          </w:p>
        </w:tc>
      </w:tr>
      <w:tr>
        <w:trPr>
          <w:trHeight w:val="219"/>
        </w:trPr>
        <w:tc>
          <w:tcPr>
            <w:tcW w:w="37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Initial fees</w:t>
            </w:r>
          </w:p>
        </w:tc>
        <w:tc>
          <w:tcPr>
            <w:tcW w:w="28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54</w:t>
            </w:r>
          </w:p>
        </w:tc>
        <w:tc>
          <w:tcPr>
            <w:tcW w:w="8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BFE4FF"/>
          </w:tcPr>
          <w:p>
            <w:pPr>
              <w:spacing w:after="0"/>
              <w:rPr>
                <w:sz w:val="19"/>
                <w:szCs w:val="19"/>
                <w:color w:val="auto"/>
              </w:rPr>
            </w:pPr>
          </w:p>
        </w:tc>
        <w:tc>
          <w:tcPr>
            <w:tcW w:w="42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BFE4FF"/>
          </w:tcPr>
          <w:p>
            <w:pPr>
              <w:spacing w:after="0"/>
              <w:rPr>
                <w:sz w:val="19"/>
                <w:szCs w:val="19"/>
                <w:color w:val="auto"/>
              </w:rPr>
            </w:pPr>
          </w:p>
        </w:tc>
        <w:tc>
          <w:tcPr>
            <w:tcW w:w="240" w:type="dxa"/>
            <w:vAlign w:val="bottom"/>
            <w:tcBorders>
              <w:bottom w:val="single" w:sz="8" w:color="auto"/>
            </w:tcBorders>
            <w:shd w:val="clear" w:color="auto" w:fill="BFE4FF"/>
          </w:tcPr>
          <w:p>
            <w:pPr>
              <w:spacing w:after="0"/>
              <w:rPr>
                <w:sz w:val="19"/>
                <w:szCs w:val="19"/>
                <w:color w:val="auto"/>
              </w:rPr>
            </w:pPr>
          </w:p>
        </w:tc>
        <w:tc>
          <w:tcPr>
            <w:tcW w:w="7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Arial" w:cs="Arial" w:eastAsia="Arial" w:hAnsi="Arial"/>
                <w:sz w:val="16"/>
                <w:szCs w:val="16"/>
                <w:color w:val="auto"/>
              </w:rPr>
              <w:t>Total Franchise revenues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1,396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69.0 %</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86.6 %</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franchise revenues during the thirteen and thirty-nine weeks ended September 26, 2021 as compared to the same periods in the prior year was primarily driven by (i) the rapid and steady sales recovery of sales, which had declined in 2020 as a result of the COVID-19 pandemic and (ii) $0.2 million and $0.4 million of franchise revenues recognized during the thirteen and thirty-nine weeks ended September 26, 2021, respectively, from 11 Franchise-owned NROs that have opened since September 27,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Beverage Costs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THIRTEEN WEEKS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THIRTY-NINE WEEKS ENDED</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SEPTEMBER 27,</w:t>
            </w: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8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60" w:type="dxa"/>
            <w:vAlign w:val="bottom"/>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4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35,871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22,053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62.7 %  $</w:t>
            </w:r>
          </w:p>
        </w:tc>
        <w:tc>
          <w:tcPr>
            <w:tcW w:w="126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96,383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53,040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81.7 %</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23.1 %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22.3 %</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23.1% of restaurant sales during the thirteen weeks ended September 26, 2021, food and beverage costs was 70 basis points higher than the same period in the prior year. The increase was primarily due to (i) the increased cost of pork, partially offset by (ii) menu price increases and (iii) COVID-19-related inventory write-offs of $0.2 million recognized during the thirteen weeks ended September 27, 2020. For further comparability, food and beverage costs as a percentage of restaurant sales was 23.8% during the thirteen weeks ended September 29, 2019.</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Food and beverage costs increased during the thirteen weeks ended September 26, 2021 as compared to the same period in the prior year primarily due to</w:t>
      </w:r>
    </w:p>
    <w:p>
      <w:pPr>
        <w:spacing w:after="0" w:line="46" w:lineRule="exact"/>
        <w:rPr>
          <w:sz w:val="20"/>
          <w:szCs w:val="20"/>
          <w:color w:val="auto"/>
        </w:rPr>
      </w:pPr>
    </w:p>
    <w:p>
      <w:pPr>
        <w:jc w:val="both"/>
        <w:ind w:firstLine="8"/>
        <w:spacing w:after="0" w:line="255" w:lineRule="auto"/>
        <w:tabs>
          <w:tab w:leader="none" w:pos="2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same-restaurant sales growth of 46.2% that was driven by our same-restaurant traffic growth of 40.1% due to the rapid and steady sales and traffic recovery from the COVID-19 pandemic and (ii) $2.2 million of food and beverage costs from the 19 NROs that have opened since September 27, 2020.</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thirty-nine weeks ended September 26, 2021 and September 27, 2020, food and beverage costs as a percentage of restaurant sales was 22.3% and 23.1%, respectively. The lower percentage cost was primarily due to (i) COVID-19-related inventory write-offs of $0.6 million recognized during the thirty-nine weeks ended September 27, 2020 and (ii) menu price increases, including a surcharge on third-party delivery sales. For further comparability, food and beverage costs as a percentage of restaurant sales was 23.5% during the thirty-nine weeks ended September 29, 2019.</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Food and beverage costs increased during the thirty-nine weeks ended September 26, 2021 as compared to the same period in the prior year primarily as a result of (i) increased restaurant sales relative to depressed levels in fiscal 2020 due to effects of the COVID-19 pandemic and (ii) $4.4 million of food and beverage costs from the 19 NROs that have opened since September 27,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Other Related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Labor and other related expenses include hourly and management wages, bonuses, payroll taxes, workers’ compensation expense and employee benefits. Factors that influence labor costs include minimum wage and payroll tax legislation, health care costs, the performance of our company-owned restaurants and increased competition for qualified staff.</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THIRTEEN WEEKS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THIRTY-NINE WEEKS ENDED</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SEPTEMBER 27,</w:t>
            </w: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8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60" w:type="dxa"/>
            <w:vAlign w:val="bottom"/>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4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and other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50,587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34,115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48.3 %  $</w:t>
            </w:r>
          </w:p>
        </w:tc>
        <w:tc>
          <w:tcPr>
            <w:tcW w:w="126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136,586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84,127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440"/>
              <w:spacing w:after="0"/>
              <w:rPr>
                <w:sz w:val="20"/>
                <w:szCs w:val="20"/>
                <w:color w:val="auto"/>
              </w:rPr>
            </w:pPr>
            <w:r>
              <w:rPr>
                <w:rFonts w:ascii="Arial" w:cs="Arial" w:eastAsia="Arial" w:hAnsi="Arial"/>
                <w:sz w:val="16"/>
                <w:szCs w:val="16"/>
                <w:color w:val="auto"/>
                <w:w w:val="93"/>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31.6 %</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labor and other related expenses as a percentage of restaurant sales to 32.6% during the thirteen weeks ended September 26, 2021 from 34.7% during the same period in the prior year and to 31.6% during the thirty-nine weeks ended September 26, 2021 from 36.6% during the same period in the prior year was primarily due to leveraging of labor and other related expenses as restaurants sales and traffic have grown rapidly, combined with a challenging labor environment. For further comparability, labor and other related expenses as a percentage of restaurant sales during the thirteen and thirty-nine weeks ended September 29, 2019 was 35.2% and 34.7%, respectively.</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labor and other related expenses during the thirteen weeks ended September 26, 2021 as compared to the same period in the prior year was primarily due to (i) same-restaurant sales growth of 46.2%, which was driven by same-restaurant traffic growth of 40.1%, (ii) $3.2 million from the 19 NROs that have opened since September 27, 2020 and (iii) reduced labor hours in fiscal 2020 as a result of the COVID-19 pandemic.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labor and other related expenses during the thirty-nine weeks ended September 26, 2021 as compared to the same period in the prior year is primarily due to (i) same-restaurant sales growth of 75.0%, which was driven by our same-restaurant traffic growth of 61.6%, (ii) $6.6 million due to the additional costs incurred in 19 NROs that have opened since September 27, 2020 and (iii) normal performance-related bonuses, partially offset by (iv) $1.9 million in compensation expense and health insurance costs for furloughed employees, net of employee retention credits, incurred during the thirty-nine weeks ended September 27,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Expenses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restaurant operating expenses consist of marketing and advertising expenses, utilities and other operating expenses incidental to operating company-owned restaurants, such as operating supplies (including paper products, menus and to-go supplies), credit card fees, repairs and maintenance, third-party delivery services fees and certain pre-opening expenses for new company-owned restaurants.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Pre-opening expenses primarily consist of manager salaries, recruiting expenses, employee payroll and training costs. Pre-opening expenses are recognized in the period in which the expense was incurred, and can fluctuate from period to period, based on the number and timing of new restaurant openings. Additionally, new restaurant openings in new geographic market areas may initially experience higher pre-opening expenses than our established geographic market areas where we have greater economies of scale and incur lower travel costs for our training team.</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THIRTEEN WEEKS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THIRTY-NINE WEEKS ENDED</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SEPTEMBER 27,</w:t>
            </w: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8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60" w:type="dxa"/>
            <w:vAlign w:val="bottom"/>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4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24,185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19,881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21.6 %  $</w:t>
            </w:r>
          </w:p>
        </w:tc>
        <w:tc>
          <w:tcPr>
            <w:tcW w:w="126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71,000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43,163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64.5 %</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440"/>
              <w:spacing w:after="0"/>
              <w:rPr>
                <w:sz w:val="20"/>
                <w:szCs w:val="20"/>
                <w:color w:val="auto"/>
              </w:rPr>
            </w:pPr>
            <w:r>
              <w:rPr>
                <w:rFonts w:ascii="Arial" w:cs="Arial" w:eastAsia="Arial" w:hAnsi="Arial"/>
                <w:sz w:val="16"/>
                <w:szCs w:val="16"/>
                <w:color w:val="auto"/>
                <w:w w:val="93"/>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16.4 %</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15.6% of restaurant sales during the thirteen weeks ended September 26, 2021, other restaurant operating expenses was 460 basis points lower than the same period in the prior year primarily due to leveraging increased in-restaurant dining sales.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other restaurant operating expenses during the thirteen weeks ended September 26, 2021 as compared to the same period in the prior year was primarily due to (i) the increase in credit card fees, supplies, utilities, repairs and maintenance and insurance expense totaling approximately $4.5 million, partially offset by (ii) the decrease in pre-opening expenses of $0.4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other restaurant operating expenses as a percentage of restaurant sales to 16.4% during the thirty-nine weeks ended September 26, 2021 from 18.8% during the same period in the prior year was primarily due to leveraging increased restaurant sales that have recovered from depressed levels due to effects of the COVID-19 pandemic.</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other restaurant operating expenses during the thirty-nine weeks ended September 26, 2021 as compared to the same period in the prior year was primarily due to (i) the increase in credit card fees, supplies, utilities, repairs and maintenance and insurance expense totaling approximately $19.2 million as the operations at company-owned restaurants were temporarily suspended and government-mandated dining room restrictions imposed due to the COVID-19 pandemic in 2020 and (ii) an increase in third-party delivery services fees of $7.7 million as a result of off-premises sales.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comparability, the increase in other restaurant operating expenses as a percentage of restaurant sales from 14.1% and 13.8% during the thirteen and thirty-nine weeks ended September 29, 2019, respectively, was primarily driven by off-premises packaging costs, personal protective equipment, supplies and third-party delivery services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Expenses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Occupancy expenses primarily consist of rent expense, property insurance, common area expenses and property taxes. Rent expense also includes pre-opening rent expense recognized during the period between the date of possession of the restaurant facility and the restaurant opening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THIRTEEN WEEKS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THIRTY-NINE WEEKS ENDED</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SEPTEMBER 27,</w:t>
            </w: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8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60" w:type="dxa"/>
            <w:vAlign w:val="bottom"/>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4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14,199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13,127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8.2 %  $</w:t>
            </w:r>
          </w:p>
        </w:tc>
        <w:tc>
          <w:tcPr>
            <w:tcW w:w="126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41,956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38,309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9.7 %</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increase in occupancy expenses during the thirteen and thirty-nine weeks ended September 26, 2021 as compared to the same periods in the prior year was primarily due to the increase in the number of company-owned restaurants and the number of leases that had commenced during the respective periods.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Pre-opening rent expense during the thirteen and thirty-nine weeks ended September 26, 2021 was $0.2 million and $0.9 million, respectively, as compared to $0.4 million and $1.5 million during the thirteen and thirty-nine weeks ended September 27,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and stock-based compensation expense. General and administrative expenses are impacted by changes in our employee headcount and costs related to strategic and growth initiatives. In preparation for and after the consummation of the IPO, we have incurred and we expect to incur in the future significant additional legal, accounting and other expenses associated with being a public company, including costs associated with our compliance with the Sarbanes-Oxley Act of 2002, as amended (the “Sarbanes-Oxley Act”).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THIRTEEN WEEKS ENDED</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THIRTY-NINE WEEKS ENDED</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124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660" w:type="dxa"/>
            <w:vAlign w:val="bottom"/>
            <w:gridSpan w:val="4"/>
          </w:tcPr>
          <w:p>
            <w:pPr>
              <w:jc w:val="right"/>
              <w:ind w:right="420"/>
              <w:spacing w:after="0" w:line="135" w:lineRule="exact"/>
              <w:rPr>
                <w:sz w:val="20"/>
                <w:szCs w:val="20"/>
                <w:color w:val="auto"/>
              </w:rPr>
            </w:pPr>
            <w:r>
              <w:rPr>
                <w:rFonts w:ascii="Arial" w:cs="Arial" w:eastAsia="Arial" w:hAnsi="Arial"/>
                <w:sz w:val="14"/>
                <w:szCs w:val="14"/>
                <w:b w:val="1"/>
                <w:bCs w:val="1"/>
                <w:color w:val="auto"/>
              </w:rPr>
              <w:t>SEPTEMBER 27,</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700" w:type="dxa"/>
            <w:vAlign w:val="bottom"/>
            <w:gridSpan w:val="4"/>
          </w:tcPr>
          <w:p>
            <w:pPr>
              <w:jc w:val="right"/>
              <w:ind w:right="460"/>
              <w:spacing w:after="0" w:line="135" w:lineRule="exact"/>
              <w:rPr>
                <w:sz w:val="20"/>
                <w:szCs w:val="20"/>
                <w:color w:val="auto"/>
              </w:rPr>
            </w:pPr>
            <w:r>
              <w:rPr>
                <w:rFonts w:ascii="Arial" w:cs="Arial" w:eastAsia="Arial" w:hAnsi="Arial"/>
                <w:sz w:val="14"/>
                <w:szCs w:val="14"/>
                <w:b w:val="1"/>
                <w:bCs w:val="1"/>
                <w:color w:val="auto"/>
              </w:rPr>
              <w:t>SEPTEMBER 27,</w:t>
            </w:r>
          </w:p>
        </w:tc>
        <w:tc>
          <w:tcPr>
            <w:tcW w:w="84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17,019</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44,360</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general and administrative expenses during the thirteen weeks ended September 26, 2021 as compared to the same period in the prior year was primarily due to (i) the increase in compensation of $4.9 million resulting from additional employee headcount to support growth and performance-related bonuses, (ii) the increase of $1.0 million in marketing spend and (iii) the increase of $1.2 million for recruiting, relocation, travel and strategic efforts, partially offset by the (iv) the write off of $2.0 million of deferred offering costs during the thirteen weeks ended September 27, 2020 as a result of halting our public registration of equity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increase in general and administrative expenses during the thirty-nine weeks ended September 26, 2021 as compared to the same period in the prior year was primarily due to (i) the increase in compensation of $10.7 million resulting from additional employee headcount and performance-related bonuses as compared to 2020 when there were furloughs and the reduction in bonuses and (ii) the increase of $1.7 million in marketing spend, partially offset by</w:t>
      </w:r>
    </w:p>
    <w:p>
      <w:pPr>
        <w:spacing w:after="0" w:line="2" w:lineRule="exact"/>
        <w:rPr>
          <w:sz w:val="20"/>
          <w:szCs w:val="20"/>
          <w:color w:val="auto"/>
        </w:rPr>
      </w:pPr>
    </w:p>
    <w:p>
      <w:pPr>
        <w:jc w:val="both"/>
        <w:ind w:firstLine="8"/>
        <w:spacing w:after="0" w:line="255"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reduction of $1.4 million in consulting, accounting and other expenses incurred in connection with public-company readiness efforts during fiscal 2020 and (iv) the write off of $2.0 million of deferred offering costs during the thirty-nine weeks ended September 27, 2020 as a result of halting our public registration of equity in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Corporation in August 2017 as well as reacquired rights from our acquisitions of franchise-owned restaurants.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THIRTEEN WEEKS ENDED</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THIRTY-NINE WEEKS ENDED</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60" w:type="dxa"/>
            <w:vAlign w:val="bottom"/>
            <w:gridSpan w:val="2"/>
          </w:tcPr>
          <w:p>
            <w:pPr>
              <w:jc w:val="right"/>
              <w:ind w:right="26"/>
              <w:spacing w:after="0" w:line="135" w:lineRule="exact"/>
              <w:rPr>
                <w:sz w:val="20"/>
                <w:szCs w:val="20"/>
                <w:color w:val="auto"/>
              </w:rPr>
            </w:pPr>
            <w:r>
              <w:rPr>
                <w:rFonts w:ascii="Arial" w:cs="Arial" w:eastAsia="Arial" w:hAnsi="Arial"/>
                <w:sz w:val="14"/>
                <w:szCs w:val="14"/>
                <w:b w:val="1"/>
                <w:bCs w:val="1"/>
                <w:color w:val="auto"/>
              </w:rPr>
              <w:t>SEPTEMBER 26,</w:t>
            </w:r>
          </w:p>
        </w:tc>
        <w:tc>
          <w:tcPr>
            <w:tcW w:w="1640" w:type="dxa"/>
            <w:vAlign w:val="bottom"/>
            <w:gridSpan w:val="4"/>
          </w:tcPr>
          <w:p>
            <w:pPr>
              <w:jc w:val="right"/>
              <w:ind w:right="420"/>
              <w:spacing w:after="0" w:line="135" w:lineRule="exact"/>
              <w:rPr>
                <w:sz w:val="20"/>
                <w:szCs w:val="20"/>
                <w:color w:val="auto"/>
              </w:rPr>
            </w:pPr>
            <w:r>
              <w:rPr>
                <w:rFonts w:ascii="Arial" w:cs="Arial" w:eastAsia="Arial" w:hAnsi="Arial"/>
                <w:sz w:val="14"/>
                <w:szCs w:val="14"/>
                <w:b w:val="1"/>
                <w:bCs w:val="1"/>
                <w:color w:val="auto"/>
              </w:rPr>
              <w:t>SEPTEMBER 27,</w:t>
            </w: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700" w:type="dxa"/>
            <w:vAlign w:val="bottom"/>
            <w:gridSpan w:val="4"/>
          </w:tcPr>
          <w:p>
            <w:pPr>
              <w:jc w:val="right"/>
              <w:ind w:right="460"/>
              <w:spacing w:after="0" w:line="135" w:lineRule="exact"/>
              <w:rPr>
                <w:sz w:val="20"/>
                <w:szCs w:val="20"/>
                <w:color w:val="auto"/>
              </w:rPr>
            </w:pPr>
            <w:r>
              <w:rPr>
                <w:rFonts w:ascii="Arial" w:cs="Arial" w:eastAsia="Arial" w:hAnsi="Arial"/>
                <w:sz w:val="14"/>
                <w:szCs w:val="14"/>
                <w:b w:val="1"/>
                <w:bCs w:val="1"/>
                <w:color w:val="auto"/>
              </w:rPr>
              <w:t>SEPTEMBER 27,</w:t>
            </w:r>
          </w:p>
        </w:tc>
        <w:tc>
          <w:tcPr>
            <w:tcW w:w="84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780" w:type="dxa"/>
            <w:vAlign w:val="bottom"/>
          </w:tcPr>
          <w:p>
            <w:pPr>
              <w:jc w:val="right"/>
              <w:ind w:right="38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8,203</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23,965</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depreciation and amortization recognized during the thirteen and thirty-nine weeks ended September 26, 2021 as compared to the same periods in the prior year was primarily due to incremental depreciation expense associated with NROs.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and Loss on Disposal of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THIRTEEN WEEKS ENDED</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THIRTY-NINE WEEKS ENDED</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26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560" w:type="dxa"/>
            <w:vAlign w:val="bottom"/>
            <w:gridSpan w:val="4"/>
          </w:tcPr>
          <w:p>
            <w:pPr>
              <w:jc w:val="right"/>
              <w:ind w:right="320"/>
              <w:spacing w:after="0" w:line="135" w:lineRule="exact"/>
              <w:rPr>
                <w:sz w:val="20"/>
                <w:szCs w:val="20"/>
                <w:color w:val="auto"/>
              </w:rPr>
            </w:pPr>
            <w:r>
              <w:rPr>
                <w:rFonts w:ascii="Arial" w:cs="Arial" w:eastAsia="Arial" w:hAnsi="Arial"/>
                <w:sz w:val="14"/>
                <w:szCs w:val="14"/>
                <w:b w:val="1"/>
                <w:bCs w:val="1"/>
                <w:color w:val="auto"/>
              </w:rPr>
              <w:t>SEPTEMBER 27,</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680" w:type="dxa"/>
            <w:vAlign w:val="bottom"/>
            <w:gridSpan w:val="4"/>
          </w:tcPr>
          <w:p>
            <w:pPr>
              <w:jc w:val="right"/>
              <w:ind w:right="440"/>
              <w:spacing w:after="0" w:line="135" w:lineRule="exact"/>
              <w:rPr>
                <w:sz w:val="20"/>
                <w:szCs w:val="20"/>
                <w:color w:val="auto"/>
              </w:rPr>
            </w:pPr>
            <w:r>
              <w:rPr>
                <w:rFonts w:ascii="Arial" w:cs="Arial" w:eastAsia="Arial" w:hAnsi="Arial"/>
                <w:sz w:val="14"/>
                <w:szCs w:val="14"/>
                <w:b w:val="1"/>
                <w:bCs w:val="1"/>
                <w:color w:val="auto"/>
              </w:rPr>
              <w:t>SEPTEMBER 27,</w:t>
            </w:r>
          </w:p>
        </w:tc>
        <w:tc>
          <w:tcPr>
            <w:tcW w:w="8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98</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line="218"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261</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impairment losses recognized on intangible assets or fixed assets during the thirteen and thirty-nine weeks ended September 26, 2021 and September 27,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Loss on disposal of assets recognized during the periods indicated were related to retirements, replacements and disposals of fixed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8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Transaction Expenses (Income), Net</w:t>
      </w:r>
    </w:p>
    <w:p>
      <w:pPr>
        <w:spacing w:after="0" w:line="252" w:lineRule="exact"/>
        <w:rPr>
          <w:sz w:val="20"/>
          <w:szCs w:val="20"/>
          <w:color w:val="auto"/>
        </w:rPr>
      </w:pPr>
    </w:p>
    <w:p>
      <w:pPr>
        <w:jc w:val="both"/>
        <w:ind w:left="80"/>
        <w:spacing w:after="0" w:line="262" w:lineRule="auto"/>
        <w:rPr>
          <w:sz w:val="20"/>
          <w:szCs w:val="20"/>
          <w:color w:val="auto"/>
        </w:rPr>
      </w:pPr>
      <w:r>
        <w:rPr>
          <w:rFonts w:ascii="Arial" w:cs="Arial" w:eastAsia="Arial" w:hAnsi="Arial"/>
          <w:sz w:val="17"/>
          <w:szCs w:val="17"/>
          <w:color w:val="auto"/>
        </w:rPr>
        <w:t>Transaction expenses (income), net primarily include (i) costs incurred in connection with the acquisition of franchise-owned restaurants, (ii) costs incurred in connection with the conversion of certain restaurants to company-owned restaurants operating under the First Watch trade name, (iii) costs related to restaurant closures and (iv) revaluations of contingent consideration payable to previous stockholders for tax savings generated through use of federal and state loss carryforwards and general business credits that had been accumulated from operations prior to August 2017.</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THIRTEEN WEEKS ENDED</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THIRTY-NINE WEEKS ENDED</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26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5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rPr>
              <w:t>SEPTEMBER 27,</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26"/>
              <w:spacing w:after="0" w:line="135" w:lineRule="exact"/>
              <w:rPr>
                <w:sz w:val="20"/>
                <w:szCs w:val="20"/>
                <w:color w:val="auto"/>
              </w:rPr>
            </w:pPr>
            <w:r>
              <w:rPr>
                <w:rFonts w:ascii="Arial" w:cs="Arial" w:eastAsia="Arial" w:hAnsi="Arial"/>
                <w:sz w:val="14"/>
                <w:szCs w:val="14"/>
                <w:b w:val="1"/>
                <w:bCs w:val="1"/>
                <w:color w:val="auto"/>
              </w:rPr>
              <w:t>SEPTEMBER 26,</w:t>
            </w:r>
          </w:p>
        </w:tc>
        <w:tc>
          <w:tcPr>
            <w:tcW w:w="1600" w:type="dxa"/>
            <w:vAlign w:val="bottom"/>
            <w:gridSpan w:val="4"/>
          </w:tcPr>
          <w:p>
            <w:pPr>
              <w:jc w:val="right"/>
              <w:ind w:right="360"/>
              <w:spacing w:after="0" w:line="135" w:lineRule="exact"/>
              <w:rPr>
                <w:sz w:val="20"/>
                <w:szCs w:val="20"/>
                <w:color w:val="auto"/>
              </w:rPr>
            </w:pPr>
            <w:r>
              <w:rPr>
                <w:rFonts w:ascii="Arial" w:cs="Arial" w:eastAsia="Arial" w:hAnsi="Arial"/>
                <w:sz w:val="14"/>
                <w:szCs w:val="14"/>
                <w:b w:val="1"/>
                <w:bCs w:val="1"/>
                <w:color w:val="auto"/>
              </w:rPr>
              <w:t>SEPTEMBER 27,</w:t>
            </w: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(income), net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126</w:t>
            </w:r>
          </w:p>
        </w:tc>
        <w:tc>
          <w:tcPr>
            <w:tcW w:w="52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line="217"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9"/>
                <w:szCs w:val="9"/>
                <w:color w:val="auto"/>
              </w:rPr>
              <w:t xml:space="preserve"> (1)</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752</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320"/>
              <w:spacing w:after="0" w:line="217"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9"/>
                <w:szCs w:val="9"/>
                <w:color w:val="auto"/>
              </w:rPr>
              <w:t xml:space="preserve"> (1)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07" w:lineRule="exact"/>
        <w:rPr>
          <w:sz w:val="20"/>
          <w:szCs w:val="20"/>
          <w:color w:val="auto"/>
        </w:rPr>
      </w:pPr>
    </w:p>
    <w:p>
      <w:pPr>
        <w:jc w:val="both"/>
        <w:ind w:left="80"/>
        <w:spacing w:after="0" w:line="286" w:lineRule="auto"/>
        <w:rPr>
          <w:sz w:val="20"/>
          <w:szCs w:val="20"/>
          <w:color w:val="auto"/>
        </w:rPr>
      </w:pPr>
      <w:r>
        <w:rPr>
          <w:rFonts w:ascii="Arial" w:cs="Arial" w:eastAsia="Arial" w:hAnsi="Arial"/>
          <w:sz w:val="17"/>
          <w:szCs w:val="17"/>
          <w:color w:val="auto"/>
        </w:rPr>
        <w:t xml:space="preserve">Transaction expenses (income), net primarily represents the revaluation of the contingent consideration payable to previous stockholders for tax savings generated through use of federal and state loss carryforwards and general business credits that had been accumulated from operations prior to August 2017. See Note 10, </w:t>
      </w:r>
      <w:r>
        <w:rPr>
          <w:rFonts w:ascii="Arial" w:cs="Arial" w:eastAsia="Arial" w:hAnsi="Arial"/>
          <w:sz w:val="17"/>
          <w:szCs w:val="17"/>
          <w:i w:val="1"/>
          <w:iCs w:val="1"/>
          <w:color w:val="auto"/>
        </w:rPr>
        <w:t>Income Taxes</w:t>
      </w:r>
      <w:r>
        <w:rPr>
          <w:rFonts w:ascii="Arial" w:cs="Arial" w:eastAsia="Arial" w:hAnsi="Arial"/>
          <w:sz w:val="17"/>
          <w:szCs w:val="17"/>
          <w:color w:val="auto"/>
        </w:rPr>
        <w:t>, in the accompanying notes to the unaudited interim consolidated financial statements.</w:t>
      </w: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THIRTEEN WEEKS ENDED</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THIRTY-NINE WEEKS ENDED</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3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1"/>
                <w:szCs w:val="11"/>
                <w:color w:val="auto"/>
              </w:rPr>
            </w:pPr>
          </w:p>
        </w:tc>
        <w:tc>
          <w:tcPr>
            <w:tcW w:w="1300" w:type="dxa"/>
            <w:vAlign w:val="bottom"/>
          </w:tcPr>
          <w:p>
            <w:pPr>
              <w:jc w:val="right"/>
              <w:ind w:right="10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40" w:type="dxa"/>
            <w:vAlign w:val="bottom"/>
          </w:tcPr>
          <w:p>
            <w:pPr>
              <w:spacing w:after="0"/>
              <w:rPr>
                <w:sz w:val="11"/>
                <w:szCs w:val="11"/>
                <w:color w:val="auto"/>
              </w:rPr>
            </w:pPr>
          </w:p>
        </w:tc>
        <w:tc>
          <w:tcPr>
            <w:tcW w:w="14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4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24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operations</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165"/>
              <w:spacing w:after="0"/>
              <w:rPr>
                <w:sz w:val="20"/>
                <w:szCs w:val="20"/>
                <w:color w:val="auto"/>
              </w:rPr>
            </w:pPr>
            <w:r>
              <w:rPr>
                <w:rFonts w:ascii="Arial" w:cs="Arial" w:eastAsia="Arial" w:hAnsi="Arial"/>
                <w:sz w:val="16"/>
                <w:szCs w:val="16"/>
                <w:color w:val="auto"/>
              </w:rPr>
              <w:t>7,153</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84"/>
              <w:spacing w:after="0"/>
              <w:rPr>
                <w:sz w:val="20"/>
                <w:szCs w:val="20"/>
                <w:color w:val="auto"/>
              </w:rPr>
            </w:pPr>
            <w:r>
              <w:rPr>
                <w:rFonts w:ascii="Arial" w:cs="Arial" w:eastAsia="Arial" w:hAnsi="Arial"/>
                <w:sz w:val="16"/>
                <w:szCs w:val="16"/>
                <w:color w:val="auto"/>
              </w:rPr>
              <w:t>(8,616)</w:t>
            </w:r>
          </w:p>
        </w:tc>
        <w:tc>
          <w:tcPr>
            <w:tcW w:w="100" w:type="dxa"/>
            <w:vAlign w:val="bottom"/>
            <w:shd w:val="clear" w:color="auto" w:fill="BFE4FF"/>
          </w:tcPr>
          <w:p>
            <w:pPr>
              <w:spacing w:after="0"/>
              <w:rPr>
                <w:sz w:val="18"/>
                <w:szCs w:val="18"/>
                <w:color w:val="auto"/>
              </w:rPr>
            </w:pPr>
          </w:p>
        </w:tc>
        <w:tc>
          <w:tcPr>
            <w:tcW w:w="1020" w:type="dxa"/>
            <w:vAlign w:val="bottom"/>
            <w:gridSpan w:val="2"/>
            <w:shd w:val="clear" w:color="auto" w:fill="BFE4FF"/>
          </w:tcPr>
          <w:p>
            <w:pPr>
              <w:ind w:left="500"/>
              <w:spacing w:after="0" w:line="217"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9"/>
                <w:szCs w:val="9"/>
                <w:color w:val="auto"/>
              </w:rPr>
              <w:t xml:space="preserve"> (1)</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BFE4FF"/>
          </w:tcPr>
          <w:p>
            <w:pPr>
              <w:jc w:val="right"/>
              <w:ind w:right="185"/>
              <w:spacing w:after="0"/>
              <w:rPr>
                <w:sz w:val="20"/>
                <w:szCs w:val="20"/>
                <w:color w:val="auto"/>
              </w:rPr>
            </w:pPr>
            <w:r>
              <w:rPr>
                <w:rFonts w:ascii="Arial" w:cs="Arial" w:eastAsia="Arial" w:hAnsi="Arial"/>
                <w:sz w:val="16"/>
                <w:szCs w:val="16"/>
                <w:color w:val="auto"/>
              </w:rPr>
              <w:t>23,310</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84"/>
              <w:spacing w:after="0"/>
              <w:rPr>
                <w:sz w:val="20"/>
                <w:szCs w:val="20"/>
                <w:color w:val="auto"/>
              </w:rPr>
            </w:pPr>
            <w:r>
              <w:rPr>
                <w:rFonts w:ascii="Arial" w:cs="Arial" w:eastAsia="Arial" w:hAnsi="Arial"/>
                <w:sz w:val="16"/>
                <w:szCs w:val="16"/>
                <w:color w:val="auto"/>
              </w:rPr>
              <w:t>(42,493)</w:t>
            </w: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780" w:type="dxa"/>
            <w:vAlign w:val="bottom"/>
            <w:shd w:val="clear" w:color="auto" w:fill="BFE4FF"/>
          </w:tcPr>
          <w:p>
            <w:pPr>
              <w:ind w:left="360"/>
              <w:spacing w:after="0" w:line="217" w:lineRule="exact"/>
              <w:rPr>
                <w:sz w:val="20"/>
                <w:szCs w:val="20"/>
                <w:color w:val="auto"/>
              </w:rPr>
            </w:pPr>
            <w:r>
              <w:rPr>
                <w:rFonts w:ascii="Arial" w:cs="Arial" w:eastAsia="Arial" w:hAnsi="Arial"/>
                <w:sz w:val="25"/>
                <w:szCs w:val="25"/>
                <w:color w:val="auto"/>
                <w:w w:val="96"/>
                <w:vertAlign w:val="subscript"/>
              </w:rPr>
              <w:t>n/m</w:t>
            </w:r>
            <w:r>
              <w:rPr>
                <w:rFonts w:ascii="Arial" w:cs="Arial" w:eastAsia="Arial" w:hAnsi="Arial"/>
                <w:sz w:val="9"/>
                <w:szCs w:val="9"/>
                <w:color w:val="auto"/>
                <w:w w:val="96"/>
              </w:rPr>
              <w:t xml:space="preserve"> (1)</w:t>
            </w:r>
          </w:p>
        </w:tc>
        <w:tc>
          <w:tcPr>
            <w:tcW w:w="0" w:type="dxa"/>
            <w:vAlign w:val="bottom"/>
          </w:tcPr>
          <w:p>
            <w:pPr>
              <w:spacing w:after="0"/>
              <w:rPr>
                <w:sz w:val="1"/>
                <w:szCs w:val="1"/>
                <w:color w:val="auto"/>
              </w:rPr>
            </w:pPr>
          </w:p>
        </w:tc>
      </w:tr>
      <w:tr>
        <w:trPr>
          <w:trHeight w:val="273"/>
        </w:trPr>
        <w:tc>
          <w:tcPr>
            <w:tcW w:w="354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4.6 %</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3"/>
                <w:szCs w:val="23"/>
                <w:color w:val="auto"/>
              </w:rPr>
            </w:pPr>
          </w:p>
        </w:tc>
        <w:tc>
          <w:tcPr>
            <w:tcW w:w="1020" w:type="dxa"/>
            <w:vAlign w:val="bottom"/>
            <w:gridSpan w:val="2"/>
          </w:tcPr>
          <w:p>
            <w:pPr>
              <w:ind w:left="500"/>
              <w:spacing w:after="0"/>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5.4 %</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ind w:left="360"/>
              <w:spacing w:after="0"/>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(1) Not meaningful.</w:t>
      </w:r>
    </w:p>
    <w:p>
      <w:pPr>
        <w:spacing w:after="0" w:line="207" w:lineRule="exact"/>
        <w:rPr>
          <w:sz w:val="20"/>
          <w:szCs w:val="20"/>
          <w:color w:val="auto"/>
        </w:rPr>
      </w:pPr>
    </w:p>
    <w:p>
      <w:pPr>
        <w:jc w:val="both"/>
        <w:ind w:left="80"/>
        <w:spacing w:after="0" w:line="296" w:lineRule="auto"/>
        <w:rPr>
          <w:sz w:val="20"/>
          <w:szCs w:val="20"/>
          <w:color w:val="auto"/>
        </w:rPr>
      </w:pPr>
      <w:r>
        <w:rPr>
          <w:rFonts w:ascii="Arial" w:cs="Arial" w:eastAsia="Arial" w:hAnsi="Arial"/>
          <w:sz w:val="16"/>
          <w:szCs w:val="16"/>
          <w:color w:val="auto"/>
        </w:rPr>
        <w:t>Income from operations for the thirteen and thirty-nine weeks ended September 26, 2021 as compared to Loss from operations for the same periods in the prior year was primarily due to (i) the increase in same-restaurant sales growth, driven by same-restaurant traffic growth, which had declined in 2020 due to the effects of the COVID-19 pandemic and (ii) operations of 19 NROs that have opened since September 27, 2020, partially offset by (iii) the increase in food and beverage costs, labor and other related expenses and other restaurant operating expenses as restaurant sales and traffic increased and (iv) the increase in general and administrative expenses primarily as a result of additional employee headcount and performance-related bonuses.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Interest expense primarily consists of interest and fees on our Senior Credit Facilities and the amortization expense for debt discount and deferred issuance costs.</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THIRTEEN WEEKS ENDED</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THIRTY-NINE WEEKS ENDED</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60" w:type="dxa"/>
            <w:vAlign w:val="bottom"/>
            <w:gridSpan w:val="2"/>
          </w:tcPr>
          <w:p>
            <w:pPr>
              <w:jc w:val="right"/>
              <w:ind w:right="26"/>
              <w:spacing w:after="0" w:line="135" w:lineRule="exact"/>
              <w:rPr>
                <w:sz w:val="20"/>
                <w:szCs w:val="20"/>
                <w:color w:val="auto"/>
              </w:rPr>
            </w:pPr>
            <w:r>
              <w:rPr>
                <w:rFonts w:ascii="Arial" w:cs="Arial" w:eastAsia="Arial" w:hAnsi="Arial"/>
                <w:sz w:val="14"/>
                <w:szCs w:val="14"/>
                <w:b w:val="1"/>
                <w:bCs w:val="1"/>
                <w:color w:val="auto"/>
              </w:rPr>
              <w:t>SEPTEMBER 26,</w:t>
            </w:r>
          </w:p>
        </w:tc>
        <w:tc>
          <w:tcPr>
            <w:tcW w:w="1600" w:type="dxa"/>
            <w:vAlign w:val="bottom"/>
            <w:gridSpan w:val="4"/>
          </w:tcPr>
          <w:p>
            <w:pPr>
              <w:jc w:val="right"/>
              <w:ind w:right="380"/>
              <w:spacing w:after="0" w:line="135" w:lineRule="exact"/>
              <w:rPr>
                <w:sz w:val="20"/>
                <w:szCs w:val="20"/>
                <w:color w:val="auto"/>
              </w:rPr>
            </w:pPr>
            <w:r>
              <w:rPr>
                <w:rFonts w:ascii="Arial" w:cs="Arial" w:eastAsia="Arial" w:hAnsi="Arial"/>
                <w:sz w:val="14"/>
                <w:szCs w:val="14"/>
                <w:b w:val="1"/>
                <w:bCs w:val="1"/>
                <w:color w:val="auto"/>
              </w:rPr>
              <w:t>SEPTEMBER 27,</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660" w:type="dxa"/>
            <w:vAlign w:val="bottom"/>
            <w:gridSpan w:val="4"/>
          </w:tcPr>
          <w:p>
            <w:pPr>
              <w:jc w:val="right"/>
              <w:ind w:right="420"/>
              <w:spacing w:after="0" w:line="135" w:lineRule="exact"/>
              <w:rPr>
                <w:sz w:val="20"/>
                <w:szCs w:val="20"/>
                <w:color w:val="auto"/>
              </w:rPr>
            </w:pPr>
            <w:r>
              <w:rPr>
                <w:rFonts w:ascii="Arial" w:cs="Arial" w:eastAsia="Arial" w:hAnsi="Arial"/>
                <w:sz w:val="14"/>
                <w:szCs w:val="14"/>
                <w:b w:val="1"/>
                <w:bCs w:val="1"/>
                <w:color w:val="auto"/>
              </w:rPr>
              <w:t>SEPTEMBER 27,</w:t>
            </w:r>
          </w:p>
        </w:tc>
        <w:tc>
          <w:tcPr>
            <w:tcW w:w="8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3"/>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6,051</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18,656</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80"/>
        <w:spacing w:after="0" w:line="286" w:lineRule="auto"/>
        <w:rPr>
          <w:sz w:val="20"/>
          <w:szCs w:val="20"/>
          <w:color w:val="auto"/>
        </w:rPr>
      </w:pPr>
      <w:r>
        <w:rPr>
          <w:rFonts w:ascii="Arial" w:cs="Arial" w:eastAsia="Arial" w:hAnsi="Arial"/>
          <w:sz w:val="17"/>
          <w:szCs w:val="17"/>
          <w:color w:val="auto"/>
        </w:rPr>
        <w:t xml:space="preserve">The increase in interest expense during the thirteen and thirty-nine weeks ended September 26, 2021 as compared to the same periods in the prior year was primarily due to the additional interest incurred pursuant to the fourth amendment of our Senior Credit Facilities in August 2020 of $0.3 million and $2.5 million, respectively. See Note 7, </w:t>
      </w:r>
      <w:r>
        <w:rPr>
          <w:rFonts w:ascii="Arial" w:cs="Arial" w:eastAsia="Arial" w:hAnsi="Arial"/>
          <w:sz w:val="17"/>
          <w:szCs w:val="17"/>
          <w:i w:val="1"/>
          <w:iCs w:val="1"/>
          <w:color w:val="auto"/>
        </w:rPr>
        <w:t>Debt</w:t>
      </w:r>
      <w:r>
        <w:rPr>
          <w:rFonts w:ascii="Arial" w:cs="Arial" w:eastAsia="Arial" w:hAnsi="Arial"/>
          <w:sz w:val="17"/>
          <w:szCs w:val="17"/>
          <w:color w:val="auto"/>
        </w:rPr>
        <w:t>, in the accompanying notes to the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income, net includes items deemed to be non-operating based on management’s assessment of the nature of the item in relation to our core operations.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THIRTEEN WEEKS ENDED</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THIRTY-NINE WEEKS ENDED</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26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560" w:type="dxa"/>
            <w:vAlign w:val="bottom"/>
            <w:gridSpan w:val="4"/>
          </w:tcPr>
          <w:p>
            <w:pPr>
              <w:jc w:val="right"/>
              <w:ind w:right="320"/>
              <w:spacing w:after="0" w:line="135" w:lineRule="exact"/>
              <w:rPr>
                <w:sz w:val="20"/>
                <w:szCs w:val="20"/>
                <w:color w:val="auto"/>
              </w:rPr>
            </w:pPr>
            <w:r>
              <w:rPr>
                <w:rFonts w:ascii="Arial" w:cs="Arial" w:eastAsia="Arial" w:hAnsi="Arial"/>
                <w:sz w:val="14"/>
                <w:szCs w:val="14"/>
                <w:b w:val="1"/>
                <w:bCs w:val="1"/>
                <w:color w:val="auto"/>
              </w:rPr>
              <w:t>SEPTEMBER 27,</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680" w:type="dxa"/>
            <w:vAlign w:val="bottom"/>
            <w:gridSpan w:val="4"/>
          </w:tcPr>
          <w:p>
            <w:pPr>
              <w:jc w:val="right"/>
              <w:ind w:right="440"/>
              <w:spacing w:after="0" w:line="135" w:lineRule="exact"/>
              <w:rPr>
                <w:sz w:val="20"/>
                <w:szCs w:val="20"/>
                <w:color w:val="auto"/>
              </w:rPr>
            </w:pPr>
            <w:r>
              <w:rPr>
                <w:rFonts w:ascii="Arial" w:cs="Arial" w:eastAsia="Arial" w:hAnsi="Arial"/>
                <w:sz w:val="14"/>
                <w:szCs w:val="14"/>
                <w:b w:val="1"/>
                <w:bCs w:val="1"/>
                <w:color w:val="auto"/>
              </w:rPr>
              <w:t>SEPTEMBER 27,</w:t>
            </w:r>
          </w:p>
        </w:tc>
        <w:tc>
          <w:tcPr>
            <w:tcW w:w="8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215</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line="217"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9"/>
                <w:szCs w:val="9"/>
                <w:color w:val="auto"/>
              </w:rPr>
              <w:t xml:space="preserve"> (1)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536</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primarily consists of various federal and state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THIRTEEN WEEKS ENDED</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THIRTY-NINE WEEKS ENDED</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80" w:type="dxa"/>
            <w:vAlign w:val="bottom"/>
          </w:tcPr>
          <w:p>
            <w:pPr>
              <w:spacing w:after="0"/>
              <w:rPr>
                <w:sz w:val="11"/>
                <w:szCs w:val="11"/>
                <w:color w:val="auto"/>
              </w:rPr>
            </w:pPr>
          </w:p>
        </w:tc>
        <w:tc>
          <w:tcPr>
            <w:tcW w:w="1260" w:type="dxa"/>
            <w:vAlign w:val="bottom"/>
            <w:gridSpan w:val="2"/>
          </w:tcPr>
          <w:p>
            <w:pPr>
              <w:jc w:val="right"/>
              <w:ind w:right="6"/>
              <w:spacing w:after="0" w:line="135" w:lineRule="exact"/>
              <w:rPr>
                <w:sz w:val="20"/>
                <w:szCs w:val="20"/>
                <w:color w:val="auto"/>
              </w:rPr>
            </w:pPr>
            <w:r>
              <w:rPr>
                <w:rFonts w:ascii="Arial" w:cs="Arial" w:eastAsia="Arial" w:hAnsi="Arial"/>
                <w:sz w:val="14"/>
                <w:szCs w:val="14"/>
                <w:b w:val="1"/>
                <w:bCs w:val="1"/>
                <w:color w:val="auto"/>
              </w:rPr>
              <w:t>SEPTEMBER 26,</w:t>
            </w:r>
          </w:p>
        </w:tc>
        <w:tc>
          <w:tcPr>
            <w:tcW w:w="15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rPr>
              <w:t>SEPTEMBER 27,</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26"/>
              <w:spacing w:after="0" w:line="135" w:lineRule="exact"/>
              <w:rPr>
                <w:sz w:val="20"/>
                <w:szCs w:val="20"/>
                <w:color w:val="auto"/>
              </w:rPr>
            </w:pPr>
            <w:r>
              <w:rPr>
                <w:rFonts w:ascii="Arial" w:cs="Arial" w:eastAsia="Arial" w:hAnsi="Arial"/>
                <w:sz w:val="14"/>
                <w:szCs w:val="14"/>
                <w:b w:val="1"/>
                <w:bCs w:val="1"/>
                <w:color w:val="auto"/>
              </w:rPr>
              <w:t>SEPTEMBER 26,</w:t>
            </w:r>
          </w:p>
        </w:tc>
        <w:tc>
          <w:tcPr>
            <w:tcW w:w="160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SEPTEMBER 27,</w:t>
            </w: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0" w:type="dxa"/>
            <w:vAlign w:val="bottom"/>
          </w:tcPr>
          <w:p>
            <w:pPr>
              <w:jc w:val="right"/>
              <w:ind w:right="40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534</w:t>
            </w:r>
          </w:p>
        </w:tc>
        <w:tc>
          <w:tcPr>
            <w:tcW w:w="52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line="218" w:lineRule="exact"/>
              <w:rPr>
                <w:sz w:val="20"/>
                <w:szCs w:val="20"/>
                <w:color w:val="auto"/>
              </w:rPr>
            </w:pPr>
            <w:r>
              <w:rPr>
                <w:rFonts w:ascii="Arial" w:cs="Arial" w:eastAsia="Arial" w:hAnsi="Arial"/>
                <w:sz w:val="16"/>
                <w:szCs w:val="16"/>
                <w:color w:val="auto"/>
                <w:w w:val="99"/>
              </w:rPr>
              <w:t xml:space="preserve">n/m </w:t>
            </w:r>
            <w:r>
              <w:rPr>
                <w:rFonts w:ascii="Arial" w:cs="Arial" w:eastAsia="Arial" w:hAnsi="Arial"/>
                <w:sz w:val="21"/>
                <w:szCs w:val="21"/>
                <w:color w:val="auto"/>
                <w:w w:val="99"/>
                <w:vertAlign w:val="superscript"/>
              </w:rPr>
              <w:t>(1)</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2,644</w:t>
            </w:r>
          </w:p>
        </w:tc>
        <w:tc>
          <w:tcPr>
            <w:tcW w:w="50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340"/>
              <w:spacing w:after="0" w:line="218" w:lineRule="exact"/>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effective income tax rate for the thirteen and thirty-nine weeks ended September 26, 2021 was 40.5% and 50.9%, respectively, as compared to 22.6% and 27.4% for the thirteen and thirty-nine weeks ended September 27, 2020, respectively. The change in the effective income tax rates was primarily due to</w:t>
      </w:r>
    </w:p>
    <w:p>
      <w:pPr>
        <w:ind w:firstLine="8"/>
        <w:spacing w:after="0" w:line="260" w:lineRule="auto"/>
        <w:tabs>
          <w:tab w:leader="none" w:pos="2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change in the valuation allowance for federal and state deferred tax assets, (ii) the benefit of tax credits for FICA taxes on certain employees’ tips and (iii) forecasted 2021 pre-tax book income as compared to forecasted 2020 pre-tax book loss.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blended federal and state statutory rate of approximately 25.0%. The effective income tax rates for the thirty-nine weeks ended September 26, 2021 and September 27, 2020 were different from the blended federal and state statutory rate primarily due to the change in the valuation allowance for federal and state deferred tax assets and the benefit of tax credits for FICA taxes on certain employees’ tips.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THIRTEEN WEEKS ENDED</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THIRTY-NINE WEEKS ENDED</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3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1"/>
                <w:szCs w:val="11"/>
                <w:color w:val="auto"/>
              </w:rPr>
            </w:pPr>
          </w:p>
        </w:tc>
        <w:tc>
          <w:tcPr>
            <w:tcW w:w="1300" w:type="dxa"/>
            <w:vAlign w:val="bottom"/>
          </w:tcPr>
          <w:p>
            <w:pPr>
              <w:jc w:val="right"/>
              <w:ind w:right="10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40" w:type="dxa"/>
            <w:vAlign w:val="bottom"/>
          </w:tcPr>
          <w:p>
            <w:pPr>
              <w:spacing w:after="0"/>
              <w:rPr>
                <w:sz w:val="11"/>
                <w:szCs w:val="11"/>
                <w:color w:val="auto"/>
              </w:rPr>
            </w:pPr>
          </w:p>
        </w:tc>
        <w:tc>
          <w:tcPr>
            <w:tcW w:w="14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4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24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165"/>
              <w:spacing w:after="0"/>
              <w:rPr>
                <w:sz w:val="20"/>
                <w:szCs w:val="20"/>
                <w:color w:val="auto"/>
              </w:rPr>
            </w:pPr>
            <w:r>
              <w:rPr>
                <w:rFonts w:ascii="Arial" w:cs="Arial" w:eastAsia="Arial" w:hAnsi="Arial"/>
                <w:sz w:val="16"/>
                <w:szCs w:val="16"/>
                <w:color w:val="auto"/>
              </w:rPr>
              <w:t>783</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84"/>
              <w:spacing w:after="0"/>
              <w:rPr>
                <w:sz w:val="20"/>
                <w:szCs w:val="20"/>
                <w:color w:val="auto"/>
              </w:rPr>
            </w:pPr>
            <w:r>
              <w:rPr>
                <w:rFonts w:ascii="Arial" w:cs="Arial" w:eastAsia="Arial" w:hAnsi="Arial"/>
                <w:sz w:val="16"/>
                <w:szCs w:val="16"/>
                <w:color w:val="auto"/>
              </w:rPr>
              <w:t>(11,141)</w:t>
            </w:r>
          </w:p>
        </w:tc>
        <w:tc>
          <w:tcPr>
            <w:tcW w:w="100" w:type="dxa"/>
            <w:vAlign w:val="bottom"/>
            <w:shd w:val="clear" w:color="auto" w:fill="BFE4FF"/>
          </w:tcPr>
          <w:p>
            <w:pPr>
              <w:spacing w:after="0"/>
              <w:rPr>
                <w:sz w:val="18"/>
                <w:szCs w:val="18"/>
                <w:color w:val="auto"/>
              </w:rPr>
            </w:pPr>
          </w:p>
        </w:tc>
        <w:tc>
          <w:tcPr>
            <w:tcW w:w="1020" w:type="dxa"/>
            <w:vAlign w:val="bottom"/>
            <w:gridSpan w:val="2"/>
            <w:shd w:val="clear" w:color="auto" w:fill="BFE4FF"/>
          </w:tcPr>
          <w:p>
            <w:pPr>
              <w:ind w:left="500"/>
              <w:spacing w:after="0" w:line="218"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BFE4FF"/>
          </w:tcPr>
          <w:p>
            <w:pPr>
              <w:jc w:val="right"/>
              <w:ind w:right="185"/>
              <w:spacing w:after="0"/>
              <w:rPr>
                <w:sz w:val="20"/>
                <w:szCs w:val="20"/>
                <w:color w:val="auto"/>
              </w:rPr>
            </w:pPr>
            <w:r>
              <w:rPr>
                <w:rFonts w:ascii="Arial" w:cs="Arial" w:eastAsia="Arial" w:hAnsi="Arial"/>
                <w:sz w:val="16"/>
                <w:szCs w:val="16"/>
                <w:color w:val="auto"/>
              </w:rPr>
              <w:t>2,546</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84"/>
              <w:spacing w:after="0"/>
              <w:rPr>
                <w:sz w:val="20"/>
                <w:szCs w:val="20"/>
                <w:color w:val="auto"/>
              </w:rPr>
            </w:pPr>
            <w:r>
              <w:rPr>
                <w:rFonts w:ascii="Arial" w:cs="Arial" w:eastAsia="Arial" w:hAnsi="Arial"/>
                <w:sz w:val="16"/>
                <w:szCs w:val="16"/>
                <w:color w:val="auto"/>
              </w:rPr>
              <w:t>(42,563)</w:t>
            </w: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780" w:type="dxa"/>
            <w:vAlign w:val="bottom"/>
            <w:shd w:val="clear" w:color="auto" w:fill="BFE4FF"/>
          </w:tcPr>
          <w:p>
            <w:pPr>
              <w:ind w:left="360"/>
              <w:spacing w:after="0" w:line="218" w:lineRule="exact"/>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0" w:type="dxa"/>
            <w:vAlign w:val="bottom"/>
          </w:tcPr>
          <w:p>
            <w:pPr>
              <w:spacing w:after="0"/>
              <w:rPr>
                <w:sz w:val="1"/>
                <w:szCs w:val="1"/>
                <w:color w:val="auto"/>
              </w:rPr>
            </w:pPr>
          </w:p>
        </w:tc>
      </w:tr>
      <w:tr>
        <w:trPr>
          <w:trHeight w:val="279"/>
        </w:trPr>
        <w:tc>
          <w:tcPr>
            <w:tcW w:w="3540" w:type="dxa"/>
            <w:vAlign w:val="bottom"/>
          </w:tcPr>
          <w:p>
            <w:pPr>
              <w:ind w:left="20"/>
              <w:spacing w:after="0"/>
              <w:rPr>
                <w:sz w:val="20"/>
                <w:szCs w:val="20"/>
                <w:color w:val="auto"/>
              </w:rPr>
            </w:pPr>
            <w:r>
              <w:rPr>
                <w:rFonts w:ascii="Arial" w:cs="Arial" w:eastAsia="Arial" w:hAnsi="Arial"/>
                <w:sz w:val="16"/>
                <w:szCs w:val="16"/>
                <w:color w:val="auto"/>
              </w:rPr>
              <w:t>As a percentage of total revenues</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0.5 %</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4"/>
                <w:szCs w:val="24"/>
                <w:color w:val="auto"/>
              </w:rPr>
            </w:pPr>
          </w:p>
        </w:tc>
        <w:tc>
          <w:tcPr>
            <w:tcW w:w="1020" w:type="dxa"/>
            <w:vAlign w:val="bottom"/>
            <w:gridSpan w:val="2"/>
          </w:tcPr>
          <w:p>
            <w:pPr>
              <w:ind w:left="500"/>
              <w:spacing w:after="0"/>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00" w:type="dxa"/>
            <w:vAlign w:val="bottom"/>
          </w:tcPr>
          <w:p>
            <w:pPr>
              <w:spacing w:after="0"/>
              <w:rPr>
                <w:sz w:val="24"/>
                <w:szCs w:val="24"/>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0.6 %</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thirteen and thirty-nine weeks ended September 26, 2021 as compared to Net loss for the same periods in the prior year was primarily due to (i) the increase in income from operations mainly driven by the rapid and steady recovery of our in-restaurant dining sales and traffic, partially offset by (ii)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level Operating Profit and Restaurant level Operating Profit Margin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THIRTEEN WEEKS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THIRTY-NINE WEEKS ENDED</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ind w:right="105"/>
              <w:spacing w:after="0" w:line="135" w:lineRule="exact"/>
              <w:rPr>
                <w:sz w:val="20"/>
                <w:szCs w:val="20"/>
                <w:color w:val="auto"/>
              </w:rPr>
            </w:pPr>
            <w:r>
              <w:rPr>
                <w:rFonts w:ascii="Arial" w:cs="Arial" w:eastAsia="Arial" w:hAnsi="Arial"/>
                <w:sz w:val="14"/>
                <w:szCs w:val="14"/>
                <w:b w:val="1"/>
                <w:bCs w:val="1"/>
                <w:color w:val="auto"/>
                <w:w w:val="97"/>
              </w:rPr>
              <w:t>SEPTEMBER 26,</w:t>
            </w:r>
          </w:p>
        </w:tc>
        <w:tc>
          <w:tcPr>
            <w:tcW w:w="140" w:type="dxa"/>
            <w:vAlign w:val="bottom"/>
          </w:tcPr>
          <w:p>
            <w:pPr>
              <w:spacing w:after="0"/>
              <w:rPr>
                <w:sz w:val="11"/>
                <w:szCs w:val="11"/>
                <w:color w:val="auto"/>
              </w:rPr>
            </w:pPr>
          </w:p>
        </w:tc>
        <w:tc>
          <w:tcPr>
            <w:tcW w:w="14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SEPTEMBER 27,</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5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SEPTEMBER 27,</w:t>
            </w:r>
          </w:p>
        </w:tc>
        <w:tc>
          <w:tcPr>
            <w:tcW w:w="8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24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60" w:type="dxa"/>
            <w:vAlign w:val="bottom"/>
            <w:shd w:val="clear" w:color="auto" w:fill="BFE4FF"/>
          </w:tcPr>
          <w:p>
            <w:pPr>
              <w:ind w:left="20"/>
              <w:spacing w:after="0"/>
              <w:rPr>
                <w:sz w:val="20"/>
                <w:szCs w:val="20"/>
                <w:color w:val="auto"/>
              </w:rPr>
            </w:pPr>
            <w:r>
              <w:rPr>
                <w:rFonts w:ascii="Arial" w:cs="Arial" w:eastAsia="Arial" w:hAnsi="Arial"/>
                <w:sz w:val="16"/>
                <w:szCs w:val="16"/>
                <w:color w:val="auto"/>
              </w:rPr>
              <w:t>Restaurant level operating profit</w:t>
            </w: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185"/>
              <w:spacing w:after="0"/>
              <w:rPr>
                <w:sz w:val="20"/>
                <w:szCs w:val="20"/>
                <w:color w:val="auto"/>
              </w:rPr>
            </w:pPr>
            <w:r>
              <w:rPr>
                <w:rFonts w:ascii="Arial" w:cs="Arial" w:eastAsia="Arial" w:hAnsi="Arial"/>
                <w:sz w:val="16"/>
                <w:szCs w:val="16"/>
                <w:color w:val="auto"/>
              </w:rPr>
              <w:t>30,240</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124"/>
              <w:spacing w:after="0"/>
              <w:rPr>
                <w:sz w:val="20"/>
                <w:szCs w:val="20"/>
                <w:color w:val="auto"/>
              </w:rPr>
            </w:pPr>
            <w:r>
              <w:rPr>
                <w:rFonts w:ascii="Arial" w:cs="Arial" w:eastAsia="Arial" w:hAnsi="Arial"/>
                <w:sz w:val="16"/>
                <w:szCs w:val="16"/>
                <w:color w:val="auto"/>
              </w:rPr>
              <w:t>9,762</w:t>
            </w: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80" w:type="dxa"/>
            <w:vAlign w:val="bottom"/>
            <w:gridSpan w:val="2"/>
            <w:shd w:val="clear" w:color="auto" w:fill="BFE4FF"/>
          </w:tcPr>
          <w:p>
            <w:pPr>
              <w:jc w:val="right"/>
              <w:ind w:right="120"/>
              <w:spacing w:after="0" w:line="218"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185"/>
              <w:spacing w:after="0"/>
              <w:rPr>
                <w:sz w:val="20"/>
                <w:szCs w:val="20"/>
                <w:color w:val="auto"/>
              </w:rPr>
            </w:pPr>
            <w:r>
              <w:rPr>
                <w:rFonts w:ascii="Arial" w:cs="Arial" w:eastAsia="Arial" w:hAnsi="Arial"/>
                <w:sz w:val="16"/>
                <w:szCs w:val="16"/>
                <w:color w:val="auto"/>
              </w:rPr>
              <w:t>86,230</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E4FF"/>
          </w:tcPr>
          <w:p>
            <w:pPr>
              <w:jc w:val="right"/>
              <w:ind w:right="124"/>
              <w:spacing w:after="0"/>
              <w:rPr>
                <w:sz w:val="20"/>
                <w:szCs w:val="20"/>
                <w:color w:val="auto"/>
              </w:rPr>
            </w:pPr>
            <w:r>
              <w:rPr>
                <w:rFonts w:ascii="Arial" w:cs="Arial" w:eastAsia="Arial" w:hAnsi="Arial"/>
                <w:sz w:val="16"/>
                <w:szCs w:val="16"/>
                <w:color w:val="auto"/>
              </w:rPr>
              <w:t>14,202</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40" w:type="dxa"/>
            <w:vAlign w:val="bottom"/>
            <w:shd w:val="clear" w:color="auto" w:fill="BFE4FF"/>
          </w:tcPr>
          <w:p>
            <w:pPr>
              <w:jc w:val="right"/>
              <w:spacing w:after="0" w:line="218"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6"/>
                <w:szCs w:val="16"/>
                <w:color w:val="auto"/>
              </w:rPr>
              <w:t>Restaurant level operating profit margin</w:t>
            </w:r>
          </w:p>
        </w:tc>
        <w:tc>
          <w:tcPr>
            <w:tcW w:w="120" w:type="dxa"/>
            <w:vAlign w:val="bottom"/>
          </w:tcPr>
          <w:p>
            <w:pPr>
              <w:spacing w:after="0"/>
              <w:rPr>
                <w:sz w:val="18"/>
                <w:szCs w:val="18"/>
                <w:color w:val="auto"/>
              </w:rPr>
            </w:pPr>
          </w:p>
        </w:tc>
        <w:tc>
          <w:tcPr>
            <w:tcW w:w="1280" w:type="dxa"/>
            <w:vAlign w:val="bottom"/>
          </w:tcPr>
          <w:p>
            <w:pPr>
              <w:jc w:val="right"/>
              <w:ind w:right="5"/>
              <w:spacing w:after="0"/>
              <w:rPr>
                <w:sz w:val="20"/>
                <w:szCs w:val="20"/>
                <w:color w:val="auto"/>
              </w:rPr>
            </w:pPr>
            <w:r>
              <w:rPr>
                <w:rFonts w:ascii="Arial" w:cs="Arial" w:eastAsia="Arial" w:hAnsi="Arial"/>
                <w:sz w:val="16"/>
                <w:szCs w:val="16"/>
                <w:color w:val="auto"/>
              </w:rPr>
              <w:t>19.5 %</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Restaurant level operating profit for the thirteen and thirty-nine weeks ended September 26, 2021 as compared to the same periods in the prior year was primarily due to (i) the rapid and steady recovery of our in-restaurant dining sales and traffic, which had declined in 2020 as a result of the COVID-19 pandemic and (ii) the operations of 19 NROs that have opened since September 27, 2020, partially offset by (iii) the increase in food and beverage costs, labor and other related expenses and other restaurant operating expenses as restaurant sales and traffic increased.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THIRTEEN WEEKS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THIRTY-NINE WEEKS ENDED</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4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SEPTEMBER 27,</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1"/>
                <w:szCs w:val="11"/>
                <w:color w:val="auto"/>
              </w:rPr>
            </w:pPr>
          </w:p>
        </w:tc>
        <w:tc>
          <w:tcPr>
            <w:tcW w:w="1280" w:type="dxa"/>
            <w:vAlign w:val="bottom"/>
          </w:tcPr>
          <w:p>
            <w:pPr>
              <w:jc w:val="right"/>
              <w:ind w:right="85"/>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60" w:type="dxa"/>
            <w:vAlign w:val="bottom"/>
          </w:tcPr>
          <w:p>
            <w:pPr>
              <w:spacing w:after="0"/>
              <w:rPr>
                <w:sz w:val="11"/>
                <w:szCs w:val="11"/>
                <w:color w:val="auto"/>
              </w:rPr>
            </w:pPr>
          </w:p>
        </w:tc>
        <w:tc>
          <w:tcPr>
            <w:tcW w:w="14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SEPTEMBER 27,</w:t>
            </w: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BFE4FF"/>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165"/>
              <w:spacing w:after="0"/>
              <w:rPr>
                <w:sz w:val="20"/>
                <w:szCs w:val="20"/>
                <w:color w:val="auto"/>
              </w:rPr>
            </w:pPr>
            <w:r>
              <w:rPr>
                <w:rFonts w:ascii="Arial" w:cs="Arial" w:eastAsia="Arial" w:hAnsi="Arial"/>
                <w:sz w:val="16"/>
                <w:szCs w:val="16"/>
                <w:color w:val="auto"/>
              </w:rPr>
              <w:t>16,952</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E4FF"/>
          </w:tcPr>
          <w:p>
            <w:pPr>
              <w:jc w:val="right"/>
              <w:ind w:right="124"/>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80" w:type="dxa"/>
            <w:vAlign w:val="bottom"/>
            <w:gridSpan w:val="2"/>
            <w:shd w:val="clear" w:color="auto" w:fill="BFE4FF"/>
          </w:tcPr>
          <w:p>
            <w:pPr>
              <w:jc w:val="right"/>
              <w:ind w:right="120"/>
              <w:spacing w:after="0" w:line="218"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185"/>
              <w:spacing w:after="0"/>
              <w:rPr>
                <w:sz w:val="20"/>
                <w:szCs w:val="20"/>
                <w:color w:val="auto"/>
              </w:rPr>
            </w:pPr>
            <w:r>
              <w:rPr>
                <w:rFonts w:ascii="Arial" w:cs="Arial" w:eastAsia="Arial" w:hAnsi="Arial"/>
                <w:sz w:val="16"/>
                <w:szCs w:val="16"/>
                <w:color w:val="auto"/>
              </w:rPr>
              <w:t>52,134</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E4FF"/>
          </w:tcPr>
          <w:p>
            <w:pPr>
              <w:jc w:val="right"/>
              <w:ind w:right="84"/>
              <w:spacing w:after="0"/>
              <w:rPr>
                <w:sz w:val="20"/>
                <w:szCs w:val="20"/>
                <w:color w:val="auto"/>
              </w:rPr>
            </w:pPr>
            <w:r>
              <w:rPr>
                <w:rFonts w:ascii="Arial" w:cs="Arial" w:eastAsia="Arial" w:hAnsi="Arial"/>
                <w:sz w:val="16"/>
                <w:szCs w:val="16"/>
                <w:color w:val="auto"/>
              </w:rPr>
              <w:t>(9,221)</w:t>
            </w: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80" w:type="dxa"/>
            <w:vAlign w:val="bottom"/>
            <w:shd w:val="clear" w:color="auto" w:fill="BFE4FF"/>
          </w:tcPr>
          <w:p>
            <w:pPr>
              <w:ind w:left="360"/>
              <w:spacing w:after="0" w:line="218" w:lineRule="exact"/>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0" w:type="dxa"/>
            <w:vAlign w:val="bottom"/>
          </w:tcPr>
          <w:p>
            <w:pPr>
              <w:spacing w:after="0"/>
              <w:rPr>
                <w:sz w:val="1"/>
                <w:szCs w:val="1"/>
                <w:color w:val="auto"/>
              </w:rPr>
            </w:pPr>
          </w:p>
        </w:tc>
      </w:tr>
      <w:tr>
        <w:trPr>
          <w:trHeight w:val="273"/>
        </w:trPr>
        <w:tc>
          <w:tcPr>
            <w:tcW w:w="348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10.8 %</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11.9 %</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ind w:left="360"/>
              <w:spacing w:after="0"/>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Adjusted EBITDA for the thirteen and thirty-nine weeks ended September 26, 2021 as compared to the same periods in the prior year was primarily due to (i) the rapid and steady recovery of our in-restaurant dining sales and traffic, which had declined in 2020 due to the COVID-19 pandemic and (ii) the operations of 19 NROs that have opened since September 27, 2020, partially offset by (iii) the increase in general and administrative expenses mainly due to the increase in employee headcount and performance-related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left="100" w:right="20"/>
        <w:spacing w:after="0" w:line="277" w:lineRule="auto"/>
        <w:rPr>
          <w:sz w:val="20"/>
          <w:szCs w:val="20"/>
          <w:color w:val="auto"/>
        </w:rPr>
      </w:pPr>
      <w:r>
        <w:rPr>
          <w:rFonts w:ascii="Arial" w:cs="Arial" w:eastAsia="Arial" w:hAnsi="Arial"/>
          <w:sz w:val="18"/>
          <w:szCs w:val="18"/>
          <w:i w:val="1"/>
          <w:iCs w:val="1"/>
          <w:color w:val="auto"/>
        </w:rPr>
        <w:t xml:space="preserve">Adjusted EBITDA and Adjusted EBITDA margin </w:t>
      </w:r>
      <w:r>
        <w:rPr>
          <w:rFonts w:ascii="Arial" w:cs="Arial" w:eastAsia="Arial" w:hAnsi="Arial"/>
          <w:sz w:val="18"/>
          <w:szCs w:val="18"/>
          <w:color w:val="auto"/>
        </w:rPr>
        <w:t>- The following table reconciles Net income (loss) and Net income (loss) margin, the most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GAAP measures to Adjusted EBITDA and Adjusted EBITDA margin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right"/>
              <w:ind w:right="40"/>
              <w:spacing w:after="0" w:line="135" w:lineRule="exact"/>
              <w:rPr>
                <w:sz w:val="20"/>
                <w:szCs w:val="20"/>
                <w:color w:val="auto"/>
              </w:rPr>
            </w:pPr>
            <w:r>
              <w:rPr>
                <w:rFonts w:ascii="Arial" w:cs="Arial" w:eastAsia="Arial" w:hAnsi="Arial"/>
                <w:sz w:val="14"/>
                <w:szCs w:val="14"/>
                <w:b w:val="1"/>
                <w:bCs w:val="1"/>
                <w:color w:val="auto"/>
                <w:w w:val="99"/>
              </w:rPr>
              <w:t>SEPTEMBER 26,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right"/>
              <w:ind w:right="40"/>
              <w:spacing w:after="0" w:line="135" w:lineRule="exact"/>
              <w:rPr>
                <w:sz w:val="20"/>
                <w:szCs w:val="20"/>
                <w:color w:val="auto"/>
              </w:rPr>
            </w:pPr>
            <w:r>
              <w:rPr>
                <w:rFonts w:ascii="Arial" w:cs="Arial" w:eastAsia="Arial" w:hAnsi="Arial"/>
                <w:sz w:val="14"/>
                <w:szCs w:val="14"/>
                <w:b w:val="1"/>
                <w:bCs w:val="1"/>
                <w:color w:val="auto"/>
                <w:w w:val="99"/>
              </w:rPr>
              <w:t>SEPTEMBER 27,</w:t>
            </w:r>
          </w:p>
        </w:tc>
        <w:tc>
          <w:tcPr>
            <w:tcW w:w="29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SEPTEMBER 26, 2021 SEPTEMBER 27, 2020</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98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2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783</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(11,141)</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2,546</w:t>
            </w:r>
          </w:p>
        </w:tc>
        <w:tc>
          <w:tcPr>
            <w:tcW w:w="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(42,563)</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3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8,203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7,849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23,965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22,877</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360" w:type="dxa"/>
            <w:vAlign w:val="bottom"/>
            <w:shd w:val="clear" w:color="auto" w:fill="BFE4FF"/>
          </w:tcPr>
          <w:p>
            <w:pPr>
              <w:ind w:left="280"/>
              <w:spacing w:after="0"/>
              <w:rPr>
                <w:sz w:val="20"/>
                <w:szCs w:val="20"/>
                <w:color w:val="auto"/>
              </w:rPr>
            </w:pPr>
            <w:r>
              <w:rPr>
                <w:rFonts w:ascii="Arial" w:cs="Arial" w:eastAsia="Arial" w:hAnsi="Arial"/>
                <w:sz w:val="16"/>
                <w:szCs w:val="16"/>
                <w:color w:val="auto"/>
              </w:rPr>
              <w:t>Interest expense</w:t>
            </w:r>
          </w:p>
        </w:tc>
        <w:tc>
          <w:tcPr>
            <w:tcW w:w="124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6,051</w:t>
            </w:r>
          </w:p>
        </w:tc>
        <w:tc>
          <w:tcPr>
            <w:tcW w:w="10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18,656</w:t>
            </w:r>
          </w:p>
        </w:tc>
        <w:tc>
          <w:tcPr>
            <w:tcW w:w="10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16,499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360" w:type="dxa"/>
            <w:vAlign w:val="bottom"/>
            <w:tcBorders>
              <w:bottom w:val="single" w:sz="8" w:color="BFE4FF"/>
            </w:tcBorders>
          </w:tcPr>
          <w:p>
            <w:pPr>
              <w:ind w:left="280"/>
              <w:spacing w:after="0"/>
              <w:rPr>
                <w:sz w:val="20"/>
                <w:szCs w:val="20"/>
                <w:color w:val="auto"/>
              </w:rPr>
            </w:pPr>
            <w:r>
              <w:rPr>
                <w:rFonts w:ascii="Arial" w:cs="Arial" w:eastAsia="Arial" w:hAnsi="Arial"/>
                <w:sz w:val="16"/>
                <w:szCs w:val="16"/>
                <w:color w:val="auto"/>
              </w:rPr>
              <w:t>Income tax expense (benefit)</w:t>
            </w:r>
          </w:p>
        </w:tc>
        <w:tc>
          <w:tcPr>
            <w:tcW w:w="1240" w:type="dxa"/>
            <w:vAlign w:val="bottom"/>
            <w:tcBorders>
              <w:bottom w:val="single" w:sz="8" w:color="BFE4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BFE4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100" w:type="dxa"/>
            <w:vAlign w:val="bottom"/>
            <w:tcBorders>
              <w:bottom w:val="single" w:sz="8" w:color="BFE4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2,644</w:t>
            </w:r>
          </w:p>
        </w:tc>
        <w:tc>
          <w:tcPr>
            <w:tcW w:w="10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360" w:type="dxa"/>
            <w:vAlign w:val="bottom"/>
            <w:shd w:val="clear" w:color="auto" w:fill="BFE4FF"/>
          </w:tcPr>
          <w:p>
            <w:pPr>
              <w:spacing w:after="0"/>
              <w:rPr>
                <w:sz w:val="20"/>
                <w:szCs w:val="20"/>
                <w:color w:val="auto"/>
              </w:rPr>
            </w:pPr>
            <w:r>
              <w:rPr>
                <w:rFonts w:ascii="Arial" w:cs="Arial" w:eastAsia="Arial" w:hAnsi="Arial"/>
                <w:sz w:val="16"/>
                <w:szCs w:val="16"/>
                <w:color w:val="auto"/>
              </w:rPr>
              <w:t>EBITDA</w:t>
            </w:r>
          </w:p>
        </w:tc>
        <w:tc>
          <w:tcPr>
            <w:tcW w:w="124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15,571</w:t>
            </w:r>
          </w:p>
        </w:tc>
        <w:tc>
          <w:tcPr>
            <w:tcW w:w="10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47,811</w:t>
            </w:r>
          </w:p>
        </w:tc>
        <w:tc>
          <w:tcPr>
            <w:tcW w:w="100" w:type="dxa"/>
            <w:vAlign w:val="bottom"/>
            <w:shd w:val="clear" w:color="auto" w:fill="BFE4FF"/>
          </w:tcPr>
          <w:p>
            <w:pPr>
              <w:spacing w:after="0"/>
              <w:rPr>
                <w:sz w:val="18"/>
                <w:szCs w:val="18"/>
                <w:color w:val="auto"/>
              </w:rPr>
            </w:pPr>
          </w:p>
        </w:tc>
        <w:tc>
          <w:tcPr>
            <w:tcW w:w="400" w:type="dxa"/>
            <w:vAlign w:val="bottom"/>
            <w:shd w:val="clear" w:color="auto" w:fill="BFE4FF"/>
          </w:tcPr>
          <w:p>
            <w:pPr>
              <w:spacing w:after="0"/>
              <w:rPr>
                <w:sz w:val="18"/>
                <w:szCs w:val="18"/>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(19,211)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tcPr>
          <w:p>
            <w:pPr>
              <w:ind w:left="280"/>
              <w:spacing w:after="0" w:line="216" w:lineRule="exact"/>
              <w:rPr>
                <w:sz w:val="20"/>
                <w:szCs w:val="20"/>
                <w:color w:val="auto"/>
              </w:rPr>
            </w:pPr>
            <w:r>
              <w:rPr>
                <w:rFonts w:ascii="Arial" w:cs="Arial" w:eastAsia="Arial" w:hAnsi="Arial"/>
                <w:sz w:val="16"/>
                <w:szCs w:val="16"/>
                <w:color w:val="auto"/>
              </w:rPr>
              <w:t>IPO-readiness and strategic transition costs</w:t>
            </w:r>
            <w:r>
              <w:rPr>
                <w:rFonts w:ascii="Arial" w:cs="Arial" w:eastAsia="Arial" w:hAnsi="Arial"/>
                <w:sz w:val="21"/>
                <w:szCs w:val="21"/>
                <w:color w:val="auto"/>
                <w:vertAlign w:val="superscript"/>
              </w:rPr>
              <w:t>(1)</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shd w:val="clear" w:color="auto" w:fill="BFE4FF"/>
          </w:tcPr>
          <w:p>
            <w:pPr>
              <w:ind w:left="28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(2)</w:t>
            </w:r>
          </w:p>
        </w:tc>
        <w:tc>
          <w:tcPr>
            <w:tcW w:w="124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BFE4FF"/>
          </w:tcPr>
          <w:p>
            <w:pPr>
              <w:spacing w:after="0"/>
              <w:rPr>
                <w:sz w:val="18"/>
                <w:szCs w:val="18"/>
                <w:color w:val="auto"/>
              </w:rPr>
            </w:pPr>
          </w:p>
        </w:tc>
        <w:tc>
          <w:tcPr>
            <w:tcW w:w="400" w:type="dxa"/>
            <w:vAlign w:val="bottom"/>
            <w:shd w:val="clear" w:color="auto" w:fill="BFE4FF"/>
          </w:tcPr>
          <w:p>
            <w:pPr>
              <w:spacing w:after="0"/>
              <w:rPr>
                <w:sz w:val="18"/>
                <w:szCs w:val="18"/>
                <w:color w:val="auto"/>
              </w:rPr>
            </w:pPr>
          </w:p>
        </w:tc>
        <w:tc>
          <w:tcPr>
            <w:tcW w:w="10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tcPr>
          <w:p>
            <w:pPr>
              <w:ind w:left="280"/>
              <w:spacing w:after="0" w:line="216" w:lineRule="exact"/>
              <w:rPr>
                <w:sz w:val="20"/>
                <w:szCs w:val="20"/>
                <w:color w:val="auto"/>
              </w:rPr>
            </w:pPr>
            <w:r>
              <w:rPr>
                <w:rFonts w:ascii="Arial" w:cs="Arial" w:eastAsia="Arial" w:hAnsi="Arial"/>
                <w:sz w:val="16"/>
                <w:szCs w:val="16"/>
                <w:color w:val="auto"/>
              </w:rPr>
              <w:t>Recruiting and relocation costs</w:t>
            </w:r>
            <w:r>
              <w:rPr>
                <w:rFonts w:ascii="Arial" w:cs="Arial" w:eastAsia="Arial" w:hAnsi="Arial"/>
                <w:sz w:val="21"/>
                <w:szCs w:val="21"/>
                <w:color w:val="auto"/>
                <w:vertAlign w:val="superscript"/>
              </w:rPr>
              <w:t>(3)</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shd w:val="clear" w:color="auto" w:fill="BFE4FF"/>
          </w:tcPr>
          <w:p>
            <w:pPr>
              <w:ind w:left="280"/>
              <w:spacing w:after="0" w:line="216" w:lineRule="exact"/>
              <w:rPr>
                <w:sz w:val="20"/>
                <w:szCs w:val="20"/>
                <w:color w:val="auto"/>
              </w:rPr>
            </w:pPr>
            <w:r>
              <w:rPr>
                <w:rFonts w:ascii="Arial" w:cs="Arial" w:eastAsia="Arial" w:hAnsi="Arial"/>
                <w:sz w:val="16"/>
                <w:szCs w:val="16"/>
                <w:color w:val="auto"/>
              </w:rPr>
              <w:t>Impairments and loss on disposal of assets</w:t>
            </w:r>
            <w:r>
              <w:rPr>
                <w:rFonts w:ascii="Arial" w:cs="Arial" w:eastAsia="Arial" w:hAnsi="Arial"/>
                <w:sz w:val="21"/>
                <w:szCs w:val="21"/>
                <w:color w:val="auto"/>
                <w:vertAlign w:val="superscript"/>
              </w:rPr>
              <w:t>(4)</w:t>
            </w:r>
          </w:p>
        </w:tc>
        <w:tc>
          <w:tcPr>
            <w:tcW w:w="124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BFE4FF"/>
          </w:tcPr>
          <w:p>
            <w:pPr>
              <w:spacing w:after="0"/>
              <w:rPr>
                <w:sz w:val="18"/>
                <w:szCs w:val="18"/>
                <w:color w:val="auto"/>
              </w:rPr>
            </w:pPr>
          </w:p>
        </w:tc>
        <w:tc>
          <w:tcPr>
            <w:tcW w:w="400" w:type="dxa"/>
            <w:vAlign w:val="bottom"/>
            <w:shd w:val="clear" w:color="auto" w:fill="BFE4FF"/>
          </w:tcPr>
          <w:p>
            <w:pPr>
              <w:spacing w:after="0"/>
              <w:rPr>
                <w:sz w:val="18"/>
                <w:szCs w:val="18"/>
                <w:color w:val="auto"/>
              </w:rPr>
            </w:pPr>
          </w:p>
        </w:tc>
        <w:tc>
          <w:tcPr>
            <w:tcW w:w="10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tcPr>
          <w:p>
            <w:pPr>
              <w:ind w:left="280"/>
              <w:spacing w:after="0" w:line="216" w:lineRule="exact"/>
              <w:rPr>
                <w:sz w:val="20"/>
                <w:szCs w:val="20"/>
                <w:color w:val="auto"/>
              </w:rPr>
            </w:pPr>
            <w:r>
              <w:rPr>
                <w:rFonts w:ascii="Arial" w:cs="Arial" w:eastAsia="Arial" w:hAnsi="Arial"/>
                <w:sz w:val="16"/>
                <w:szCs w:val="16"/>
                <w:color w:val="auto"/>
              </w:rPr>
              <w:t>Transaction expenses (income), net</w:t>
            </w:r>
            <w:r>
              <w:rPr>
                <w:rFonts w:ascii="Arial" w:cs="Arial" w:eastAsia="Arial" w:hAnsi="Arial"/>
                <w:sz w:val="21"/>
                <w:szCs w:val="21"/>
                <w:color w:val="auto"/>
                <w:vertAlign w:val="superscript"/>
              </w:rPr>
              <w:t>(5)</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shd w:val="clear" w:color="auto" w:fill="BFE4FF"/>
          </w:tcPr>
          <w:p>
            <w:pPr>
              <w:ind w:left="280"/>
              <w:spacing w:after="0" w:line="216" w:lineRule="exact"/>
              <w:rPr>
                <w:sz w:val="20"/>
                <w:szCs w:val="20"/>
                <w:color w:val="auto"/>
              </w:rPr>
            </w:pPr>
            <w:r>
              <w:rPr>
                <w:rFonts w:ascii="Arial" w:cs="Arial" w:eastAsia="Arial" w:hAnsi="Arial"/>
                <w:sz w:val="16"/>
                <w:szCs w:val="16"/>
                <w:color w:val="auto"/>
              </w:rPr>
              <w:t>COVID-19 related charges</w:t>
            </w:r>
            <w:r>
              <w:rPr>
                <w:rFonts w:ascii="Arial" w:cs="Arial" w:eastAsia="Arial" w:hAnsi="Arial"/>
                <w:sz w:val="21"/>
                <w:szCs w:val="21"/>
                <w:color w:val="auto"/>
                <w:vertAlign w:val="superscript"/>
              </w:rPr>
              <w:t>(6)</w:t>
            </w:r>
          </w:p>
        </w:tc>
        <w:tc>
          <w:tcPr>
            <w:tcW w:w="124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BFE4FF"/>
          </w:tcPr>
          <w:p>
            <w:pPr>
              <w:spacing w:after="0"/>
              <w:rPr>
                <w:sz w:val="18"/>
                <w:szCs w:val="18"/>
                <w:color w:val="auto"/>
              </w:rPr>
            </w:pPr>
          </w:p>
        </w:tc>
        <w:tc>
          <w:tcPr>
            <w:tcW w:w="400" w:type="dxa"/>
            <w:vAlign w:val="bottom"/>
            <w:shd w:val="clear" w:color="auto" w:fill="BFE4FF"/>
          </w:tcPr>
          <w:p>
            <w:pPr>
              <w:spacing w:after="0"/>
              <w:rPr>
                <w:sz w:val="18"/>
                <w:szCs w:val="18"/>
                <w:color w:val="auto"/>
              </w:rPr>
            </w:pPr>
          </w:p>
        </w:tc>
        <w:tc>
          <w:tcPr>
            <w:tcW w:w="10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4,845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tcBorders>
              <w:bottom w:val="single" w:sz="8" w:color="BFE4FF"/>
            </w:tcBorders>
          </w:tcPr>
          <w:p>
            <w:pPr>
              <w:ind w:left="280"/>
              <w:spacing w:after="0" w:line="216" w:lineRule="exact"/>
              <w:rPr>
                <w:sz w:val="20"/>
                <w:szCs w:val="20"/>
                <w:color w:val="auto"/>
              </w:rPr>
            </w:pPr>
            <w:r>
              <w:rPr>
                <w:rFonts w:ascii="Arial" w:cs="Arial" w:eastAsia="Arial" w:hAnsi="Arial"/>
                <w:sz w:val="16"/>
                <w:szCs w:val="16"/>
                <w:color w:val="auto"/>
              </w:rPr>
              <w:t>Severance costs</w:t>
            </w:r>
            <w:r>
              <w:rPr>
                <w:rFonts w:ascii="Arial" w:cs="Arial" w:eastAsia="Arial" w:hAnsi="Arial"/>
                <w:sz w:val="21"/>
                <w:szCs w:val="21"/>
                <w:color w:val="auto"/>
                <w:vertAlign w:val="superscript"/>
              </w:rPr>
              <w:t>(7)</w:t>
            </w:r>
          </w:p>
        </w:tc>
        <w:tc>
          <w:tcPr>
            <w:tcW w:w="1240" w:type="dxa"/>
            <w:vAlign w:val="bottom"/>
            <w:tcBorders>
              <w:bottom w:val="single" w:sz="8" w:color="BFE4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4360" w:type="dxa"/>
            <w:vAlign w:val="bottom"/>
            <w:shd w:val="clear" w:color="auto" w:fill="BFE4FF"/>
          </w:tcPr>
          <w:p>
            <w:pPr>
              <w:spacing w:after="0"/>
              <w:rPr>
                <w:sz w:val="20"/>
                <w:szCs w:val="20"/>
                <w:color w:val="auto"/>
              </w:rPr>
            </w:pPr>
            <w:r>
              <w:rPr>
                <w:rFonts w:ascii="Arial" w:cs="Arial" w:eastAsia="Arial" w:hAnsi="Arial"/>
                <w:sz w:val="16"/>
                <w:szCs w:val="16"/>
                <w:color w:val="auto"/>
              </w:rPr>
              <w:t>Adjusted EBITDA</w:t>
            </w:r>
          </w:p>
        </w:tc>
        <w:tc>
          <w:tcPr>
            <w:tcW w:w="1280" w:type="dxa"/>
            <w:vAlign w:val="bottom"/>
            <w:gridSpan w:val="2"/>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16,952</w:t>
            </w:r>
          </w:p>
        </w:tc>
        <w:tc>
          <w:tcPr>
            <w:tcW w:w="140" w:type="dxa"/>
            <w:vAlign w:val="bottom"/>
            <w:gridSpan w:val="2"/>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2,582</w:t>
            </w:r>
          </w:p>
        </w:tc>
        <w:tc>
          <w:tcPr>
            <w:tcW w:w="30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52,134</w:t>
            </w:r>
          </w:p>
        </w:tc>
        <w:tc>
          <w:tcPr>
            <w:tcW w:w="500" w:type="dxa"/>
            <w:vAlign w:val="bottom"/>
            <w:gridSpan w:val="2"/>
            <w:shd w:val="clear" w:color="auto" w:fill="BFE4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60" w:type="dxa"/>
            <w:vAlign w:val="bottom"/>
            <w:tcBorders>
              <w:top w:val="single" w:sz="8" w:color="BFE4FF"/>
            </w:tcBorders>
          </w:tcPr>
          <w:p>
            <w:pPr>
              <w:spacing w:after="0" w:line="20" w:lineRule="exact"/>
              <w:rPr>
                <w:sz w:val="1"/>
                <w:szCs w:val="1"/>
                <w:color w:val="auto"/>
              </w:rPr>
            </w:pPr>
          </w:p>
        </w:tc>
        <w:tc>
          <w:tcPr>
            <w:tcW w:w="124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shd w:val="clear" w:color="auto" w:fill="BFE4FF"/>
          </w:tcPr>
          <w:p>
            <w:pPr>
              <w:spacing w:after="0"/>
              <w:rPr>
                <w:sz w:val="20"/>
                <w:szCs w:val="20"/>
                <w:color w:val="auto"/>
              </w:rPr>
            </w:pPr>
            <w:r>
              <w:rPr>
                <w:rFonts w:ascii="Arial" w:cs="Arial" w:eastAsia="Arial" w:hAnsi="Arial"/>
                <w:sz w:val="16"/>
                <w:szCs w:val="16"/>
                <w:color w:val="auto"/>
              </w:rPr>
              <w:t>Total revenues</w:t>
            </w:r>
          </w:p>
        </w:tc>
        <w:tc>
          <w:tcPr>
            <w:tcW w:w="1280" w:type="dxa"/>
            <w:vAlign w:val="bottom"/>
            <w:gridSpan w:val="2"/>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157,441</w:t>
            </w:r>
          </w:p>
        </w:tc>
        <w:tc>
          <w:tcPr>
            <w:tcW w:w="140" w:type="dxa"/>
            <w:vAlign w:val="bottom"/>
            <w:gridSpan w:val="2"/>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99,749</w:t>
            </w:r>
          </w:p>
        </w:tc>
        <w:tc>
          <w:tcPr>
            <w:tcW w:w="30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438,573</w:t>
            </w:r>
          </w:p>
        </w:tc>
        <w:tc>
          <w:tcPr>
            <w:tcW w:w="500" w:type="dxa"/>
            <w:vAlign w:val="bottom"/>
            <w:gridSpan w:val="2"/>
            <w:shd w:val="clear" w:color="auto" w:fill="BFE4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232,995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6"/>
                <w:szCs w:val="16"/>
                <w:color w:val="auto"/>
              </w:rPr>
              <w:t>Net income (loss) margin</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360" w:type="dxa"/>
            <w:vAlign w:val="bottom"/>
            <w:shd w:val="clear" w:color="auto" w:fill="BFE4FF"/>
          </w:tcPr>
          <w:p>
            <w:pPr>
              <w:ind w:left="280"/>
              <w:spacing w:after="0"/>
              <w:rPr>
                <w:sz w:val="20"/>
                <w:szCs w:val="20"/>
                <w:color w:val="auto"/>
              </w:rPr>
            </w:pPr>
            <w:r>
              <w:rPr>
                <w:rFonts w:ascii="Arial" w:cs="Arial" w:eastAsia="Arial" w:hAnsi="Arial"/>
                <w:sz w:val="16"/>
                <w:szCs w:val="16"/>
                <w:color w:val="auto"/>
              </w:rPr>
              <w:t>Adjusted EBITDA margin</w:t>
            </w:r>
          </w:p>
        </w:tc>
        <w:tc>
          <w:tcPr>
            <w:tcW w:w="124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shd w:val="clear" w:color="auto" w:fill="BFE4FF"/>
          </w:tcPr>
          <w:p>
            <w:pPr>
              <w:spacing w:after="0"/>
              <w:rPr>
                <w:sz w:val="20"/>
                <w:szCs w:val="20"/>
                <w:color w:val="auto"/>
              </w:rPr>
            </w:pPr>
            <w:r>
              <w:rPr>
                <w:rFonts w:ascii="Arial" w:cs="Arial" w:eastAsia="Arial" w:hAnsi="Arial"/>
                <w:sz w:val="16"/>
                <w:szCs w:val="16"/>
                <w:color w:val="auto"/>
              </w:rPr>
              <w:t>Additional information</w:t>
            </w:r>
          </w:p>
        </w:tc>
        <w:tc>
          <w:tcPr>
            <w:tcW w:w="124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12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11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00" w:type="dxa"/>
            <w:vAlign w:val="bottom"/>
            <w:shd w:val="clear" w:color="auto" w:fill="BFE4FF"/>
          </w:tcPr>
          <w:p>
            <w:pPr>
              <w:spacing w:after="0"/>
              <w:rPr>
                <w:sz w:val="18"/>
                <w:szCs w:val="18"/>
                <w:color w:val="auto"/>
              </w:rPr>
            </w:pPr>
          </w:p>
        </w:tc>
        <w:tc>
          <w:tcPr>
            <w:tcW w:w="100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tcPr>
          <w:p>
            <w:pPr>
              <w:ind w:left="280"/>
              <w:spacing w:after="0" w:line="216" w:lineRule="exact"/>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21"/>
                <w:szCs w:val="21"/>
                <w:color w:val="auto"/>
                <w:vertAlign w:val="superscript"/>
              </w:rPr>
              <w:t>(8)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510</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1,108</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2,573</w:t>
            </w:r>
          </w:p>
        </w:tc>
        <w:tc>
          <w:tcPr>
            <w:tcW w:w="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16"/>
        </w:trPr>
        <w:tc>
          <w:tcPr>
            <w:tcW w:w="60" w:type="dxa"/>
            <w:vAlign w:val="bottom"/>
            <w:vMerge w:val="restart"/>
          </w:tcPr>
          <w:p>
            <w:pPr>
              <w:ind w:left="20"/>
              <w:spacing w:after="0"/>
              <w:rPr>
                <w:sz w:val="20"/>
                <w:szCs w:val="20"/>
                <w:color w:val="auto"/>
              </w:rPr>
            </w:pPr>
            <w:r>
              <w:rPr>
                <w:rFonts w:ascii="Arial" w:cs="Arial" w:eastAsia="Arial" w:hAnsi="Arial"/>
                <w:sz w:val="10"/>
                <w:szCs w:val="10"/>
                <w:color w:val="auto"/>
                <w:w w:val="70"/>
              </w:rPr>
              <w:t>.</w:t>
            </w:r>
          </w:p>
        </w:tc>
        <w:tc>
          <w:tcPr>
            <w:tcW w:w="4360" w:type="dxa"/>
            <w:vAlign w:val="bottom"/>
            <w:shd w:val="clear" w:color="auto" w:fill="BFE4FF"/>
          </w:tcPr>
          <w:p>
            <w:pPr>
              <w:ind w:left="280"/>
              <w:spacing w:after="0" w:line="216" w:lineRule="exact"/>
              <w:rPr>
                <w:sz w:val="20"/>
                <w:szCs w:val="20"/>
                <w:color w:val="auto"/>
              </w:rPr>
            </w:pPr>
            <w:r>
              <w:rPr>
                <w:rFonts w:ascii="Arial" w:cs="Arial" w:eastAsia="Arial" w:hAnsi="Arial"/>
                <w:sz w:val="16"/>
                <w:szCs w:val="16"/>
                <w:color w:val="auto"/>
              </w:rPr>
              <w:t xml:space="preserve">Deferred rent (income) expense </w:t>
            </w:r>
            <w:r>
              <w:rPr>
                <w:rFonts w:ascii="Arial" w:cs="Arial" w:eastAsia="Arial" w:hAnsi="Arial"/>
                <w:sz w:val="21"/>
                <w:szCs w:val="21"/>
                <w:color w:val="auto"/>
                <w:vertAlign w:val="superscript"/>
              </w:rPr>
              <w:t>(9)</w:t>
            </w:r>
          </w:p>
        </w:tc>
        <w:tc>
          <w:tcPr>
            <w:tcW w:w="1280" w:type="dxa"/>
            <w:vAlign w:val="bottom"/>
            <w:gridSpan w:val="2"/>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(156)</w:t>
            </w:r>
          </w:p>
        </w:tc>
        <w:tc>
          <w:tcPr>
            <w:tcW w:w="140" w:type="dxa"/>
            <w:vAlign w:val="bottom"/>
            <w:gridSpan w:val="2"/>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1,187</w:t>
            </w:r>
          </w:p>
        </w:tc>
        <w:tc>
          <w:tcPr>
            <w:tcW w:w="30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(1,963)</w:t>
            </w:r>
          </w:p>
        </w:tc>
        <w:tc>
          <w:tcPr>
            <w:tcW w:w="500" w:type="dxa"/>
            <w:vAlign w:val="bottom"/>
            <w:gridSpan w:val="2"/>
            <w:shd w:val="clear" w:color="auto" w:fill="BFE4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9,939</w:t>
            </w:r>
          </w:p>
        </w:tc>
        <w:tc>
          <w:tcPr>
            <w:tcW w:w="0" w:type="dxa"/>
            <w:vAlign w:val="bottom"/>
          </w:tcPr>
          <w:p>
            <w:pPr>
              <w:spacing w:after="0"/>
              <w:rPr>
                <w:sz w:val="1"/>
                <w:szCs w:val="1"/>
                <w:color w:val="auto"/>
              </w:rPr>
            </w:pPr>
          </w:p>
        </w:tc>
      </w:tr>
      <w:tr>
        <w:trPr>
          <w:trHeight w:val="108"/>
        </w:trPr>
        <w:tc>
          <w:tcPr>
            <w:tcW w:w="60" w:type="dxa"/>
            <w:vAlign w:val="bottom"/>
            <w:vMerge w:val="continue"/>
          </w:tcPr>
          <w:p>
            <w:pPr>
              <w:spacing w:after="0"/>
              <w:rPr>
                <w:sz w:val="9"/>
                <w:szCs w:val="9"/>
                <w:color w:val="auto"/>
              </w:rPr>
            </w:pPr>
          </w:p>
        </w:tc>
        <w:tc>
          <w:tcPr>
            <w:tcW w:w="4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-3007995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jc w:val="both"/>
        <w:ind w:left="100" w:firstLine="8"/>
        <w:spacing w:after="0" w:line="248" w:lineRule="auto"/>
        <w:tabs>
          <w:tab w:leader="none" w:pos="3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costs related to information technology support and external professional service costs incurred in connection with IPO-readiness efforts as well as the assessment and redesign of our systems and processes. These costs are recorded within General and administrative expenses on the Consolidated Statements of Operations and Comprehensive Income (Loss).</w:t>
      </w:r>
    </w:p>
    <w:p>
      <w:pPr>
        <w:ind w:left="100" w:firstLine="8"/>
        <w:spacing w:after="0" w:line="246" w:lineRule="auto"/>
        <w:tabs>
          <w:tab w:leader="none" w:pos="3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non-cash, stock-based compensation expense which is recorded within General and administrative expenses on the Consolidated Statements of Operations and Comprehensive Income (Loss).</w:t>
      </w:r>
    </w:p>
    <w:p>
      <w:pPr>
        <w:ind w:left="100" w:firstLine="8"/>
        <w:spacing w:after="0" w:line="246" w:lineRule="auto"/>
        <w:tabs>
          <w:tab w:leader="none" w:pos="3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costs incurred for hiring qualified individuals as we assessed the redesign of our systems and processes. These costs are recorded within General and administrative expenses on the Consolidated Statements of Operations and Comprehensive Income (Loss).</w:t>
      </w:r>
    </w:p>
    <w:p>
      <w:pPr>
        <w:ind w:left="100" w:firstLine="8"/>
        <w:spacing w:after="0" w:line="246" w:lineRule="auto"/>
        <w:tabs>
          <w:tab w:leader="none" w:pos="3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impairments recognized on intangible assets and fixed assets as well as costs related to the disposal of assets due to retirements, replacements or certain restaurant closures.</w:t>
      </w:r>
    </w:p>
    <w:p>
      <w:pPr>
        <w:jc w:val="both"/>
        <w:ind w:left="100" w:firstLine="8"/>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amounts primarily represent the revaluation of the contingent consideration payable to previous stockholders for tax savings generated through use of federal and state loss carryforwards and general business credits that had been accumulated from operations prior to August 2017. See Note 10, </w:t>
      </w:r>
      <w:r>
        <w:rPr>
          <w:rFonts w:ascii="Arial" w:cs="Arial" w:eastAsia="Arial" w:hAnsi="Arial"/>
          <w:sz w:val="16"/>
          <w:szCs w:val="16"/>
          <w:i w:val="1"/>
          <w:iCs w:val="1"/>
          <w:color w:val="auto"/>
        </w:rPr>
        <w:t>Income Taxes</w:t>
      </w:r>
      <w:r>
        <w:rPr>
          <w:rFonts w:ascii="Arial" w:cs="Arial" w:eastAsia="Arial" w:hAnsi="Arial"/>
          <w:sz w:val="16"/>
          <w:szCs w:val="16"/>
          <w:color w:val="auto"/>
        </w:rPr>
        <w:t>, in the accompanying notes to the unaudited interim consolidated financial statements. In addition, the amounts include costs incurred in connection with the acquisition of certain franchise-owned restaurants, costs incurred in connection with the conversion of certain restaurants to company-owned restaurants operating under the First Watch trade name and costs related to restaurant closures.</w:t>
      </w:r>
    </w:p>
    <w:p>
      <w:pPr>
        <w:spacing w:after="0" w:line="2" w:lineRule="exact"/>
        <w:rPr>
          <w:rFonts w:ascii="Arial" w:cs="Arial" w:eastAsia="Arial" w:hAnsi="Arial"/>
          <w:sz w:val="16"/>
          <w:szCs w:val="16"/>
          <w:color w:val="auto"/>
        </w:rPr>
      </w:pPr>
    </w:p>
    <w:p>
      <w:pPr>
        <w:jc w:val="both"/>
        <w:ind w:left="100" w:firstLine="8"/>
        <w:spacing w:after="0" w:line="262" w:lineRule="auto"/>
        <w:tabs>
          <w:tab w:leader="none" w:pos="362"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Consists of costs incurred in connection with the economic impact of the COVID-19 pandemic, which primarily includes inventory obsolescence and spoilage, compensation for employees upon furlough and return from furlough, health insurance costs paid for furloughed employees, net of employee retention credits and costs incurred to amend certain financial commitments. See Note 4, </w:t>
      </w:r>
      <w:r>
        <w:rPr>
          <w:rFonts w:ascii="Arial" w:cs="Arial" w:eastAsia="Arial" w:hAnsi="Arial"/>
          <w:sz w:val="15"/>
          <w:szCs w:val="15"/>
          <w:i w:val="1"/>
          <w:iCs w:val="1"/>
          <w:color w:val="auto"/>
        </w:rPr>
        <w:t>COVID-19 Charges</w:t>
      </w:r>
      <w:r>
        <w:rPr>
          <w:rFonts w:ascii="Arial" w:cs="Arial" w:eastAsia="Arial" w:hAnsi="Arial"/>
          <w:sz w:val="15"/>
          <w:szCs w:val="15"/>
          <w:color w:val="auto"/>
        </w:rPr>
        <w:t>, in the accompanying notes to the unaudited interim consolidated financial statements.</w:t>
      </w:r>
    </w:p>
    <w:p>
      <w:pPr>
        <w:spacing w:after="0" w:line="2" w:lineRule="exact"/>
        <w:rPr>
          <w:rFonts w:ascii="Arial" w:cs="Arial" w:eastAsia="Arial" w:hAnsi="Arial"/>
          <w:sz w:val="15"/>
          <w:szCs w:val="15"/>
          <w:color w:val="auto"/>
        </w:rPr>
      </w:pPr>
    </w:p>
    <w:p>
      <w:pPr>
        <w:ind w:left="340" w:hanging="2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Severance costs are recorded in General and administrative expenses on the Consolidated Statements of Operations and Comprehensive Income (Loss).</w:t>
      </w:r>
    </w:p>
    <w:p>
      <w:pPr>
        <w:spacing w:after="0" w:line="5" w:lineRule="exact"/>
        <w:rPr>
          <w:rFonts w:ascii="Arial" w:cs="Arial" w:eastAsia="Arial" w:hAnsi="Arial"/>
          <w:sz w:val="16"/>
          <w:szCs w:val="16"/>
          <w:color w:val="auto"/>
        </w:rPr>
      </w:pPr>
    </w:p>
    <w:p>
      <w:pPr>
        <w:jc w:val="both"/>
        <w:ind w:left="100" w:firstLine="8"/>
        <w:spacing w:after="0" w:line="246" w:lineRule="auto"/>
        <w:tabs>
          <w:tab w:leader="none" w:pos="3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expenses directly incurred to open new restaurants, including pre-opening rent, manager salaries, recruiting expenses, employee payroll, training, and marketing costs. These costs are recorded within Other restaurant operating expenses and Occupancy expenses on the Consolidated Statements of Operations and Comprehensive Income (Loss).</w:t>
      </w:r>
    </w:p>
    <w:p>
      <w:pPr>
        <w:spacing w:after="0" w:line="1" w:lineRule="exact"/>
        <w:rPr>
          <w:rFonts w:ascii="Arial" w:cs="Arial" w:eastAsia="Arial" w:hAnsi="Arial"/>
          <w:sz w:val="16"/>
          <w:szCs w:val="16"/>
          <w:color w:val="auto"/>
        </w:rPr>
      </w:pPr>
    </w:p>
    <w:p>
      <w:pPr>
        <w:ind w:left="100" w:firstLine="8"/>
        <w:spacing w:after="0" w:line="25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For further comparability, the reconciliation of Net loss and Net loss margin, the most directly comparable GAAP measures, to Adjusted EBITDA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margin for the thirteen and thirty-nine weeks ended September 29, 2019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6"/>
                <w:szCs w:val="16"/>
                <w:color w:val="auto"/>
              </w:rPr>
            </w:pPr>
          </w:p>
        </w:tc>
        <w:tc>
          <w:tcPr>
            <w:tcW w:w="2580" w:type="dxa"/>
            <w:vAlign w:val="bottom"/>
          </w:tcPr>
          <w:p>
            <w:pPr>
              <w:jc w:val="right"/>
              <w:ind w:right="300"/>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57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3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SEPTEMBER 29, 2019</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5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SEPTEMBER 29, 2019</w:t>
            </w:r>
          </w:p>
        </w:tc>
      </w:tr>
      <w:tr>
        <w:trPr>
          <w:trHeight w:val="18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r>
      <w:tr>
        <w:trPr>
          <w:trHeight w:val="217"/>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236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(7,030)</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jc w:val="center"/>
              <w:ind w:right="19"/>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(39,696)</w:t>
            </w:r>
          </w:p>
        </w:tc>
      </w:tr>
      <w:tr>
        <w:trPr>
          <w:trHeight w:val="213"/>
        </w:trPr>
        <w:tc>
          <w:tcPr>
            <w:tcW w:w="57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2360" w:type="dxa"/>
            <w:vAlign w:val="bottom"/>
          </w:tcPr>
          <w:p>
            <w:pPr>
              <w:jc w:val="right"/>
              <w:ind w:right="120"/>
              <w:spacing w:after="0"/>
              <w:rPr>
                <w:sz w:val="20"/>
                <w:szCs w:val="20"/>
                <w:color w:val="auto"/>
              </w:rPr>
            </w:pPr>
            <w:r>
              <w:rPr>
                <w:rFonts w:ascii="Arial" w:cs="Arial" w:eastAsia="Arial" w:hAnsi="Arial"/>
                <w:sz w:val="16"/>
                <w:szCs w:val="16"/>
                <w:color w:val="auto"/>
              </w:rPr>
              <w:t>7,545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right"/>
              <w:ind w:right="120"/>
              <w:spacing w:after="0"/>
              <w:rPr>
                <w:sz w:val="20"/>
                <w:szCs w:val="20"/>
                <w:color w:val="auto"/>
              </w:rPr>
            </w:pPr>
            <w:r>
              <w:rPr>
                <w:rFonts w:ascii="Arial" w:cs="Arial" w:eastAsia="Arial" w:hAnsi="Arial"/>
                <w:sz w:val="16"/>
                <w:szCs w:val="16"/>
                <w:color w:val="auto"/>
              </w:rPr>
              <w:t>20,579</w:t>
            </w:r>
          </w:p>
        </w:tc>
      </w:tr>
      <w:tr>
        <w:trPr>
          <w:trHeight w:val="219"/>
        </w:trPr>
        <w:tc>
          <w:tcPr>
            <w:tcW w:w="57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BFE4FF"/>
          </w:tcPr>
          <w:p>
            <w:pPr>
              <w:spacing w:after="0"/>
              <w:rPr>
                <w:sz w:val="19"/>
                <w:szCs w:val="19"/>
                <w:color w:val="auto"/>
              </w:rPr>
            </w:pPr>
          </w:p>
        </w:tc>
        <w:tc>
          <w:tcPr>
            <w:tcW w:w="23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4,743</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258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14,988</w:t>
            </w:r>
          </w:p>
        </w:tc>
      </w:tr>
      <w:tr>
        <w:trPr>
          <w:trHeight w:val="213"/>
        </w:trPr>
        <w:tc>
          <w:tcPr>
            <w:tcW w:w="574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Income tax benefit</w:t>
            </w: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(10,342)</w:t>
            </w:r>
          </w:p>
        </w:tc>
      </w:tr>
      <w:tr>
        <w:trPr>
          <w:trHeight w:val="213"/>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BFE4FF"/>
          </w:tcPr>
          <w:p>
            <w:pPr>
              <w:spacing w:after="0"/>
              <w:rPr>
                <w:sz w:val="18"/>
                <w:szCs w:val="18"/>
                <w:color w:val="auto"/>
              </w:rPr>
            </w:pPr>
          </w:p>
        </w:tc>
        <w:tc>
          <w:tcPr>
            <w:tcW w:w="23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3,964</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258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(14,471)</w:t>
            </w:r>
          </w:p>
        </w:tc>
      </w:tr>
      <w:tr>
        <w:trPr>
          <w:trHeight w:val="216"/>
        </w:trPr>
        <w:tc>
          <w:tcPr>
            <w:tcW w:w="5740" w:type="dxa"/>
            <w:vAlign w:val="bottom"/>
          </w:tcPr>
          <w:p>
            <w:pPr>
              <w:ind w:left="360"/>
              <w:spacing w:after="0" w:line="216" w:lineRule="exact"/>
              <w:rPr>
                <w:sz w:val="20"/>
                <w:szCs w:val="20"/>
                <w:color w:val="auto"/>
              </w:rPr>
            </w:pPr>
            <w:r>
              <w:rPr>
                <w:rFonts w:ascii="Arial" w:cs="Arial" w:eastAsia="Arial" w:hAnsi="Arial"/>
                <w:sz w:val="16"/>
                <w:szCs w:val="16"/>
                <w:color w:val="auto"/>
              </w:rPr>
              <w:t>IPO-readiness and strategic transition costs</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2360" w:type="dxa"/>
            <w:vAlign w:val="bottom"/>
          </w:tcPr>
          <w:p>
            <w:pPr>
              <w:jc w:val="right"/>
              <w:ind w:right="120"/>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right"/>
              <w:ind w:right="120"/>
              <w:spacing w:after="0"/>
              <w:rPr>
                <w:sz w:val="20"/>
                <w:szCs w:val="20"/>
                <w:color w:val="auto"/>
              </w:rPr>
            </w:pPr>
            <w:r>
              <w:rPr>
                <w:rFonts w:ascii="Arial" w:cs="Arial" w:eastAsia="Arial" w:hAnsi="Arial"/>
                <w:sz w:val="16"/>
                <w:szCs w:val="16"/>
                <w:color w:val="auto"/>
              </w:rPr>
              <w:t>6,403</w:t>
            </w:r>
          </w:p>
        </w:tc>
      </w:tr>
      <w:tr>
        <w:trPr>
          <w:trHeight w:val="216"/>
        </w:trPr>
        <w:tc>
          <w:tcPr>
            <w:tcW w:w="5740" w:type="dxa"/>
            <w:vAlign w:val="bottom"/>
            <w:shd w:val="clear" w:color="auto" w:fill="BFE4FF"/>
          </w:tcPr>
          <w:p>
            <w:pPr>
              <w:ind w:left="360"/>
              <w:spacing w:after="0" w:line="216" w:lineRule="exact"/>
              <w:rPr>
                <w:sz w:val="20"/>
                <w:szCs w:val="20"/>
                <w:color w:val="auto"/>
              </w:rPr>
            </w:pPr>
            <w:r>
              <w:rPr>
                <w:rFonts w:ascii="Arial" w:cs="Arial" w:eastAsia="Arial" w:hAnsi="Arial"/>
                <w:sz w:val="16"/>
                <w:szCs w:val="16"/>
                <w:color w:val="auto"/>
              </w:rPr>
              <w:t>Impairments and loss on disposal of assets</w:t>
            </w:r>
            <w:r>
              <w:rPr>
                <w:rFonts w:ascii="Arial" w:cs="Arial" w:eastAsia="Arial" w:hAnsi="Arial"/>
                <w:sz w:val="21"/>
                <w:szCs w:val="21"/>
                <w:color w:val="auto"/>
                <w:vertAlign w:val="superscript"/>
              </w:rPr>
              <w:t>(2)</w:t>
            </w:r>
          </w:p>
        </w:tc>
        <w:tc>
          <w:tcPr>
            <w:tcW w:w="240" w:type="dxa"/>
            <w:vAlign w:val="bottom"/>
            <w:shd w:val="clear" w:color="auto" w:fill="BFE4FF"/>
          </w:tcPr>
          <w:p>
            <w:pPr>
              <w:spacing w:after="0"/>
              <w:rPr>
                <w:sz w:val="18"/>
                <w:szCs w:val="18"/>
                <w:color w:val="auto"/>
              </w:rPr>
            </w:pPr>
          </w:p>
        </w:tc>
        <w:tc>
          <w:tcPr>
            <w:tcW w:w="23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258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33,086</w:t>
            </w:r>
          </w:p>
        </w:tc>
      </w:tr>
      <w:tr>
        <w:trPr>
          <w:trHeight w:val="216"/>
        </w:trPr>
        <w:tc>
          <w:tcPr>
            <w:tcW w:w="5740" w:type="dxa"/>
            <w:vAlign w:val="bottom"/>
          </w:tcPr>
          <w:p>
            <w:pPr>
              <w:ind w:left="360"/>
              <w:spacing w:after="0" w:line="216" w:lineRule="exact"/>
              <w:rPr>
                <w:sz w:val="20"/>
                <w:szCs w:val="20"/>
                <w:color w:val="auto"/>
              </w:rPr>
            </w:pPr>
            <w:r>
              <w:rPr>
                <w:rFonts w:ascii="Arial" w:cs="Arial" w:eastAsia="Arial" w:hAnsi="Arial"/>
                <w:sz w:val="16"/>
                <w:szCs w:val="16"/>
                <w:color w:val="auto"/>
              </w:rPr>
              <w:t>Transaction expenses, net</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2360" w:type="dxa"/>
            <w:vAlign w:val="bottom"/>
          </w:tcPr>
          <w:p>
            <w:pPr>
              <w:jc w:val="right"/>
              <w:ind w:right="120"/>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right"/>
              <w:ind w:right="120"/>
              <w:spacing w:after="0"/>
              <w:rPr>
                <w:sz w:val="20"/>
                <w:szCs w:val="20"/>
                <w:color w:val="auto"/>
              </w:rPr>
            </w:pPr>
            <w:r>
              <w:rPr>
                <w:rFonts w:ascii="Arial" w:cs="Arial" w:eastAsia="Arial" w:hAnsi="Arial"/>
                <w:sz w:val="16"/>
                <w:szCs w:val="16"/>
                <w:color w:val="auto"/>
              </w:rPr>
              <w:t>1,548</w:t>
            </w:r>
          </w:p>
        </w:tc>
      </w:tr>
      <w:tr>
        <w:trPr>
          <w:trHeight w:val="216"/>
        </w:trPr>
        <w:tc>
          <w:tcPr>
            <w:tcW w:w="5740" w:type="dxa"/>
            <w:vAlign w:val="bottom"/>
            <w:shd w:val="clear" w:color="auto" w:fill="BFE4FF"/>
          </w:tcPr>
          <w:p>
            <w:pPr>
              <w:ind w:left="36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(4)</w:t>
            </w:r>
          </w:p>
        </w:tc>
        <w:tc>
          <w:tcPr>
            <w:tcW w:w="240" w:type="dxa"/>
            <w:vAlign w:val="bottom"/>
            <w:shd w:val="clear" w:color="auto" w:fill="BFE4FF"/>
          </w:tcPr>
          <w:p>
            <w:pPr>
              <w:spacing w:after="0"/>
              <w:rPr>
                <w:sz w:val="18"/>
                <w:szCs w:val="18"/>
                <w:color w:val="auto"/>
              </w:rPr>
            </w:pPr>
          </w:p>
        </w:tc>
        <w:tc>
          <w:tcPr>
            <w:tcW w:w="23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258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864</w:t>
            </w:r>
          </w:p>
        </w:tc>
      </w:tr>
      <w:tr>
        <w:trPr>
          <w:trHeight w:val="216"/>
        </w:trPr>
        <w:tc>
          <w:tcPr>
            <w:tcW w:w="5740" w:type="dxa"/>
            <w:vAlign w:val="bottom"/>
          </w:tcPr>
          <w:p>
            <w:pPr>
              <w:ind w:left="360"/>
              <w:spacing w:after="0" w:line="216" w:lineRule="exact"/>
              <w:rPr>
                <w:sz w:val="20"/>
                <w:szCs w:val="20"/>
                <w:color w:val="auto"/>
              </w:rPr>
            </w:pPr>
            <w:r>
              <w:rPr>
                <w:rFonts w:ascii="Arial" w:cs="Arial" w:eastAsia="Arial" w:hAnsi="Arial"/>
                <w:sz w:val="16"/>
                <w:szCs w:val="16"/>
                <w:color w:val="auto"/>
              </w:rPr>
              <w:t>Recruiting and relocation costs</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2360" w:type="dxa"/>
            <w:vAlign w:val="bottom"/>
          </w:tcPr>
          <w:p>
            <w:pPr>
              <w:jc w:val="right"/>
              <w:ind w:right="120"/>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right"/>
              <w:ind w:right="120"/>
              <w:spacing w:after="0"/>
              <w:rPr>
                <w:sz w:val="20"/>
                <w:szCs w:val="20"/>
                <w:color w:val="auto"/>
              </w:rPr>
            </w:pPr>
            <w:r>
              <w:rPr>
                <w:rFonts w:ascii="Arial" w:cs="Arial" w:eastAsia="Arial" w:hAnsi="Arial"/>
                <w:sz w:val="16"/>
                <w:szCs w:val="16"/>
                <w:color w:val="auto"/>
              </w:rPr>
              <w:t>773</w:t>
            </w:r>
          </w:p>
        </w:tc>
      </w:tr>
      <w:tr>
        <w:trPr>
          <w:trHeight w:val="216"/>
        </w:trPr>
        <w:tc>
          <w:tcPr>
            <w:tcW w:w="5740" w:type="dxa"/>
            <w:vAlign w:val="bottom"/>
            <w:shd w:val="clear" w:color="auto" w:fill="BFE4FF"/>
          </w:tcPr>
          <w:p>
            <w:pPr>
              <w:ind w:left="360"/>
              <w:spacing w:after="0" w:line="216" w:lineRule="exact"/>
              <w:rPr>
                <w:sz w:val="20"/>
                <w:szCs w:val="20"/>
                <w:color w:val="auto"/>
              </w:rPr>
            </w:pPr>
            <w:r>
              <w:rPr>
                <w:rFonts w:ascii="Arial" w:cs="Arial" w:eastAsia="Arial" w:hAnsi="Arial"/>
                <w:sz w:val="16"/>
                <w:szCs w:val="16"/>
                <w:color w:val="auto"/>
              </w:rPr>
              <w:t>Severance costs</w:t>
            </w:r>
            <w:r>
              <w:rPr>
                <w:rFonts w:ascii="Arial" w:cs="Arial" w:eastAsia="Arial" w:hAnsi="Arial"/>
                <w:sz w:val="21"/>
                <w:szCs w:val="21"/>
                <w:color w:val="auto"/>
                <w:vertAlign w:val="superscript"/>
              </w:rPr>
              <w:t>(6)</w:t>
            </w:r>
          </w:p>
        </w:tc>
        <w:tc>
          <w:tcPr>
            <w:tcW w:w="240" w:type="dxa"/>
            <w:vAlign w:val="bottom"/>
            <w:tcBorders>
              <w:bottom w:val="single" w:sz="8" w:color="auto"/>
            </w:tcBorders>
            <w:shd w:val="clear" w:color="auto" w:fill="BFE4FF"/>
          </w:tcPr>
          <w:p>
            <w:pPr>
              <w:spacing w:after="0"/>
              <w:rPr>
                <w:sz w:val="18"/>
                <w:szCs w:val="18"/>
                <w:color w:val="auto"/>
              </w:rPr>
            </w:pPr>
          </w:p>
        </w:tc>
        <w:tc>
          <w:tcPr>
            <w:tcW w:w="2360" w:type="dxa"/>
            <w:vAlign w:val="bottom"/>
            <w:tcBorders>
              <w:bottom w:val="single" w:sz="8" w:color="auto"/>
            </w:tcBorders>
            <w:shd w:val="clear" w:color="auto" w:fill="BFE4FF"/>
          </w:tcPr>
          <w:p>
            <w:pPr>
              <w:jc w:val="right"/>
              <w:ind w:right="1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2580" w:type="dxa"/>
            <w:vAlign w:val="bottom"/>
            <w:tcBorders>
              <w:bottom w:val="single" w:sz="8" w:color="auto"/>
            </w:tcBorders>
            <w:shd w:val="clear" w:color="auto" w:fill="BFE4FF"/>
          </w:tcPr>
          <w:p>
            <w:pPr>
              <w:jc w:val="right"/>
              <w:ind w:right="120"/>
              <w:spacing w:after="0"/>
              <w:rPr>
                <w:sz w:val="20"/>
                <w:szCs w:val="20"/>
                <w:color w:val="auto"/>
              </w:rPr>
            </w:pPr>
            <w:r>
              <w:rPr>
                <w:rFonts w:ascii="Arial" w:cs="Arial" w:eastAsia="Arial" w:hAnsi="Arial"/>
                <w:sz w:val="16"/>
                <w:szCs w:val="16"/>
                <w:color w:val="auto"/>
              </w:rPr>
              <w:t>289</w:t>
            </w:r>
          </w:p>
        </w:tc>
      </w:tr>
      <w:tr>
        <w:trPr>
          <w:trHeight w:val="206"/>
        </w:trPr>
        <w:tc>
          <w:tcPr>
            <w:tcW w:w="57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7"/>
                <w:szCs w:val="17"/>
                <w:color w:val="auto"/>
              </w:rPr>
            </w:pPr>
          </w:p>
        </w:tc>
        <w:tc>
          <w:tcPr>
            <w:tcW w:w="2360" w:type="dxa"/>
            <w:vAlign w:val="bottom"/>
          </w:tcPr>
          <w:p>
            <w:pPr>
              <w:jc w:val="right"/>
              <w:ind w:right="120"/>
              <w:spacing w:after="0"/>
              <w:rPr>
                <w:sz w:val="20"/>
                <w:szCs w:val="20"/>
                <w:color w:val="auto"/>
              </w:rPr>
            </w:pPr>
            <w:r>
              <w:rPr>
                <w:rFonts w:ascii="Arial" w:cs="Arial" w:eastAsia="Arial" w:hAnsi="Arial"/>
                <w:sz w:val="16"/>
                <w:szCs w:val="16"/>
                <w:color w:val="auto"/>
              </w:rPr>
              <w:t>7,748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jc w:val="right"/>
              <w:ind w:right="120"/>
              <w:spacing w:after="0"/>
              <w:rPr>
                <w:sz w:val="20"/>
                <w:szCs w:val="20"/>
                <w:color w:val="auto"/>
              </w:rPr>
            </w:pPr>
            <w:r>
              <w:rPr>
                <w:rFonts w:ascii="Arial" w:cs="Arial" w:eastAsia="Arial" w:hAnsi="Arial"/>
                <w:sz w:val="16"/>
                <w:szCs w:val="16"/>
                <w:color w:val="auto"/>
              </w:rPr>
              <w:t>28,492</w:t>
            </w: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23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109,646</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center"/>
              <w:ind w:right="19"/>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322,160</w:t>
            </w:r>
          </w:p>
        </w:tc>
      </w:tr>
      <w:tr>
        <w:trPr>
          <w:trHeight w:val="213"/>
        </w:trPr>
        <w:tc>
          <w:tcPr>
            <w:tcW w:w="5740" w:type="dxa"/>
            <w:vAlign w:val="bottom"/>
          </w:tcPr>
          <w:p>
            <w:pPr>
              <w:ind w:left="680"/>
              <w:spacing w:after="0"/>
              <w:rPr>
                <w:sz w:val="20"/>
                <w:szCs w:val="20"/>
                <w:color w:val="auto"/>
              </w:rPr>
            </w:pPr>
            <w:r>
              <w:rPr>
                <w:rFonts w:ascii="Arial" w:cs="Arial" w:eastAsia="Arial" w:hAnsi="Arial"/>
                <w:sz w:val="16"/>
                <w:szCs w:val="16"/>
                <w:color w:val="auto"/>
              </w:rPr>
              <w:t>Net loss margin</w:t>
            </w:r>
          </w:p>
        </w:tc>
        <w:tc>
          <w:tcPr>
            <w:tcW w:w="2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5740" w:type="dxa"/>
            <w:vAlign w:val="bottom"/>
            <w:shd w:val="clear" w:color="auto" w:fill="BFE4FF"/>
          </w:tcPr>
          <w:p>
            <w:pPr>
              <w:ind w:left="680"/>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BFE4FF"/>
          </w:tcPr>
          <w:p>
            <w:pPr>
              <w:spacing w:after="0"/>
              <w:rPr>
                <w:sz w:val="19"/>
                <w:szCs w:val="19"/>
                <w:color w:val="auto"/>
              </w:rPr>
            </w:pPr>
          </w:p>
        </w:tc>
        <w:tc>
          <w:tcPr>
            <w:tcW w:w="2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25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8.8 %</w:t>
            </w: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Additional information</w:t>
            </w:r>
          </w:p>
        </w:tc>
        <w:tc>
          <w:tcPr>
            <w:tcW w:w="240" w:type="dxa"/>
            <w:vAlign w:val="bottom"/>
            <w:shd w:val="clear" w:color="auto" w:fill="BFE4FF"/>
          </w:tcPr>
          <w:p>
            <w:pPr>
              <w:spacing w:after="0"/>
              <w:rPr>
                <w:sz w:val="18"/>
                <w:szCs w:val="18"/>
                <w:color w:val="auto"/>
              </w:rPr>
            </w:pPr>
          </w:p>
        </w:tc>
        <w:tc>
          <w:tcPr>
            <w:tcW w:w="23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2580" w:type="dxa"/>
            <w:vAlign w:val="bottom"/>
            <w:shd w:val="clear" w:color="auto" w:fill="BFE4FF"/>
          </w:tcPr>
          <w:p>
            <w:pPr>
              <w:spacing w:after="0"/>
              <w:rPr>
                <w:sz w:val="18"/>
                <w:szCs w:val="18"/>
                <w:color w:val="auto"/>
              </w:rPr>
            </w:pPr>
          </w:p>
        </w:tc>
      </w:tr>
      <w:tr>
        <w:trPr>
          <w:trHeight w:val="216"/>
        </w:trPr>
        <w:tc>
          <w:tcPr>
            <w:tcW w:w="57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21"/>
                <w:szCs w:val="21"/>
                <w:color w:val="auto"/>
                <w:vertAlign w:val="superscript"/>
              </w:rPr>
              <w:t>(7)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360" w:type="dxa"/>
            <w:vAlign w:val="bottom"/>
          </w:tcPr>
          <w:p>
            <w:pPr>
              <w:jc w:val="right"/>
              <w:ind w:right="120"/>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22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2580" w:type="dxa"/>
            <w:vAlign w:val="bottom"/>
          </w:tcPr>
          <w:p>
            <w:pPr>
              <w:jc w:val="right"/>
              <w:ind w:right="120"/>
              <w:spacing w:after="0"/>
              <w:rPr>
                <w:sz w:val="20"/>
                <w:szCs w:val="20"/>
                <w:color w:val="auto"/>
              </w:rPr>
            </w:pPr>
            <w:r>
              <w:rPr>
                <w:rFonts w:ascii="Arial" w:cs="Arial" w:eastAsia="Arial" w:hAnsi="Arial"/>
                <w:sz w:val="16"/>
                <w:szCs w:val="16"/>
                <w:color w:val="auto"/>
              </w:rPr>
              <w:t>4,525</w:t>
            </w:r>
          </w:p>
        </w:tc>
      </w:tr>
      <w:tr>
        <w:trPr>
          <w:trHeight w:val="216"/>
        </w:trPr>
        <w:tc>
          <w:tcPr>
            <w:tcW w:w="5740" w:type="dxa"/>
            <w:vAlign w:val="bottom"/>
            <w:shd w:val="clear" w:color="auto" w:fill="BFE4FF"/>
          </w:tcPr>
          <w:p>
            <w:pPr>
              <w:ind w:left="360"/>
              <w:spacing w:after="0" w:line="216" w:lineRule="exact"/>
              <w:rPr>
                <w:sz w:val="20"/>
                <w:szCs w:val="20"/>
                <w:color w:val="auto"/>
              </w:rPr>
            </w:pPr>
            <w:r>
              <w:rPr>
                <w:rFonts w:ascii="Arial" w:cs="Arial" w:eastAsia="Arial" w:hAnsi="Arial"/>
                <w:sz w:val="16"/>
                <w:szCs w:val="16"/>
                <w:color w:val="auto"/>
              </w:rPr>
              <w:t xml:space="preserve">Deferred rent expense </w:t>
            </w:r>
            <w:r>
              <w:rPr>
                <w:rFonts w:ascii="Arial" w:cs="Arial" w:eastAsia="Arial" w:hAnsi="Arial"/>
                <w:sz w:val="21"/>
                <w:szCs w:val="21"/>
                <w:color w:val="auto"/>
                <w:vertAlign w:val="superscript"/>
              </w:rPr>
              <w:t>(8)</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23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jc w:val="center"/>
              <w:ind w:right="19"/>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3,292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jc w:val="both"/>
        <w:ind w:firstLine="8"/>
        <w:spacing w:after="0" w:line="248" w:lineRule="auto"/>
        <w:tabs>
          <w:tab w:leader="none" w:pos="2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costs related to information technology support and external professional service costs incurred in connection with IPO-readiness efforts as well as the assessment and redesign of our systems and processes. These costs are recorded within General and administrative expenses on the Consolidated Statements of Operations and Comprehensive Income (Loss).</w:t>
      </w:r>
    </w:p>
    <w:p>
      <w:pPr>
        <w:ind w:firstLine="8"/>
        <w:spacing w:after="0" w:line="246" w:lineRule="auto"/>
        <w:tabs>
          <w:tab w:leader="none" w:pos="2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impairments recognized on intangible assets and fixed assets as well as costs related to the disposal of assets due to retirements, replacements or certain restaurant closures.</w:t>
      </w:r>
    </w:p>
    <w:p>
      <w:pPr>
        <w:jc w:val="both"/>
        <w:ind w:firstLine="8"/>
        <w:spacing w:after="0" w:line="246" w:lineRule="auto"/>
        <w:tabs>
          <w:tab w:leader="none" w:pos="2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Primarily represents costs incurred in connection with the acquisition of certain franchise-owned restaurants, costs incurred in connection with the conversion of certain restaurants to company-owned restaurants operating under the First Watch trade name and costs related to restaurant closures. In addition, the amount also includes costs associated with the revaluation of the contingent consideration payable to previous stockholders for tax savings generated through use of federal and state loss carryforwards and general business credits that had been accumulated from operations prior to August 2017. See Note 10, </w:t>
      </w:r>
      <w:r>
        <w:rPr>
          <w:rFonts w:ascii="Arial" w:cs="Arial" w:eastAsia="Arial" w:hAnsi="Arial"/>
          <w:sz w:val="16"/>
          <w:szCs w:val="16"/>
          <w:i w:val="1"/>
          <w:iCs w:val="1"/>
          <w:color w:val="auto"/>
        </w:rPr>
        <w:t>Income Taxes</w:t>
      </w:r>
      <w:r>
        <w:rPr>
          <w:rFonts w:ascii="Arial" w:cs="Arial" w:eastAsia="Arial" w:hAnsi="Arial"/>
          <w:sz w:val="16"/>
          <w:szCs w:val="16"/>
          <w:color w:val="auto"/>
        </w:rPr>
        <w:t>, in the accompanying notes to the unaudited interim consolidated financial statements.</w:t>
      </w:r>
    </w:p>
    <w:p>
      <w:pPr>
        <w:spacing w:after="0" w:line="2" w:lineRule="exact"/>
        <w:rPr>
          <w:rFonts w:ascii="Arial" w:cs="Arial" w:eastAsia="Arial" w:hAnsi="Arial"/>
          <w:sz w:val="16"/>
          <w:szCs w:val="16"/>
          <w:color w:val="auto"/>
        </w:rPr>
      </w:pPr>
    </w:p>
    <w:p>
      <w:pPr>
        <w:ind w:firstLine="8"/>
        <w:spacing w:after="0" w:line="246" w:lineRule="auto"/>
        <w:tabs>
          <w:tab w:leader="none" w:pos="2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non-cash, stock-based compensation expense which is recorded within General and administrative expenses on the Consolidated Statements of Operations and Comprehensive Income (Loss).</w:t>
      </w:r>
    </w:p>
    <w:p>
      <w:pPr>
        <w:ind w:firstLine="8"/>
        <w:spacing w:after="0" w:line="246"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costs incurred for hiring qualified individuals as we assessed the redesign of our systems and processes. These costs are recorded within General and administrative expenses on the Consolidated Statements of Operations and Comprehensive Income (Loss).</w:t>
      </w:r>
    </w:p>
    <w:p>
      <w:pPr>
        <w:ind w:left="240" w:hanging="232"/>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Severance costs are recorded within General and administrative expenses on the Consolidated Statements of Operations and Comprehensive Income (Loss).</w:t>
      </w:r>
    </w:p>
    <w:p>
      <w:pPr>
        <w:spacing w:after="0" w:line="16" w:lineRule="exact"/>
        <w:rPr>
          <w:rFonts w:ascii="Arial" w:cs="Arial" w:eastAsia="Arial" w:hAnsi="Arial"/>
          <w:sz w:val="15"/>
          <w:szCs w:val="15"/>
          <w:color w:val="auto"/>
        </w:rPr>
      </w:pPr>
    </w:p>
    <w:p>
      <w:pPr>
        <w:jc w:val="both"/>
        <w:ind w:firstLine="8"/>
        <w:spacing w:after="0" w:line="246"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expenses directly incurred to open new restaurants, including pre-opening rent, manager salaries, recruiting expenses, employee payroll, training, and marketing costs. These costs are recorded within Other restaurant operating expenses and Occupancy expenses on the Consolidated Statements of Operations and Comprehensive Income (Loss).</w:t>
      </w:r>
    </w:p>
    <w:p>
      <w:pPr>
        <w:spacing w:after="0" w:line="1" w:lineRule="exact"/>
        <w:rPr>
          <w:rFonts w:ascii="Arial" w:cs="Arial" w:eastAsia="Arial" w:hAnsi="Arial"/>
          <w:sz w:val="16"/>
          <w:szCs w:val="16"/>
          <w:color w:val="auto"/>
        </w:rPr>
      </w:pPr>
    </w:p>
    <w:p>
      <w:pPr>
        <w:ind w:firstLine="8"/>
        <w:spacing w:after="0" w:line="257" w:lineRule="auto"/>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Restaurant level operating margin </w:t>
      </w:r>
      <w:r>
        <w:rPr>
          <w:rFonts w:ascii="Arial" w:cs="Arial" w:eastAsia="Arial" w:hAnsi="Arial"/>
          <w:sz w:val="17"/>
          <w:szCs w:val="17"/>
          <w:color w:val="auto"/>
        </w:rPr>
        <w:t>- The following table reconciles Income (Loss) from operations and Income (Loss) from operations margin,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GAAP measures to Restaurant level operating income and Restaurant level operating profit margin for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THIRTY-NINE WEEKS ENDED</w:t>
            </w:r>
          </w:p>
        </w:tc>
      </w:tr>
      <w:tr>
        <w:trPr>
          <w:trHeight w:val="134"/>
        </w:trPr>
        <w:tc>
          <w:tcPr>
            <w:tcW w:w="5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1"/>
              <w:spacing w:after="0" w:line="135" w:lineRule="exact"/>
              <w:rPr>
                <w:sz w:val="20"/>
                <w:szCs w:val="20"/>
                <w:color w:val="auto"/>
              </w:rPr>
            </w:pPr>
            <w:r>
              <w:rPr>
                <w:rFonts w:ascii="Arial" w:cs="Arial" w:eastAsia="Arial" w:hAnsi="Arial"/>
                <w:sz w:val="14"/>
                <w:szCs w:val="14"/>
                <w:b w:val="1"/>
                <w:bCs w:val="1"/>
                <w:color w:val="auto"/>
                <w:w w:val="99"/>
              </w:rPr>
              <w:t>SEPTEMBER 27,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121"/>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00"/>
              <w:spacing w:after="0" w:line="135" w:lineRule="exact"/>
              <w:rPr>
                <w:sz w:val="20"/>
                <w:szCs w:val="20"/>
                <w:color w:val="auto"/>
              </w:rPr>
            </w:pPr>
            <w:r>
              <w:rPr>
                <w:rFonts w:ascii="Arial" w:cs="Arial" w:eastAsia="Arial" w:hAnsi="Arial"/>
                <w:sz w:val="14"/>
                <w:szCs w:val="14"/>
                <w:b w:val="1"/>
                <w:bCs w:val="1"/>
                <w:color w:val="auto"/>
                <w:w w:val="99"/>
              </w:rPr>
              <w:t>SEPTEMBER 27,</w:t>
            </w:r>
          </w:p>
        </w:tc>
      </w:tr>
      <w:tr>
        <w:trPr>
          <w:trHeight w:val="188"/>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183"/>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23,310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(42,493)</w:t>
            </w:r>
          </w:p>
        </w:tc>
      </w:tr>
      <w:tr>
        <w:trPr>
          <w:trHeight w:val="213"/>
        </w:trPr>
        <w:tc>
          <w:tcPr>
            <w:tcW w:w="5360" w:type="dxa"/>
            <w:vAlign w:val="bottom"/>
          </w:tcPr>
          <w:p>
            <w:pPr>
              <w:ind w:left="360"/>
              <w:spacing w:after="0"/>
              <w:rPr>
                <w:sz w:val="20"/>
                <w:szCs w:val="20"/>
                <w:color w:val="auto"/>
              </w:rPr>
            </w:pPr>
            <w:r>
              <w:rPr>
                <w:rFonts w:ascii="Arial" w:cs="Arial" w:eastAsia="Arial" w:hAnsi="Arial"/>
                <w:sz w:val="16"/>
                <w:szCs w:val="16"/>
                <w:color w:val="auto"/>
              </w:rPr>
              <w:t>Less: Franchise revenues</w:t>
            </w:r>
          </w:p>
        </w:tc>
        <w:tc>
          <w:tcPr>
            <w:tcW w:w="12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(6,437)</w:t>
            </w:r>
          </w:p>
        </w:tc>
        <w:tc>
          <w:tcPr>
            <w:tcW w:w="20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(3,449)</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536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17,019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11,347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44,360</w:t>
            </w:r>
          </w:p>
        </w:tc>
        <w:tc>
          <w:tcPr>
            <w:tcW w:w="20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33,625</w:t>
            </w:r>
          </w:p>
        </w:tc>
      </w:tr>
      <w:tr>
        <w:trPr>
          <w:trHeight w:val="219"/>
        </w:trPr>
        <w:tc>
          <w:tcPr>
            <w:tcW w:w="5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8,203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23,965</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22,877</w:t>
            </w:r>
          </w:p>
        </w:tc>
      </w:tr>
      <w:tr>
        <w:trPr>
          <w:trHeight w:val="216"/>
        </w:trPr>
        <w:tc>
          <w:tcPr>
            <w:tcW w:w="5360" w:type="dxa"/>
            <w:vAlign w:val="bottom"/>
          </w:tcPr>
          <w:p>
            <w:pPr>
              <w:ind w:left="360"/>
              <w:spacing w:after="0" w:line="216" w:lineRule="exact"/>
              <w:rPr>
                <w:sz w:val="20"/>
                <w:szCs w:val="20"/>
                <w:color w:val="auto"/>
              </w:rPr>
            </w:pPr>
            <w:r>
              <w:rPr>
                <w:rFonts w:ascii="Arial" w:cs="Arial" w:eastAsia="Arial" w:hAnsi="Arial"/>
                <w:sz w:val="16"/>
                <w:szCs w:val="16"/>
                <w:color w:val="auto"/>
              </w:rPr>
              <w:t>Impairments and loss on disposal of assets</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261</w:t>
            </w:r>
          </w:p>
        </w:tc>
        <w:tc>
          <w:tcPr>
            <w:tcW w:w="20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282</w:t>
            </w:r>
          </w:p>
        </w:tc>
      </w:tr>
      <w:tr>
        <w:trPr>
          <w:trHeight w:val="216"/>
        </w:trPr>
        <w:tc>
          <w:tcPr>
            <w:tcW w:w="53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Transaction expenses (income), net</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752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w:t>
            </w:r>
          </w:p>
        </w:tc>
      </w:tr>
      <w:tr>
        <w:trPr>
          <w:trHeight w:val="216"/>
        </w:trPr>
        <w:tc>
          <w:tcPr>
            <w:tcW w:w="5360" w:type="dxa"/>
            <w:vAlign w:val="bottom"/>
          </w:tcPr>
          <w:p>
            <w:pPr>
              <w:ind w:left="360"/>
              <w:spacing w:after="0" w:line="216" w:lineRule="exact"/>
              <w:rPr>
                <w:sz w:val="20"/>
                <w:szCs w:val="20"/>
                <w:color w:val="auto"/>
              </w:rPr>
            </w:pPr>
            <w:r>
              <w:rPr>
                <w:rFonts w:ascii="Arial" w:cs="Arial" w:eastAsia="Arial" w:hAnsi="Arial"/>
                <w:sz w:val="16"/>
                <w:szCs w:val="16"/>
                <w:color w:val="auto"/>
              </w:rPr>
              <w:t>COVID-19 related charges</w:t>
            </w:r>
            <w:r>
              <w:rPr>
                <w:rFonts w:ascii="Arial" w:cs="Arial" w:eastAsia="Arial" w:hAnsi="Arial"/>
                <w:sz w:val="21"/>
                <w:szCs w:val="21"/>
                <w:color w:val="auto"/>
                <w:vertAlign w:val="superscript"/>
              </w:rPr>
              <w:t>(3)</w:t>
            </w: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3,295</w:t>
            </w: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level operating profit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30,240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9,762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86,230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14,202</w:t>
            </w: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155,082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98,353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432,136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229,546</w:t>
            </w:r>
          </w:p>
        </w:tc>
      </w:tr>
      <w:tr>
        <w:trPr>
          <w:trHeight w:val="213"/>
        </w:trPr>
        <w:tc>
          <w:tcPr>
            <w:tcW w:w="5360" w:type="dxa"/>
            <w:vAlign w:val="bottom"/>
          </w:tcPr>
          <w:p>
            <w:pPr>
              <w:ind w:left="360"/>
              <w:spacing w:after="0"/>
              <w:rPr>
                <w:sz w:val="20"/>
                <w:szCs w:val="20"/>
                <w:color w:val="auto"/>
              </w:rPr>
            </w:pPr>
            <w:r>
              <w:rPr>
                <w:rFonts w:ascii="Arial" w:cs="Arial" w:eastAsia="Arial" w:hAnsi="Arial"/>
                <w:sz w:val="16"/>
                <w:szCs w:val="16"/>
                <w:color w:val="auto"/>
              </w:rPr>
              <w:t>Income (Loss) from operations margin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5.4 %</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5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level operating profit margin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information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21"/>
                <w:szCs w:val="21"/>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2,573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3,184</w:t>
            </w:r>
          </w:p>
        </w:tc>
      </w:tr>
      <w:tr>
        <w:trPr>
          <w:trHeight w:val="216"/>
        </w:trPr>
        <w:tc>
          <w:tcPr>
            <w:tcW w:w="53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Deferred rent (income) expense </w:t>
            </w:r>
            <w:r>
              <w:rPr>
                <w:rFonts w:ascii="Arial" w:cs="Arial" w:eastAsia="Arial" w:hAnsi="Arial"/>
                <w:sz w:val="21"/>
                <w:szCs w:val="21"/>
                <w:color w:val="auto"/>
                <w:vertAlign w:val="superscript"/>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(1,978)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9,866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firstLine="8"/>
        <w:spacing w:after="0"/>
        <w:tabs>
          <w:tab w:leader="none" w:pos="25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impairments recognized on intangible assets and fixed assets as well as costs related to the disposal of assets due to retirements, replacements or certain restaurant closures.</w:t>
      </w:r>
    </w:p>
    <w:p>
      <w:pPr>
        <w:jc w:val="both"/>
        <w:ind w:firstLine="8"/>
        <w:spacing w:after="0" w:line="232" w:lineRule="auto"/>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amount primarily represents the revaluation of the contingent consideration payable to previous stockholders for tax savings generated through use of federal and state loss carryforwards and general business credits that had been accumulated from operations prior to August 2017. See Note 10, </w:t>
      </w:r>
      <w:r>
        <w:rPr>
          <w:rFonts w:ascii="Arial" w:cs="Arial" w:eastAsia="Arial" w:hAnsi="Arial"/>
          <w:sz w:val="16"/>
          <w:szCs w:val="16"/>
          <w:i w:val="1"/>
          <w:iCs w:val="1"/>
          <w:color w:val="auto"/>
        </w:rPr>
        <w:t>Income Taxes</w:t>
      </w:r>
      <w:r>
        <w:rPr>
          <w:rFonts w:ascii="Arial" w:cs="Arial" w:eastAsia="Arial" w:hAnsi="Arial"/>
          <w:sz w:val="16"/>
          <w:szCs w:val="16"/>
          <w:color w:val="auto"/>
        </w:rPr>
        <w:t>, in the accompanying notes to the unaudited interim consolidated financial statements. In addition, the amounts include costs incurred in connection with the acquisition of certain franchise-owned restaurants, costs incurred in connection with the conversion of certain restaurants to company-owned restaurants operating under the First Watch trade name and costs related to restaurant closures.</w:t>
      </w:r>
    </w:p>
    <w:p>
      <w:pPr>
        <w:spacing w:after="0" w:line="1" w:lineRule="exact"/>
        <w:rPr>
          <w:rFonts w:ascii="Arial" w:cs="Arial" w:eastAsia="Arial" w:hAnsi="Arial"/>
          <w:sz w:val="16"/>
          <w:szCs w:val="16"/>
          <w:color w:val="auto"/>
        </w:rPr>
      </w:pPr>
    </w:p>
    <w:p>
      <w:pPr>
        <w:jc w:val="both"/>
        <w:ind w:firstLine="8"/>
        <w:spacing w:after="0" w:line="246" w:lineRule="auto"/>
        <w:tabs>
          <w:tab w:leader="none" w:pos="2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Consists of costs incurred in connection with the economic impact of the COVID-19 pandemic, which primarily includes inventory obsolescence and spoilage, compensation for employees upon furlough and return from furlough, health insurance costs paid for furloughed employees, net of employee retention credits. See Note 4, </w:t>
      </w:r>
      <w:r>
        <w:rPr>
          <w:rFonts w:ascii="Arial" w:cs="Arial" w:eastAsia="Arial" w:hAnsi="Arial"/>
          <w:sz w:val="16"/>
          <w:szCs w:val="16"/>
          <w:i w:val="1"/>
          <w:iCs w:val="1"/>
          <w:color w:val="auto"/>
        </w:rPr>
        <w:t>COVID-19 Charges</w:t>
      </w:r>
      <w:r>
        <w:rPr>
          <w:rFonts w:ascii="Arial" w:cs="Arial" w:eastAsia="Arial" w:hAnsi="Arial"/>
          <w:sz w:val="16"/>
          <w:szCs w:val="16"/>
          <w:color w:val="auto"/>
        </w:rPr>
        <w:t>, in the accompanying notes to the unaudited interim consolidated financial statements.</w:t>
      </w:r>
    </w:p>
    <w:p>
      <w:pPr>
        <w:spacing w:after="0" w:line="1" w:lineRule="exact"/>
        <w:rPr>
          <w:rFonts w:ascii="Arial" w:cs="Arial" w:eastAsia="Arial" w:hAnsi="Arial"/>
          <w:sz w:val="16"/>
          <w:szCs w:val="16"/>
          <w:color w:val="auto"/>
        </w:rPr>
      </w:pPr>
    </w:p>
    <w:p>
      <w:pPr>
        <w:jc w:val="both"/>
        <w:ind w:firstLine="8"/>
        <w:spacing w:after="0" w:line="246" w:lineRule="auto"/>
        <w:tabs>
          <w:tab w:leader="none" w:pos="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expenses directly incurred to open new restaurants, including pre-opening rent, manager salaries, recruiting expenses, employee payroll, training, and marketing costs. These costs are recorded within Other restaurant operating expenses and Occupancy expenses on the Consolidated Statements of Operations and Comprehensive Income (Loss).</w:t>
      </w:r>
    </w:p>
    <w:p>
      <w:pPr>
        <w:spacing w:after="0" w:line="1" w:lineRule="exact"/>
        <w:rPr>
          <w:rFonts w:ascii="Arial" w:cs="Arial" w:eastAsia="Arial" w:hAnsi="Arial"/>
          <w:sz w:val="16"/>
          <w:szCs w:val="16"/>
          <w:color w:val="auto"/>
        </w:rPr>
      </w:pPr>
    </w:p>
    <w:p>
      <w:pPr>
        <w:ind w:firstLine="8"/>
        <w:spacing w:after="0" w:line="257" w:lineRule="auto"/>
        <w:tabs>
          <w:tab w:leader="none" w:pos="2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the non-cash portion of straight-line rent expense recorded within Occupancy expenses on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comparability, the reconciliation of Loss from operations and Loss from operations margin, the most directly comparable GAAP financial measures, to Restaurant level operating profit and Restaurant level operating profit margin for the thirteen and thirty-nine weeks ended September 29, 2019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2"/>
          </w:tcPr>
          <w:p>
            <w:pPr>
              <w:ind w:left="18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2600" w:type="dxa"/>
            <w:vAlign w:val="bottom"/>
          </w:tcPr>
          <w:p>
            <w:pPr>
              <w:jc w:val="right"/>
              <w:ind w:right="320"/>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55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4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SEPTEMBER 29, 2019</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6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SEPTEMBER 29, 2019</w:t>
            </w:r>
          </w:p>
        </w:tc>
      </w:tr>
      <w:tr>
        <w:trPr>
          <w:trHeight w:val="183"/>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20" w:type="dxa"/>
            <w:vAlign w:val="bottom"/>
            <w:gridSpan w:val="4"/>
          </w:tcPr>
          <w:p>
            <w:pPr>
              <w:jc w:val="right"/>
              <w:ind w:right="2340"/>
              <w:spacing w:after="0"/>
              <w:rPr>
                <w:sz w:val="20"/>
                <w:szCs w:val="20"/>
                <w:color w:val="auto"/>
              </w:rPr>
            </w:pPr>
            <w:r>
              <w:rPr>
                <w:rFonts w:ascii="Arial" w:cs="Arial" w:eastAsia="Arial" w:hAnsi="Arial"/>
                <w:sz w:val="14"/>
                <w:szCs w:val="14"/>
                <w:b w:val="1"/>
                <w:bCs w:val="1"/>
                <w:color w:val="auto"/>
              </w:rPr>
              <w:t>(in thousands)</w:t>
            </w: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(3,678)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(35,028)</w:t>
            </w:r>
          </w:p>
        </w:tc>
      </w:tr>
      <w:tr>
        <w:trPr>
          <w:trHeight w:val="213"/>
        </w:trPr>
        <w:tc>
          <w:tcPr>
            <w:tcW w:w="5540" w:type="dxa"/>
            <w:vAlign w:val="bottom"/>
          </w:tcPr>
          <w:p>
            <w:pPr>
              <w:ind w:left="360"/>
              <w:spacing w:after="0"/>
              <w:rPr>
                <w:sz w:val="20"/>
                <w:szCs w:val="20"/>
                <w:color w:val="auto"/>
              </w:rPr>
            </w:pPr>
            <w:r>
              <w:rPr>
                <w:rFonts w:ascii="Arial" w:cs="Arial" w:eastAsia="Arial" w:hAnsi="Arial"/>
                <w:sz w:val="16"/>
                <w:szCs w:val="16"/>
                <w:color w:val="auto"/>
              </w:rPr>
              <w:t>Less: Franchise revenues</w:t>
            </w:r>
          </w:p>
        </w:tc>
        <w:tc>
          <w:tcPr>
            <w:tcW w:w="280" w:type="dxa"/>
            <w:vAlign w:val="bottom"/>
          </w:tcPr>
          <w:p>
            <w:pPr>
              <w:spacing w:after="0"/>
              <w:rPr>
                <w:sz w:val="18"/>
                <w:szCs w:val="18"/>
                <w:color w:val="auto"/>
              </w:rPr>
            </w:pPr>
          </w:p>
        </w:tc>
        <w:tc>
          <w:tcPr>
            <w:tcW w:w="2480" w:type="dxa"/>
            <w:vAlign w:val="bottom"/>
          </w:tcPr>
          <w:p>
            <w:pPr>
              <w:jc w:val="right"/>
              <w:ind w:right="81"/>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jc w:val="right"/>
              <w:ind w:right="80"/>
              <w:spacing w:after="0"/>
              <w:rPr>
                <w:sz w:val="20"/>
                <w:szCs w:val="20"/>
                <w:color w:val="auto"/>
              </w:rPr>
            </w:pPr>
            <w:r>
              <w:rPr>
                <w:rFonts w:ascii="Arial" w:cs="Arial" w:eastAsia="Arial" w:hAnsi="Arial"/>
                <w:sz w:val="16"/>
                <w:szCs w:val="16"/>
                <w:color w:val="auto"/>
              </w:rPr>
              <w:t>(5,597)</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r>
      <w:tr>
        <w:trPr>
          <w:trHeight w:val="213"/>
        </w:trPr>
        <w:tc>
          <w:tcPr>
            <w:tcW w:w="554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18"/>
                <w:szCs w:val="18"/>
                <w:color w:val="auto"/>
              </w:rPr>
            </w:pPr>
          </w:p>
        </w:tc>
        <w:tc>
          <w:tcPr>
            <w:tcW w:w="2480" w:type="dxa"/>
            <w:vAlign w:val="bottom"/>
          </w:tcPr>
          <w:p>
            <w:pPr>
              <w:jc w:val="right"/>
              <w:ind w:right="121"/>
              <w:spacing w:after="0"/>
              <w:rPr>
                <w:sz w:val="20"/>
                <w:szCs w:val="20"/>
                <w:color w:val="auto"/>
              </w:rPr>
            </w:pPr>
            <w:r>
              <w:rPr>
                <w:rFonts w:ascii="Arial" w:cs="Arial" w:eastAsia="Arial" w:hAnsi="Arial"/>
                <w:sz w:val="16"/>
                <w:szCs w:val="16"/>
                <w:color w:val="auto"/>
              </w:rPr>
              <w:t>14,578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jc w:val="right"/>
              <w:ind w:right="120"/>
              <w:spacing w:after="0"/>
              <w:rPr>
                <w:sz w:val="20"/>
                <w:szCs w:val="20"/>
                <w:color w:val="auto"/>
              </w:rPr>
            </w:pPr>
            <w:r>
              <w:rPr>
                <w:rFonts w:ascii="Arial" w:cs="Arial" w:eastAsia="Arial" w:hAnsi="Arial"/>
                <w:sz w:val="16"/>
                <w:szCs w:val="16"/>
                <w:color w:val="auto"/>
              </w:rPr>
              <w:t>40,480</w:t>
            </w:r>
          </w:p>
        </w:tc>
      </w:tr>
      <w:tr>
        <w:trPr>
          <w:trHeight w:val="219"/>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20,580</w:t>
            </w:r>
          </w:p>
        </w:tc>
      </w:tr>
      <w:tr>
        <w:trPr>
          <w:trHeight w:val="216"/>
        </w:trPr>
        <w:tc>
          <w:tcPr>
            <w:tcW w:w="5540" w:type="dxa"/>
            <w:vAlign w:val="bottom"/>
          </w:tcPr>
          <w:p>
            <w:pPr>
              <w:ind w:left="360"/>
              <w:spacing w:after="0" w:line="216" w:lineRule="exact"/>
              <w:rPr>
                <w:sz w:val="20"/>
                <w:szCs w:val="20"/>
                <w:color w:val="auto"/>
              </w:rPr>
            </w:pPr>
            <w:r>
              <w:rPr>
                <w:rFonts w:ascii="Arial" w:cs="Arial" w:eastAsia="Arial" w:hAnsi="Arial"/>
                <w:sz w:val="16"/>
                <w:szCs w:val="16"/>
                <w:color w:val="auto"/>
              </w:rPr>
              <w:t>Impairments and loss on disposal of assets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2480" w:type="dxa"/>
            <w:vAlign w:val="bottom"/>
          </w:tcPr>
          <w:p>
            <w:pPr>
              <w:jc w:val="right"/>
              <w:ind w:right="121"/>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jc w:val="right"/>
              <w:ind w:right="120"/>
              <w:spacing w:after="0"/>
              <w:rPr>
                <w:sz w:val="20"/>
                <w:szCs w:val="20"/>
                <w:color w:val="auto"/>
              </w:rPr>
            </w:pPr>
            <w:r>
              <w:rPr>
                <w:rFonts w:ascii="Arial" w:cs="Arial" w:eastAsia="Arial" w:hAnsi="Arial"/>
                <w:sz w:val="16"/>
                <w:szCs w:val="16"/>
                <w:color w:val="auto"/>
              </w:rPr>
              <w:t>33,086</w:t>
            </w:r>
          </w:p>
        </w:tc>
      </w:tr>
      <w:tr>
        <w:trPr>
          <w:trHeight w:val="216"/>
        </w:trPr>
        <w:tc>
          <w:tcPr>
            <w:tcW w:w="55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Transaction expenses, net</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1,548</w:t>
            </w:r>
          </w:p>
        </w:tc>
      </w:tr>
      <w:tr>
        <w:trPr>
          <w:trHeight w:val="207"/>
        </w:trPr>
        <w:tc>
          <w:tcPr>
            <w:tcW w:w="5540" w:type="dxa"/>
            <w:vAlign w:val="bottom"/>
          </w:tcPr>
          <w:p>
            <w:pPr>
              <w:ind w:left="20"/>
              <w:spacing w:after="0"/>
              <w:rPr>
                <w:sz w:val="20"/>
                <w:szCs w:val="20"/>
                <w:color w:val="auto"/>
              </w:rPr>
            </w:pPr>
            <w:r>
              <w:rPr>
                <w:rFonts w:ascii="Arial" w:cs="Arial" w:eastAsia="Arial" w:hAnsi="Arial"/>
                <w:sz w:val="16"/>
                <w:szCs w:val="16"/>
                <w:color w:val="auto"/>
              </w:rPr>
              <w:t>Restaurant level operating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480" w:type="dxa"/>
            <w:vAlign w:val="bottom"/>
          </w:tcPr>
          <w:p>
            <w:pPr>
              <w:jc w:val="right"/>
              <w:ind w:right="121"/>
              <w:spacing w:after="0"/>
              <w:rPr>
                <w:sz w:val="20"/>
                <w:szCs w:val="20"/>
                <w:color w:val="auto"/>
              </w:rPr>
            </w:pPr>
            <w:r>
              <w:rPr>
                <w:rFonts w:ascii="Arial" w:cs="Arial" w:eastAsia="Arial" w:hAnsi="Arial"/>
                <w:sz w:val="16"/>
                <w:szCs w:val="16"/>
                <w:color w:val="auto"/>
              </w:rPr>
              <w:t>17,187</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600" w:type="dxa"/>
            <w:vAlign w:val="bottom"/>
          </w:tcPr>
          <w:p>
            <w:pPr>
              <w:jc w:val="right"/>
              <w:ind w:right="120"/>
              <w:spacing w:after="0"/>
              <w:rPr>
                <w:sz w:val="20"/>
                <w:szCs w:val="20"/>
                <w:color w:val="auto"/>
              </w:rPr>
            </w:pPr>
            <w:r>
              <w:rPr>
                <w:rFonts w:ascii="Arial" w:cs="Arial" w:eastAsia="Arial" w:hAnsi="Arial"/>
                <w:sz w:val="16"/>
                <w:szCs w:val="16"/>
                <w:color w:val="auto"/>
              </w:rPr>
              <w:t>55,069</w:t>
            </w:r>
          </w:p>
        </w:tc>
      </w:tr>
      <w:tr>
        <w:trPr>
          <w:trHeight w:val="219"/>
        </w:trPr>
        <w:tc>
          <w:tcPr>
            <w:tcW w:w="5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480" w:type="dxa"/>
            <w:vAlign w:val="bottom"/>
          </w:tcPr>
          <w:p>
            <w:pPr>
              <w:jc w:val="right"/>
              <w:ind w:right="121"/>
              <w:spacing w:after="0"/>
              <w:rPr>
                <w:sz w:val="20"/>
                <w:szCs w:val="20"/>
                <w:color w:val="auto"/>
              </w:rPr>
            </w:pPr>
            <w:r>
              <w:rPr>
                <w:rFonts w:ascii="Arial" w:cs="Arial" w:eastAsia="Arial" w:hAnsi="Arial"/>
                <w:sz w:val="16"/>
                <w:szCs w:val="16"/>
                <w:color w:val="auto"/>
              </w:rPr>
              <w:t>107,742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600" w:type="dxa"/>
            <w:vAlign w:val="bottom"/>
          </w:tcPr>
          <w:p>
            <w:pPr>
              <w:jc w:val="right"/>
              <w:ind w:right="120"/>
              <w:spacing w:after="0"/>
              <w:rPr>
                <w:sz w:val="20"/>
                <w:szCs w:val="20"/>
                <w:color w:val="auto"/>
              </w:rPr>
            </w:pPr>
            <w:r>
              <w:rPr>
                <w:rFonts w:ascii="Arial" w:cs="Arial" w:eastAsia="Arial" w:hAnsi="Arial"/>
                <w:sz w:val="16"/>
                <w:szCs w:val="16"/>
                <w:color w:val="auto"/>
              </w:rPr>
              <w:t>316,564</w:t>
            </w:r>
          </w:p>
        </w:tc>
      </w:tr>
      <w:tr>
        <w:trPr>
          <w:trHeight w:val="219"/>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operations margin</w:t>
            </w:r>
          </w:p>
        </w:tc>
        <w:tc>
          <w:tcPr>
            <w:tcW w:w="2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5540" w:type="dxa"/>
            <w:vAlign w:val="bottom"/>
          </w:tcPr>
          <w:p>
            <w:pPr>
              <w:ind w:left="360"/>
              <w:spacing w:after="0"/>
              <w:rPr>
                <w:sz w:val="20"/>
                <w:szCs w:val="20"/>
                <w:color w:val="auto"/>
              </w:rPr>
            </w:pPr>
            <w:r>
              <w:rPr>
                <w:rFonts w:ascii="Arial" w:cs="Arial" w:eastAsia="Arial" w:hAnsi="Arial"/>
                <w:sz w:val="16"/>
                <w:szCs w:val="16"/>
                <w:color w:val="auto"/>
              </w:rPr>
              <w:t>Restaurant level operating profit margin</w:t>
            </w:r>
          </w:p>
        </w:tc>
        <w:tc>
          <w:tcPr>
            <w:tcW w:w="2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17.4 %</w:t>
            </w:r>
          </w:p>
        </w:tc>
      </w:tr>
      <w:tr>
        <w:trPr>
          <w:trHeight w:val="219"/>
        </w:trPr>
        <w:tc>
          <w:tcPr>
            <w:tcW w:w="5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Additional information</w:t>
            </w:r>
          </w:p>
        </w:tc>
        <w:tc>
          <w:tcPr>
            <w:tcW w:w="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9"/>
        </w:trPr>
        <w:tc>
          <w:tcPr>
            <w:tcW w:w="55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4,525</w:t>
            </w:r>
          </w:p>
        </w:tc>
      </w:tr>
      <w:tr>
        <w:trPr>
          <w:trHeight w:val="279"/>
        </w:trPr>
        <w:tc>
          <w:tcPr>
            <w:tcW w:w="5540" w:type="dxa"/>
            <w:vAlign w:val="bottom"/>
          </w:tcPr>
          <w:p>
            <w:pPr>
              <w:ind w:left="360"/>
              <w:spacing w:after="0"/>
              <w:rPr>
                <w:sz w:val="20"/>
                <w:szCs w:val="20"/>
                <w:color w:val="auto"/>
              </w:rPr>
            </w:pPr>
            <w:r>
              <w:rPr>
                <w:rFonts w:ascii="Arial" w:cs="Arial" w:eastAsia="Arial" w:hAnsi="Arial"/>
                <w:sz w:val="16"/>
                <w:szCs w:val="16"/>
                <w:color w:val="auto"/>
              </w:rPr>
              <w:t xml:space="preserve">Deferred rent expense </w:t>
            </w:r>
            <w:r>
              <w:rPr>
                <w:rFonts w:ascii="Arial" w:cs="Arial" w:eastAsia="Arial" w:hAnsi="Arial"/>
                <w:sz w:val="21"/>
                <w:szCs w:val="21"/>
                <w:color w:val="auto"/>
                <w:vertAlign w:val="superscript"/>
              </w:rPr>
              <w:t>(4)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480" w:type="dxa"/>
            <w:vAlign w:val="bottom"/>
          </w:tcPr>
          <w:p>
            <w:pPr>
              <w:jc w:val="right"/>
              <w:ind w:right="121"/>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600" w:type="dxa"/>
            <w:vAlign w:val="bottom"/>
          </w:tcPr>
          <w:p>
            <w:pPr>
              <w:jc w:val="right"/>
              <w:ind w:right="120"/>
              <w:spacing w:after="0"/>
              <w:rPr>
                <w:sz w:val="20"/>
                <w:szCs w:val="20"/>
                <w:color w:val="auto"/>
              </w:rPr>
            </w:pPr>
            <w:r>
              <w:rPr>
                <w:rFonts w:ascii="Arial" w:cs="Arial" w:eastAsia="Arial" w:hAnsi="Arial"/>
                <w:sz w:val="16"/>
                <w:szCs w:val="16"/>
                <w:color w:val="auto"/>
              </w:rPr>
              <w:t>3,256</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firstLine="8"/>
        <w:spacing w:after="0"/>
        <w:tabs>
          <w:tab w:leader="none" w:pos="253"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impairments recognized on intangible assets and fixed assets as well as costs related to the disposal of assets due to retirements, replacements or certain restaurant closures.</w:t>
      </w:r>
    </w:p>
    <w:p>
      <w:pPr>
        <w:jc w:val="both"/>
        <w:ind w:firstLine="8"/>
        <w:spacing w:after="0" w:line="228" w:lineRule="auto"/>
        <w:tabs>
          <w:tab w:leader="none" w:pos="2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Primarily represents costs incurred in connection with the acquisition of certain franchise-owned restaurants, costs incurred in connection with the conversion of certain restaurants to company-owned restaurants operating under the First Watch trade name and costs related to restaurant closures. In addition, the amount also includes the revaluation of the contingent consideration payable to previous stockholders for tax savings generated through use of federal and state loss carryforwards and general business credits that had been accumulated from operations prior to August 2017. See Note 10, </w:t>
      </w:r>
      <w:r>
        <w:rPr>
          <w:rFonts w:ascii="Arial" w:cs="Arial" w:eastAsia="Arial" w:hAnsi="Arial"/>
          <w:sz w:val="16"/>
          <w:szCs w:val="16"/>
          <w:i w:val="1"/>
          <w:iCs w:val="1"/>
          <w:color w:val="auto"/>
        </w:rPr>
        <w:t>Income Taxes</w:t>
      </w:r>
      <w:r>
        <w:rPr>
          <w:rFonts w:ascii="Arial" w:cs="Arial" w:eastAsia="Arial" w:hAnsi="Arial"/>
          <w:sz w:val="16"/>
          <w:szCs w:val="16"/>
          <w:color w:val="auto"/>
        </w:rPr>
        <w:t>, in the accompanying notes to the unaudited interim consolidated financial statements.</w:t>
      </w:r>
    </w:p>
    <w:p>
      <w:pPr>
        <w:spacing w:after="0" w:line="3" w:lineRule="exact"/>
        <w:rPr>
          <w:rFonts w:ascii="Arial" w:cs="Arial" w:eastAsia="Arial" w:hAnsi="Arial"/>
          <w:sz w:val="16"/>
          <w:szCs w:val="16"/>
          <w:color w:val="auto"/>
        </w:rPr>
      </w:pPr>
    </w:p>
    <w:p>
      <w:pPr>
        <w:jc w:val="both"/>
        <w:ind w:firstLine="8"/>
        <w:spacing w:after="0" w:line="234"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expenses directly incurred to open new restaurants, including pre-opening rent, manager salaries, recruiting expenses, employee payroll, training, and marketing costs. These costs are recorded within Other restaurant operating expenses and Occupancy expenses on the Consolidated Statements of Operations and Comprehensive Income (Loss).</w:t>
      </w:r>
    </w:p>
    <w:p>
      <w:pPr>
        <w:spacing w:after="0" w:line="1" w:lineRule="exact"/>
        <w:rPr>
          <w:rFonts w:ascii="Arial" w:cs="Arial" w:eastAsia="Arial" w:hAnsi="Arial"/>
          <w:sz w:val="16"/>
          <w:szCs w:val="16"/>
          <w:color w:val="auto"/>
        </w:rPr>
      </w:pPr>
    </w:p>
    <w:p>
      <w:pPr>
        <w:ind w:firstLine="8"/>
        <w:spacing w:after="0" w:line="257" w:lineRule="auto"/>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the non-cash portion of straight-line rent expense recorded within Occupancy expenses on the Consolidated Statements of Operations and Comprehensive Income (Loss).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sources of liquidity are cash flow from operations, cash and cash equivalents, credit capacity under our new facilities, as described in “</w:t>
      </w:r>
      <w:r>
        <w:rPr>
          <w:rFonts w:ascii="Arial" w:cs="Arial" w:eastAsia="Arial" w:hAnsi="Arial"/>
          <w:sz w:val="17"/>
          <w:szCs w:val="17"/>
          <w:i w:val="1"/>
          <w:iCs w:val="1"/>
          <w:color w:val="auto"/>
        </w:rPr>
        <w:t>Debt</w:t>
      </w:r>
      <w:r>
        <w:rPr>
          <w:rFonts w:ascii="Arial" w:cs="Arial" w:eastAsia="Arial" w:hAnsi="Arial"/>
          <w:sz w:val="17"/>
          <w:szCs w:val="17"/>
          <w:color w:val="auto"/>
        </w:rPr>
        <w:t xml:space="preserve"> </w:t>
      </w:r>
      <w:r>
        <w:rPr>
          <w:rFonts w:ascii="Arial" w:cs="Arial" w:eastAsia="Arial" w:hAnsi="Arial"/>
          <w:sz w:val="17"/>
          <w:szCs w:val="17"/>
          <w:i w:val="1"/>
          <w:iCs w:val="1"/>
          <w:color w:val="auto"/>
        </w:rPr>
        <w:t>Refinancing</w:t>
      </w:r>
      <w:r>
        <w:rPr>
          <w:rFonts w:ascii="Arial" w:cs="Arial" w:eastAsia="Arial" w:hAnsi="Arial"/>
          <w:sz w:val="17"/>
          <w:szCs w:val="17"/>
          <w:color w:val="auto"/>
        </w:rPr>
        <w:t>,” herein, and proceeds from equity offerings, including our IPO. On October 5, 2021, the Company completed its IPO, pursuant to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sold 10,877,850 shares of common stock at the IPO price of $18.00 per share, which included the full exercise by the underwriters of their option to purchase up to an additional 1,418,850 shares of common stock. We received aggregate net proceeds of $182.1 million.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2021, we used the net proceeds of $182.1 million from the IPO, the proceeds received from the new facilities, as described in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Refinancing</w:t>
      </w:r>
      <w:r>
        <w:rPr>
          <w:rFonts w:ascii="Arial" w:cs="Arial" w:eastAsia="Arial" w:hAnsi="Arial"/>
          <w:sz w:val="18"/>
          <w:szCs w:val="18"/>
          <w:color w:val="auto"/>
        </w:rPr>
        <w:t>,” herein, and cash on hand to repay all outstanding indebtedness under the Senior Credit Facilities.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26, 2021, we had cash and cash equivalents of $51.9 million, $288.9 million in outstanding borrowings, excluding unamortized debt issuance costs and deferred issuance costs, under our Senior Credit Facilities. As of September 26, 2021, we had availability under our Senior Credit Facilities of $21.1 million. Our principal uses of cash include capital expenditures for the development, acquisition or remodeling of restaurants, lease obligations, debt service payments and strategic infrastructure investments. Our requirements for working capital are not significant because our customers pay for their food and beverage purchases in cash or on debit or credit cards at the time of the sale and we are able to sell many of our inventory items before payment is due to the supplier of such items.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our capital expenditures will total approximately $30.0 million to $35.0 million in fiscal 2021, which we plan to fund primarily with cash generated from our operating activities.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cash flow from operations, availability under our new facilities, as described in “</w:t>
      </w:r>
      <w:r>
        <w:rPr>
          <w:rFonts w:ascii="Arial" w:cs="Arial" w:eastAsia="Arial" w:hAnsi="Arial"/>
          <w:sz w:val="18"/>
          <w:szCs w:val="18"/>
          <w:i w:val="1"/>
          <w:iCs w:val="1"/>
          <w:color w:val="auto"/>
        </w:rPr>
        <w:t>Debt Refinancing</w:t>
      </w:r>
      <w:r>
        <w:rPr>
          <w:rFonts w:ascii="Arial" w:cs="Arial" w:eastAsia="Arial" w:hAnsi="Arial"/>
          <w:sz w:val="18"/>
          <w:szCs w:val="18"/>
          <w:color w:val="auto"/>
        </w:rPr>
        <w:t>,” herein, and available cash and cash equivalents will be sufficient to meet our liquidity needs for at least the next 12 months. We anticipate that to the extent that we require additional liquidity, it will be funded through additional indebtedness, the issuance of equity, or a combination thereof.</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that our current level of total available liquidity is sufficient to meet our short-term and long-term liquidity requirements, we regularly evaluate opportunities to improve our liquidity position in order to enhance financial flexibility. Although we have no specific current plans to do so, if we decide to pursue one or more significant acquisitions, we may incur additional debt or sell additional equity to finance such acquisitions, which would result in additional expenses or dilution.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Facilities and Unused Borrowing Capacity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Senior Credit Facilities were due to mature on August 21, 2023. We pledged substantially all our assets under our Senior Credit Facilities. For our Senior Credit Facilities excluding the Revolving Facility, principal payments at a rate of 0.25% of the original principal amounts were due quarterly with the remainder of principal (including paid-in-kind interest) and unpaid interest due at maturity, and had a commitment fee payable quarterly in arrears at 1% per annum, applicable to unused commitments. Our Revolving Facility included a commitment fee at a rate of 0.50% per annum of the initial revolving credit commitment. The Senior Credit Facilities contained covenants that provided for, among other things, maintenance of certain ratios and restrictions on additional indebtedness. We were in compliance with the covenants as of September 26, 2021 and December 27,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unused borrowing capacity as of September 26, 2021 and December 27,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DECEMBER 27, 2020</w:t>
            </w:r>
          </w:p>
        </w:tc>
      </w:tr>
      <w:tr>
        <w:trPr>
          <w:trHeight w:val="187"/>
        </w:trPr>
        <w:tc>
          <w:tcPr>
            <w:tcW w:w="8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Undrawn revolving credit facility</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Undrawn second amendment delayed draw term facility</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unused borrowing capacity</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Refinancing</w:t>
      </w:r>
    </w:p>
    <w:p>
      <w:pPr>
        <w:spacing w:after="0" w:line="25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On October 6, 2021, FWR Holding Corporation </w:t>
      </w:r>
      <w:r>
        <w:rPr>
          <w:rFonts w:ascii="Arial" w:cs="Arial" w:eastAsia="Arial" w:hAnsi="Arial"/>
          <w:sz w:val="19"/>
          <w:szCs w:val="19"/>
          <w:color w:val="auto"/>
        </w:rPr>
        <w:t>(“FWR”), one of our</w:t>
      </w:r>
      <w:r>
        <w:rPr>
          <w:rFonts w:ascii="Arial" w:cs="Arial" w:eastAsia="Arial" w:hAnsi="Arial"/>
          <w:sz w:val="18"/>
          <w:szCs w:val="18"/>
          <w:color w:val="auto"/>
        </w:rPr>
        <w:t xml:space="preserve"> indirect subsidiaries, entered into a credit agreement (the “FWR Credit Agreement”), with Bank of America, N.A., as administrative agent (the “Administrative Agent”), the lenders party thereto and the other parties specified therein. The FWR Credit Agreement provides for (i) a $100 million term loan A facility (the “New Term Facility”) and (ii) a $75 million revolving credit facility (the “New Revolving Credit Facility” and, together with the New Term Facility, collectively, the “New Facilities”). The loans under the New Facilities mature on October 6, 2026. The New Facilities are guaranteed, subject to customary exceptions, by all of FWR’s wholly-owned domestic restricted subsidiaries and by AI Fresh Parent, Inc., the direct parent company of FWR, and are secured by associated collateral agreements that pledge a lien on substantially all of FWR’s assets, including fixed assets and intangibles, and the assets of the guarantors, in each case, subject to customary exceptions.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New Term Facility is subject to amortization of principal, payable in quarterly installments on the last business day of each fiscal quarter, commencing on March 28, 2022 (the “Initial Amortization Date”), equal to approximately 2.50% of the principal amount of the term loans in the first fiscal year after the Initial Amortization Date, 5.00% of the principal amount of the term loans in the second fiscal year after the Initial Amortization Date, 5.00% of the principal amount of the term loans in the third fiscal year after the Initial Amortization Date, 7.50% of the principal amount of the term loans in the fourth fiscal year after the Initial Amortization Date and 10.00% of the principal amount of the term loans in the fifth fiscal year after the Initial Amortization Date. The remaining aggregate principal amount outstanding (together with accrued and unpaid interest on the principal amount) under the New Term Facility is payable at the maturity of the New Term Facility.</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loans under the New Facilities bear interest at rates based upon, at the option of FWR, either (i) the base rate plus a margin of between 125 and 200 basis points depending on the total rent adjusted net leverage ratio of FWR and its restricted subsidiaries on a consolidated basis (the “Total Rent Adjusted Net Leverage Ratio”) and (ii) the London interbank offer rate (“LIBOR”) plus a margin of between 225 and 300 basis points depending on the Total Rent Adjusted Net Leverage Ratio. Until the delivery under the FWR Credit Agreement of the financial statements for the first full fiscal quarter ending after the Closing Date, the New Facilities bear interest, at the option of FWR, at either (i) the base rate plus a margin of 150 basis points or (ii) the LIBOR plus a margin of 250 basis points. In addition, FWR will pay an unused commitment fee of between 25 and 50 basis points on the undrawn commitments under the New Revolving Credit Facility, also depending on the Total Rent Adjusted Net Leverage Ratio. The FWR Credit Agreement contains LIBOR fallback language, pursuant to which the Administrative Agent and FWR may amend the FWR Credit Agreement to replace the LIBOR with a secured overnight financing rate or another alternate benchmark rate upon reference rate reform and the occurrence of certain LIBOR cessation events.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our cash provided by (used in) operating, investing and financing activities for the thirty-nine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2021 and September 27,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8180" w:type="dxa"/>
            <w:vAlign w:val="bottom"/>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SEPTEMBER 27, 2020</w:t>
            </w:r>
          </w:p>
        </w:tc>
      </w:tr>
      <w:tr>
        <w:trPr>
          <w:trHeight w:val="183"/>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5"/>
                <w:szCs w:val="15"/>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operating activities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3"/>
              </w:rPr>
              <w:t>(20,393)</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(27,424)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center"/>
              <w:ind w:left="159"/>
              <w:spacing w:after="0"/>
              <w:rPr>
                <w:sz w:val="20"/>
                <w:szCs w:val="20"/>
                <w:color w:val="auto"/>
              </w:rPr>
            </w:pPr>
            <w:r>
              <w:rPr>
                <w:rFonts w:ascii="Arial" w:cs="Arial" w:eastAsia="Arial" w:hAnsi="Arial"/>
                <w:sz w:val="16"/>
                <w:szCs w:val="16"/>
                <w:color w:val="auto"/>
                <w:w w:val="93"/>
              </w:rPr>
              <w:t>(22,328)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93"/>
              </w:rPr>
              <w:t>74,167</w:t>
            </w:r>
          </w:p>
        </w:tc>
      </w:tr>
      <w:tr>
        <w:trPr>
          <w:trHeight w:val="206"/>
        </w:trPr>
        <w:tc>
          <w:tcPr>
            <w:tcW w:w="81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13,005</w:t>
            </w:r>
          </w:p>
        </w:tc>
        <w:tc>
          <w:tcPr>
            <w:tcW w:w="100" w:type="dxa"/>
            <w:vAlign w:val="bottom"/>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3"/>
              </w:rPr>
              <w:t>31,446</w:t>
            </w:r>
          </w:p>
        </w:tc>
      </w:tr>
      <w:tr>
        <w:trPr>
          <w:trHeight w:val="24"/>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provided by operating during the thirty-nine weeks ended September 26, 2021 as compared to cash used in operating activities during the thirty-nine weeks ended September 27, 2020 was primarily driven by (i) the increase in net income of $45.1 million as a result of the recovery in restaurant sales and traffic, which had declined in 2020 as a result of the COVID-19 pandemic, (ii) the timing of operational receipts and payments and (iii) higher accrued wages, partially offset by (iv) the payments for rent deferrals and (v) the payment of deferred offering costs in connection with our IPO.</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increased during the thirty-nine weeks ended September 26, 2021 as compared to the same period in the prior year primarily as a result of curtailing new restaurant construction during the first half of fiscal 2020 due to the COVID-19 pandemic.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flows used in financing activities during the thirty-nine weeks ended September 26, 2021 comprised of repayments on our Senior Credit Facilities and payments of deferred offering costs, as compared to proceeds from an offering of preferred shares totaling $40.0 million and the issuance of long-term debt, net of repayments made on our Senior Credit Facilities during the thirty-nine weeks ended September 27,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26, 2021, there have been no material changes to the contractual obligations as of December 27, 2020, included in the IPO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Debt Refinancing</w:t>
      </w:r>
      <w:r>
        <w:rPr>
          <w:rFonts w:ascii="Arial" w:cs="Arial" w:eastAsia="Arial" w:hAnsi="Arial"/>
          <w:sz w:val="18"/>
          <w:szCs w:val="18"/>
          <w:color w:val="auto"/>
        </w:rPr>
        <w:t>” above for a discussion on the new credit agreement entered into on October 6,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certain letters of credit entered into as security under the terms of several of our leases entered into in the normal course of business, we did not have any off-balance sheet arrangements as of September 26, 2021 and December 27,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 in the IPO Prospectus.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discussion of recently issued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accompanying notes to the unaudited interim consolidated financial statements.</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exposure to market risks as disclosed in the IPO Prospectus.</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under the Exchange Act, such as this Quarterly Report on Form 10-Q, is recorded, processed, summarized and reported within the time periods specified in the SEC’s rules and forms.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Form 10-Q. Due to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material weaknesses in our internal control over financial reporting discussed below, our Chief Executive Officer and Chief Financial Officer concluded that, as of September 26, 2021,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identified material weaknesses in our internal control over financial reporting. The material weaknesses we identified were as follows: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188" w:lineRule="exact"/>
        <w:rPr>
          <w:sz w:val="20"/>
          <w:szCs w:val="20"/>
          <w:color w:val="auto"/>
        </w:rPr>
      </w:pPr>
    </w:p>
    <w:p>
      <w:pPr>
        <w:jc w:val="both"/>
        <w:ind w:left="660" w:hanging="328"/>
        <w:spacing w:after="0" w:line="279"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 consolidated financial statements, which were recorded prior to the issuance of our fiscal 2018 consolidated financial statements.</w:t>
      </w:r>
    </w:p>
    <w:p>
      <w:pPr>
        <w:spacing w:after="0" w:line="198"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the issuance of our fiscal 2018 consolidated financial statements.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w:t>
      </w:r>
    </w:p>
    <w:p>
      <w:pPr>
        <w:spacing w:after="0" w:line="21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 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taken certain measures to remediate the material weaknesses described above, including hiring additional personnel, designing and implementing formal procedures and controls supporting the Company’s period-end financial reporting process, such as controls over the preparation and review of account reconciliations and disclosures in the consolidated financial statements and designing certain information technology general controls. We are in the process of implementing additional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 personnel, evaluating our financial and information technology control environment and augmenting our internal controls with new accounting policies and procedures, and designing and implementing financial reporting controls, income tax controls, and information technology general controls. At this time, we cannot provide an estimate of costs expected to be incurred in connection with implementing a remediation plan; however, these remediation measures will be time consuming and will place significant demands on our financial and operational resources.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believe that the efforts taken to date and those planned for remediation will improve the effectiveness of our internal control over financial reporting, these remediation efforts are ongoing and will require a sufficient period of time to operate for management to be able to conclude that the design is effective to address the risks of material misstatement and that such controls are operating effectively through testing of such controls. We may conclude that additional measures are necessary to remediate the material weaknesses in our internal control over financial reporting, which may necessitate additional evaluation and implementation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for the remediation efforts described above, there were no changes in our internal control over financial reporting that occurred during the fiscal quarter ended September 26, 2021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as disclosed in the IPO Prospectus.</w:t>
      </w:r>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5, 2021, the Company completed its IPO, in which the Company sold 10,877,850 shares of common stock at the initial public offering price of $18.00 per share, which included the full exercise by the underwriters of their option to purchase up to an additional 1,418,850 shares of common stock. The Company received aggregate net proceeds of $182.1 million after deducting underwriting discounts and commissions of $13.7 million. The net proceeds were received on October 5, 2021 and were used to repay $182.1 million of borrowings outstanding under the Senior Credit Facilities.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the expenses associated with the IPO were paid to directors, officers, persons owning 10% or more of any class of the Company’s equity securities or to their associates or to our affiliates. BofA Securities Inc., Goldman Sachs &amp; Co. LLC and Jefferies LLC acted as representatives of the underwriters for the offering.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IPO closed on October 5, 2021. The offering terminated after all of the shares of common stock were sold.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was no material change in the planned use of proceeds from the IPO as described in the IPO Prospectus.</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in the Exhibits index to this Form 10-Q are incorporated herein by reference.</w:t>
      </w:r>
    </w:p>
    <w:p>
      <w:pPr>
        <w:spacing w:after="0" w:line="3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ind w:left="240"/>
        <w:spacing w:after="0"/>
        <w:tabs>
          <w:tab w:leader="none" w:pos="36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6120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80"/>
        <w:spacing w:after="0" w:line="239" w:lineRule="auto"/>
        <w:rPr>
          <w:sz w:val="20"/>
          <w:szCs w:val="20"/>
          <w:color w:val="auto"/>
        </w:rPr>
      </w:pPr>
      <w:r>
        <w:rPr>
          <w:rFonts w:ascii="Arial" w:cs="Arial" w:eastAsia="Arial" w:hAnsi="Arial"/>
          <w:sz w:val="14"/>
          <w:szCs w:val="14"/>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6920" w:space="460"/>
            <w:col w:w="3860"/>
          </w:cols>
          <w:pgMar w:left="320" w:top="125" w:right="33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600" w:type="dxa"/>
            <w:vAlign w:val="bottom"/>
            <w:vMerge w:val="restart"/>
          </w:tcPr>
          <w:p>
            <w:pPr>
              <w:jc w:val="center"/>
              <w:ind w:right="210"/>
              <w:spacing w:after="0"/>
              <w:rPr>
                <w:sz w:val="20"/>
                <w:szCs w:val="20"/>
                <w:color w:val="auto"/>
              </w:rPr>
            </w:pPr>
            <w:r>
              <w:rPr>
                <w:rFonts w:ascii="Arial" w:cs="Arial" w:eastAsia="Arial" w:hAnsi="Arial"/>
                <w:sz w:val="18"/>
                <w:szCs w:val="18"/>
                <w:color w:val="auto"/>
                <w:w w:val="87"/>
              </w:rPr>
              <w:t>3.1</w:t>
            </w:r>
          </w:p>
        </w:tc>
        <w:tc>
          <w:tcPr>
            <w:tcW w:w="6140" w:type="dxa"/>
            <w:vAlign w:val="bottom"/>
            <w:tcBorders>
              <w:bottom w:val="single" w:sz="8" w:color="0000FF"/>
            </w:tcBorders>
            <w:gridSpan w:val="11"/>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Amended and Restated Certificate of Incorporation of First Watch Restaurant Group,</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00" w:type="dxa"/>
            <w:vAlign w:val="bottom"/>
            <w:vMerge w:val="continue"/>
          </w:tcPr>
          <w:p>
            <w:pPr>
              <w:spacing w:after="0"/>
              <w:rPr>
                <w:sz w:val="8"/>
                <w:szCs w:val="8"/>
                <w:color w:val="auto"/>
              </w:rPr>
            </w:pPr>
          </w:p>
        </w:tc>
        <w:tc>
          <w:tcPr>
            <w:tcW w:w="6260" w:type="dxa"/>
            <w:vAlign w:val="bottom"/>
            <w:gridSpan w:val="13"/>
            <w:vMerge w:val="restart"/>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Inc.</w:t>
              </w:r>
            </w:hyperlink>
          </w:p>
        </w:tc>
        <w:tc>
          <w:tcPr>
            <w:tcW w:w="0" w:type="dxa"/>
            <w:vAlign w:val="bottom"/>
          </w:tcPr>
          <w:p>
            <w:pPr>
              <w:spacing w:after="0"/>
              <w:rPr>
                <w:sz w:val="1"/>
                <w:szCs w:val="1"/>
                <w:color w:val="auto"/>
              </w:rPr>
            </w:pPr>
          </w:p>
        </w:tc>
      </w:tr>
      <w:tr>
        <w:trPr>
          <w:trHeight w:val="54"/>
        </w:trPr>
        <w:tc>
          <w:tcPr>
            <w:tcW w:w="600" w:type="dxa"/>
            <w:vAlign w:val="bottom"/>
          </w:tcPr>
          <w:p>
            <w:pPr>
              <w:spacing w:after="0"/>
              <w:rPr>
                <w:sz w:val="4"/>
                <w:szCs w:val="4"/>
                <w:color w:val="auto"/>
              </w:rPr>
            </w:pPr>
          </w:p>
        </w:tc>
        <w:tc>
          <w:tcPr>
            <w:tcW w:w="626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jc w:val="center"/>
              <w:ind w:right="210"/>
              <w:spacing w:after="0"/>
              <w:rPr>
                <w:sz w:val="20"/>
                <w:szCs w:val="20"/>
                <w:color w:val="auto"/>
              </w:rPr>
            </w:pPr>
            <w:r>
              <w:rPr>
                <w:rFonts w:ascii="Arial" w:cs="Arial" w:eastAsia="Arial" w:hAnsi="Arial"/>
                <w:sz w:val="18"/>
                <w:szCs w:val="18"/>
                <w:color w:val="auto"/>
                <w:w w:val="87"/>
              </w:rPr>
              <w:t>3.2</w:t>
            </w:r>
          </w:p>
        </w:tc>
        <w:tc>
          <w:tcPr>
            <w:tcW w:w="5020" w:type="dxa"/>
            <w:vAlign w:val="bottom"/>
            <w:tcBorders>
              <w:bottom w:val="single" w:sz="8" w:color="0000FF"/>
            </w:tcBorders>
            <w:gridSpan w:val="6"/>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Amended and Restated Bylaws of First Watch Restaurant Group, Inc.</w:t>
              </w:r>
            </w:hyperlink>
          </w:p>
        </w:tc>
        <w:tc>
          <w:tcPr>
            <w:tcW w:w="12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6260" w:type="dxa"/>
            <w:vAlign w:val="bottom"/>
            <w:gridSpan w:val="13"/>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Form of Certificate of Common Stock</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10.1</w:t>
            </w:r>
          </w:p>
        </w:tc>
        <w:tc>
          <w:tcPr>
            <w:tcW w:w="6260" w:type="dxa"/>
            <w:vAlign w:val="bottom"/>
            <w:tcBorders>
              <w:bottom w:val="single" w:sz="8" w:color="0000FF"/>
            </w:tcBorders>
            <w:gridSpan w:val="13"/>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Credit Agreement by and among FWR Holding Corporation, AI Fresh Parent, Inc., the</w:t>
              </w:r>
            </w:hyperlink>
          </w:p>
        </w:tc>
        <w:tc>
          <w:tcPr>
            <w:tcW w:w="0" w:type="dxa"/>
            <w:vAlign w:val="bottom"/>
          </w:tcPr>
          <w:p>
            <w:pPr>
              <w:spacing w:after="0"/>
              <w:rPr>
                <w:sz w:val="1"/>
                <w:szCs w:val="1"/>
                <w:color w:val="auto"/>
              </w:rPr>
            </w:pPr>
          </w:p>
        </w:tc>
      </w:tr>
      <w:tr>
        <w:trPr>
          <w:trHeight w:val="156"/>
        </w:trPr>
        <w:tc>
          <w:tcPr>
            <w:tcW w:w="600" w:type="dxa"/>
            <w:vAlign w:val="bottom"/>
            <w:vMerge w:val="continue"/>
          </w:tcPr>
          <w:p>
            <w:pPr>
              <w:spacing w:after="0"/>
              <w:rPr>
                <w:sz w:val="13"/>
                <w:szCs w:val="13"/>
                <w:color w:val="auto"/>
              </w:rPr>
            </w:pPr>
          </w:p>
        </w:tc>
        <w:tc>
          <w:tcPr>
            <w:tcW w:w="6260" w:type="dxa"/>
            <w:vAlign w:val="bottom"/>
            <w:gridSpan w:val="13"/>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lenders party thereto, the other parties therein and Bank of America, N.A., as</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administrative agent</w:t>
              </w:r>
            </w:hyperlink>
          </w:p>
        </w:tc>
        <w:tc>
          <w:tcPr>
            <w:tcW w:w="4060" w:type="dxa"/>
            <w:vAlign w:val="bottom"/>
            <w:tcBorders>
              <w:top w:val="single" w:sz="8" w:color="0000FF"/>
            </w:tcBorders>
            <w:gridSpan w:val="3"/>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31.1</w:t>
            </w:r>
          </w:p>
        </w:tc>
        <w:tc>
          <w:tcPr>
            <w:tcW w:w="61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the Chief Executive Officer pursuant to Section 302 of the Sarbanes-</w:t>
              </w:r>
            </w:hyperlink>
          </w:p>
        </w:tc>
        <w:tc>
          <w:tcPr>
            <w:tcW w:w="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vMerge w:val="continue"/>
          </w:tcPr>
          <w:p>
            <w:pPr>
              <w:spacing w:after="0"/>
              <w:rPr>
                <w:sz w:val="8"/>
                <w:szCs w:val="8"/>
                <w:color w:val="auto"/>
              </w:rPr>
            </w:pPr>
          </w:p>
        </w:tc>
        <w:tc>
          <w:tcPr>
            <w:tcW w:w="1360" w:type="dxa"/>
            <w:vAlign w:val="bottom"/>
            <w:gridSpan w:val="3"/>
            <w:vMerge w:val="restart"/>
          </w:tcPr>
          <w:p>
            <w:pPr>
              <w:spacing w:after="0" w:line="156" w:lineRule="exact"/>
              <w:rPr>
                <w:rFonts w:ascii="Arial" w:cs="Arial" w:eastAsia="Arial" w:hAnsi="Arial"/>
                <w:sz w:val="18"/>
                <w:szCs w:val="18"/>
                <w:color w:val="0000FF"/>
                <w:w w:val="94"/>
              </w:rPr>
            </w:pPr>
            <w:hyperlink w:anchor="page42">
              <w:r>
                <w:rPr>
                  <w:rFonts w:ascii="Arial" w:cs="Arial" w:eastAsia="Arial" w:hAnsi="Arial"/>
                  <w:sz w:val="18"/>
                  <w:szCs w:val="18"/>
                  <w:color w:val="0000FF"/>
                  <w:w w:val="94"/>
                </w:rPr>
                <w:t>Oxley Act of 2002</w:t>
              </w:r>
            </w:hyperlink>
          </w:p>
        </w:tc>
        <w:tc>
          <w:tcPr>
            <w:tcW w:w="4900" w:type="dxa"/>
            <w:vAlign w:val="bottom"/>
            <w:gridSpan w:val="10"/>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00" w:type="dxa"/>
            <w:vAlign w:val="bottom"/>
          </w:tcPr>
          <w:p>
            <w:pPr>
              <w:spacing w:after="0"/>
              <w:rPr>
                <w:sz w:val="4"/>
                <w:szCs w:val="4"/>
                <w:color w:val="auto"/>
              </w:rPr>
            </w:pPr>
          </w:p>
        </w:tc>
        <w:tc>
          <w:tcPr>
            <w:tcW w:w="1360" w:type="dxa"/>
            <w:vAlign w:val="bottom"/>
            <w:tcBorders>
              <w:bottom w:val="single" w:sz="8" w:color="0000FF"/>
            </w:tcBorders>
            <w:gridSpan w:val="3"/>
            <w:vMerge w:val="continue"/>
          </w:tcPr>
          <w:p>
            <w:pPr>
              <w:spacing w:after="0"/>
              <w:rPr>
                <w:sz w:val="4"/>
                <w:szCs w:val="4"/>
                <w:color w:val="auto"/>
              </w:rPr>
            </w:pPr>
          </w:p>
        </w:tc>
        <w:tc>
          <w:tcPr>
            <w:tcW w:w="49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31.2</w:t>
            </w:r>
          </w:p>
        </w:tc>
        <w:tc>
          <w:tcPr>
            <w:tcW w:w="6260" w:type="dxa"/>
            <w:vAlign w:val="bottom"/>
            <w:gridSpan w:val="13"/>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 of the Chief Financial Officer pursuant to Section 302 of the Sarbanes-</w:t>
              </w:r>
            </w:hyperlink>
          </w:p>
        </w:tc>
        <w:tc>
          <w:tcPr>
            <w:tcW w:w="0" w:type="dxa"/>
            <w:vAlign w:val="bottom"/>
          </w:tcPr>
          <w:p>
            <w:pPr>
              <w:spacing w:after="0"/>
              <w:rPr>
                <w:sz w:val="1"/>
                <w:szCs w:val="1"/>
                <w:color w:val="auto"/>
              </w:rPr>
            </w:pPr>
          </w:p>
        </w:tc>
      </w:tr>
      <w:tr>
        <w:trPr>
          <w:trHeight w:val="102"/>
        </w:trPr>
        <w:tc>
          <w:tcPr>
            <w:tcW w:w="600" w:type="dxa"/>
            <w:vAlign w:val="bottom"/>
            <w:vMerge w:val="continue"/>
          </w:tcPr>
          <w:p>
            <w:pPr>
              <w:spacing w:after="0"/>
              <w:rPr>
                <w:sz w:val="8"/>
                <w:szCs w:val="8"/>
                <w:color w:val="auto"/>
              </w:rPr>
            </w:pPr>
          </w:p>
        </w:tc>
        <w:tc>
          <w:tcPr>
            <w:tcW w:w="136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4"/>
              </w:rPr>
            </w:pPr>
            <w:hyperlink w:anchor="page43">
              <w:r>
                <w:rPr>
                  <w:rFonts w:ascii="Arial" w:cs="Arial" w:eastAsia="Arial" w:hAnsi="Arial"/>
                  <w:sz w:val="18"/>
                  <w:szCs w:val="18"/>
                  <w:color w:val="0000FF"/>
                  <w:w w:val="94"/>
                </w:rPr>
                <w:t>Oxley Act of 2002</w:t>
              </w:r>
            </w:hyperlink>
          </w:p>
        </w:tc>
        <w:tc>
          <w:tcPr>
            <w:tcW w:w="4700" w:type="dxa"/>
            <w:vAlign w:val="bottom"/>
            <w:tcBorders>
              <w:top w:val="single" w:sz="8" w:color="0000FF"/>
            </w:tcBorders>
            <w:gridSpan w:val="6"/>
            <w:vMerge w:val="restart"/>
          </w:tcPr>
          <w:p>
            <w:pPr>
              <w:spacing w:after="0"/>
              <w:rPr>
                <w:sz w:val="8"/>
                <w:szCs w:val="8"/>
                <w:color w:val="auto"/>
              </w:rPr>
            </w:pPr>
          </w:p>
        </w:tc>
        <w:tc>
          <w:tcPr>
            <w:tcW w:w="20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00" w:type="dxa"/>
            <w:vAlign w:val="bottom"/>
          </w:tcPr>
          <w:p>
            <w:pPr>
              <w:spacing w:after="0"/>
              <w:rPr>
                <w:sz w:val="4"/>
                <w:szCs w:val="4"/>
                <w:color w:val="auto"/>
              </w:rPr>
            </w:pPr>
          </w:p>
        </w:tc>
        <w:tc>
          <w:tcPr>
            <w:tcW w:w="1360" w:type="dxa"/>
            <w:vAlign w:val="bottom"/>
            <w:tcBorders>
              <w:bottom w:val="single" w:sz="8" w:color="0000FF"/>
            </w:tcBorders>
            <w:gridSpan w:val="3"/>
            <w:vMerge w:val="continue"/>
          </w:tcPr>
          <w:p>
            <w:pPr>
              <w:spacing w:after="0"/>
              <w:rPr>
                <w:sz w:val="4"/>
                <w:szCs w:val="4"/>
                <w:color w:val="auto"/>
              </w:rPr>
            </w:pPr>
          </w:p>
        </w:tc>
        <w:tc>
          <w:tcPr>
            <w:tcW w:w="4700" w:type="dxa"/>
            <w:vAlign w:val="bottom"/>
            <w:gridSpan w:val="6"/>
            <w:vMerge w:val="continue"/>
          </w:tcPr>
          <w:p>
            <w:pPr>
              <w:spacing w:after="0"/>
              <w:rPr>
                <w:sz w:val="4"/>
                <w:szCs w:val="4"/>
                <w:color w:val="auto"/>
              </w:rPr>
            </w:pPr>
          </w:p>
        </w:tc>
        <w:tc>
          <w:tcPr>
            <w:tcW w:w="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6260" w:type="dxa"/>
            <w:vAlign w:val="bottom"/>
            <w:gridSpan w:val="13"/>
          </w:tcPr>
          <w:p>
            <w:pPr>
              <w:spacing w:after="0"/>
              <w:rPr>
                <w:rFonts w:ascii="Arial" w:cs="Arial" w:eastAsia="Arial" w:hAnsi="Arial"/>
                <w:sz w:val="18"/>
                <w:szCs w:val="18"/>
                <w:color w:val="0000FF"/>
                <w:w w:val="97"/>
              </w:rPr>
            </w:pPr>
            <w:hyperlink w:anchor="page44">
              <w:r>
                <w:rPr>
                  <w:rFonts w:ascii="Arial" w:cs="Arial" w:eastAsia="Arial" w:hAnsi="Arial"/>
                  <w:sz w:val="18"/>
                  <w:szCs w:val="18"/>
                  <w:color w:val="0000FF"/>
                  <w:w w:val="97"/>
                </w:rPr>
                <w:t>Certification of Chief Executive Officer and Chief Financial Officer pursuant to 18</w:t>
              </w:r>
            </w:hyperlink>
          </w:p>
        </w:tc>
        <w:tc>
          <w:tcPr>
            <w:tcW w:w="0" w:type="dxa"/>
            <w:vAlign w:val="bottom"/>
          </w:tcPr>
          <w:p>
            <w:pPr>
              <w:spacing w:after="0"/>
              <w:rPr>
                <w:sz w:val="1"/>
                <w:szCs w:val="1"/>
                <w:color w:val="auto"/>
              </w:rPr>
            </w:pPr>
          </w:p>
        </w:tc>
      </w:tr>
      <w:tr>
        <w:trPr>
          <w:trHeight w:val="155"/>
        </w:trPr>
        <w:tc>
          <w:tcPr>
            <w:tcW w:w="600" w:type="dxa"/>
            <w:vAlign w:val="bottom"/>
          </w:tcPr>
          <w:p>
            <w:pPr>
              <w:jc w:val="center"/>
              <w:ind w:right="210"/>
              <w:spacing w:after="0" w:line="156" w:lineRule="exact"/>
              <w:rPr>
                <w:sz w:val="20"/>
                <w:szCs w:val="20"/>
                <w:color w:val="auto"/>
              </w:rPr>
            </w:pPr>
            <w:r>
              <w:rPr>
                <w:rFonts w:ascii="Arial" w:cs="Arial" w:eastAsia="Arial" w:hAnsi="Arial"/>
                <w:sz w:val="18"/>
                <w:szCs w:val="18"/>
                <w:color w:val="auto"/>
                <w:w w:val="85"/>
              </w:rPr>
              <w:t>32.1</w:t>
            </w:r>
          </w:p>
        </w:tc>
        <w:tc>
          <w:tcPr>
            <w:tcW w:w="5980" w:type="dxa"/>
            <w:vAlign w:val="bottom"/>
            <w:tcBorders>
              <w:top w:val="single" w:sz="8" w:color="0000FF"/>
            </w:tcBorders>
            <w:gridSpan w:val="8"/>
          </w:tcPr>
          <w:p>
            <w:pPr>
              <w:spacing w:after="0" w:line="156"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U.S.C. Section 1350, as adopted pursuant to Section 906 of the Sarbanes-Oxley Act</w:t>
              </w:r>
            </w:hyperlink>
          </w:p>
        </w:tc>
        <w:tc>
          <w:tcPr>
            <w:tcW w:w="280" w:type="dxa"/>
            <w:vAlign w:val="bottom"/>
            <w:gridSpan w:val="5"/>
          </w:tcPr>
          <w:p>
            <w:pPr>
              <w:ind w:left="120"/>
              <w:spacing w:after="0" w:line="156" w:lineRule="exact"/>
              <w:rPr>
                <w:rFonts w:ascii="Arial" w:cs="Arial" w:eastAsia="Arial" w:hAnsi="Arial"/>
                <w:sz w:val="18"/>
                <w:szCs w:val="18"/>
                <w:color w:val="0000FF"/>
                <w:w w:val="92"/>
              </w:rPr>
            </w:pPr>
            <w:hyperlink w:anchor="page44">
              <w:r>
                <w:rPr>
                  <w:rFonts w:ascii="Arial" w:cs="Arial" w:eastAsia="Arial" w:hAnsi="Arial"/>
                  <w:sz w:val="18"/>
                  <w:szCs w:val="18"/>
                  <w:color w:val="0000FF"/>
                  <w:w w:val="92"/>
                </w:rPr>
                <w:t>of</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1360" w:type="dxa"/>
            <w:vAlign w:val="bottom"/>
            <w:tcBorders>
              <w:top w:val="single" w:sz="8" w:color="0000FF"/>
            </w:tcBorders>
            <w:gridSpan w:val="3"/>
          </w:tcPr>
          <w:p>
            <w:pPr>
              <w:spacing w:after="0" w:line="156" w:lineRule="exact"/>
              <w:rPr>
                <w:rFonts w:ascii="Arial" w:cs="Arial" w:eastAsia="Arial" w:hAnsi="Arial"/>
                <w:sz w:val="14"/>
                <w:szCs w:val="14"/>
                <w:color w:val="0000FF"/>
              </w:rPr>
            </w:pPr>
            <w:hyperlink w:anchor="page44">
              <w:r>
                <w:rPr>
                  <w:rFonts w:ascii="Arial" w:cs="Arial" w:eastAsia="Arial" w:hAnsi="Arial"/>
                  <w:sz w:val="14"/>
                  <w:szCs w:val="14"/>
                  <w:color w:val="0000FF"/>
                </w:rPr>
                <w:t xml:space="preserve">2002 </w:t>
              </w:r>
              <w:r>
                <w:rPr>
                  <w:rFonts w:ascii="Arial" w:cs="Arial" w:eastAsia="Arial" w:hAnsi="Arial"/>
                  <w:sz w:val="18"/>
                  <w:szCs w:val="18"/>
                  <w:color w:val="000000"/>
                  <w:vertAlign w:val="superscript"/>
                </w:rPr>
                <w:t>(1)</w:t>
              </w:r>
            </w:hyperlink>
          </w:p>
        </w:tc>
        <w:tc>
          <w:tcPr>
            <w:tcW w:w="1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financial information from First Watch Restaurant Group, Inc’s Quarterly Report on</w:t>
      </w:r>
    </w:p>
    <w:p>
      <w:pPr>
        <w:spacing w:after="0" w:line="21" w:lineRule="exact"/>
        <w:rPr>
          <w:sz w:val="20"/>
          <w:szCs w:val="20"/>
          <w:color w:val="auto"/>
        </w:rPr>
      </w:pPr>
    </w:p>
    <w:p>
      <w:pPr>
        <w:ind w:left="800" w:right="100" w:hanging="583"/>
        <w:spacing w:after="0" w:line="271"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Form 10-Q for the third fiscal quarter ended September 26, 2021, filed on November 8, 2021, formatted in Inline Extensible Business Reporting Language (“iXBRL”)</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October 6, 2021 Form 8-K, Exhibit 3.1</w:t>
      </w:r>
    </w:p>
    <w:p>
      <w:pPr>
        <w:spacing w:after="0" w:line="129" w:lineRule="exact"/>
        <w:rPr>
          <w:sz w:val="20"/>
          <w:szCs w:val="20"/>
          <w:color w:val="auto"/>
        </w:rPr>
      </w:pPr>
    </w:p>
    <w:p>
      <w:pPr>
        <w:ind w:right="880"/>
        <w:spacing w:after="0" w:line="359" w:lineRule="auto"/>
        <w:rPr>
          <w:sz w:val="20"/>
          <w:szCs w:val="20"/>
          <w:color w:val="auto"/>
        </w:rPr>
      </w:pPr>
      <w:r>
        <w:rPr>
          <w:rFonts w:ascii="Arial" w:cs="Arial" w:eastAsia="Arial" w:hAnsi="Arial"/>
          <w:sz w:val="16"/>
          <w:szCs w:val="16"/>
          <w:color w:val="auto"/>
        </w:rPr>
        <w:t>October 6, 2021 Form 8-K, Exhibit 3.2 September 7, 2021 Form S-1, Exhibit 4.1</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October 6, 2021, Form 8-K, Exhibit 10.1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ectPr>
          <w:pgSz w:w="11900" w:h="16838" w:orient="portrait"/>
          <w:cols w:equalWidth="0" w:num="2">
            <w:col w:w="7200" w:space="180"/>
            <w:col w:w="3860"/>
          </w:cols>
          <w:pgMar w:left="320" w:top="125" w:right="339" w:bottom="1440" w:gutter="0" w:footer="0" w:header="0"/>
          <w:type w:val="continuous"/>
        </w:sectPr>
      </w:pPr>
    </w:p>
    <w:p>
      <w:pPr>
        <w:ind w:left="220"/>
        <w:spacing w:after="0"/>
        <w:tabs>
          <w:tab w:leader="none" w:pos="780" w:val="left"/>
          <w:tab w:leader="none" w:pos="7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(formatted as iXBRL and contained in Exhibit 101)</w:t>
      </w:r>
      <w:r>
        <w:rPr>
          <w:sz w:val="20"/>
          <w:szCs w:val="20"/>
          <w:color w:val="auto"/>
        </w:rPr>
        <w:tab/>
      </w:r>
      <w:r>
        <w:rPr>
          <w:rFonts w:ascii="Arial" w:cs="Arial" w:eastAsia="Arial" w:hAnsi="Arial"/>
          <w:sz w:val="16"/>
          <w:szCs w:val="16"/>
          <w:color w:val="auto"/>
        </w:rPr>
        <w:t>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right="140" w:firstLine="8"/>
        <w:spacing w:after="0" w:line="254" w:lineRule="auto"/>
        <w:tabs>
          <w:tab w:leader="none" w:pos="2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8,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Tomasso</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Christopher A. Tomasso</w:t>
            </w:r>
          </w:p>
        </w:tc>
        <w:tc>
          <w:tcPr>
            <w:tcW w:w="0" w:type="dxa"/>
            <w:vAlign w:val="bottom"/>
          </w:tcPr>
          <w:p>
            <w:pPr>
              <w:spacing w:after="0"/>
              <w:rPr>
                <w:sz w:val="1"/>
                <w:szCs w:val="1"/>
                <w:color w:val="auto"/>
              </w:rPr>
            </w:pPr>
          </w:p>
        </w:tc>
      </w:tr>
      <w:tr>
        <w:trPr>
          <w:trHeight w:val="176"/>
        </w:trPr>
        <w:tc>
          <w:tcPr>
            <w:tcW w:w="7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 (Principal</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48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 Hope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Mel Hope</w:t>
            </w:r>
          </w:p>
        </w:tc>
        <w:tc>
          <w:tcPr>
            <w:tcW w:w="0" w:type="dxa"/>
            <w:vAlign w:val="bottom"/>
          </w:tcPr>
          <w:p>
            <w:pPr>
              <w:spacing w:after="0"/>
              <w:rPr>
                <w:sz w:val="1"/>
                <w:szCs w:val="1"/>
                <w:color w:val="auto"/>
              </w:rPr>
            </w:pPr>
          </w:p>
        </w:tc>
      </w:tr>
      <w:tr>
        <w:trPr>
          <w:trHeight w:val="176"/>
        </w:trPr>
        <w:tc>
          <w:tcPr>
            <w:tcW w:w="7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(Principal Financial Officer and</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type w:val="continuous"/>
        </w:sectPr>
      </w:pPr>
    </w:p>
    <w:bookmarkStart w:id="41" w:name="page42"/>
    <w:bookmarkEnd w:id="41"/>
    <w:p>
      <w:pPr>
        <w:ind w:left="10360"/>
        <w:spacing w:after="0"/>
        <w:rPr>
          <w:sz w:val="20"/>
          <w:szCs w:val="20"/>
          <w:color w:val="auto"/>
        </w:rPr>
      </w:pPr>
      <w:r>
        <w:rPr>
          <w:rFonts w:ascii="Arial" w:cs="Arial" w:eastAsia="Arial" w:hAnsi="Arial"/>
          <w:sz w:val="15"/>
          <w:szCs w:val="15"/>
          <w:b w:val="1"/>
          <w:bCs w:val="1"/>
          <w:color w:val="auto"/>
        </w:rPr>
        <w:t>Exhibit 31.1</w:t>
      </w:r>
    </w:p>
    <w:p>
      <w:pPr>
        <w:spacing w:after="0" w:line="273" w:lineRule="exact"/>
        <w:rPr>
          <w:sz w:val="20"/>
          <w:szCs w:val="20"/>
          <w:color w:val="auto"/>
        </w:rPr>
      </w:pPr>
    </w:p>
    <w:p>
      <w:pPr>
        <w:jc w:val="center"/>
        <w:ind w:left="340" w:right="200"/>
        <w:spacing w:after="0" w:line="279" w:lineRule="auto"/>
        <w:rPr>
          <w:sz w:val="20"/>
          <w:szCs w:val="20"/>
          <w:color w:val="auto"/>
        </w:rPr>
      </w:pPr>
      <w:r>
        <w:rPr>
          <w:rFonts w:ascii="Arial" w:cs="Arial" w:eastAsia="Arial" w:hAnsi="Arial"/>
          <w:sz w:val="17"/>
          <w:szCs w:val="17"/>
          <w:b w:val="1"/>
          <w:bCs w:val="1"/>
          <w:color w:val="auto"/>
        </w:rPr>
        <w:t>Certification of Principal Executive Officer Pursuant to Exchange Act Rule 13a-14(a)/15d-14(a) as Adopted 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Christopher A. Tomasso, certify that:</w:t>
      </w:r>
    </w:p>
    <w:p>
      <w:pPr>
        <w:spacing w:after="0" w:line="264" w:lineRule="exact"/>
        <w:rPr>
          <w:sz w:val="20"/>
          <w:szCs w:val="20"/>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52" w:lineRule="exact"/>
        <w:rPr>
          <w:rFonts w:ascii="Arial" w:cs="Arial" w:eastAsia="Arial" w:hAnsi="Arial"/>
          <w:sz w:val="18"/>
          <w:szCs w:val="18"/>
          <w:color w:val="auto"/>
        </w:rPr>
      </w:pPr>
    </w:p>
    <w:p>
      <w:pPr>
        <w:ind w:left="660" w:hanging="328"/>
        <w:spacing w:after="0" w:line="326" w:lineRule="auto"/>
        <w:tabs>
          <w:tab w:leader="none" w:pos="675" w:val="left"/>
        </w:tabs>
        <w:numPr>
          <w:ilvl w:val="0"/>
          <w:numId w:val="20"/>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660" w:hanging="328"/>
        <w:spacing w:after="0" w:line="260" w:lineRule="auto"/>
        <w:tabs>
          <w:tab w:leader="none" w:pos="675" w:val="left"/>
        </w:tabs>
        <w:numPr>
          <w:ilvl w:val="0"/>
          <w:numId w:val="20"/>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18"/>
          <w:szCs w:val="18"/>
          <w:color w:val="auto"/>
        </w:rPr>
      </w:pPr>
    </w:p>
    <w:p>
      <w:pPr>
        <w:ind w:left="660" w:hanging="328"/>
        <w:spacing w:after="0" w:line="260" w:lineRule="auto"/>
        <w:tabs>
          <w:tab w:leader="none" w:pos="675" w:val="left"/>
        </w:tabs>
        <w:numPr>
          <w:ilvl w:val="0"/>
          <w:numId w:val="20"/>
        </w:numPr>
        <w:rPr>
          <w:rFonts w:ascii="Arial" w:cs="Arial" w:eastAsia="Arial" w:hAnsi="Arial"/>
          <w:sz w:val="18"/>
          <w:szCs w:val="18"/>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25"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20"/>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8"/>
          <w:szCs w:val="18"/>
          <w:color w:val="auto"/>
        </w:rPr>
      </w:pPr>
    </w:p>
    <w:p>
      <w:pPr>
        <w:ind w:left="1020" w:hanging="364"/>
        <w:spacing w:after="0"/>
        <w:tabs>
          <w:tab w:leader="none" w:pos="1020" w:val="left"/>
        </w:tabs>
        <w:numPr>
          <w:ilvl w:val="1"/>
          <w:numId w:val="20"/>
        </w:numPr>
        <w:rPr>
          <w:rFonts w:ascii="Arial" w:cs="Arial" w:eastAsia="Arial" w:hAnsi="Arial"/>
          <w:sz w:val="18"/>
          <w:szCs w:val="18"/>
          <w:color w:val="auto"/>
        </w:rPr>
      </w:pPr>
      <w:r>
        <w:rPr>
          <w:rFonts w:ascii="Arial" w:cs="Arial" w:eastAsia="Arial" w:hAnsi="Arial"/>
          <w:sz w:val="17"/>
          <w:szCs w:val="17"/>
          <w:color w:val="auto"/>
        </w:rPr>
        <w:t>[Omitted];</w:t>
      </w:r>
    </w:p>
    <w:p>
      <w:pPr>
        <w:spacing w:after="0" w:line="252" w:lineRule="exact"/>
        <w:rPr>
          <w:rFonts w:ascii="Arial" w:cs="Arial" w:eastAsia="Arial" w:hAnsi="Arial"/>
          <w:sz w:val="18"/>
          <w:szCs w:val="18"/>
          <w:color w:val="auto"/>
        </w:rPr>
      </w:pPr>
    </w:p>
    <w:p>
      <w:pPr>
        <w:ind w:left="980" w:hanging="324"/>
        <w:spacing w:after="0" w:line="260" w:lineRule="auto"/>
        <w:tabs>
          <w:tab w:leader="none" w:pos="1014" w:val="left"/>
        </w:tabs>
        <w:numPr>
          <w:ilvl w:val="1"/>
          <w:numId w:val="20"/>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20"/>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660" w:hanging="328"/>
        <w:spacing w:after="0" w:line="291" w:lineRule="auto"/>
        <w:tabs>
          <w:tab w:leader="none" w:pos="675" w:val="left"/>
        </w:tabs>
        <w:numPr>
          <w:ilvl w:val="0"/>
          <w:numId w:val="20"/>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980" w:right="20" w:hanging="324"/>
        <w:spacing w:after="0" w:line="274" w:lineRule="auto"/>
        <w:tabs>
          <w:tab w:leader="none" w:pos="967"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7"/>
          <w:szCs w:val="17"/>
          <w:color w:val="auto"/>
        </w:rPr>
      </w:pPr>
    </w:p>
    <w:p>
      <w:pPr>
        <w:ind w:left="980" w:hanging="324"/>
        <w:spacing w:after="0" w:line="274" w:lineRule="auto"/>
        <w:tabs>
          <w:tab w:leader="none" w:pos="977"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2021</w:t>
      </w:r>
    </w:p>
    <w:p>
      <w:pPr>
        <w:spacing w:after="0" w:line="156" w:lineRule="exact"/>
        <w:rPr>
          <w:sz w:val="20"/>
          <w:szCs w:val="20"/>
          <w:color w:val="auto"/>
        </w:rPr>
      </w:pPr>
    </w:p>
    <w:p>
      <w:pPr>
        <w:ind w:left="3240"/>
        <w:spacing w:after="0"/>
        <w:rPr>
          <w:sz w:val="20"/>
          <w:szCs w:val="20"/>
          <w:color w:val="auto"/>
        </w:rPr>
      </w:pPr>
      <w:r>
        <w:rPr>
          <w:rFonts w:ascii="Arial" w:cs="Arial" w:eastAsia="Arial" w:hAnsi="Arial"/>
          <w:sz w:val="17"/>
          <w:szCs w:val="17"/>
          <w:u w:val="single" w:color="auto"/>
          <w:color w:val="auto"/>
        </w:rPr>
        <w:t>/s/ Christopher A. Tomasso</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Christopher A. Tomasso</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1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 Mel Hope, certify that:</w:t>
      </w:r>
    </w:p>
    <w:p>
      <w:pPr>
        <w:spacing w:after="0" w:line="264"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52" w:lineRule="exact"/>
        <w:rPr>
          <w:rFonts w:ascii="Arial" w:cs="Arial" w:eastAsia="Arial" w:hAnsi="Arial"/>
          <w:sz w:val="18"/>
          <w:szCs w:val="18"/>
          <w:color w:val="auto"/>
        </w:rPr>
      </w:pPr>
    </w:p>
    <w:p>
      <w:pPr>
        <w:ind w:left="660" w:hanging="328"/>
        <w:spacing w:after="0" w:line="326" w:lineRule="auto"/>
        <w:tabs>
          <w:tab w:leader="none" w:pos="675" w:val="left"/>
        </w:tabs>
        <w:numPr>
          <w:ilvl w:val="0"/>
          <w:numId w:val="21"/>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660" w:hanging="328"/>
        <w:spacing w:after="0" w:line="260" w:lineRule="auto"/>
        <w:tabs>
          <w:tab w:leader="none" w:pos="675" w:val="left"/>
        </w:tabs>
        <w:numPr>
          <w:ilvl w:val="0"/>
          <w:numId w:val="21"/>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18"/>
          <w:szCs w:val="18"/>
          <w:color w:val="auto"/>
        </w:rPr>
      </w:pPr>
    </w:p>
    <w:p>
      <w:pPr>
        <w:ind w:left="660" w:hanging="328"/>
        <w:spacing w:after="0" w:line="260" w:lineRule="auto"/>
        <w:tabs>
          <w:tab w:leader="none" w:pos="675" w:val="left"/>
        </w:tabs>
        <w:numPr>
          <w:ilvl w:val="0"/>
          <w:numId w:val="21"/>
        </w:numPr>
        <w:rPr>
          <w:rFonts w:ascii="Arial" w:cs="Arial" w:eastAsia="Arial" w:hAnsi="Arial"/>
          <w:sz w:val="18"/>
          <w:szCs w:val="18"/>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25"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21"/>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[Omitted];</w:t>
      </w:r>
    </w:p>
    <w:p>
      <w:pPr>
        <w:spacing w:after="0" w:line="263" w:lineRule="exact"/>
        <w:rPr>
          <w:rFonts w:ascii="Arial" w:cs="Arial" w:eastAsia="Arial" w:hAnsi="Arial"/>
          <w:sz w:val="17"/>
          <w:szCs w:val="17"/>
          <w:color w:val="auto"/>
        </w:rPr>
      </w:pPr>
    </w:p>
    <w:p>
      <w:pPr>
        <w:ind w:left="980" w:hanging="324"/>
        <w:spacing w:after="0" w:line="260" w:lineRule="auto"/>
        <w:tabs>
          <w:tab w:leader="none" w:pos="1014" w:val="left"/>
        </w:tabs>
        <w:numPr>
          <w:ilvl w:val="1"/>
          <w:numId w:val="21"/>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18"/>
          <w:szCs w:val="18"/>
          <w:color w:val="auto"/>
        </w:rPr>
      </w:pPr>
    </w:p>
    <w:p>
      <w:pPr>
        <w:jc w:val="both"/>
        <w:ind w:left="980" w:hanging="324"/>
        <w:spacing w:after="0" w:line="253" w:lineRule="auto"/>
        <w:tabs>
          <w:tab w:leader="none" w:pos="1011" w:val="left"/>
        </w:tabs>
        <w:numPr>
          <w:ilvl w:val="1"/>
          <w:numId w:val="21"/>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660" w:hanging="328"/>
        <w:spacing w:after="0" w:line="291" w:lineRule="auto"/>
        <w:tabs>
          <w:tab w:leader="none" w:pos="675" w:val="left"/>
        </w:tabs>
        <w:numPr>
          <w:ilvl w:val="0"/>
          <w:numId w:val="21"/>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980" w:right="20" w:hanging="324"/>
        <w:spacing w:after="0" w:line="274" w:lineRule="auto"/>
        <w:tabs>
          <w:tab w:leader="none" w:pos="967"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7"/>
          <w:szCs w:val="17"/>
          <w:color w:val="auto"/>
        </w:rPr>
      </w:pPr>
    </w:p>
    <w:p>
      <w:pPr>
        <w:ind w:left="980" w:hanging="324"/>
        <w:spacing w:after="0" w:line="274" w:lineRule="auto"/>
        <w:tabs>
          <w:tab w:leader="none" w:pos="977"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2021</w:t>
      </w:r>
    </w:p>
    <w:p>
      <w:pPr>
        <w:spacing w:after="0" w:line="156" w:lineRule="exact"/>
        <w:rPr>
          <w:sz w:val="20"/>
          <w:szCs w:val="20"/>
          <w:color w:val="auto"/>
        </w:rPr>
      </w:pPr>
    </w:p>
    <w:p>
      <w:pPr>
        <w:ind w:left="3240"/>
        <w:spacing w:after="0"/>
        <w:rPr>
          <w:sz w:val="20"/>
          <w:szCs w:val="20"/>
          <w:color w:val="auto"/>
        </w:rPr>
      </w:pPr>
      <w:r>
        <w:rPr>
          <w:rFonts w:ascii="Arial" w:cs="Arial" w:eastAsia="Arial" w:hAnsi="Arial"/>
          <w:sz w:val="17"/>
          <w:szCs w:val="17"/>
          <w:u w:val="single" w:color="auto"/>
          <w:color w:val="auto"/>
        </w:rPr>
        <w:t>/s/ Mel Hope</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Mel Hope</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414" w:right="339" w:bottom="1440" w:gutter="0" w:footer="0" w:header="0"/>
        </w:sectPr>
      </w:pPr>
    </w:p>
    <w:bookmarkStart w:id="43" w:name="page44"/>
    <w:bookmarkEnd w:id="4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First Watch Restaurant Group, Inc. (the “Company”) for the period ended September 26, 2021,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1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40"/>
        <w:spacing w:after="0"/>
        <w:rPr>
          <w:sz w:val="20"/>
          <w:szCs w:val="20"/>
          <w:color w:val="auto"/>
        </w:rPr>
      </w:pPr>
      <w:r>
        <w:rPr>
          <w:rFonts w:ascii="Arial" w:cs="Arial" w:eastAsia="Arial" w:hAnsi="Arial"/>
          <w:sz w:val="17"/>
          <w:szCs w:val="17"/>
          <w:u w:val="single" w:color="auto"/>
          <w:color w:val="auto"/>
        </w:rPr>
        <w:t>/s/ Mel Hope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1)"/>
      <w:numFmt w:val="lowerRoman"/>
      <w:start w:val="3"/>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hyperlink" Target="https://www.sec.gov/Archives/edgar/data/1789940/000119312521293207/d212487dex31.htm" TargetMode="External"/><Relationship Id="rId70" Type="http://schemas.openxmlformats.org/officeDocument/2006/relationships/hyperlink" Target="https://www.sec.gov/Archives/edgar/data/1789940/000119312521293207/d212487dex32.htm" TargetMode="External"/><Relationship Id="rId71" Type="http://schemas.openxmlformats.org/officeDocument/2006/relationships/hyperlink" Target="https://www.sec.gov/Archives/edgar/data/1789940/000119312521266418/d177756dex41.htm" TargetMode="External"/><Relationship Id="rId72" Type="http://schemas.openxmlformats.org/officeDocument/2006/relationships/hyperlink" Target="https://www.sec.gov/Archives/edgar/data/1789940/000119312521293207/d2124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2021-11-08T15:20:23Z</dcterms:created>
  <dcterms:modified xsi:type="dcterms:W3CDTF">2021-11-08T15:20:23Z</dcterms:modified>
</cp:coreProperties>
</file>