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quarterly period ended September 24, 2023</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237490</wp:posOffset>
            </wp:positionV>
            <wp:extent cx="1705610"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First Watch Restaurant Group,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36" w:right="339" w:bottom="1440" w:gutter="0" w:footer="0" w:header="0"/>
        </w:sectPr>
      </w:pPr>
    </w:p>
    <w:p>
      <w:pPr>
        <w:spacing w:after="0" w:line="8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82-4271369</w:t>
      </w:r>
    </w:p>
    <w:p>
      <w:pPr>
        <w:spacing w:after="0" w:line="77" w:lineRule="exact"/>
        <w:rPr>
          <w:sz w:val="24"/>
          <w:szCs w:val="24"/>
          <w:color w:val="auto"/>
        </w:rPr>
      </w:pPr>
    </w:p>
    <w:p>
      <w:pPr>
        <w:sectPr>
          <w:pgSz w:w="11900" w:h="16838" w:orient="portrait"/>
          <w:cols w:equalWidth="0" w:num="2">
            <w:col w:w="8460" w:space="720"/>
            <w:col w:w="2060"/>
          </w:cols>
          <w:pgMar w:left="320" w:top="936" w:right="3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(State or other jurisdiction of</w:t>
      </w:r>
    </w:p>
    <w:p>
      <w:pPr>
        <w:spacing w:after="0" w:line="35" w:lineRule="exact"/>
        <w:rPr>
          <w:sz w:val="24"/>
          <w:szCs w:val="24"/>
          <w:color w:val="auto"/>
        </w:rPr>
      </w:pPr>
    </w:p>
    <w:p>
      <w:pPr>
        <w:ind w:left="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0" w:lineRule="exact"/>
        <w:rPr>
          <w:sz w:val="24"/>
          <w:szCs w:val="24"/>
          <w:color w:val="auto"/>
        </w:rPr>
      </w:pPr>
    </w:p>
    <w:p>
      <w:pPr>
        <w:sectPr>
          <w:pgSz w:w="11900" w:h="16838" w:orient="portrait"/>
          <w:cols w:equalWidth="0" w:num="2">
            <w:col w:w="7600" w:space="720"/>
            <w:col w:w="2920"/>
          </w:cols>
          <w:pgMar w:left="320" w:top="936" w:right="339" w:bottom="1440" w:gutter="0" w:footer="0" w:header="0"/>
          <w:type w:val="continuous"/>
        </w:sectPr>
      </w:pPr>
    </w:p>
    <w:p>
      <w:pPr>
        <w:jc w:val="center"/>
        <w:ind w:left="500"/>
        <w:spacing w:after="0"/>
        <w:rPr>
          <w:sz w:val="20"/>
          <w:szCs w:val="20"/>
          <w:color w:val="auto"/>
        </w:rPr>
      </w:pPr>
      <w:r>
        <w:rPr>
          <w:rFonts w:ascii="Arial" w:cs="Arial" w:eastAsia="Arial" w:hAnsi="Arial"/>
          <w:sz w:val="16"/>
          <w:szCs w:val="16"/>
          <w:b w:val="1"/>
          <w:bCs w:val="1"/>
          <w:color w:val="auto"/>
        </w:rPr>
        <w:t>8725 Pendery Place, Suite 201, Bradenton, FL 34201</w:t>
      </w:r>
    </w:p>
    <w:p>
      <w:pPr>
        <w:spacing w:after="0" w:line="77" w:lineRule="exact"/>
        <w:rPr>
          <w:sz w:val="24"/>
          <w:szCs w:val="24"/>
          <w:color w:val="auto"/>
        </w:rPr>
      </w:pPr>
    </w:p>
    <w:p>
      <w:pPr>
        <w:jc w:val="center"/>
        <w:ind w:left="500"/>
        <w:spacing w:after="0"/>
        <w:rPr>
          <w:sz w:val="20"/>
          <w:szCs w:val="20"/>
          <w:color w:val="auto"/>
        </w:rPr>
      </w:pPr>
      <w:r>
        <w:rPr>
          <w:rFonts w:ascii="Arial" w:cs="Arial" w:eastAsia="Arial" w:hAnsi="Arial"/>
          <w:sz w:val="17"/>
          <w:szCs w:val="17"/>
          <w:color w:val="auto"/>
        </w:rPr>
        <w:t>(Address of Principal Executive Offices) (Zip Code)</w:t>
      </w:r>
    </w:p>
    <w:p>
      <w:pPr>
        <w:sectPr>
          <w:pgSz w:w="11900" w:h="16838" w:orient="portrait"/>
          <w:cols w:equalWidth="0" w:num="1">
            <w:col w:w="11240"/>
          </w:cols>
          <w:pgMar w:left="320" w:top="936" w:right="339" w:bottom="1440" w:gutter="0" w:footer="0" w:header="0"/>
          <w:type w:val="continuous"/>
        </w:sectPr>
      </w:pP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(941) 907-9800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36" w:right="339" w:bottom="1440" w:gutter="0" w:footer="0" w:header="0"/>
          <w:type w:val="continuous"/>
        </w:sectPr>
      </w:pPr>
    </w:p>
    <w:p>
      <w:pPr>
        <w:spacing w:after="0" w:line="104"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560" w:space="720"/>
            <w:col w:w="1760" w:space="720"/>
            <w:col w:w="3480"/>
          </w:cols>
          <w:pgMar w:left="320" w:top="936" w:right="339" w:bottom="1440" w:gutter="0" w:footer="0" w:header="0"/>
          <w:type w:val="continuous"/>
        </w:sectPr>
      </w:pPr>
    </w:p>
    <w:p>
      <w:pPr>
        <w:spacing w:after="0" w:line="185"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FWRG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(Nasdaq Global Select Market)</w:t>
      </w:r>
    </w:p>
    <w:p>
      <w:pPr>
        <w:spacing w:after="0" w:line="164" w:lineRule="exact"/>
        <w:rPr>
          <w:sz w:val="24"/>
          <w:szCs w:val="24"/>
          <w:color w:val="auto"/>
        </w:rPr>
      </w:pPr>
    </w:p>
    <w:p>
      <w:pPr>
        <w:sectPr>
          <w:pgSz w:w="11900" w:h="16838" w:orient="portrait"/>
          <w:cols w:equalWidth="0" w:num="3">
            <w:col w:w="4960" w:space="720"/>
            <w:col w:w="1740" w:space="720"/>
            <w:col w:w="3100"/>
          </w:cols>
          <w:pgMar w:left="320" w:top="936" w:right="339" w:bottom="1440" w:gutter="0" w:footer="0" w:header="0"/>
          <w:type w:val="continuous"/>
        </w:sect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6"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59,817,629 shares of common stock as of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Arial" w:cs="Arial" w:eastAsia="Arial" w:hAnsi="Arial"/>
                <w:sz w:val="18"/>
                <w:szCs w:val="18"/>
                <w:color w:val="0000FF"/>
                <w:w w:val="91"/>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21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Arial" w:cs="Arial" w:eastAsia="Arial" w:hAnsi="Arial"/>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Legal Proceedings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Risk Factors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Mine Safety Disclosures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FF"/>
                <w:w w:val="87"/>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Other Information</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FF"/>
                <w:w w:val="87"/>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Arial" w:cs="Arial" w:eastAsia="Arial" w:hAnsi="Arial"/>
                <w:sz w:val="18"/>
                <w:szCs w:val="18"/>
                <w:color w:val="0000FF"/>
              </w:rPr>
              <w:t>Exhibits</w:t>
            </w:r>
          </w:p>
        </w:tc>
        <w:tc>
          <w:tcPr>
            <w:tcW w:w="3800" w:type="dxa"/>
            <w:vAlign w:val="bottom"/>
            <w:gridSpan w:val="3"/>
          </w:tcPr>
          <w:p>
            <w:pPr>
              <w:jc w:val="right"/>
              <w:spacing w:after="0"/>
              <w:rPr>
                <w:sz w:val="20"/>
                <w:szCs w:val="20"/>
                <w:color w:val="auto"/>
              </w:rPr>
            </w:pPr>
            <w:r>
              <w:rPr>
                <w:rFonts w:ascii="Arial" w:cs="Arial" w:eastAsia="Arial" w:hAnsi="Arial"/>
                <w:sz w:val="18"/>
                <w:szCs w:val="18"/>
                <w:color w:val="0000EE"/>
              </w:rPr>
              <w:t>39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This Quarterly Report on Form 10-Q (“Form 10-Q”) contains forward-looking statements within the meaning of the Private Securities Litigation Reform Act of 1995 (</w:t>
      </w:r>
      <w:r>
        <w:rPr>
          <w:rFonts w:ascii="Arial" w:cs="Arial" w:eastAsia="Arial" w:hAnsi="Arial"/>
          <w:sz w:val="17"/>
          <w:szCs w:val="17"/>
          <w:color w:val="auto"/>
        </w:rPr>
        <w:t>“</w:t>
      </w:r>
      <w:r>
        <w:rPr>
          <w:rFonts w:ascii="Arial" w:cs="Arial" w:eastAsia="Arial" w:hAnsi="Arial"/>
          <w:sz w:val="17"/>
          <w:szCs w:val="17"/>
          <w:i w:val="1"/>
          <w:iCs w:val="1"/>
          <w:color w:val="auto"/>
        </w:rPr>
        <w:t>PSLRA</w:t>
      </w:r>
      <w:r>
        <w:rPr>
          <w:rFonts w:ascii="Arial" w:cs="Arial" w:eastAsia="Arial" w:hAnsi="Arial"/>
          <w:sz w:val="17"/>
          <w:szCs w:val="17"/>
          <w:color w:val="auto"/>
        </w:rPr>
        <w:t>”</w:t>
      </w:r>
      <w:r>
        <w:rPr>
          <w:rFonts w:ascii="Arial" w:cs="Arial" w:eastAsia="Arial" w:hAnsi="Arial"/>
          <w:sz w:val="17"/>
          <w:szCs w:val="17"/>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25, 2022 (“2022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uncertainty regarding the Russia and Ukraine war, renewed conflict in the Middle East and the related impact on macroeconomic conditions, including inflation, as a result of such conflict or other related events; our vulnerability to changes in economic conditions and consumer preferences; our inability to successfully open new restaurants or establish new markets; our inability to effectively manage our growth; adverse effects of the COVID-19 pandemic or other infectious diseases;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majority stockholder may differ from those of public stockholders.</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Pr>
          <w:p>
            <w:pPr>
              <w:spacing w:after="0"/>
              <w:rPr>
                <w:sz w:val="18"/>
                <w:szCs w:val="18"/>
                <w:color w:val="auto"/>
              </w:rPr>
            </w:pPr>
          </w:p>
        </w:tc>
        <w:tc>
          <w:tcPr>
            <w:tcW w:w="19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25, 2022</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49,672</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6,164</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Derivative assets, current</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833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7"/>
        </w:trPr>
        <w:tc>
          <w:tcPr>
            <w:tcW w:w="670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58,565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67,288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345,219</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150,280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143,151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352,373</w:t>
            </w:r>
          </w:p>
        </w:tc>
        <w:tc>
          <w:tcPr>
            <w:tcW w:w="0" w:type="dxa"/>
            <w:vAlign w:val="bottom"/>
          </w:tcPr>
          <w:p>
            <w:pPr>
              <w:spacing w:after="0"/>
              <w:rPr>
                <w:sz w:val="1"/>
                <w:szCs w:val="1"/>
                <w:color w:val="auto"/>
              </w:rPr>
            </w:pPr>
          </w:p>
        </w:tc>
      </w:tr>
      <w:tr>
        <w:trPr>
          <w:trHeight w:val="166"/>
        </w:trPr>
        <w:tc>
          <w:tcPr>
            <w:tcW w:w="6700" w:type="dxa"/>
            <w:vAlign w:val="bottom"/>
          </w:tcPr>
          <w:p>
            <w:pPr>
              <w:ind w:left="20"/>
              <w:spacing w:after="0" w:line="166" w:lineRule="exact"/>
              <w:rPr>
                <w:sz w:val="20"/>
                <w:szCs w:val="20"/>
                <w:color w:val="auto"/>
              </w:rPr>
            </w:pPr>
            <w:r>
              <w:rPr>
                <w:rFonts w:ascii="Arial" w:cs="Arial" w:eastAsia="Arial" w:hAnsi="Arial"/>
                <w:sz w:val="16"/>
                <w:szCs w:val="16"/>
                <w:color w:val="auto"/>
              </w:rPr>
              <w:t>Property, fixtures and equipment, net of accumulated depreciation of $171,582 and $145,720,</w:t>
            </w:r>
          </w:p>
        </w:tc>
        <w:tc>
          <w:tcPr>
            <w:tcW w:w="18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237,527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195,117</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 long-term</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1,205,846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1,104,446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5,550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7,590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22,729</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18,258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17,899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13"/>
        </w:trPr>
        <w:tc>
          <w:tcPr>
            <w:tcW w:w="6700" w:type="dxa"/>
            <w:vAlign w:val="bottom"/>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42,856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Note payable</w:t>
            </w: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99,980</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420,496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366,113</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94,668</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24,003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17,166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206"/>
        </w:trPr>
        <w:tc>
          <w:tcPr>
            <w:tcW w:w="670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648,755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581,311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10,000,000 shares authorized; none issued and outstanding</w:t>
            </w:r>
          </w:p>
        </w:tc>
        <w:tc>
          <w:tcPr>
            <w:tcW w:w="1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6700" w:type="dxa"/>
            <w:vAlign w:val="bottom"/>
          </w:tcPr>
          <w:p>
            <w:pPr>
              <w:ind w:left="20"/>
              <w:spacing w:after="0" w:line="166" w:lineRule="exact"/>
              <w:rPr>
                <w:sz w:val="20"/>
                <w:szCs w:val="20"/>
                <w:color w:val="auto"/>
              </w:rPr>
            </w:pPr>
            <w:r>
              <w:rPr>
                <w:rFonts w:ascii="Arial" w:cs="Arial" w:eastAsia="Arial" w:hAnsi="Arial"/>
                <w:sz w:val="16"/>
                <w:szCs w:val="16"/>
                <w:color w:val="auto"/>
                <w:w w:val="93"/>
              </w:rPr>
              <w:t>Common stock; $0.01 par value; 300,000,000 shares authorized; 59,794,999 and 59,211,019 shares</w:t>
            </w:r>
          </w:p>
        </w:tc>
        <w:tc>
          <w:tcPr>
            <w:tcW w:w="18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issued and outstanding at September 24, 2023 and December 25, 2022, respectively</w:t>
            </w:r>
          </w:p>
        </w:tc>
        <w:tc>
          <w:tcPr>
            <w:tcW w:w="18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620,675</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(75,395)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(98,132)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557,091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523,135</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1,205,846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1,104,446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60"/>
        <w:spacing w:after="0" w:line="263" w:lineRule="auto"/>
        <w:rPr>
          <w:sz w:val="20"/>
          <w:szCs w:val="20"/>
          <w:color w:val="auto"/>
        </w:rPr>
      </w:pPr>
      <w:r>
        <w:rPr>
          <w:rFonts w:ascii="Arial" w:cs="Arial" w:eastAsia="Arial" w:hAnsi="Arial"/>
          <w:sz w:val="18"/>
          <w:szCs w:val="18"/>
          <w:b w:val="1"/>
          <w:bCs w:val="1"/>
          <w:color w:val="auto"/>
        </w:rPr>
        <w:t xml:space="preserve">FIRST WATCH RESTAURANT GROUP, INC. CONSOLIDATED STATEMENTS OF OPERATIONS AND COMPREHENSIVE INCOME </w:t>
      </w:r>
      <w:r>
        <w:rPr>
          <w:rFonts w:ascii="Arial" w:cs="Arial" w:eastAsia="Arial" w:hAnsi="Arial"/>
          <w:sz w:val="18"/>
          <w:szCs w:val="18"/>
          <w:i w:val="1"/>
          <w:iCs w:val="1"/>
          <w:color w:val="auto"/>
        </w:rPr>
        <w:t>(IN THOUSANDS, EXCEPT SHARE AND PER SHARE DATA)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60" w:type="dxa"/>
            <w:vAlign w:val="bottom"/>
            <w:gridSpan w:val="5"/>
          </w:tcPr>
          <w:p>
            <w:pPr>
              <w:ind w:left="8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6"/>
                <w:szCs w:val="16"/>
                <w:color w:val="auto"/>
              </w:rPr>
            </w:pPr>
          </w:p>
        </w:tc>
        <w:tc>
          <w:tcPr>
            <w:tcW w:w="376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24, 2023</w:t>
            </w: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24, 2023</w:t>
            </w: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25, 2022</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215,495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183,978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636,050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536,329</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646,918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544,417</w:t>
            </w: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20"/>
              <w:spacing w:after="0" w:line="166" w:lineRule="exact"/>
              <w:rPr>
                <w:sz w:val="20"/>
                <w:szCs w:val="20"/>
                <w:color w:val="auto"/>
              </w:rPr>
            </w:pPr>
            <w:r>
              <w:rPr>
                <w:rFonts w:ascii="Arial" w:cs="Arial" w:eastAsia="Arial" w:hAnsi="Arial"/>
                <w:sz w:val="16"/>
                <w:szCs w:val="16"/>
                <w:color w:val="auto"/>
              </w:rPr>
              <w:t>Restaurant operating expenses (exclusive of</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Arial" w:cs="Arial" w:eastAsia="Arial" w:hAnsi="Arial"/>
                <w:sz w:val="16"/>
                <w:szCs w:val="16"/>
                <w:color w:val="auto"/>
              </w:rPr>
              <w:t>depreciation and amortization shown below):</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 costs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129,200</w:t>
            </w:r>
          </w:p>
        </w:tc>
        <w:tc>
          <w:tcPr>
            <w:tcW w:w="0" w:type="dxa"/>
            <w:vAlign w:val="bottom"/>
          </w:tcPr>
          <w:p>
            <w:pPr>
              <w:spacing w:after="0"/>
              <w:rPr>
                <w:sz w:val="1"/>
                <w:szCs w:val="1"/>
                <w:color w:val="auto"/>
              </w:rPr>
            </w:pPr>
          </w:p>
        </w:tc>
      </w:tr>
      <w:tr>
        <w:trPr>
          <w:trHeight w:val="213"/>
        </w:trPr>
        <w:tc>
          <w:tcPr>
            <w:tcW w:w="3280" w:type="dxa"/>
            <w:vAlign w:val="bottom"/>
          </w:tcPr>
          <w:p>
            <w:pPr>
              <w:ind w:left="360"/>
              <w:spacing w:after="0"/>
              <w:rPr>
                <w:sz w:val="20"/>
                <w:szCs w:val="20"/>
                <w:color w:val="auto"/>
              </w:rPr>
            </w:pPr>
            <w:r>
              <w:rPr>
                <w:rFonts w:ascii="Arial" w:cs="Arial" w:eastAsia="Arial" w:hAnsi="Arial"/>
                <w:sz w:val="16"/>
                <w:szCs w:val="16"/>
                <w:color w:val="auto"/>
              </w:rPr>
              <w:t>Labor and other related expenses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212,312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175,091</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restaurant operating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85,761</w:t>
            </w:r>
          </w:p>
        </w:tc>
        <w:tc>
          <w:tcPr>
            <w:tcW w:w="0" w:type="dxa"/>
            <w:vAlign w:val="bottom"/>
          </w:tcPr>
          <w:p>
            <w:pPr>
              <w:spacing w:after="0"/>
              <w:rPr>
                <w:sz w:val="1"/>
                <w:szCs w:val="1"/>
                <w:color w:val="auto"/>
              </w:rPr>
            </w:pPr>
          </w:p>
        </w:tc>
      </w:tr>
      <w:tr>
        <w:trPr>
          <w:trHeight w:val="213"/>
        </w:trPr>
        <w:tc>
          <w:tcPr>
            <w:tcW w:w="328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17,555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44,318</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Pre-opening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63,194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Impairments and loss on disposal of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612,506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528,983</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6"/>
        </w:trPr>
        <w:tc>
          <w:tcPr>
            <w:tcW w:w="3280" w:type="dxa"/>
            <w:vAlign w:val="bottom"/>
          </w:tcPr>
          <w:p>
            <w:pPr>
              <w:ind w:left="36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30,570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12,335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5,418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22,737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360"/>
              <w:spacing w:after="0"/>
              <w:rPr>
                <w:sz w:val="20"/>
                <w:szCs w:val="20"/>
                <w:color w:val="auto"/>
              </w:rPr>
            </w:pPr>
            <w:r>
              <w:rPr>
                <w:rFonts w:ascii="Arial" w:cs="Arial" w:eastAsia="Arial" w:hAnsi="Arial"/>
                <w:sz w:val="16"/>
                <w:szCs w:val="16"/>
                <w:color w:val="auto"/>
              </w:rPr>
              <w:t>Unrealized gain on derivatives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360"/>
              <w:spacing w:after="0" w:line="168" w:lineRule="exact"/>
              <w:rPr>
                <w:sz w:val="20"/>
                <w:szCs w:val="20"/>
                <w:color w:val="auto"/>
              </w:rPr>
            </w:pPr>
            <w:r>
              <w:rPr>
                <w:rFonts w:ascii="Arial" w:cs="Arial" w:eastAsia="Arial" w:hAnsi="Arial"/>
                <w:sz w:val="16"/>
                <w:szCs w:val="16"/>
                <w:color w:val="auto"/>
                <w:w w:val="95"/>
              </w:rPr>
              <w:t>Income tax related to other comprehensive</w:t>
            </w: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 - 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Net income per common share - diluted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Weighted average number of common shares</w:t>
            </w: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59,646,027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59,089,831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59,424,989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59,065,423</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basic</w:t>
            </w:r>
          </w:p>
        </w:tc>
        <w:tc>
          <w:tcPr>
            <w:tcW w:w="18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20"/>
              <w:spacing w:after="0" w:line="166" w:lineRule="exact"/>
              <w:rPr>
                <w:sz w:val="20"/>
                <w:szCs w:val="20"/>
                <w:color w:val="auto"/>
              </w:rPr>
            </w:pPr>
            <w:r>
              <w:rPr>
                <w:rFonts w:ascii="Arial" w:cs="Arial" w:eastAsia="Arial" w:hAnsi="Arial"/>
                <w:sz w:val="16"/>
                <w:szCs w:val="16"/>
                <w:color w:val="auto"/>
                <w:w w:val="99"/>
              </w:rPr>
              <w:t>Weighted average number of common shares</w:t>
            </w: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61,562,524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60,464,062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61,016,105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60,088,622</w:t>
            </w:r>
          </w:p>
        </w:tc>
        <w:tc>
          <w:tcPr>
            <w:tcW w:w="0" w:type="dxa"/>
            <w:vAlign w:val="bottom"/>
          </w:tcPr>
          <w:p>
            <w:pPr>
              <w:spacing w:after="0"/>
              <w:rPr>
                <w:sz w:val="1"/>
                <w:szCs w:val="1"/>
                <w:color w:val="auto"/>
              </w:rPr>
            </w:pP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color w:val="auto"/>
              </w:rPr>
              <w:t>outstanding - diluted</w:t>
            </w:r>
          </w:p>
        </w:tc>
        <w:tc>
          <w:tcPr>
            <w:tcW w:w="1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06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6"/>
            <w:vMerge w:val="restart"/>
          </w:tcPr>
          <w:p>
            <w:pPr>
              <w:jc w:val="center"/>
              <w:ind w:right="100"/>
              <w:spacing w:after="0"/>
              <w:rPr>
                <w:sz w:val="20"/>
                <w:szCs w:val="20"/>
                <w:color w:val="auto"/>
              </w:rPr>
            </w:pPr>
            <w:r>
              <w:rPr>
                <w:rFonts w:ascii="Arial" w:cs="Arial" w:eastAsia="Arial" w:hAnsi="Arial"/>
                <w:sz w:val="18"/>
                <w:szCs w:val="18"/>
                <w:b w:val="1"/>
                <w:bCs w:val="1"/>
                <w:color w:val="auto"/>
                <w:w w:val="91"/>
              </w:rPr>
              <w:t>Accumulated 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134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3"/>
                <w:szCs w:val="3"/>
                <w:color w:val="auto"/>
              </w:rPr>
            </w:pPr>
          </w:p>
        </w:tc>
        <w:tc>
          <w:tcPr>
            <w:tcW w:w="1780" w:type="dxa"/>
            <w:vAlign w:val="bottom"/>
            <w:gridSpan w:val="6"/>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3440" w:type="dxa"/>
            <w:vAlign w:val="bottom"/>
          </w:tcPr>
          <w:p>
            <w:pPr>
              <w:spacing w:after="0"/>
              <w:rPr>
                <w:sz w:val="14"/>
                <w:szCs w:val="14"/>
                <w:color w:val="auto"/>
              </w:rPr>
            </w:pPr>
          </w:p>
        </w:tc>
        <w:tc>
          <w:tcPr>
            <w:tcW w:w="114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center"/>
              <w:ind w:right="420"/>
              <w:spacing w:after="0" w:line="162" w:lineRule="exact"/>
              <w:rPr>
                <w:sz w:val="20"/>
                <w:szCs w:val="20"/>
                <w:color w:val="auto"/>
              </w:rPr>
            </w:pPr>
            <w:r>
              <w:rPr>
                <w:rFonts w:ascii="Arial" w:cs="Arial" w:eastAsia="Arial" w:hAnsi="Arial"/>
                <w:sz w:val="16"/>
                <w:szCs w:val="16"/>
                <w:b w:val="1"/>
                <w:bCs w:val="1"/>
                <w:color w:val="auto"/>
                <w:w w:val="93"/>
              </w:rPr>
              <w:t>Paid-in</w:t>
            </w:r>
          </w:p>
        </w:tc>
        <w:tc>
          <w:tcPr>
            <w:tcW w:w="1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5"/>
          </w:tcPr>
          <w:p>
            <w:pPr>
              <w:jc w:val="center"/>
              <w:ind w:right="340"/>
              <w:spacing w:after="0" w:line="162"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w w:val="93"/>
              </w:rPr>
              <w:t>Deficit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0"/>
              </w:rPr>
              <w:t>(Loss) Income</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25, 2023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59,463,950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626,216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(80,813)</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545,837</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1,764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166"/>
        </w:trPr>
        <w:tc>
          <w:tcPr>
            <w:tcW w:w="344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331,049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3,084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rPr>
                <w:sz w:val="20"/>
                <w:szCs w:val="20"/>
                <w:color w:val="auto"/>
              </w:rPr>
            </w:pPr>
            <w:r>
              <w:rPr>
                <w:rFonts w:ascii="Arial" w:cs="Arial" w:eastAsia="Arial" w:hAnsi="Arial"/>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24,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59,794,999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631,064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557,091</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2"/>
        </w:trPr>
        <w:tc>
          <w:tcPr>
            <w:tcW w:w="3440" w:type="dxa"/>
            <w:vAlign w:val="bottom"/>
          </w:tcPr>
          <w:p>
            <w:pPr>
              <w:spacing w:after="0"/>
              <w:rPr>
                <w:sz w:val="24"/>
                <w:szCs w:val="24"/>
                <w:color w:val="auto"/>
              </w:rPr>
            </w:pPr>
          </w:p>
        </w:tc>
        <w:tc>
          <w:tcPr>
            <w:tcW w:w="206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6"/>
            <w:vMerge w:val="restart"/>
          </w:tcPr>
          <w:p>
            <w:pPr>
              <w:jc w:val="center"/>
              <w:ind w:right="100"/>
              <w:spacing w:after="0"/>
              <w:rPr>
                <w:sz w:val="20"/>
                <w:szCs w:val="20"/>
                <w:color w:val="auto"/>
              </w:rPr>
            </w:pPr>
            <w:r>
              <w:rPr>
                <w:rFonts w:ascii="Arial" w:cs="Arial" w:eastAsia="Arial" w:hAnsi="Arial"/>
                <w:sz w:val="18"/>
                <w:szCs w:val="18"/>
                <w:b w:val="1"/>
                <w:bCs w:val="1"/>
                <w:color w:val="auto"/>
                <w:w w:val="91"/>
              </w:rPr>
              <w:t>Accumulated Other</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134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1"/>
                <w:szCs w:val="11"/>
                <w:color w:val="auto"/>
              </w:rPr>
            </w:pPr>
          </w:p>
        </w:tc>
        <w:tc>
          <w:tcPr>
            <w:tcW w:w="178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14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center"/>
              <w:ind w:right="420"/>
              <w:spacing w:after="0" w:line="162" w:lineRule="exact"/>
              <w:rPr>
                <w:sz w:val="20"/>
                <w:szCs w:val="20"/>
                <w:color w:val="auto"/>
              </w:rPr>
            </w:pPr>
            <w:r>
              <w:rPr>
                <w:rFonts w:ascii="Arial" w:cs="Arial" w:eastAsia="Arial" w:hAnsi="Arial"/>
                <w:sz w:val="16"/>
                <w:szCs w:val="16"/>
                <w:b w:val="1"/>
                <w:bCs w:val="1"/>
                <w:color w:val="auto"/>
                <w:w w:val="93"/>
              </w:rPr>
              <w:t>Paid-in</w:t>
            </w:r>
          </w:p>
        </w:tc>
        <w:tc>
          <w:tcPr>
            <w:tcW w:w="1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5"/>
          </w:tcPr>
          <w:p>
            <w:pPr>
              <w:jc w:val="center"/>
              <w:ind w:right="340"/>
              <w:spacing w:after="0" w:line="162"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w w:val="93"/>
              </w:rPr>
              <w:t>Deficit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25, 2022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59,211,019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620,675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(98,132)</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6"/>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523,135</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22,737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22,737</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5,386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166"/>
        </w:trPr>
        <w:tc>
          <w:tcPr>
            <w:tcW w:w="344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583,980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5,003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24,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59,794,999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631,064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557,091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w w:val="91"/>
              </w:rPr>
              <w:t>Common Stock</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4"/>
          </w:tcPr>
          <w:p>
            <w:pPr>
              <w:jc w:val="center"/>
              <w:ind w:right="76"/>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left="79"/>
              <w:spacing w:after="0" w:line="142" w:lineRule="exact"/>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center"/>
              <w:ind w:right="159"/>
              <w:spacing w:after="0" w:line="142"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Shares</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26, 2022</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59,075,562</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614,223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517,122</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w w:val="98"/>
              </w:rPr>
              <w:t>Common stock issued under stock-based compensation plans, net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41,161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2"/>
              </w:rPr>
              <w:t>384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25, 2022</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59,116,723</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617,326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520,271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w w:val="91"/>
              </w:rPr>
              <w:t>Common Stock</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4"/>
          </w:tcPr>
          <w:p>
            <w:pPr>
              <w:jc w:val="center"/>
              <w:ind w:right="76"/>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left="79"/>
              <w:spacing w:after="0" w:line="142" w:lineRule="exact"/>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2"/>
                <w:szCs w:val="12"/>
                <w:color w:val="auto"/>
              </w:rPr>
            </w:pPr>
          </w:p>
        </w:tc>
        <w:tc>
          <w:tcPr>
            <w:tcW w:w="920" w:type="dxa"/>
            <w:vAlign w:val="bottom"/>
          </w:tcPr>
          <w:p>
            <w:pPr>
              <w:jc w:val="center"/>
              <w:ind w:right="159"/>
              <w:spacing w:after="0" w:line="142"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Shares</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26, 2021</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59,048,446</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608,878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504,429</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w w:val="98"/>
              </w:rPr>
              <w:t>Common stock issued under stock-based compensation plans, net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68,277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2"/>
              </w:rPr>
              <w:t>627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25, 2022</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9"/>
              </w:rPr>
              <w:t>59,116,723</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617,326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520,271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4"/>
          </w:tcPr>
          <w:p>
            <w:pPr>
              <w:jc w:val="right"/>
              <w:ind w:right="939"/>
              <w:spacing w:after="0"/>
              <w:rPr>
                <w:sz w:val="20"/>
                <w:szCs w:val="20"/>
                <w:color w:val="auto"/>
              </w:rPr>
            </w:pPr>
            <w:r>
              <w:rPr>
                <w:rFonts w:ascii="Arial" w:cs="Arial" w:eastAsia="Arial" w:hAnsi="Arial"/>
                <w:sz w:val="14"/>
                <w:szCs w:val="14"/>
                <w:b w:val="1"/>
                <w:bCs w:val="1"/>
                <w:color w:val="auto"/>
              </w:rPr>
              <w:t>THIRTY-NINE WEEKS ENDED</w:t>
            </w:r>
          </w:p>
        </w:tc>
      </w:tr>
      <w:tr>
        <w:trPr>
          <w:trHeight w:val="26"/>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24, 2023</w:t>
            </w:r>
          </w:p>
        </w:tc>
        <w:tc>
          <w:tcPr>
            <w:tcW w:w="180" w:type="dxa"/>
            <w:vAlign w:val="bottom"/>
          </w:tcPr>
          <w:p>
            <w:pPr>
              <w:spacing w:after="0"/>
              <w:rPr>
                <w:sz w:val="16"/>
                <w:szCs w:val="16"/>
                <w:color w:val="auto"/>
              </w:rPr>
            </w:pPr>
          </w:p>
        </w:tc>
        <w:tc>
          <w:tcPr>
            <w:tcW w:w="1820" w:type="dxa"/>
            <w:vAlign w:val="bottom"/>
          </w:tcPr>
          <w:p>
            <w:pPr>
              <w:jc w:val="right"/>
              <w:ind w:right="219"/>
              <w:spacing w:after="0"/>
              <w:rPr>
                <w:sz w:val="20"/>
                <w:szCs w:val="20"/>
                <w:color w:val="auto"/>
              </w:rPr>
            </w:pPr>
            <w:r>
              <w:rPr>
                <w:rFonts w:ascii="Arial" w:cs="Arial" w:eastAsia="Arial" w:hAnsi="Arial"/>
                <w:sz w:val="14"/>
                <w:szCs w:val="14"/>
                <w:b w:val="1"/>
                <w:bCs w:val="1"/>
                <w:color w:val="auto"/>
              </w:rPr>
              <w:t>SEPTEMBER 25, 2022</w:t>
            </w:r>
          </w:p>
        </w:tc>
      </w:tr>
      <w:tr>
        <w:trPr>
          <w:trHeight w:val="20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22,737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7,393</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28,992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25,302</w:t>
            </w:r>
          </w:p>
        </w:tc>
      </w:tr>
      <w:tr>
        <w:trPr>
          <w:trHeight w:val="219"/>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w:t>
            </w: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Non-cash operating lease costs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14,132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11,907</w:t>
            </w:r>
          </w:p>
        </w:tc>
      </w:tr>
      <w:tr>
        <w:trPr>
          <w:trHeight w:val="219"/>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portion of gain on lease modifications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6,566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4,353</w:t>
            </w:r>
          </w:p>
        </w:tc>
      </w:tr>
      <w:tr>
        <w:trPr>
          <w:trHeight w:val="219"/>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discount and deferred issuance costs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Impairments and loss on disposal of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9"/>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insurance proceeds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9"/>
        </w:trPr>
        <w:tc>
          <w:tcPr>
            <w:tcW w:w="6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r>
      <w:tr>
        <w:trPr>
          <w:trHeight w:val="213"/>
        </w:trPr>
        <w:tc>
          <w:tcPr>
            <w:tcW w:w="6940" w:type="dxa"/>
            <w:vAlign w:val="bottom"/>
          </w:tcPr>
          <w:p>
            <w:pPr>
              <w:ind w:left="66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6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13"/>
        </w:trPr>
        <w:tc>
          <w:tcPr>
            <w:tcW w:w="6940" w:type="dxa"/>
            <w:vAlign w:val="bottom"/>
          </w:tcPr>
          <w:p>
            <w:pPr>
              <w:ind w:left="660"/>
              <w:spacing w:after="0"/>
              <w:rPr>
                <w:sz w:val="20"/>
                <w:szCs w:val="20"/>
                <w:color w:val="auto"/>
              </w:rPr>
            </w:pPr>
            <w:r>
              <w:rPr>
                <w:rFonts w:ascii="Arial" w:cs="Arial" w:eastAsia="Arial" w:hAnsi="Arial"/>
                <w:sz w:val="16"/>
                <w:szCs w:val="16"/>
                <w:color w:val="auto"/>
              </w:rPr>
              <w:t>Other assets, current and long-term</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(2,176)</w:t>
            </w:r>
          </w:p>
        </w:tc>
      </w:tr>
      <w:tr>
        <w:trPr>
          <w:trHeight w:val="219"/>
        </w:trPr>
        <w:tc>
          <w:tcPr>
            <w:tcW w:w="6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w:t>
            </w:r>
          </w:p>
        </w:tc>
      </w:tr>
      <w:tr>
        <w:trPr>
          <w:trHeight w:val="213"/>
        </w:trPr>
        <w:tc>
          <w:tcPr>
            <w:tcW w:w="6940" w:type="dxa"/>
            <w:vAlign w:val="bottom"/>
          </w:tcPr>
          <w:p>
            <w:pPr>
              <w:ind w:left="660"/>
              <w:spacing w:after="0"/>
              <w:rPr>
                <w:sz w:val="20"/>
                <w:szCs w:val="20"/>
                <w:color w:val="auto"/>
              </w:rPr>
            </w:pPr>
            <w:r>
              <w:rPr>
                <w:rFonts w:ascii="Arial" w:cs="Arial" w:eastAsia="Arial" w:hAnsi="Arial"/>
                <w:sz w:val="16"/>
                <w:szCs w:val="16"/>
                <w:color w:val="auto"/>
              </w:rPr>
              <w:t>Accrued liabilities and other long-term liabilities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6,032</w:t>
            </w:r>
          </w:p>
        </w:tc>
      </w:tr>
      <w:tr>
        <w:trPr>
          <w:trHeight w:val="219"/>
        </w:trPr>
        <w:tc>
          <w:tcPr>
            <w:tcW w:w="6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compensation and deferred payroll taxes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w:t>
            </w:r>
          </w:p>
        </w:tc>
      </w:tr>
      <w:tr>
        <w:trPr>
          <w:trHeight w:val="213"/>
        </w:trPr>
        <w:tc>
          <w:tcPr>
            <w:tcW w:w="6940" w:type="dxa"/>
            <w:vAlign w:val="bottom"/>
          </w:tcPr>
          <w:p>
            <w:pPr>
              <w:ind w:left="660"/>
              <w:spacing w:after="0"/>
              <w:rPr>
                <w:sz w:val="20"/>
                <w:szCs w:val="20"/>
                <w:color w:val="auto"/>
              </w:rPr>
            </w:pPr>
            <w:r>
              <w:rPr>
                <w:rFonts w:ascii="Arial" w:cs="Arial" w:eastAsia="Arial" w:hAnsi="Arial"/>
                <w:sz w:val="16"/>
                <w:szCs w:val="16"/>
                <w:color w:val="auto"/>
              </w:rPr>
              <w:t>Deferred revenues, current and long-term</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(2,061)</w:t>
            </w:r>
          </w:p>
        </w:tc>
      </w:tr>
      <w:tr>
        <w:trPr>
          <w:trHeight w:val="219"/>
        </w:trPr>
        <w:tc>
          <w:tcPr>
            <w:tcW w:w="6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(5,570)</w:t>
            </w:r>
          </w:p>
        </w:tc>
      </w:tr>
      <w:tr>
        <w:trPr>
          <w:trHeight w:val="207"/>
        </w:trPr>
        <w:tc>
          <w:tcPr>
            <w:tcW w:w="694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73,044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46,644</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(52,770)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(44,985)</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Purchase of intangible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proceeds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94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(82,633)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(45,700)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Repayments of note payable</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 including finance lease liabilities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Proceeds from exercise of stock options, net of employee taxes paid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payment</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6"/>
        </w:trPr>
        <w:tc>
          <w:tcPr>
            <w:tcW w:w="6940" w:type="dxa"/>
            <w:vAlign w:val="bottom"/>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(3,437)</w:t>
            </w:r>
          </w:p>
        </w:tc>
      </w:tr>
      <w:tr>
        <w:trPr>
          <w:trHeight w:val="219"/>
        </w:trPr>
        <w:tc>
          <w:tcPr>
            <w:tcW w:w="69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decrease in cash and cash equivalents and restricted cash</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69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52,115</w:t>
            </w:r>
          </w:p>
        </w:tc>
      </w:tr>
      <w:tr>
        <w:trPr>
          <w:trHeight w:val="213"/>
        </w:trPr>
        <w:tc>
          <w:tcPr>
            <w:tcW w:w="6940" w:type="dxa"/>
            <w:vAlign w:val="bottom"/>
          </w:tcPr>
          <w:p>
            <w:pPr>
              <w:ind w:left="1120"/>
              <w:spacing w:after="0"/>
              <w:rPr>
                <w:sz w:val="20"/>
                <w:szCs w:val="20"/>
                <w:color w:val="auto"/>
              </w:rPr>
            </w:pPr>
            <w:r>
              <w:rPr>
                <w:rFonts w:ascii="Arial" w:cs="Arial" w:eastAsia="Arial" w:hAnsi="Arial"/>
                <w:sz w:val="16"/>
                <w:szCs w:val="16"/>
                <w:color w:val="auto"/>
              </w:rPr>
              <w:t>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5,362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r>
    </w:tbl>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CONSOLIDATED STATEMENTS OF CASH FLOWS - </w:t>
      </w:r>
      <w:r>
        <w:rPr>
          <w:rFonts w:ascii="Arial" w:cs="Arial" w:eastAsia="Arial" w:hAnsi="Arial"/>
          <w:sz w:val="18"/>
          <w:szCs w:val="18"/>
          <w:b w:val="1"/>
          <w:bCs w:val="1"/>
          <w:i w:val="1"/>
          <w:iCs w:val="1"/>
          <w:color w:val="auto"/>
        </w:rPr>
        <w:t>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gridSpan w:val="4"/>
          </w:tcPr>
          <w:p>
            <w:pPr>
              <w:jc w:val="right"/>
              <w:ind w:right="921"/>
              <w:spacing w:after="0"/>
              <w:rPr>
                <w:sz w:val="20"/>
                <w:szCs w:val="20"/>
                <w:color w:val="auto"/>
              </w:rPr>
            </w:pPr>
            <w:r>
              <w:rPr>
                <w:rFonts w:ascii="Arial" w:cs="Arial" w:eastAsia="Arial" w:hAnsi="Arial"/>
                <w:sz w:val="14"/>
                <w:szCs w:val="14"/>
                <w:b w:val="1"/>
                <w:bCs w:val="1"/>
                <w:color w:val="auto"/>
              </w:rPr>
              <w:t>THIRTY-NINE WEEKS ENDED</w:t>
            </w:r>
          </w:p>
        </w:tc>
      </w:tr>
      <w:tr>
        <w:trPr>
          <w:trHeight w:val="25"/>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24, 2023</w:t>
            </w:r>
          </w:p>
        </w:tc>
        <w:tc>
          <w:tcPr>
            <w:tcW w:w="180" w:type="dxa"/>
            <w:vAlign w:val="bottom"/>
          </w:tcPr>
          <w:p>
            <w:pPr>
              <w:spacing w:after="0"/>
              <w:rPr>
                <w:sz w:val="16"/>
                <w:szCs w:val="16"/>
                <w:color w:val="auto"/>
              </w:rPr>
            </w:pPr>
          </w:p>
        </w:tc>
        <w:tc>
          <w:tcPr>
            <w:tcW w:w="1800" w:type="dxa"/>
            <w:vAlign w:val="bottom"/>
          </w:tcPr>
          <w:p>
            <w:pPr>
              <w:jc w:val="right"/>
              <w:ind w:right="201"/>
              <w:spacing w:after="0"/>
              <w:rPr>
                <w:sz w:val="20"/>
                <w:szCs w:val="20"/>
                <w:color w:val="auto"/>
              </w:rPr>
            </w:pPr>
            <w:r>
              <w:rPr>
                <w:rFonts w:ascii="Arial" w:cs="Arial" w:eastAsia="Arial" w:hAnsi="Arial"/>
                <w:sz w:val="14"/>
                <w:szCs w:val="14"/>
                <w:b w:val="1"/>
                <w:bCs w:val="1"/>
                <w:color w:val="auto"/>
              </w:rPr>
              <w:t>SEPTEMBER 25, 2022</w:t>
            </w:r>
          </w:p>
        </w:tc>
      </w:tr>
      <w:tr>
        <w:trPr>
          <w:trHeight w:val="20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2"/>
              <w:spacing w:after="0"/>
              <w:rPr>
                <w:sz w:val="20"/>
                <w:szCs w:val="20"/>
                <w:color w:val="auto"/>
              </w:rPr>
            </w:pPr>
            <w:r>
              <w:rPr>
                <w:rFonts w:ascii="Arial" w:cs="Arial" w:eastAsia="Arial" w:hAnsi="Arial"/>
                <w:sz w:val="16"/>
                <w:szCs w:val="16"/>
                <w:color w:val="auto"/>
              </w:rPr>
              <w:t>64,660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37,961</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Remeasurements and terminations of operating lease assets and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(1,861)</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Remeasurements and terminations of finance lease assets and lease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Increase in liabilities from acquisition of property, fixtures and equipment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2"/>
              <w:spacing w:after="0"/>
              <w:rPr>
                <w:sz w:val="20"/>
                <w:szCs w:val="20"/>
                <w:color w:val="auto"/>
              </w:rPr>
            </w:pPr>
            <w:r>
              <w:rPr>
                <w:rFonts w:ascii="Arial" w:cs="Arial" w:eastAsia="Arial" w:hAnsi="Arial"/>
                <w:sz w:val="16"/>
                <w:szCs w:val="16"/>
                <w:color w:val="auto"/>
              </w:rPr>
              <w:t>6,202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Nature of Business and Organization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As of September 24, 2023, the Company operated 402 company-owned restaurants and 103 franchise-owned restaurants.</w:t>
      </w:r>
    </w:p>
    <w:p>
      <w:pPr>
        <w:spacing w:after="0" w:line="275" w:lineRule="exact"/>
        <w:rPr>
          <w:sz w:val="20"/>
          <w:szCs w:val="20"/>
          <w:color w:val="auto"/>
        </w:rPr>
      </w:pPr>
    </w:p>
    <w:p>
      <w:pPr>
        <w:ind w:right="7540" w:firstLine="8"/>
        <w:spacing w:after="0" w:line="534"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Company reports financial information on a 52- or 53-week fiscal year ending on the last Sunday of each calendar year. The quarters ended September 24, 2023 and September 25, 2022 were 13-week periods. These unaudited interim consolidated financial statements should be read in conjunction with the audited consolidated financial statements and notes thereto included in the Company’s Annual Report on Form 10-K as of and for the year ended December 25, 2022 (“2022 Form 10</w:t>
      </w:r>
      <w:r>
        <w:rPr>
          <w:rFonts w:ascii="MS PGothic" w:cs="MS PGothic" w:eastAsia="MS PGothic" w:hAnsi="MS PGothic"/>
          <w:sz w:val="19"/>
          <w:szCs w:val="19"/>
          <w:color w:val="auto"/>
        </w:rPr>
        <w:t>‑</w:t>
      </w:r>
      <w:r>
        <w:rPr>
          <w:rFonts w:ascii="Arial" w:cs="Arial" w:eastAsia="Arial" w:hAnsi="Arial"/>
          <w:sz w:val="18"/>
          <w:szCs w:val="18"/>
          <w:color w:val="auto"/>
        </w:rPr>
        <w:t>K”).</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2022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note payable and other current liabilities, approximate their fair values due to their short-term maturities.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element of the Company’s interest rate risk management strategy, Management uses interest rate swaps. The intent of these instruments is to reduce cash flow exposure to variability in expected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and subsequently reclassified into earnings at the time of the Company’s debt- interest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During the thirty-nine weeks ended September 24, 2023, the Company acquired substantially all the assets associated with 17 franchise operated First Watch restaurants. The purchase price was allocated to the fair value of assets acquired and liabilities assumed, which are based on preliminary valuations and are subject to adjustment as additional information is available. The details of each acquisition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Date of acquisition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May 1, 2023</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June 26, 2023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August 9, 2023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Number of acquired restaurants</w:t>
            </w:r>
          </w:p>
        </w:tc>
        <w:tc>
          <w:tcPr>
            <w:tcW w:w="3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acquired restaurants under development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Purchase price (cash)</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8,177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8,656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14,127</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costs incurred</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66"/>
        </w:trPr>
        <w:tc>
          <w:tcPr>
            <w:tcW w:w="5940" w:type="dxa"/>
            <w:vAlign w:val="bottom"/>
          </w:tcPr>
          <w:p>
            <w:pPr>
              <w:ind w:left="20"/>
              <w:spacing w:after="0" w:line="166" w:lineRule="exact"/>
              <w:rPr>
                <w:sz w:val="20"/>
                <w:szCs w:val="20"/>
                <w:color w:val="auto"/>
              </w:rPr>
            </w:pPr>
            <w:r>
              <w:rPr>
                <w:rFonts w:ascii="Arial" w:cs="Arial" w:eastAsia="Arial" w:hAnsi="Arial"/>
                <w:sz w:val="16"/>
                <w:szCs w:val="16"/>
                <w:color w:val="auto"/>
              </w:rPr>
              <w:t>Deferred franchise fees recognized as a result of termination of</w:t>
            </w:r>
          </w:p>
        </w:tc>
        <w:tc>
          <w:tcPr>
            <w:tcW w:w="3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39"/>
              <w:spacing w:after="0"/>
              <w:rPr>
                <w:sz w:val="20"/>
                <w:szCs w:val="20"/>
                <w:color w:val="auto"/>
              </w:rPr>
            </w:pPr>
            <w:r>
              <w:rPr>
                <w:rFonts w:ascii="Arial" w:cs="Arial" w:eastAsia="Arial" w:hAnsi="Arial"/>
                <w:sz w:val="16"/>
                <w:szCs w:val="16"/>
                <w:color w:val="auto"/>
              </w:rPr>
              <w:t>78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39"/>
              <w:spacing w:after="0"/>
              <w:rPr>
                <w:sz w:val="20"/>
                <w:szCs w:val="20"/>
                <w:color w:val="auto"/>
              </w:rPr>
            </w:pPr>
            <w:r>
              <w:rPr>
                <w:rFonts w:ascii="Arial" w:cs="Arial" w:eastAsia="Arial" w:hAnsi="Arial"/>
                <w:sz w:val="16"/>
                <w:szCs w:val="16"/>
                <w:color w:val="auto"/>
              </w:rPr>
              <w:t>123</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Arial" w:cs="Arial" w:eastAsia="Arial" w:hAnsi="Arial"/>
                <w:sz w:val="16"/>
                <w:szCs w:val="16"/>
                <w:color w:val="auto"/>
              </w:rPr>
              <w:t>pre-existing franchise agreement</w:t>
            </w:r>
          </w:p>
        </w:tc>
        <w:tc>
          <w:tcPr>
            <w:tcW w:w="3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amounts of identifiable assets acquired and liabilities assumed: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480"/>
              <w:spacing w:after="0"/>
              <w:rPr>
                <w:sz w:val="20"/>
                <w:szCs w:val="20"/>
                <w:color w:val="auto"/>
              </w:rPr>
            </w:pPr>
            <w:r>
              <w:rPr>
                <w:rFonts w:ascii="Arial" w:cs="Arial" w:eastAsia="Arial" w:hAnsi="Arial"/>
                <w:sz w:val="16"/>
                <w:szCs w:val="16"/>
                <w:color w:val="auto"/>
              </w:rPr>
              <w:t>Cash</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5940" w:type="dxa"/>
            <w:vAlign w:val="bottom"/>
          </w:tcPr>
          <w:p>
            <w:pPr>
              <w:ind w:left="480"/>
              <w:spacing w:after="0"/>
              <w:rPr>
                <w:sz w:val="20"/>
                <w:szCs w:val="20"/>
                <w:color w:val="auto"/>
              </w:rPr>
            </w:pPr>
            <w:r>
              <w:rPr>
                <w:rFonts w:ascii="Arial" w:cs="Arial" w:eastAsia="Arial" w:hAnsi="Arial"/>
                <w:sz w:val="16"/>
                <w:szCs w:val="16"/>
                <w:color w:val="auto"/>
              </w:rPr>
              <w:t>Prepaid rent and other assets</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Property, fixtures and equipment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6,364</w:t>
            </w:r>
          </w:p>
        </w:tc>
        <w:tc>
          <w:tcPr>
            <w:tcW w:w="0" w:type="dxa"/>
            <w:vAlign w:val="bottom"/>
          </w:tcPr>
          <w:p>
            <w:pPr>
              <w:spacing w:after="0"/>
              <w:rPr>
                <w:sz w:val="1"/>
                <w:szCs w:val="1"/>
                <w:color w:val="auto"/>
              </w:rPr>
            </w:pPr>
          </w:p>
        </w:tc>
      </w:tr>
      <w:tr>
        <w:trPr>
          <w:trHeight w:val="213"/>
        </w:trPr>
        <w:tc>
          <w:tcPr>
            <w:tcW w:w="5940" w:type="dxa"/>
            <w:vAlign w:val="bottom"/>
          </w:tcPr>
          <w:p>
            <w:pPr>
              <w:ind w:left="480"/>
              <w:spacing w:after="0"/>
              <w:rPr>
                <w:sz w:val="20"/>
                <w:szCs w:val="20"/>
                <w:color w:val="auto"/>
              </w:rPr>
            </w:pPr>
            <w:r>
              <w:rPr>
                <w:rFonts w:ascii="Arial" w:cs="Arial" w:eastAsia="Arial" w:hAnsi="Arial"/>
                <w:sz w:val="16"/>
                <w:szCs w:val="16"/>
                <w:color w:val="auto"/>
              </w:rPr>
              <w:t>Reacquired rights</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1,342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2,304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4,358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4"/>
              </w:rPr>
              <w:t>Goodwill (primarily expected synergies and assembled workforce; tax deductible)</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5,272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13"/>
        </w:trPr>
        <w:tc>
          <w:tcPr>
            <w:tcW w:w="5940" w:type="dxa"/>
            <w:vAlign w:val="bottom"/>
          </w:tcPr>
          <w:p>
            <w:pPr>
              <w:ind w:left="480"/>
              <w:spacing w:after="0"/>
              <w:rPr>
                <w:sz w:val="20"/>
                <w:szCs w:val="20"/>
                <w:color w:val="auto"/>
              </w:rPr>
            </w:pPr>
            <w:r>
              <w:rPr>
                <w:rFonts w:ascii="Arial" w:cs="Arial" w:eastAsia="Arial" w:hAnsi="Arial"/>
                <w:sz w:val="16"/>
                <w:szCs w:val="16"/>
                <w:color w:val="auto"/>
              </w:rPr>
              <w:t>Unfavorable leasehold positions, net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5940" w:type="dxa"/>
            <w:vAlign w:val="bottom"/>
          </w:tcPr>
          <w:p>
            <w:pPr>
              <w:ind w:left="480"/>
              <w:spacing w:after="0"/>
              <w:rPr>
                <w:sz w:val="20"/>
                <w:szCs w:val="20"/>
                <w:color w:val="auto"/>
              </w:rPr>
            </w:pPr>
            <w:r>
              <w:rPr>
                <w:rFonts w:ascii="Arial" w:cs="Arial" w:eastAsia="Arial" w:hAnsi="Arial"/>
                <w:sz w:val="16"/>
                <w:szCs w:val="16"/>
                <w:color w:val="auto"/>
              </w:rPr>
              <w:t>Deferred revenues - gift card liabilities assumed</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a detail of liabilities from contracts with customers: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199"/>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1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6900" w:type="dxa"/>
            <w:vAlign w:val="bottom"/>
          </w:tcPr>
          <w:p>
            <w:pPr>
              <w:ind w:left="360"/>
              <w:spacing w:after="0"/>
              <w:rPr>
                <w:sz w:val="20"/>
                <w:szCs w:val="20"/>
                <w:color w:val="auto"/>
              </w:rPr>
            </w:pPr>
            <w:r>
              <w:rPr>
                <w:rFonts w:ascii="Arial" w:cs="Arial" w:eastAsia="Arial" w:hAnsi="Arial"/>
                <w:sz w:val="16"/>
                <w:szCs w:val="16"/>
                <w:color w:val="auto"/>
              </w:rPr>
              <w:t>Deferred gift card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2,370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4,897</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franchise fee revenue - current</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Total current deferred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6"/>
                <w:szCs w:val="16"/>
                <w:color w:val="auto"/>
              </w:rPr>
              <w:t>Deferred franchise fee revenue -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r>
      <w:tr>
        <w:trPr>
          <w:trHeight w:val="21"/>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gift card contract liabilities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5"/>
          </w:tcPr>
          <w:p>
            <w:pPr>
              <w:ind w:left="96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8"/>
                <w:szCs w:val="18"/>
                <w:color w:val="auto"/>
              </w:rPr>
            </w:pPr>
          </w:p>
        </w:tc>
        <w:tc>
          <w:tcPr>
            <w:tcW w:w="42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SEPTEMBER 25, 2022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19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gift card revenue:</w:t>
            </w: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sales</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Arial" w:cs="Arial" w:eastAsia="Arial" w:hAnsi="Arial"/>
                <w:sz w:val="16"/>
                <w:szCs w:val="16"/>
                <w:color w:val="auto"/>
              </w:rPr>
              <w:t>Gift card redemptions</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(6,399)</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Gift card breakage</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166"/>
        </w:trPr>
        <w:tc>
          <w:tcPr>
            <w:tcW w:w="2380" w:type="dxa"/>
            <w:vAlign w:val="bottom"/>
          </w:tcPr>
          <w:p>
            <w:pPr>
              <w:ind w:left="360"/>
              <w:spacing w:after="0" w:line="166" w:lineRule="exact"/>
              <w:rPr>
                <w:sz w:val="20"/>
                <w:szCs w:val="20"/>
                <w:color w:val="auto"/>
              </w:rPr>
            </w:pPr>
            <w:r>
              <w:rPr>
                <w:rFonts w:ascii="Arial" w:cs="Arial" w:eastAsia="Arial" w:hAnsi="Arial"/>
                <w:sz w:val="16"/>
                <w:szCs w:val="16"/>
                <w:color w:val="auto"/>
              </w:rPr>
              <w:t>Gift card liabilities assumed</w:t>
            </w: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tcPr>
          <w:p>
            <w:pPr>
              <w:ind w:left="360"/>
              <w:spacing w:after="0"/>
              <w:rPr>
                <w:sz w:val="20"/>
                <w:szCs w:val="20"/>
                <w:color w:val="auto"/>
              </w:rPr>
            </w:pPr>
            <w:r>
              <w:rPr>
                <w:rFonts w:ascii="Arial" w:cs="Arial" w:eastAsia="Arial" w:hAnsi="Arial"/>
                <w:sz w:val="16"/>
                <w:szCs w:val="16"/>
                <w:color w:val="auto"/>
              </w:rPr>
              <w:t>through acquisitions</w:t>
            </w: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franchise fee contract liabilities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5"/>
          </w:tcPr>
          <w:p>
            <w:pPr>
              <w:ind w:left="96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8"/>
                <w:szCs w:val="18"/>
                <w:color w:val="auto"/>
              </w:rPr>
            </w:pPr>
          </w:p>
        </w:tc>
        <w:tc>
          <w:tcPr>
            <w:tcW w:w="4200" w:type="dxa"/>
            <w:vAlign w:val="bottom"/>
            <w:gridSpan w:val="4"/>
          </w:tcPr>
          <w:p>
            <w:pPr>
              <w:jc w:val="right"/>
              <w:ind w:right="958"/>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SEPTEMBER 25, 2022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19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franchise fee revenue:</w:t>
            </w: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2,672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2,637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2,768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received</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Arial" w:cs="Arial" w:eastAsia="Arial" w:hAnsi="Arial"/>
                <w:sz w:val="16"/>
                <w:szCs w:val="16"/>
                <w:color w:val="auto"/>
                <w:w w:val="89"/>
              </w:rPr>
              <w:t>Franchise revenues recognized</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Business combinations -</w:t>
            </w: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1"/>
              </w:rPr>
              <w:t>franchise revenues recognized</w:t>
            </w: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disaggregated by type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5"/>
          </w:tcPr>
          <w:p>
            <w:pPr>
              <w:ind w:left="96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8"/>
                <w:szCs w:val="18"/>
                <w:color w:val="auto"/>
              </w:rPr>
            </w:pPr>
          </w:p>
        </w:tc>
        <w:tc>
          <w:tcPr>
            <w:tcW w:w="42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SEPTEMBER 25, 2022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19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176,696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147,491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520,277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425,222</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60,960</w:t>
            </w: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50,147</w:t>
            </w:r>
          </w:p>
        </w:tc>
        <w:tc>
          <w:tcPr>
            <w:tcW w:w="0" w:type="dxa"/>
            <w:vAlign w:val="bottom"/>
          </w:tcPr>
          <w:p>
            <w:pPr>
              <w:spacing w:after="0"/>
              <w:rPr>
                <w:sz w:val="1"/>
                <w:szCs w:val="1"/>
                <w:color w:val="auto"/>
              </w:rPr>
            </w:pPr>
          </w:p>
        </w:tc>
      </w:tr>
      <w:tr>
        <w:trPr>
          <w:trHeight w:val="21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536,329</w:t>
            </w:r>
          </w:p>
        </w:tc>
        <w:tc>
          <w:tcPr>
            <w:tcW w:w="0" w:type="dxa"/>
            <w:vAlign w:val="bottom"/>
          </w:tcPr>
          <w:p>
            <w:pPr>
              <w:spacing w:after="0"/>
              <w:rPr>
                <w:sz w:val="1"/>
                <w:szCs w:val="1"/>
                <w:color w:val="auto"/>
              </w:rPr>
            </w:pPr>
          </w:p>
        </w:tc>
      </w:tr>
      <w:tr>
        <w:trPr>
          <w:trHeight w:val="483"/>
        </w:trPr>
        <w:tc>
          <w:tcPr>
            <w:tcW w:w="2380" w:type="dxa"/>
            <w:vAlign w:val="bottom"/>
          </w:tcPr>
          <w:p>
            <w:pPr>
              <w:ind w:left="20"/>
              <w:spacing w:after="0"/>
              <w:rPr>
                <w:sz w:val="20"/>
                <w:szCs w:val="20"/>
                <w:color w:val="auto"/>
              </w:rPr>
            </w:pPr>
            <w:r>
              <w:rPr>
                <w:rFonts w:ascii="Arial" w:cs="Arial" w:eastAsia="Arial" w:hAnsi="Arial"/>
                <w:sz w:val="16"/>
                <w:szCs w:val="16"/>
                <w:color w:val="auto"/>
              </w:rPr>
              <w:t>Franchise revenues:</w:t>
            </w: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Royalty and system fund</w:t>
            </w:r>
          </w:p>
        </w:tc>
        <w:tc>
          <w:tcPr>
            <w:tcW w:w="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w:t>
            </w: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Initial fees</w:t>
            </w: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franchise revenues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12"/>
        </w:trPr>
        <w:tc>
          <w:tcPr>
            <w:tcW w:w="23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646,918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544,417</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5.  Accounts Receivable</w:t>
            </w: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6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third-party delivery providers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Receivables from franchisees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1,076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vendors</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Receivables related to gift card sales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1,565</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13"/>
        </w:trPr>
        <w:tc>
          <w:tcPr>
            <w:tcW w:w="6900" w:type="dxa"/>
            <w:vAlign w:val="bottom"/>
          </w:tcPr>
          <w:p>
            <w:pPr>
              <w:ind w:left="360"/>
              <w:spacing w:after="0"/>
              <w:rPr>
                <w:sz w:val="20"/>
                <w:szCs w:val="20"/>
                <w:color w:val="auto"/>
              </w:rPr>
            </w:pPr>
            <w:r>
              <w:rPr>
                <w:rFonts w:ascii="Arial" w:cs="Arial" w:eastAsia="Arial" w:hAnsi="Arial"/>
                <w:sz w:val="16"/>
                <w:szCs w:val="16"/>
                <w:color w:val="auto"/>
              </w:rPr>
              <w:t>Total accounts receivable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6,164</w:t>
            </w: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liabilities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6,908</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Sales tax</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3,791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Self-insurance and general liability reserves</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1,840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1,468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Credit card fees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tax</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Contingent rent</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811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area maintenance</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w:t>
            </w:r>
          </w:p>
        </w:tc>
      </w:tr>
      <w:tr>
        <w:trPr>
          <w:trHeight w:val="238"/>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440"/>
              <w:spacing w:after="0"/>
              <w:rPr>
                <w:sz w:val="20"/>
                <w:szCs w:val="20"/>
                <w:color w:val="auto"/>
              </w:rPr>
            </w:pPr>
            <w:r>
              <w:rPr>
                <w:rFonts w:ascii="Arial" w:cs="Arial" w:eastAsia="Arial" w:hAnsi="Arial"/>
                <w:sz w:val="16"/>
                <w:szCs w:val="16"/>
                <w:b w:val="1"/>
                <w:bCs w:val="1"/>
                <w:color w:val="auto"/>
              </w:rPr>
              <w:t>SEPTEMBER 24, 2023</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6"/>
                <w:szCs w:val="16"/>
                <w:b w:val="1"/>
                <w:bCs w:val="1"/>
                <w:color w:val="auto"/>
              </w:rPr>
              <w:t>DECEMBER 25, 2022</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Facility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17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98,125</w:t>
            </w:r>
          </w:p>
        </w:tc>
        <w:tc>
          <w:tcPr>
            <w:tcW w:w="1720" w:type="dxa"/>
            <w:vAlign w:val="bottom"/>
            <w:gridSpan w:val="2"/>
            <w:shd w:val="clear" w:color="auto" w:fill="CCEEFF"/>
          </w:tcPr>
          <w:p>
            <w:pPr>
              <w:jc w:val="right"/>
              <w:ind w:right="519"/>
              <w:spacing w:after="0"/>
              <w:rPr>
                <w:sz w:val="20"/>
                <w:szCs w:val="20"/>
                <w:color w:val="auto"/>
              </w:rPr>
            </w:pPr>
            <w:r>
              <w:rPr>
                <w:rFonts w:ascii="Arial" w:cs="Arial" w:eastAsia="Arial" w:hAnsi="Arial"/>
                <w:sz w:val="16"/>
                <w:szCs w:val="16"/>
                <w:color w:val="auto"/>
              </w:rPr>
              <w:t>5.89%</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discount and deferred issuance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12"/>
        </w:trPr>
        <w:tc>
          <w:tcPr>
            <w:tcW w:w="52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Total Debt,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97,840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100,925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(6,891)</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r>
      <w:tr>
        <w:trPr>
          <w:trHeight w:val="238"/>
        </w:trPr>
        <w:tc>
          <w:tcPr>
            <w:tcW w:w="52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Long-term debt,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90,949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94,668</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FWR Holding Corporation (“FWR”), a subsidiary of the Company, is the borrower under the credit agreement dated as of October 6, 2021 (“Credit Agreement”), which provides for (i) a $100.0 million term loan A facility (the “Term Facility”) and (ii) a $75.0 million revolving credit facility (the “Revolving Credit Facility” and, together with the Term Facility, collectively, the “Credit Facilities”). The Revolving Credit Facility was undrawn at September 24, 2023 and December 25, 2022. The Credit Facilities mature on October 6, 2026.</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24, 2023, the Company entered into the Amendment No. 1 to the Credit Agreement (the “Amendment”) to replace LIBO Rate (“LIBOR”) with a secured overnight financing rate (“SOFR”). All outstanding borrowings under the Credit Agreement continued to bear interest at LIBOR until March 27, 2023.</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March 27, 2023, borrowings under the Credit Facilities bear interest, at the option of FWR at either (i) the alternate base rate plus a margin of between 125 and 200 basis points depending on the total rent adjusted net leverage ratio of FWR and its restricted subsidiaries on a consolidated basis (the “Total Rent Adjusted Net Leverage Ratio”) or (ii) SOFR plus a credit spread adjustment of 10 basis points plus a margin of between 225 and 300 basis points depending on the Total Rent Adjusted Net Leverage Ratio. Refer to Note 8, </w:t>
      </w:r>
      <w:r>
        <w:rPr>
          <w:rFonts w:ascii="Arial" w:cs="Arial" w:eastAsia="Arial" w:hAnsi="Arial"/>
          <w:sz w:val="18"/>
          <w:szCs w:val="18"/>
          <w:i w:val="1"/>
          <w:iCs w:val="1"/>
          <w:color w:val="auto"/>
        </w:rPr>
        <w:t>Interest Rate Swaps</w:t>
      </w:r>
      <w:r>
        <w:rPr>
          <w:rFonts w:ascii="Arial" w:cs="Arial" w:eastAsia="Arial" w:hAnsi="Arial"/>
          <w:sz w:val="18"/>
          <w:szCs w:val="18"/>
          <w:color w:val="auto"/>
        </w:rPr>
        <w:t>, for information about the variable-to-fixed interest rate swap agreements entered into in June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estimated fair value of the outstanding debt under the Credit Facilities was $94.9 million and $97.1 million at September 24, 2023 and December 25, 2022,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23, 2023, the Company entered into variable-to-fixed interest rate swaps to hedge a portion of the cash flows of the Company’s variable rate debt. The interest rate swaps have an aggregate notional amount of $90.0 million and mature on October 6, 2026. Under the terms of the interest rate swaps, the Company will pay a weighted average fixed rate of 4.16% on the notional amount and will receive payments from the counterparties based on the three-month SOFR rate.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Amounts reported in Other comprehensive income related to the interest rate swaps will be reclassified to interest expense as interest payments are made on the Company’s variable-rate debt. Over the next 12 months, the Company estimates that $1.0 million will be reclassified as a reduction to interest expense.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detail of lease assets and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Consolidated Balance Sheets Classification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24, 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DECEMBER 25, 2022</w:t>
            </w: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352,373</w:t>
            </w:r>
          </w:p>
        </w:tc>
      </w:tr>
      <w:tr>
        <w:trPr>
          <w:trHeight w:val="21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assets</w:t>
            </w:r>
          </w:p>
        </w:tc>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r>
      <w:tr>
        <w:trPr>
          <w:trHeight w:val="213"/>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assets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Operating lease liabilities </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 current</w:t>
      </w:r>
    </w:p>
    <w:p>
      <w:pPr>
        <w:ind w:left="20"/>
        <w:spacing w:after="0"/>
        <w:rPr>
          <w:sz w:val="20"/>
          <w:szCs w:val="20"/>
          <w:color w:val="auto"/>
        </w:rPr>
      </w:pPr>
      <w:r>
        <w:rPr>
          <w:rFonts w:ascii="Arial" w:cs="Arial" w:eastAsia="Arial" w:hAnsi="Arial"/>
          <w:sz w:val="14"/>
          <w:szCs w:val="14"/>
          <w:color w:val="auto"/>
        </w:rPr>
        <w:t>Operating lease liabilities - non-current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liabilities - non-current</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42,856</w:t>
            </w:r>
          </w:p>
        </w:tc>
        <w:tc>
          <w:tcPr>
            <w:tcW w:w="100" w:type="dxa"/>
            <w:vAlign w:val="bottom"/>
          </w:tcPr>
          <w:p>
            <w:pPr>
              <w:spacing w:after="0"/>
              <w:rPr>
                <w:sz w:val="17"/>
                <w:szCs w:val="17"/>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38,936</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420,496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366,113</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9"/>
        </w:trPr>
        <w:tc>
          <w:tcPr>
            <w:tcW w:w="3920" w:type="dxa"/>
            <w:vAlign w:val="bottom"/>
          </w:tcPr>
          <w:p>
            <w:pPr>
              <w:spacing w:after="0"/>
              <w:rPr>
                <w:sz w:val="20"/>
                <w:szCs w:val="20"/>
                <w:color w:val="auto"/>
              </w:rPr>
            </w:pPr>
            <w:r>
              <w:rPr>
                <w:rFonts w:ascii="Arial" w:cs="Arial" w:eastAsia="Arial" w:hAnsi="Arial"/>
                <w:sz w:val="16"/>
                <w:szCs w:val="16"/>
                <w:color w:val="auto"/>
              </w:rPr>
              <w:t>Long-term debt, net</w:t>
            </w: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r>
      <w:tr>
        <w:trPr>
          <w:trHeight w:val="209"/>
        </w:trPr>
        <w:tc>
          <w:tcPr>
            <w:tcW w:w="392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464,493</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406,482</w:t>
            </w:r>
          </w:p>
        </w:tc>
      </w:tr>
      <w:tr>
        <w:trPr>
          <w:trHeight w:val="23"/>
        </w:trPr>
        <w:tc>
          <w:tcPr>
            <w:tcW w:w="3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-454025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-179070</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580" w:space="340"/>
            <w:col w:w="832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all variable lease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Consolidated Statements of Operations</w:t>
            </w: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155"/>
        </w:trPr>
        <w:tc>
          <w:tcPr>
            <w:tcW w:w="1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and Comprehensive Income</w:t>
            </w:r>
          </w:p>
        </w:tc>
        <w:tc>
          <w:tcPr>
            <w:tcW w:w="140" w:type="dxa"/>
            <w:vAlign w:val="bottom"/>
          </w:tcPr>
          <w:p>
            <w:pPr>
              <w:spacing w:after="0"/>
              <w:rPr>
                <w:sz w:val="13"/>
                <w:szCs w:val="13"/>
                <w:color w:val="auto"/>
              </w:rPr>
            </w:pPr>
          </w:p>
        </w:tc>
        <w:tc>
          <w:tcPr>
            <w:tcW w:w="150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5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3"/>
                <w:szCs w:val="13"/>
                <w:color w:val="auto"/>
              </w:rPr>
            </w:pPr>
          </w:p>
        </w:tc>
        <w:tc>
          <w:tcPr>
            <w:tcW w:w="15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42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w w:val="99"/>
              </w:rPr>
              <w:t>SEPTEMBER 25,</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vMerge w:val="continue"/>
          </w:tcPr>
          <w:p>
            <w:pPr>
              <w:spacing w:after="0"/>
              <w:rPr>
                <w:sz w:val="18"/>
                <w:szCs w:val="18"/>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Classification</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Operating lease expense</w:t>
            </w:r>
          </w:p>
        </w:tc>
        <w:tc>
          <w:tcPr>
            <w:tcW w:w="28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Other restaurant operating expenses</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Occupancy expenses</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Pre-opening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14,492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12,667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40,933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36,843</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line="166" w:lineRule="exact"/>
              <w:rPr>
                <w:sz w:val="20"/>
                <w:szCs w:val="20"/>
                <w:color w:val="auto"/>
              </w:rPr>
            </w:pPr>
            <w:r>
              <w:rPr>
                <w:rFonts w:ascii="Arial" w:cs="Arial" w:eastAsia="Arial" w:hAnsi="Arial"/>
                <w:sz w:val="16"/>
                <w:szCs w:val="16"/>
                <w:color w:val="auto"/>
              </w:rPr>
              <w:t>Variable lease expense</w:t>
            </w:r>
          </w:p>
        </w:tc>
        <w:tc>
          <w:tcPr>
            <w:tcW w:w="28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Food and beverage costs</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Occupancy expenses</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12,444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10,669</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180"/>
              <w:spacing w:after="0" w:line="166" w:lineRule="exact"/>
              <w:rPr>
                <w:sz w:val="20"/>
                <w:szCs w:val="20"/>
                <w:color w:val="auto"/>
              </w:rPr>
            </w:pPr>
            <w:r>
              <w:rPr>
                <w:rFonts w:ascii="Arial" w:cs="Arial" w:eastAsia="Arial" w:hAnsi="Arial"/>
                <w:sz w:val="16"/>
                <w:szCs w:val="16"/>
                <w:color w:val="auto"/>
              </w:rPr>
              <w:t>Amortization of leased</w:t>
            </w:r>
          </w:p>
        </w:tc>
        <w:tc>
          <w:tcPr>
            <w:tcW w:w="28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6"/>
                <w:szCs w:val="16"/>
                <w:color w:val="auto"/>
              </w:rPr>
              <w:t>assets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Interest on lease liabilities</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Total lease expense </w:t>
            </w:r>
            <w:r>
              <w:rPr>
                <w:rFonts w:ascii="Arial" w:cs="Arial" w:eastAsia="Arial" w:hAnsi="Arial"/>
                <w:sz w:val="21"/>
                <w:szCs w:val="21"/>
                <w:color w:val="auto"/>
                <w:vertAlign w:val="superscript"/>
              </w:rPr>
              <w:t>(1)</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right="20" w:firstLine="8"/>
        <w:spacing w:after="0" w:line="262" w:lineRule="auto"/>
        <w:tabs>
          <w:tab w:leader="none" w:pos="23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contingent rent expense of $0.5 million and $0.4 million during the thirteen weeks ended September 24, 2023 and September 25, 2022, respectively, and $1.4 million and $1.2 million during the thirty-nine weeks ended September 24, 2023 and September 25, 2022,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THIRTY-NINE WEEKS ENDED</w:t>
            </w: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Pr>
          <w:p>
            <w:pPr>
              <w:spacing w:after="0"/>
              <w:rPr>
                <w:sz w:val="18"/>
                <w:szCs w:val="18"/>
                <w:color w:val="auto"/>
              </w:rPr>
            </w:pPr>
          </w:p>
        </w:tc>
        <w:tc>
          <w:tcPr>
            <w:tcW w:w="1980" w:type="dxa"/>
            <w:vAlign w:val="bottom"/>
          </w:tcPr>
          <w:p>
            <w:pPr>
              <w:jc w:val="right"/>
              <w:ind w:right="199"/>
              <w:spacing w:after="0"/>
              <w:rPr>
                <w:sz w:val="20"/>
                <w:szCs w:val="20"/>
                <w:color w:val="auto"/>
              </w:rPr>
            </w:pPr>
            <w:r>
              <w:rPr>
                <w:rFonts w:ascii="Arial" w:cs="Arial" w:eastAsia="Arial" w:hAnsi="Arial"/>
                <w:sz w:val="16"/>
                <w:szCs w:val="16"/>
                <w:b w:val="1"/>
                <w:bCs w:val="1"/>
                <w:color w:val="auto"/>
              </w:rPr>
              <w:t>SEPTEMBER 25, 2022</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Arial" w:cs="Arial" w:eastAsia="Arial" w:hAnsi="Arial"/>
                <w:sz w:val="16"/>
                <w:szCs w:val="16"/>
                <w:color w:val="auto"/>
              </w:rPr>
              <w:t>Operating cash flows - operating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31,707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30,506</w:t>
            </w:r>
          </w:p>
        </w:tc>
      </w:tr>
      <w:tr>
        <w:trPr>
          <w:trHeight w:val="219"/>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cash flows - finance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0"/>
        </w:trPr>
        <w:tc>
          <w:tcPr>
            <w:tcW w:w="6820" w:type="dxa"/>
            <w:vAlign w:val="bottom"/>
          </w:tcPr>
          <w:p>
            <w:pPr>
              <w:ind w:left="360"/>
              <w:spacing w:after="0"/>
              <w:rPr>
                <w:sz w:val="20"/>
                <w:szCs w:val="20"/>
                <w:color w:val="auto"/>
              </w:rPr>
            </w:pPr>
            <w:r>
              <w:rPr>
                <w:rFonts w:ascii="Arial" w:cs="Arial" w:eastAsia="Arial" w:hAnsi="Arial"/>
                <w:sz w:val="16"/>
                <w:szCs w:val="16"/>
                <w:color w:val="auto"/>
              </w:rPr>
              <w:t>Financing cash flows - 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385</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462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THIRTY-NINE WEEKS ENDED</w:t>
            </w:r>
          </w:p>
        </w:tc>
      </w:tr>
      <w:tr>
        <w:trPr>
          <w:trHeight w:val="210"/>
        </w:trPr>
        <w:tc>
          <w:tcPr>
            <w:tcW w:w="66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24, 2023</w:t>
            </w:r>
          </w:p>
        </w:tc>
        <w:tc>
          <w:tcPr>
            <w:tcW w:w="226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25, 2022</w:t>
            </w:r>
          </w:p>
        </w:tc>
      </w:tr>
      <w:tr>
        <w:trPr>
          <w:trHeight w:val="19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2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r>
      <w:tr>
        <w:trPr>
          <w:trHeight w:val="213"/>
        </w:trPr>
        <w:tc>
          <w:tcPr>
            <w:tcW w:w="6620" w:type="dxa"/>
            <w:vAlign w:val="bottom"/>
          </w:tcPr>
          <w:p>
            <w:pPr>
              <w:ind w:left="360"/>
              <w:spacing w:after="0"/>
              <w:rPr>
                <w:sz w:val="20"/>
                <w:szCs w:val="20"/>
                <w:color w:val="auto"/>
              </w:rPr>
            </w:pPr>
            <w:r>
              <w:rPr>
                <w:rFonts w:ascii="Arial" w:cs="Arial" w:eastAsia="Arial" w:hAnsi="Arial"/>
                <w:sz w:val="16"/>
                <w:szCs w:val="16"/>
                <w:color w:val="auto"/>
              </w:rPr>
              <w:t>Operating leases</w:t>
            </w:r>
          </w:p>
        </w:tc>
        <w:tc>
          <w:tcPr>
            <w:tcW w:w="22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leases</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6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(1)</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leases</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10"/>
        </w:trPr>
        <w:tc>
          <w:tcPr>
            <w:tcW w:w="6620" w:type="dxa"/>
            <w:vAlign w:val="bottom"/>
          </w:tcPr>
          <w:p>
            <w:pPr>
              <w:ind w:left="360"/>
              <w:spacing w:after="0"/>
              <w:rPr>
                <w:sz w:val="20"/>
                <w:szCs w:val="20"/>
                <w:color w:val="auto"/>
              </w:rPr>
            </w:pPr>
            <w:r>
              <w:rPr>
                <w:rFonts w:ascii="Arial" w:cs="Arial" w:eastAsia="Arial" w:hAnsi="Arial"/>
                <w:sz w:val="16"/>
                <w:szCs w:val="16"/>
                <w:color w:val="auto"/>
              </w:rPr>
              <w:t>Finance leases</w:t>
            </w:r>
          </w:p>
        </w:tc>
        <w:tc>
          <w:tcPr>
            <w:tcW w:w="226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7.7 %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Based on the Company’s incremental borrowing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24, 2023, future minimum lease payments for operating and finance leases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rPr>
              <w:t>FINANCE LEASES</w:t>
            </w:r>
          </w:p>
        </w:tc>
      </w:tr>
      <w:tr>
        <w:trPr>
          <w:trHeight w:val="19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320" w:type="dxa"/>
            <w:vAlign w:val="bottom"/>
            <w:tcBorders>
              <w:top w:val="single" w:sz="8" w:color="auto"/>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11,382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57,841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2027</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56,701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64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Total future minimum lease payments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820,410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2"/>
        </w:trPr>
        <w:tc>
          <w:tcPr>
            <w:tcW w:w="6440" w:type="dxa"/>
            <w:vAlign w:val="bottom"/>
          </w:tcPr>
          <w:p>
            <w:pPr>
              <w:ind w:left="360"/>
              <w:spacing w:after="0"/>
              <w:rPr>
                <w:sz w:val="20"/>
                <w:szCs w:val="20"/>
                <w:color w:val="auto"/>
              </w:rPr>
            </w:pPr>
            <w:r>
              <w:rPr>
                <w:rFonts w:ascii="Arial" w:cs="Arial" w:eastAsia="Arial" w:hAnsi="Arial"/>
                <w:sz w:val="16"/>
                <w:szCs w:val="16"/>
                <w:color w:val="auto"/>
              </w:rPr>
              <w:t>Total present value of lease liabilities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463,352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Excludes approximately $76.6 million of executed operating leases that have not commenced as of September 24, 2023.</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Transactions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thirty-nine weeks ended September 24, 2023, funds managed by the Company’s majority owner, Advent International Corporation, (“Advent”) sold 3,500,000 and 3,000,000 shares of the Company’s common stock through underwritten secondary public offerings that were completed on May 18, 2023 and June 13, 2023, respectively. The selling stockholders sold an additional 525,000 and 450,000 shares of common stock on May 18, 2023 and July 3, 2023, respectively, pursuant to the terms of the underwriter’s option associated with each secondary public offering. All net proceeds from the sale of the shares of common stock were distributed to the selling stockholders. The Company incurred approximately $1.0 million of costs in connection with the offerings that were recorded within Transaction expenses, net on the Consolidated Statements of Operations and Comprehensive Income.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thirteen weeks ended September 25, 2022, funds managed by Advent, sold 4,500,000 shares of the Company’s common stock through a secondary public offering that was completed on September 19, 2022. The selling stockholders sold an additional 675,000 shares of common stock on October 6, 2022 pursuant to the terms of the underwriters option associated with the secondary offering. All net proceeds from the sale of the shares of common stock were distributed to the selling stockholders. The Company incurred approximately $1.6 million of costs in connection with the offerings that were recorded within Transaction expenses, net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stock option awards granted under the 2021 Equity Plan during the thirty-nine weeks ended September 24, 2023. A summary of stock option activity during the thirty-nine weeks ended September 24, 2023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AGGREGATE</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WEIGHTED AVERAGE</w:t>
            </w: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1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INTRINSIC VALUE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 LIFE</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i w:val="1"/>
                <w:iCs w:val="1"/>
                <w:color w:val="auto"/>
                <w:w w:val="92"/>
              </w:rPr>
              <w:t>(in thousands)</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(in years)</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25, 2022</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5,115,674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20,981</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100" w:type="dxa"/>
            <w:vAlign w:val="bottom"/>
          </w:tcPr>
          <w:p>
            <w:pPr>
              <w:jc w:val="right"/>
              <w:spacing w:after="0"/>
              <w:rPr>
                <w:sz w:val="20"/>
                <w:szCs w:val="20"/>
                <w:color w:val="auto"/>
              </w:rPr>
            </w:pPr>
            <w:r>
              <w:rPr>
                <w:rFonts w:ascii="Arial" w:cs="Arial" w:eastAsia="Arial" w:hAnsi="Arial"/>
                <w:sz w:val="16"/>
                <w:szCs w:val="16"/>
                <w:color w:val="auto"/>
              </w:rPr>
              <w:t>(545,669)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6"/>
                <w:szCs w:val="16"/>
                <w:color w:val="auto"/>
              </w:rPr>
              <w:t>Outstanding, September 24, 2023</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4,443,892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34,316</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6"/>
                <w:szCs w:val="16"/>
                <w:color w:val="auto"/>
              </w:rPr>
              <w:t>Exercisable, September 24, 2023</w:t>
            </w:r>
          </w:p>
        </w:tc>
        <w:tc>
          <w:tcPr>
            <w:tcW w:w="2100" w:type="dxa"/>
            <w:vAlign w:val="bottom"/>
          </w:tcPr>
          <w:p>
            <w:pPr>
              <w:jc w:val="right"/>
              <w:spacing w:after="0"/>
              <w:rPr>
                <w:sz w:val="20"/>
                <w:szCs w:val="20"/>
                <w:color w:val="auto"/>
              </w:rPr>
            </w:pPr>
            <w:r>
              <w:rPr>
                <w:rFonts w:ascii="Arial" w:cs="Arial" w:eastAsia="Arial" w:hAnsi="Arial"/>
                <w:sz w:val="16"/>
                <w:szCs w:val="16"/>
                <w:color w:val="auto"/>
              </w:rPr>
              <w:t>2,706,341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22,277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is based on the difference between the exercise price of the stock option and the closing price of the Company’s common stock on Nasdaq on the last trading day.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stock option activity during the thirty-nine weeks ended September 24, 2023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NUMBER OF OPTIONS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WEIGHTED AVERAGE GRANT DATE FAIR VALUE</w:t>
            </w: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December 25, 2022</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2,324,316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Vested</w:t>
            </w:r>
          </w:p>
        </w:tc>
        <w:tc>
          <w:tcPr>
            <w:tcW w:w="2820" w:type="dxa"/>
            <w:vAlign w:val="bottom"/>
          </w:tcPr>
          <w:p>
            <w:pPr>
              <w:jc w:val="right"/>
              <w:spacing w:after="0"/>
              <w:rPr>
                <w:sz w:val="20"/>
                <w:szCs w:val="20"/>
                <w:color w:val="auto"/>
              </w:rPr>
            </w:pPr>
            <w:r>
              <w:rPr>
                <w:rFonts w:ascii="Arial" w:cs="Arial" w:eastAsia="Arial" w:hAnsi="Arial"/>
                <w:sz w:val="16"/>
                <w:szCs w:val="16"/>
                <w:color w:val="auto"/>
              </w:rPr>
              <w:t>(460,652)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Nonvested, September 24, 2023</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1,737,551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76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0"/>
        </w:trPr>
        <w:tc>
          <w:tcPr>
            <w:tcW w:w="320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restricted stock units during the thirty-nine weeks ended September 24, 2023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4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2"/>
          </w:tcPr>
          <w:p>
            <w:pPr>
              <w:ind w:left="180"/>
              <w:spacing w:after="0"/>
              <w:rPr>
                <w:sz w:val="20"/>
                <w:szCs w:val="20"/>
                <w:color w:val="auto"/>
              </w:rPr>
            </w:pPr>
            <w:r>
              <w:rPr>
                <w:rFonts w:ascii="Arial" w:cs="Arial" w:eastAsia="Arial" w:hAnsi="Arial"/>
                <w:sz w:val="16"/>
                <w:szCs w:val="16"/>
                <w:b w:val="1"/>
                <w:bCs w:val="1"/>
                <w:color w:val="auto"/>
              </w:rPr>
              <w:t>WEIGHTED AVERAGE</w:t>
            </w:r>
          </w:p>
        </w:tc>
        <w:tc>
          <w:tcPr>
            <w:tcW w:w="260" w:type="dxa"/>
            <w:vAlign w:val="bottom"/>
          </w:tcPr>
          <w:p>
            <w:pPr>
              <w:spacing w:after="0"/>
              <w:rPr>
                <w:sz w:val="16"/>
                <w:szCs w:val="16"/>
                <w:color w:val="auto"/>
              </w:rPr>
            </w:pP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auto"/>
              </w:rPr>
              <w:t>AGGREGATE INTRINSIC VALUE</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GRANT DATE FAIR VALUE</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25, 2022</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Granted</w:t>
            </w:r>
          </w:p>
        </w:tc>
        <w:tc>
          <w:tcPr>
            <w:tcW w:w="2400" w:type="dxa"/>
            <w:vAlign w:val="bottom"/>
          </w:tcPr>
          <w:p>
            <w:pPr>
              <w:jc w:val="right"/>
              <w:spacing w:after="0"/>
              <w:rPr>
                <w:sz w:val="20"/>
                <w:szCs w:val="20"/>
                <w:color w:val="auto"/>
              </w:rPr>
            </w:pPr>
            <w:r>
              <w:rPr>
                <w:rFonts w:ascii="Arial" w:cs="Arial" w:eastAsia="Arial" w:hAnsi="Arial"/>
                <w:sz w:val="16"/>
                <w:szCs w:val="16"/>
                <w:color w:val="auto"/>
              </w:rPr>
              <w:t>538,007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240" w:type="dxa"/>
            <w:vAlign w:val="bottom"/>
          </w:tcPr>
          <w:p>
            <w:pPr>
              <w:jc w:val="right"/>
              <w:spacing w:after="0"/>
              <w:rPr>
                <w:sz w:val="20"/>
                <w:szCs w:val="20"/>
                <w:color w:val="auto"/>
              </w:rPr>
            </w:pPr>
            <w:r>
              <w:rPr>
                <w:rFonts w:ascii="Arial" w:cs="Arial" w:eastAsia="Arial" w:hAnsi="Arial"/>
                <w:sz w:val="16"/>
                <w:szCs w:val="16"/>
                <w:color w:val="auto"/>
              </w:rPr>
              <w:t>15.67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(22,228)</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24, 2023</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515,779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is based on the closing price of the Company’s common stock on Nasdaq of $17.90 and $14.21 on September 22, 2023 and December 23, 2022, the last trading days for the periods,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$1.8 million and $5.4 million during the thirteen and thirty-nine weeks ended September 24, 2023,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$2.7 million and $7.8 million during the thirteen and thirty-nine weeks ended September 25, 2022, respectively.</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total related income tax benefit for stock-based compensation expense was $0.8 million and $1.3 million during the thirteen and thirty-nine weeks ended September 24, 2023, respectively. The total related income tax benefit for stock-based compensation expense was less than $0.1 million during the thirteen and thirty-nine weeks ended September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unrecognized stock-based compensation expense and the remaining weighted average vesting period as of September 24,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jc w:val="center"/>
              <w:ind w:right="480"/>
              <w:spacing w:after="0"/>
              <w:rPr>
                <w:sz w:val="20"/>
                <w:szCs w:val="20"/>
                <w:color w:val="auto"/>
              </w:rPr>
            </w:pPr>
            <w:r>
              <w:rPr>
                <w:rFonts w:ascii="Arial" w:cs="Arial" w:eastAsia="Arial" w:hAnsi="Arial"/>
                <w:sz w:val="16"/>
                <w:szCs w:val="16"/>
                <w:b w:val="1"/>
                <w:bCs w:val="1"/>
                <w:color w:val="auto"/>
              </w:rPr>
              <w:t>UNRECOGNIZED STOCK-BASED</w:t>
            </w:r>
          </w:p>
        </w:tc>
        <w:tc>
          <w:tcPr>
            <w:tcW w:w="4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REMAINING WEIGHTED AVERAGE</w:t>
            </w:r>
          </w:p>
        </w:tc>
      </w:tr>
      <w:tr>
        <w:trPr>
          <w:trHeight w:val="166"/>
        </w:trPr>
        <w:tc>
          <w:tcPr>
            <w:tcW w:w="3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580" w:type="dxa"/>
            <w:vAlign w:val="bottom"/>
            <w:gridSpan w:val="2"/>
            <w:shd w:val="clear" w:color="auto" w:fill="CCEEFF"/>
          </w:tcPr>
          <w:p>
            <w:pPr>
              <w:jc w:val="center"/>
              <w:ind w:right="480"/>
              <w:spacing w:after="0" w:line="166" w:lineRule="exact"/>
              <w:rPr>
                <w:sz w:val="20"/>
                <w:szCs w:val="20"/>
                <w:color w:val="auto"/>
              </w:rPr>
            </w:pPr>
            <w:r>
              <w:rPr>
                <w:rFonts w:ascii="Arial" w:cs="Arial" w:eastAsia="Arial" w:hAnsi="Arial"/>
                <w:sz w:val="16"/>
                <w:szCs w:val="16"/>
                <w:b w:val="1"/>
                <w:bCs w:val="1"/>
                <w:color w:val="auto"/>
                <w:w w:val="99"/>
              </w:rPr>
              <w:t>COMPENSATION EXPENSE</w:t>
            </w:r>
          </w:p>
        </w:tc>
        <w:tc>
          <w:tcPr>
            <w:tcW w:w="410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b w:val="1"/>
                <w:bCs w:val="1"/>
                <w:color w:val="auto"/>
              </w:rPr>
              <w:t>VESTING PERIOD</w:t>
            </w:r>
          </w:p>
        </w:tc>
      </w:tr>
      <w:tr>
        <w:trPr>
          <w:trHeight w:val="212"/>
        </w:trPr>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480"/>
              <w:spacing w:after="0"/>
              <w:rPr>
                <w:sz w:val="20"/>
                <w:szCs w:val="20"/>
                <w:color w:val="auto"/>
              </w:rPr>
            </w:pPr>
            <w:r>
              <w:rPr>
                <w:rFonts w:ascii="Arial" w:cs="Arial" w:eastAsia="Arial" w:hAnsi="Arial"/>
                <w:sz w:val="16"/>
                <w:szCs w:val="16"/>
                <w:i w:val="1"/>
                <w:iCs w:val="1"/>
                <w:color w:val="auto"/>
                <w:w w:val="92"/>
              </w:rPr>
              <w:t>(in thousands)</w:t>
            </w:r>
          </w:p>
        </w:tc>
        <w:tc>
          <w:tcPr>
            <w:tcW w:w="410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92"/>
              </w:rPr>
              <w:t>(in years)</w:t>
            </w:r>
          </w:p>
        </w:tc>
      </w:tr>
      <w:tr>
        <w:trPr>
          <w:trHeight w:val="207"/>
        </w:trPr>
        <w:tc>
          <w:tcPr>
            <w:tcW w:w="31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4,574</w:t>
            </w:r>
          </w:p>
        </w:tc>
        <w:tc>
          <w:tcPr>
            <w:tcW w:w="100" w:type="dxa"/>
            <w:vAlign w:val="bottom"/>
          </w:tcPr>
          <w:p>
            <w:pPr>
              <w:spacing w:after="0"/>
              <w:rPr>
                <w:sz w:val="17"/>
                <w:szCs w:val="17"/>
                <w:color w:val="auto"/>
              </w:rPr>
            </w:pPr>
          </w:p>
        </w:tc>
        <w:tc>
          <w:tcPr>
            <w:tcW w:w="4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6,549</w:t>
            </w:r>
          </w:p>
        </w:tc>
        <w:tc>
          <w:tcPr>
            <w:tcW w:w="10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tab/>
        <w:t>Income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gridSpan w:val="5"/>
          </w:tcPr>
          <w:p>
            <w:pPr>
              <w:ind w:left="1000"/>
              <w:spacing w:after="0"/>
              <w:rPr>
                <w:sz w:val="20"/>
                <w:szCs w:val="20"/>
                <w:color w:val="auto"/>
              </w:rPr>
            </w:pPr>
            <w:r>
              <w:rPr>
                <w:rFonts w:ascii="Arial" w:cs="Arial" w:eastAsia="Arial" w:hAnsi="Arial"/>
                <w:sz w:val="16"/>
                <w:szCs w:val="16"/>
                <w:b w:val="1"/>
                <w:bCs w:val="1"/>
                <w:color w:val="auto"/>
              </w:rPr>
              <w:t>THIRTEEN WEEKS ENDED</w:t>
            </w:r>
          </w:p>
        </w:tc>
        <w:tc>
          <w:tcPr>
            <w:tcW w:w="180" w:type="dxa"/>
            <w:vAlign w:val="bottom"/>
          </w:tcPr>
          <w:p>
            <w:pPr>
              <w:spacing w:after="0"/>
              <w:rPr>
                <w:sz w:val="18"/>
                <w:szCs w:val="18"/>
                <w:color w:val="auto"/>
              </w:rPr>
            </w:pPr>
          </w:p>
        </w:tc>
        <w:tc>
          <w:tcPr>
            <w:tcW w:w="4260" w:type="dxa"/>
            <w:vAlign w:val="bottom"/>
            <w:gridSpan w:val="4"/>
          </w:tcPr>
          <w:p>
            <w:pPr>
              <w:jc w:val="right"/>
              <w:ind w:right="1119"/>
              <w:spacing w:after="0"/>
              <w:rPr>
                <w:sz w:val="20"/>
                <w:szCs w:val="20"/>
                <w:color w:val="auto"/>
              </w:rPr>
            </w:pPr>
            <w:r>
              <w:rPr>
                <w:rFonts w:ascii="Arial" w:cs="Arial" w:eastAsia="Arial" w:hAnsi="Arial"/>
                <w:sz w:val="14"/>
                <w:szCs w:val="14"/>
                <w:b w:val="1"/>
                <w:bCs w:val="1"/>
                <w:color w:val="auto"/>
              </w:rPr>
              <w:t>THIRTY-NINE WEEKS ENDED</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25, 2022</w:t>
            </w:r>
          </w:p>
        </w:tc>
      </w:tr>
      <w:tr>
        <w:trPr>
          <w:trHeight w:val="21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30,570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12,335</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79"/>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81"/>
              <w:spacing w:after="0"/>
              <w:rPr>
                <w:sz w:val="20"/>
                <w:szCs w:val="20"/>
                <w:color w:val="auto"/>
              </w:rPr>
            </w:pPr>
            <w:r>
              <w:rPr>
                <w:rFonts w:ascii="Arial" w:cs="Arial" w:eastAsia="Arial" w:hAnsi="Arial"/>
                <w:sz w:val="16"/>
                <w:szCs w:val="16"/>
                <w:color w:val="auto"/>
              </w:rPr>
              <w:t>(7,833)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(4,942)</w:t>
            </w: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change in the effective income tax rates for the thirteen and thirty-nine weeks ended September 24, 2023 as compared to the same periods in the prior year was primarily due to (i) the change in the valuation allowance for federal deferred tax assets, (ii) the decrease in the valuation allowance for state net operating loss carryforwards, (iii) the benefit of tax credits for FICA taxes on certain employees’ tips, (iv) impacts of executive stock-based compensation and (v) non-deductible costs associated with sales of the Company’s common stock by funds managed by Advent through secondary public offerings.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income tax rates for the thirteen and thirty-nine weeks ended September 24, 2023 and September 25, 2022 were different than the blended federal and state statutory rate primarily due to (i) the change in the valuation allowance for federal deferred tax assets, (ii) the decrease in the valuation allowance for state net operating loss carryforwards, (iii) the benefit of tax credits for FICA taxes on certain employees’ tips, (iv) impacts of executive stock-based compensation and (v) non-deductible costs associated with sales of the Company’s common stock by funds managed by Advent through secondary public offerings.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September 24, 2023.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continues to monitor and evaluate the rationale for recording a valuation allowance for deferred tax assets. As the Company’s future taxable earnings increase and deferred tax assets are utilized, it is possible that a portion of the valuation allowance will no longer be needed. Release of any portion of the valuation allowance would result in the recognition of certain deferred tax assets and a decrease to income tax expense in the period of the release. The timing and amount of any release related to future taxable income is currently indeterminable. During the thirty-nine weeks ended September 24, 2023, a release of the valuation allowance related to certain state loss carryforwards decreased income tax expense by approximately $1.0 million.</w:t>
      </w:r>
    </w:p>
    <w:p>
      <w:pPr>
        <w:spacing w:after="0" w:line="2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legal proceedings, claims and liabilities that arise in the ordinary course of business. The amount of the anticipated liability with respect to these matters was not material as of September 24, 2023. In the event any litigation losses become probable and estimable, the Company will recognize any anticipated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Unclaimed Property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26, 2022, 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net income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152"/>
        </w:trPr>
        <w:tc>
          <w:tcPr>
            <w:tcW w:w="2420" w:type="dxa"/>
            <w:vAlign w:val="bottom"/>
          </w:tcPr>
          <w:p>
            <w:pPr>
              <w:ind w:left="20"/>
              <w:spacing w:after="0" w:line="152" w:lineRule="exact"/>
              <w:rPr>
                <w:sz w:val="20"/>
                <w:szCs w:val="20"/>
                <w:color w:val="auto"/>
              </w:rPr>
            </w:pPr>
            <w:r>
              <w:rPr>
                <w:rFonts w:ascii="Arial" w:cs="Arial" w:eastAsia="Arial" w:hAnsi="Arial"/>
                <w:sz w:val="16"/>
                <w:szCs w:val="16"/>
                <w:i w:val="1"/>
                <w:iCs w:val="1"/>
                <w:color w:val="auto"/>
                <w:w w:val="93"/>
              </w:rPr>
              <w:t>(in thousands, except share and per</w:t>
            </w:r>
          </w:p>
        </w:tc>
        <w:tc>
          <w:tcPr>
            <w:tcW w:w="180" w:type="dxa"/>
            <w:vAlign w:val="bottom"/>
          </w:tcPr>
          <w:p>
            <w:pPr>
              <w:spacing w:after="0"/>
              <w:rPr>
                <w:sz w:val="13"/>
                <w:szCs w:val="13"/>
                <w:color w:val="auto"/>
              </w:rPr>
            </w:pPr>
          </w:p>
        </w:tc>
        <w:tc>
          <w:tcPr>
            <w:tcW w:w="2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Pr>
          <w:p>
            <w:pPr>
              <w:spacing w:after="0"/>
              <w:rPr>
                <w:sz w:val="13"/>
                <w:szCs w:val="13"/>
                <w:color w:val="auto"/>
              </w:rPr>
            </w:pPr>
          </w:p>
        </w:tc>
        <w:tc>
          <w:tcPr>
            <w:tcW w:w="2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3"/>
                <w:szCs w:val="13"/>
                <w:color w:val="auto"/>
              </w:rPr>
            </w:pPr>
          </w:p>
        </w:tc>
        <w:tc>
          <w:tcPr>
            <w:tcW w:w="2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Pr>
          <w:p>
            <w:pPr>
              <w:spacing w:after="0"/>
              <w:rPr>
                <w:sz w:val="13"/>
                <w:szCs w:val="13"/>
                <w:color w:val="auto"/>
              </w:rPr>
            </w:pPr>
          </w:p>
        </w:tc>
        <w:tc>
          <w:tcPr>
            <w:tcW w:w="19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i w:val="1"/>
                <w:iCs w:val="1"/>
                <w:color w:val="auto"/>
              </w:rPr>
              <w:t>share data)</w:t>
            </w:r>
          </w:p>
        </w:tc>
        <w:tc>
          <w:tcPr>
            <w:tcW w:w="18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5,418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22,737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180"/>
              <w:spacing w:after="0" w:line="166" w:lineRule="exact"/>
              <w:rPr>
                <w:sz w:val="20"/>
                <w:szCs w:val="20"/>
                <w:color w:val="auto"/>
              </w:rPr>
            </w:pPr>
            <w:r>
              <w:rPr>
                <w:rFonts w:ascii="Arial" w:cs="Arial" w:eastAsia="Arial" w:hAnsi="Arial"/>
                <w:sz w:val="16"/>
                <w:szCs w:val="16"/>
                <w:color w:val="auto"/>
                <w:w w:val="89"/>
              </w:rPr>
              <w:t>Weighted average common shares</w:t>
            </w: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59,646,027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59,089,831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59,424,989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59,065,423</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6"/>
                <w:szCs w:val="16"/>
                <w:color w:val="auto"/>
              </w:rPr>
              <w:t>outstanding - basic</w:t>
            </w: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89"/>
              </w:rPr>
              <w:t>Weighted average common shares</w:t>
            </w: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61,562,524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60,464,062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61,016,105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60,088,622</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 diluted</w:t>
            </w: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rPr>
              <w:t>Net income per common share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basic</w:t>
            </w:r>
          </w:p>
        </w:tc>
        <w:tc>
          <w:tcPr>
            <w:tcW w:w="18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per common share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0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rPr>
              <w:t>Stock options outstanding not</w:t>
            </w: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Arial" w:cs="Arial" w:eastAsia="Arial" w:hAnsi="Arial"/>
                <w:sz w:val="16"/>
                <w:szCs w:val="16"/>
                <w:color w:val="auto"/>
                <w:w w:val="99"/>
              </w:rPr>
              <w:t>included in diluted net income per</w:t>
            </w: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Arial" w:cs="Arial" w:eastAsia="Arial" w:hAnsi="Arial"/>
                <w:sz w:val="16"/>
                <w:szCs w:val="16"/>
                <w:color w:val="auto"/>
                <w:w w:val="92"/>
              </w:rPr>
              <w:t>common share as their effect is anti-</w:t>
            </w: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12,552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1,255,089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59,101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1,708,602</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dilutive</w:t>
            </w: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Restricted stock units outstanding</w:t>
            </w: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not included in diluted net income</w:t>
            </w: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per share as their effect is anti-</w:t>
            </w:r>
          </w:p>
        </w:tc>
        <w:tc>
          <w:tcPr>
            <w:tcW w:w="180" w:type="dxa"/>
            <w:vAlign w:val="bottom"/>
            <w:shd w:val="clear" w:color="auto" w:fill="CCEEFF"/>
          </w:tcPr>
          <w:p>
            <w:pPr>
              <w:spacing w:after="0"/>
              <w:rPr>
                <w:sz w:val="14"/>
                <w:szCs w:val="14"/>
                <w:color w:val="auto"/>
              </w:rPr>
            </w:pPr>
          </w:p>
        </w:tc>
        <w:tc>
          <w:tcPr>
            <w:tcW w:w="2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2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w:t>
            </w:r>
          </w:p>
        </w:tc>
        <w:tc>
          <w:tcPr>
            <w:tcW w:w="180" w:type="dxa"/>
            <w:vAlign w:val="bottom"/>
            <w:shd w:val="clear" w:color="auto" w:fill="CCEEFF"/>
          </w:tcPr>
          <w:p>
            <w:pPr>
              <w:spacing w:after="0"/>
              <w:rPr>
                <w:sz w:val="18"/>
                <w:szCs w:val="18"/>
                <w:color w:val="auto"/>
              </w:rPr>
            </w:pPr>
          </w:p>
        </w:tc>
        <w:tc>
          <w:tcPr>
            <w:tcW w:w="2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WATCH RESTAURANT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October 13, 2023, the Company executed an asset purchase agreement to acquire from a franchisee six operating restaurants together with other associated assets, including, but not limited to, franchise and development rights for cash of approximately $9.2 million. The close date of the sale is subject to the satisfaction of certain customary closing conditions set forth in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2022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2022 Form 10-K, including under “Item 1A. Risk Factors” and “Item 7.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2023, First Watch was named the top restaurant brand in Yelp’s inaugural list of the top 50 most-loved brands in the U.S. In 2023 and 2022, First Watch was named a Top 100 Most Loved Workplace® by Newsweek and the Best Practice Institute. In 2022, First Watch was recognized with ADP’s coveted Culture at Work Award. The Company is majority owned by Advent International Corporation, (“Advent”), one of the world’s largest private-equity firms. The Company’s common stock trades on Nasdaq under the ticker symbol “FWRG.”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and franchises restaurants in 29 states under the “First Watch” trade name and as of September 24, 2023, the Company had 402 company-owned restaurants and 103 franchise-owned restaurants.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and operational highlights for the thirteen weeks ended September 24, 2023 (“third quarter of 2023”) as compared to the thirteen weeks ended September 25, 2022 (“third quarter of 2022”) reflect continued success and sustained growth despite a challenging macro environment and include the following:</w:t>
      </w:r>
    </w:p>
    <w:p>
      <w:pPr>
        <w:spacing w:after="0" w:line="211" w:lineRule="exact"/>
        <w:rPr>
          <w:sz w:val="20"/>
          <w:szCs w:val="20"/>
          <w:color w:val="auto"/>
        </w:rPr>
      </w:pPr>
    </w:p>
    <w:p>
      <w:pPr>
        <w:ind w:left="580" w:hanging="410"/>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Total revenues increased 17.3% to $219.2 million in the third quarter of 2023 from $186.9 million in the third quarter of 2022</w:t>
      </w:r>
    </w:p>
    <w:p>
      <w:pPr>
        <w:spacing w:after="0" w:line="23" w:lineRule="exact"/>
        <w:rPr>
          <w:rFonts w:ascii="Arial" w:cs="Arial" w:eastAsia="Arial" w:hAnsi="Arial"/>
          <w:sz w:val="18"/>
          <w:szCs w:val="18"/>
          <w:b w:val="1"/>
          <w:bCs w:val="1"/>
          <w:color w:val="auto"/>
        </w:rPr>
      </w:pPr>
    </w:p>
    <w:p>
      <w:pPr>
        <w:ind w:left="580" w:hanging="410"/>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System-wide sales increased 14.9% to $270.3 million in the third quarter of 2023 from $235.2 million in the third quarter of 2022</w:t>
      </w:r>
    </w:p>
    <w:p>
      <w:pPr>
        <w:spacing w:after="0" w:line="9" w:lineRule="exact"/>
        <w:rPr>
          <w:rFonts w:ascii="Arial" w:cs="Arial" w:eastAsia="Arial" w:hAnsi="Arial"/>
          <w:sz w:val="18"/>
          <w:szCs w:val="18"/>
          <w:b w:val="1"/>
          <w:bCs w:val="1"/>
          <w:color w:val="auto"/>
        </w:rPr>
      </w:pPr>
    </w:p>
    <w:p>
      <w:pPr>
        <w:ind w:left="580" w:hanging="410"/>
        <w:spacing w:after="0" w:line="19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Same-restaurant sales growth of 4.8% (+38.8% relative to the third quarter of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line="19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Same-restaurant traffic decline of 1.9% (+6.5% same-restaurant traffic growth relative to the third quarter of 2019</w:t>
      </w:r>
      <w:r>
        <w:rPr>
          <w:rFonts w:ascii="Arial" w:cs="Arial" w:eastAsia="Arial" w:hAnsi="Arial"/>
          <w:sz w:val="23"/>
          <w:szCs w:val="23"/>
          <w:color w:val="auto"/>
          <w:vertAlign w:val="superscript"/>
        </w:rPr>
        <w:t>*</w:t>
      </w:r>
      <w:r>
        <w:rPr>
          <w:rFonts w:ascii="Arial" w:cs="Arial" w:eastAsia="Arial" w:hAnsi="Arial"/>
          <w:sz w:val="18"/>
          <w:szCs w:val="18"/>
          <w:color w:val="auto"/>
        </w:rPr>
        <w:t>)</w:t>
      </w:r>
    </w:p>
    <w:p>
      <w:pPr>
        <w:ind w:left="580" w:hanging="410"/>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from operations margin increased to 3.6% during the third quarter of 2023 from 1.4% in the third quarter of 2022</w:t>
      </w:r>
    </w:p>
    <w:p>
      <w:pPr>
        <w:spacing w:after="0" w:line="7" w:lineRule="exact"/>
        <w:rPr>
          <w:rFonts w:ascii="Arial" w:cs="Arial" w:eastAsia="Arial" w:hAnsi="Arial"/>
          <w:sz w:val="18"/>
          <w:szCs w:val="18"/>
          <w:b w:val="1"/>
          <w:bCs w:val="1"/>
          <w:color w:val="auto"/>
        </w:rPr>
      </w:pPr>
    </w:p>
    <w:p>
      <w:pPr>
        <w:ind w:left="580" w:hanging="410"/>
        <w:spacing w:after="0" w:line="19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Restaurant level operating profit margin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to 18.7% in the third quarter of 2023 from 17.3% in the third quarter of 2022</w:t>
      </w:r>
    </w:p>
    <w:p>
      <w:pPr>
        <w:ind w:left="580" w:hanging="410"/>
        <w:spacing w:after="0"/>
        <w:tabs>
          <w:tab w:leader="none" w:pos="5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Net income increased to $5.4 million, or $0.09 per diluted share, in the third quarter of 2023 from $46.0 thousand in the third quarter of 2022</w:t>
      </w:r>
    </w:p>
    <w:p>
      <w:pPr>
        <w:spacing w:after="0" w:line="18" w:lineRule="exact"/>
        <w:rPr>
          <w:rFonts w:ascii="Arial" w:cs="Arial" w:eastAsia="Arial" w:hAnsi="Arial"/>
          <w:sz w:val="17"/>
          <w:szCs w:val="17"/>
          <w:b w:val="1"/>
          <w:bCs w:val="1"/>
          <w:color w:val="auto"/>
        </w:rPr>
      </w:pPr>
    </w:p>
    <w:p>
      <w:pPr>
        <w:ind w:left="580" w:hanging="410"/>
        <w:spacing w:after="0" w:line="197"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to $21.6 million in the third quarter of 2023 from $17.0 million in the third quarter of 2022</w:t>
      </w:r>
    </w:p>
    <w:p>
      <w:pPr>
        <w:ind w:left="580" w:hanging="410"/>
        <w:spacing w:after="0" w:line="249"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Opened 13 system-wide restaurants (10 company-owned and 3 franchise-owned) across 10 states and acquired 11 franchise-owned restaurants resulting in a total of 505 system-wide restaurants (402 company-owned and 103 franchise-owned) across 29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80" w:firstLine="8"/>
        <w:spacing w:after="0" w:line="275" w:lineRule="auto"/>
        <w:tabs>
          <w:tab w:leader="none" w:pos="12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Comparison to the thirteen weeks ended September 29, 2019 (“third quarter of 2019”) is presented for enhanced comparability due to the economic impact of COVID-19. ** See </w:t>
      </w:r>
      <w:r>
        <w:rPr>
          <w:rFonts w:ascii="Arial" w:cs="Arial" w:eastAsia="Arial" w:hAnsi="Arial"/>
          <w:sz w:val="16"/>
          <w:szCs w:val="16"/>
          <w:i w:val="1"/>
          <w:iCs w:val="1"/>
          <w:color w:val="auto"/>
        </w:rPr>
        <w:t>Non-GAAP Financial Measures Reconciliations</w:t>
      </w:r>
      <w:r>
        <w:rPr>
          <w:rFonts w:ascii="Arial" w:cs="Arial" w:eastAsia="Arial" w:hAnsi="Arial"/>
          <w:sz w:val="16"/>
          <w:szCs w:val="16"/>
          <w:color w:val="auto"/>
        </w:rPr>
        <w:t xml:space="preserve"> section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third quarter of 2023, we benefited from a decline in the average costs of our consolidated market basket combined with price increases, primarily to cover inflation, implemented over the past year.</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same-restaurant sales grew 4.8% with marginally positive in-restaurant dining traffic growth, though off-premises occasions continued to decline in comparison to last year, similar to industry-wide trends. We continue to believe the decline of our off-premises traffic reflects customers foregoing a comparatively high-ticket dining occasion combined with customers returning to the full experience of our restaurants’ dining room service.</w:t>
      </w:r>
    </w:p>
    <w:p>
      <w:pPr>
        <w:spacing w:after="0" w:line="19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expect full year commodity deflation to be in the range of negative 1.0% to flat. In addition, we expect hourly labor cost inflation to remain in the range of 9.0% to 11.0%, with overall restaurant-level labor cost inflation to range between 8.0% and 10.0% in 2023.</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thirty-nine weeks ended September 24, 2023, we acquired 17 operating restaurants and one restaurant under development from our franchisees in continuation of this component of our growth strategy. Furthermore, we continue to execute on our long-term growth associated with new restaurant openings and we are staffed with over 120 managers to lead and operate our future new company-owned restaurants.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New Restaurant Openings </w:t>
      </w:r>
      <w:r>
        <w:rPr>
          <w:rFonts w:ascii="Arial" w:cs="Arial" w:eastAsia="Arial" w:hAnsi="Arial"/>
          <w:sz w:val="18"/>
          <w:szCs w:val="18"/>
          <w:color w:val="auto"/>
        </w:rPr>
        <w:t>(“NROs”): the number of new company-owned First Watch restaurants commencing operations during the period.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the number of new restaurants to assess new restaurant growth and company-owned restaurant sales.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Franchise-owned New Restaurant Openings </w:t>
      </w:r>
      <w:r>
        <w:rPr>
          <w:rFonts w:ascii="Arial" w:cs="Arial" w:eastAsia="Arial" w:hAnsi="Arial"/>
          <w:sz w:val="18"/>
          <w:szCs w:val="18"/>
          <w:color w:val="auto"/>
        </w:rPr>
        <w:t>(“Franchise-owned NROs”): the number of new franchise-owned First Watch restaurants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during the period.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Same-Restaurant Sales Growth</w:t>
      </w:r>
      <w:r>
        <w:rPr>
          <w:rFonts w:ascii="Arial" w:cs="Arial" w:eastAsia="Arial" w:hAnsi="Arial"/>
          <w:sz w:val="17"/>
          <w:szCs w:val="17"/>
          <w:color w:val="auto"/>
        </w:rPr>
        <w:t>: the percentage change in year-over-year restaurant sales (excluding gift card breakage) for the comparable restaurant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which we define as the number of company-owned First Watch branded restaurants open for 18 months or longer as of the beginning of the fiscal year (“Comparable Restaurant Base”). For the thirteen and thirty-nine weeks ended September 24, 2023, there were 327 restaurants in our Comparable Restaurant Base. For the thirteen and thirty-nine weeks ended September 25, 2022, there were 303 restaurants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Same-Restaurant Traffic Growth</w:t>
      </w:r>
      <w:r>
        <w:rPr>
          <w:rFonts w:ascii="Arial" w:cs="Arial" w:eastAsia="Arial" w:hAnsi="Arial"/>
          <w:sz w:val="18"/>
          <w:szCs w:val="18"/>
          <w:color w:val="auto"/>
        </w:rPr>
        <w:t>: the percentage change in traffic counts as compared to the same period in the prior year using the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restaurants</w:t>
      </w:r>
      <w:r>
        <w:rPr>
          <w:rFonts w:ascii="Arial" w:cs="Arial" w:eastAsia="Arial" w:hAnsi="Arial"/>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System-wide sales</w:t>
      </w:r>
      <w:r>
        <w:rPr>
          <w:rFonts w:ascii="Arial" w:cs="Arial" w:eastAsia="Arial" w:hAnsi="Arial"/>
          <w:sz w:val="18"/>
          <w:szCs w:val="18"/>
          <w:color w:val="auto"/>
        </w:rPr>
        <w:t>: consists of restaurant sales from our company-owned restaurants and franchise-owned restaurants. We do not recognize the restaurant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from our franchise-owned restaurants as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color w:val="auto"/>
        </w:rPr>
        <w:t>: represents Net income before depreciation and amortization, interest expense, income taxes, and items that we do not consider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evaluation of ongoing core operating performance as identified in the reconciliation of Net income, the most directly comparable measure in accordance with GAAP, to Adjusted EBITDA, included in the section </w:t>
      </w:r>
      <w:r>
        <w:rPr>
          <w:rFonts w:ascii="Arial" w:cs="Arial" w:eastAsia="Arial" w:hAnsi="Arial"/>
          <w:sz w:val="17"/>
          <w:szCs w:val="17"/>
          <w:i w:val="1"/>
          <w:iCs w:val="1"/>
          <w:color w:val="auto"/>
        </w:rPr>
        <w:t>Non-GAAP Financial Measure Reconciliations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represents Adjusted EBITDA as a percentage of total revenues. See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Non-GAAP Financial Measure Reconciliations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reconciliation to Net income margin, the most directly comparable GAAP measure.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Restaurant Level Operating Profit</w:t>
      </w:r>
      <w:r>
        <w:rPr>
          <w:rFonts w:ascii="Arial" w:cs="Arial" w:eastAsia="Arial" w:hAnsi="Arial"/>
          <w:sz w:val="18"/>
          <w:szCs w:val="18"/>
          <w:color w:val="auto"/>
        </w:rPr>
        <w:t>: represents restaurant sales, less restaurant operating expenses, which include food and beverage costs, labor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Arial" w:cs="Arial" w:eastAsia="Arial" w:hAnsi="Arial"/>
          <w:sz w:val="18"/>
          <w:szCs w:val="18"/>
          <w:i w:val="1"/>
          <w:iCs w:val="1"/>
          <w:color w:val="auto"/>
        </w:rPr>
        <w:t xml:space="preserve">Non-GAAP Financial Measure Reconciliations </w:t>
      </w:r>
      <w:r>
        <w:rPr>
          <w:rFonts w:ascii="Arial" w:cs="Arial" w:eastAsia="Arial" w:hAnsi="Arial"/>
          <w:sz w:val="18"/>
          <w:szCs w:val="18"/>
          <w:color w:val="auto"/>
        </w:rPr>
        <w:t>below.</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Restaurant Level Operating Profit Margin</w:t>
      </w:r>
      <w:r>
        <w:rPr>
          <w:rFonts w:ascii="Arial" w:cs="Arial" w:eastAsia="Arial" w:hAnsi="Arial"/>
          <w:sz w:val="17"/>
          <w:szCs w:val="17"/>
          <w:color w:val="auto"/>
        </w:rPr>
        <w:t>: represents Restaurant level operating profit as a percentage of restaurant sales. See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Non-GAAP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Measure Reconciliations </w:t>
      </w:r>
      <w:r>
        <w:rPr>
          <w:rFonts w:ascii="Arial" w:cs="Arial" w:eastAsia="Arial" w:hAnsi="Arial"/>
          <w:sz w:val="17"/>
          <w:szCs w:val="17"/>
          <w:color w:val="auto"/>
        </w:rPr>
        <w:t>below for a reconciliation to Income from operations margin, the most directly comparable GAAP measure.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Selected Operating Data</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80"/>
        </w:trPr>
        <w:tc>
          <w:tcPr>
            <w:tcW w:w="5720" w:type="dxa"/>
            <w:vAlign w:val="bottom"/>
          </w:tcPr>
          <w:p>
            <w:pPr>
              <w:spacing w:after="0"/>
              <w:rPr>
                <w:sz w:val="24"/>
                <w:szCs w:val="24"/>
                <w:color w:val="auto"/>
              </w:rPr>
            </w:pPr>
          </w:p>
        </w:tc>
        <w:tc>
          <w:tcPr>
            <w:tcW w:w="5520" w:type="dxa"/>
            <w:vAlign w:val="bottom"/>
            <w:tcBorders>
              <w:bottom w:val="single" w:sz="8" w:color="auto"/>
            </w:tcBorders>
            <w:gridSpan w:val="5"/>
          </w:tcPr>
          <w:p>
            <w:pPr>
              <w:jc w:val="right"/>
              <w:ind w:right="594"/>
              <w:spacing w:after="0"/>
              <w:rPr>
                <w:sz w:val="20"/>
                <w:szCs w:val="20"/>
                <w:color w:val="auto"/>
              </w:rPr>
            </w:pPr>
            <w:r>
              <w:rPr>
                <w:rFonts w:ascii="Arial" w:cs="Arial" w:eastAsia="Arial" w:hAnsi="Arial"/>
                <w:sz w:val="18"/>
                <w:szCs w:val="18"/>
                <w:b w:val="1"/>
                <w:bCs w:val="1"/>
                <w:color w:val="auto"/>
              </w:rPr>
              <w:t>THIRTEEN WEEKS ENDED SEPTEMBER 24, 2023</w:t>
            </w:r>
          </w:p>
        </w:tc>
      </w:tr>
      <w:tr>
        <w:trPr>
          <w:trHeight w:val="223"/>
        </w:trPr>
        <w:tc>
          <w:tcPr>
            <w:tcW w:w="5720" w:type="dxa"/>
            <w:vAlign w:val="bottom"/>
          </w:tcPr>
          <w:p>
            <w:pPr>
              <w:spacing w:after="0"/>
              <w:rPr>
                <w:sz w:val="19"/>
                <w:szCs w:val="19"/>
                <w:color w:val="auto"/>
              </w:rPr>
            </w:pPr>
          </w:p>
        </w:tc>
        <w:tc>
          <w:tcPr>
            <w:tcW w:w="192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Company-owned</w:t>
            </w:r>
          </w:p>
        </w:tc>
        <w:tc>
          <w:tcPr>
            <w:tcW w:w="1920" w:type="dxa"/>
            <w:vAlign w:val="bottom"/>
            <w:gridSpan w:val="2"/>
          </w:tcPr>
          <w:p>
            <w:pPr>
              <w:ind w:left="240"/>
              <w:spacing w:after="0"/>
              <w:rPr>
                <w:sz w:val="20"/>
                <w:szCs w:val="20"/>
                <w:color w:val="auto"/>
              </w:rPr>
            </w:pPr>
            <w:r>
              <w:rPr>
                <w:rFonts w:ascii="Arial" w:cs="Arial" w:eastAsia="Arial" w:hAnsi="Arial"/>
                <w:sz w:val="18"/>
                <w:szCs w:val="18"/>
                <w:b w:val="1"/>
                <w:bCs w:val="1"/>
                <w:color w:val="auto"/>
              </w:rPr>
              <w:t>Franchise-owned</w:t>
            </w:r>
          </w:p>
        </w:tc>
        <w:tc>
          <w:tcPr>
            <w:tcW w:w="1680" w:type="dxa"/>
            <w:vAlign w:val="bottom"/>
          </w:tcPr>
          <w:p>
            <w:pPr>
              <w:jc w:val="right"/>
              <w:ind w:right="554"/>
              <w:spacing w:after="0"/>
              <w:rPr>
                <w:sz w:val="20"/>
                <w:szCs w:val="20"/>
                <w:color w:val="auto"/>
              </w:rPr>
            </w:pPr>
            <w:r>
              <w:rPr>
                <w:rFonts w:ascii="Arial" w:cs="Arial" w:eastAsia="Arial" w:hAnsi="Arial"/>
                <w:sz w:val="18"/>
                <w:szCs w:val="18"/>
                <w:b w:val="1"/>
                <w:bCs w:val="1"/>
                <w:color w:val="auto"/>
              </w:rPr>
              <w:t>Total</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of period</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New restaurants</w:t>
            </w:r>
          </w:p>
        </w:tc>
        <w:tc>
          <w:tcPr>
            <w:tcW w:w="18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franchise-owned restaurants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End of period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r>
      <w:tr>
        <w:trPr>
          <w:trHeight w:val="27"/>
        </w:trPr>
        <w:tc>
          <w:tcPr>
            <w:tcW w:w="57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20" w:type="dxa"/>
            <w:vAlign w:val="bottom"/>
            <w:tcBorders>
              <w:bottom w:val="single" w:sz="8" w:color="auto"/>
            </w:tcBorders>
            <w:gridSpan w:val="11"/>
          </w:tcPr>
          <w:p>
            <w:pPr>
              <w:jc w:val="right"/>
              <w:ind w:right="717"/>
              <w:spacing w:after="0"/>
              <w:rPr>
                <w:sz w:val="20"/>
                <w:szCs w:val="20"/>
                <w:color w:val="auto"/>
              </w:rPr>
            </w:pPr>
            <w:r>
              <w:rPr>
                <w:rFonts w:ascii="Arial" w:cs="Arial" w:eastAsia="Arial" w:hAnsi="Arial"/>
                <w:sz w:val="18"/>
                <w:szCs w:val="18"/>
                <w:b w:val="1"/>
                <w:bCs w:val="1"/>
                <w:color w:val="auto"/>
              </w:rPr>
              <w:t>THIRTY-NINE WEEKS ENDED SEPTEMBER 24, 2023</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Company-owned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Franchise-owned</w:t>
            </w:r>
          </w:p>
        </w:tc>
        <w:tc>
          <w:tcPr>
            <w:tcW w:w="2000" w:type="dxa"/>
            <w:vAlign w:val="bottom"/>
          </w:tcPr>
          <w:p>
            <w:pPr>
              <w:jc w:val="right"/>
              <w:ind w:right="7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of period</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366</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7"/>
                <w:szCs w:val="17"/>
                <w:color w:val="auto"/>
              </w:rPr>
              <w:t>New restaurant openings</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gridSpan w:val="3"/>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9"/>
        </w:trPr>
        <w:tc>
          <w:tcPr>
            <w:tcW w:w="45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Acquisitions of franchise-owned restaurants</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7"/>
                <w:szCs w:val="17"/>
                <w:color w:val="auto"/>
              </w:rPr>
              <w:t>Closures</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2"/>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 of period</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6"/>
          </w:tcPr>
          <w:p>
            <w:pPr>
              <w:ind w:left="1000"/>
              <w:spacing w:after="0"/>
              <w:rPr>
                <w:sz w:val="20"/>
                <w:szCs w:val="20"/>
                <w:color w:val="auto"/>
              </w:rPr>
            </w:pPr>
            <w:r>
              <w:rPr>
                <w:rFonts w:ascii="Arial" w:cs="Arial" w:eastAsia="Arial" w:hAnsi="Arial"/>
                <w:sz w:val="16"/>
                <w:szCs w:val="16"/>
                <w:b w:val="1"/>
                <w:bCs w:val="1"/>
                <w:color w:val="auto"/>
              </w:rPr>
              <w:t>THIRTEEN WEEKS ENDED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gridSpan w:val="6"/>
          </w:tcPr>
          <w:p>
            <w:pPr>
              <w:jc w:val="center"/>
              <w:ind w:right="477"/>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SEPTEMBER 24, 2023</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2"/>
          </w:tcPr>
          <w:p>
            <w:pPr>
              <w:jc w:val="right"/>
              <w:ind w:right="193"/>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3"/>
          </w:tcPr>
          <w:p>
            <w:pPr>
              <w:jc w:val="right"/>
              <w:ind w:right="35"/>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System-wide sales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270,291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235,231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806,556</w:t>
            </w: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auto"/>
              </w:rPr>
              <w:t>680,588</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Same-restaurant sales growth</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Same-restaurant traffic growth</w:t>
            </w:r>
          </w:p>
        </w:tc>
        <w:tc>
          <w:tcPr>
            <w:tcW w:w="18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(decline)</w:t>
            </w:r>
          </w:p>
        </w:tc>
        <w:tc>
          <w:tcPr>
            <w:tcW w:w="180" w:type="dxa"/>
            <w:vAlign w:val="bottom"/>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19"/>
              <w:spacing w:after="0"/>
              <w:rPr>
                <w:sz w:val="20"/>
                <w:szCs w:val="20"/>
                <w:color w:val="auto"/>
              </w:rPr>
            </w:pPr>
            <w:r>
              <w:rPr>
                <w:rFonts w:ascii="Arial" w:cs="Arial" w:eastAsia="Arial" w:hAnsi="Arial"/>
                <w:sz w:val="16"/>
                <w:szCs w:val="16"/>
                <w:color w:val="auto"/>
              </w:rPr>
              <w:t>7,738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gridSpan w:val="2"/>
          </w:tcPr>
          <w:p>
            <w:pPr>
              <w:jc w:val="right"/>
              <w:ind w:right="113"/>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34,412</w:t>
            </w:r>
          </w:p>
        </w:tc>
        <w:tc>
          <w:tcPr>
            <w:tcW w:w="4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17"/>
              <w:spacing w:after="0"/>
              <w:rPr>
                <w:sz w:val="20"/>
                <w:szCs w:val="20"/>
                <w:color w:val="auto"/>
              </w:rPr>
            </w:pPr>
            <w:r>
              <w:rPr>
                <w:rFonts w:ascii="Arial" w:cs="Arial" w:eastAsia="Arial" w:hAnsi="Arial"/>
                <w:sz w:val="16"/>
                <w:szCs w:val="16"/>
                <w:color w:val="auto"/>
              </w:rPr>
              <w:t>15,434</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margin</w:t>
            </w:r>
          </w:p>
        </w:tc>
        <w:tc>
          <w:tcPr>
            <w:tcW w:w="180" w:type="dxa"/>
            <w:vAlign w:val="bottom"/>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Arial" w:cs="Arial" w:eastAsia="Arial" w:hAnsi="Arial"/>
                <w:sz w:val="16"/>
                <w:szCs w:val="16"/>
                <w:color w:val="auto"/>
                <w:w w:val="96"/>
              </w:rPr>
              <w:t>Restaurant level operating profit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vMerge w:val="restart"/>
          </w:tcPr>
          <w:p>
            <w:pPr>
              <w:jc w:val="right"/>
              <w:ind w:right="119"/>
              <w:spacing w:after="0"/>
              <w:rPr>
                <w:sz w:val="20"/>
                <w:szCs w:val="20"/>
                <w:color w:val="auto"/>
              </w:rPr>
            </w:pPr>
            <w:r>
              <w:rPr>
                <w:rFonts w:ascii="Arial" w:cs="Arial" w:eastAsia="Arial" w:hAnsi="Arial"/>
                <w:sz w:val="16"/>
                <w:szCs w:val="16"/>
                <w:color w:val="auto"/>
              </w:rPr>
              <w:t>40,365</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gridSpan w:val="2"/>
            <w:vMerge w:val="restart"/>
          </w:tcPr>
          <w:p>
            <w:pPr>
              <w:jc w:val="right"/>
              <w:ind w:right="113"/>
              <w:spacing w:after="0"/>
              <w:rPr>
                <w:sz w:val="20"/>
                <w:szCs w:val="20"/>
                <w:color w:val="auto"/>
              </w:rPr>
            </w:pPr>
            <w:r>
              <w:rPr>
                <w:rFonts w:ascii="Arial" w:cs="Arial" w:eastAsia="Arial" w:hAnsi="Arial"/>
                <w:sz w:val="16"/>
                <w:szCs w:val="16"/>
                <w:color w:val="auto"/>
              </w:rPr>
              <w:t>31,872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3"/>
            <w:vMerge w:val="restart"/>
          </w:tcPr>
          <w:p>
            <w:pPr>
              <w:jc w:val="right"/>
              <w:spacing w:after="0"/>
              <w:rPr>
                <w:sz w:val="20"/>
                <w:szCs w:val="20"/>
                <w:color w:val="auto"/>
              </w:rPr>
            </w:pPr>
            <w:r>
              <w:rPr>
                <w:rFonts w:ascii="Arial" w:cs="Arial" w:eastAsia="Arial" w:hAnsi="Arial"/>
                <w:sz w:val="16"/>
                <w:szCs w:val="16"/>
                <w:color w:val="auto"/>
              </w:rPr>
              <w:t>128,865</w:t>
            </w:r>
          </w:p>
        </w:tc>
        <w:tc>
          <w:tcPr>
            <w:tcW w:w="46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vMerge w:val="restart"/>
          </w:tcPr>
          <w:p>
            <w:pPr>
              <w:jc w:val="right"/>
              <w:ind w:right="117"/>
              <w:spacing w:after="0"/>
              <w:rPr>
                <w:sz w:val="20"/>
                <w:szCs w:val="20"/>
                <w:color w:val="auto"/>
              </w:rPr>
            </w:pPr>
            <w:r>
              <w:rPr>
                <w:rFonts w:ascii="Arial" w:cs="Arial" w:eastAsia="Arial" w:hAnsi="Arial"/>
                <w:sz w:val="16"/>
                <w:szCs w:val="16"/>
                <w:color w:val="auto"/>
              </w:rPr>
              <w:t>98,390</w:t>
            </w:r>
          </w:p>
        </w:tc>
        <w:tc>
          <w:tcPr>
            <w:tcW w:w="0" w:type="dxa"/>
            <w:vAlign w:val="bottom"/>
          </w:tcPr>
          <w:p>
            <w:pPr>
              <w:spacing w:after="0"/>
              <w:rPr>
                <w:sz w:val="1"/>
                <w:szCs w:val="1"/>
                <w:color w:val="auto"/>
              </w:rPr>
            </w:pPr>
          </w:p>
        </w:tc>
      </w:tr>
      <w:tr>
        <w:trPr>
          <w:trHeight w:val="108"/>
        </w:trPr>
        <w:tc>
          <w:tcPr>
            <w:tcW w:w="2240" w:type="dxa"/>
            <w:vAlign w:val="bottom"/>
          </w:tcPr>
          <w:p>
            <w:pPr>
              <w:ind w:left="20"/>
              <w:spacing w:after="0" w:line="108" w:lineRule="exact"/>
              <w:rPr>
                <w:sz w:val="20"/>
                <w:szCs w:val="20"/>
                <w:color w:val="auto"/>
              </w:rPr>
            </w:pPr>
            <w:r>
              <w:rPr>
                <w:rFonts w:ascii="Arial" w:cs="Arial" w:eastAsia="Arial" w:hAnsi="Arial"/>
                <w:sz w:val="11"/>
                <w:szCs w:val="11"/>
                <w:color w:val="auto"/>
              </w:rPr>
              <w:t>(1)</w:t>
            </w:r>
          </w:p>
        </w:tc>
        <w:tc>
          <w:tcPr>
            <w:tcW w:w="18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460" w:type="dxa"/>
            <w:vAlign w:val="bottom"/>
            <w:gridSpan w:val="4"/>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2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9"/>
              </w:rPr>
              <w:t>Restaurant level operating</w:t>
            </w:r>
          </w:p>
        </w:tc>
        <w:tc>
          <w:tcPr>
            <w:tcW w:w="18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 xml:space="preserve">profit margin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19"/>
              <w:spacing w:after="0"/>
              <w:rPr>
                <w:sz w:val="20"/>
                <w:szCs w:val="20"/>
                <w:color w:val="auto"/>
              </w:rPr>
            </w:pPr>
            <w:r>
              <w:rPr>
                <w:rFonts w:ascii="Arial" w:cs="Arial" w:eastAsia="Arial" w:hAnsi="Arial"/>
                <w:sz w:val="16"/>
                <w:szCs w:val="16"/>
                <w:color w:val="auto"/>
              </w:rPr>
              <w:t>5,418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gridSpan w:val="2"/>
          </w:tcPr>
          <w:p>
            <w:pPr>
              <w:jc w:val="right"/>
              <w:ind w:right="113"/>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22,737</w:t>
            </w:r>
          </w:p>
        </w:tc>
        <w:tc>
          <w:tcPr>
            <w:tcW w:w="4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17"/>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margin</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19"/>
              <w:spacing w:after="0"/>
              <w:rPr>
                <w:sz w:val="20"/>
                <w:szCs w:val="20"/>
                <w:color w:val="auto"/>
              </w:rPr>
            </w:pPr>
            <w:r>
              <w:rPr>
                <w:rFonts w:ascii="Arial" w:cs="Arial" w:eastAsia="Arial" w:hAnsi="Arial"/>
                <w:sz w:val="16"/>
                <w:szCs w:val="16"/>
                <w:color w:val="auto"/>
              </w:rPr>
              <w:t>21,629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gridSpan w:val="2"/>
          </w:tcPr>
          <w:p>
            <w:pPr>
              <w:jc w:val="right"/>
              <w:ind w:right="113"/>
              <w:spacing w:after="0"/>
              <w:rPr>
                <w:sz w:val="20"/>
                <w:szCs w:val="20"/>
                <w:color w:val="auto"/>
              </w:rPr>
            </w:pPr>
            <w:r>
              <w:rPr>
                <w:rFonts w:ascii="Arial" w:cs="Arial" w:eastAsia="Arial" w:hAnsi="Arial"/>
                <w:sz w:val="16"/>
                <w:szCs w:val="16"/>
                <w:color w:val="auto"/>
              </w:rPr>
              <w:t>17,023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74,858</w:t>
            </w:r>
          </w:p>
        </w:tc>
        <w:tc>
          <w:tcPr>
            <w:tcW w:w="4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17"/>
              <w:spacing w:after="0"/>
              <w:rPr>
                <w:sz w:val="20"/>
                <w:szCs w:val="20"/>
                <w:color w:val="auto"/>
              </w:rPr>
            </w:pPr>
            <w:r>
              <w:rPr>
                <w:rFonts w:ascii="Arial" w:cs="Arial" w:eastAsia="Arial" w:hAnsi="Arial"/>
                <w:sz w:val="16"/>
                <w:szCs w:val="16"/>
                <w:color w:val="auto"/>
              </w:rPr>
              <w:t>54,176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w w:val="93"/>
              </w:rPr>
              <w:t xml:space="preserve">Adjusted EBITDA margin </w:t>
            </w:r>
            <w:r>
              <w:rPr>
                <w:rFonts w:ascii="Arial" w:cs="Arial" w:eastAsia="Arial" w:hAnsi="Arial"/>
                <w:sz w:val="21"/>
                <w:szCs w:val="21"/>
                <w:color w:val="auto"/>
                <w:w w:val="93"/>
                <w:vertAlign w:val="superscript"/>
              </w:rPr>
              <w:t>(2)</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right="20" w:firstLine="8"/>
        <w:spacing w:after="0" w:line="255" w:lineRule="auto"/>
        <w:tabs>
          <w:tab w:leader="none" w:pos="253"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Arial" w:cs="Arial" w:eastAsia="Arial" w:hAnsi="Arial"/>
          <w:sz w:val="16"/>
          <w:szCs w:val="16"/>
          <w:i w:val="1"/>
          <w:iCs w:val="1"/>
          <w:color w:val="auto"/>
        </w:rPr>
        <w:t>Non-GAAP Financial Measures Reconciliations</w:t>
      </w:r>
      <w:r>
        <w:rPr>
          <w:rFonts w:ascii="Arial" w:cs="Arial" w:eastAsia="Arial" w:hAnsi="Arial"/>
          <w:sz w:val="16"/>
          <w:szCs w:val="16"/>
          <w:color w:val="auto"/>
        </w:rPr>
        <w:t xml:space="preserve"> section below.</w:t>
      </w:r>
    </w:p>
    <w:p>
      <w:pPr>
        <w:ind w:firstLine="8"/>
        <w:spacing w:after="0" w:line="275" w:lineRule="auto"/>
        <w:tabs>
          <w:tab w:leader="none" w:pos="238"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Reconciliations from Net income and Net income margin, the most comparable GAAP measures, to Adjusted EBITDA and Adjusted EBITDA margin, are set forth in the schedules within the </w:t>
      </w:r>
      <w:r>
        <w:rPr>
          <w:rFonts w:ascii="Arial" w:cs="Arial" w:eastAsia="Arial" w:hAnsi="Arial"/>
          <w:sz w:val="16"/>
          <w:szCs w:val="16"/>
          <w:i w:val="1"/>
          <w:iCs w:val="1"/>
          <w:color w:val="auto"/>
        </w:rPr>
        <w:t>Non-GAAP Financial Measures Reconciliations</w:t>
      </w:r>
      <w:r>
        <w:rPr>
          <w:rFonts w:ascii="Arial" w:cs="Arial" w:eastAsia="Arial" w:hAnsi="Arial"/>
          <w:sz w:val="16"/>
          <w:szCs w:val="16"/>
          <w:color w:val="auto"/>
        </w:rPr>
        <w:t xml:space="preserve"> section below.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Same-Restaurant Sales Growth (Decline) and Same-Restaurant Traffic Growth (Decline)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THIRTEEN WEEKS ENDED</w:t>
            </w:r>
          </w:p>
        </w:tc>
        <w:tc>
          <w:tcPr>
            <w:tcW w:w="2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SAME-RESTAURANT SALES</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SAME-RESTAURANT TRAFFIC</w:t>
            </w:r>
          </w:p>
        </w:tc>
        <w:tc>
          <w:tcPr>
            <w:tcW w:w="2640" w:type="dxa"/>
            <w:vAlign w:val="bottom"/>
          </w:tcPr>
          <w:p>
            <w:pPr>
              <w:jc w:val="right"/>
              <w:ind w:right="75"/>
              <w:spacing w:after="0"/>
              <w:rPr>
                <w:sz w:val="20"/>
                <w:szCs w:val="20"/>
                <w:color w:val="auto"/>
              </w:rPr>
            </w:pPr>
            <w:r>
              <w:rPr>
                <w:rFonts w:ascii="Arial" w:cs="Arial" w:eastAsia="Arial" w:hAnsi="Arial"/>
                <w:sz w:val="16"/>
                <w:szCs w:val="16"/>
                <w:b w:val="1"/>
                <w:bCs w:val="1"/>
                <w:color w:val="auto"/>
              </w:rPr>
              <w:t>COMPARABLE RESTAURANT</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2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GROWTH</w:t>
            </w:r>
          </w:p>
        </w:tc>
        <w:tc>
          <w:tcPr>
            <w:tcW w:w="2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GROWTH (DECLINE)</w:t>
            </w:r>
          </w:p>
        </w:tc>
        <w:tc>
          <w:tcPr>
            <w:tcW w:w="2640" w:type="dxa"/>
            <w:vAlign w:val="bottom"/>
          </w:tcPr>
          <w:p>
            <w:pPr>
              <w:jc w:val="right"/>
              <w:ind w:right="1015"/>
              <w:spacing w:after="0"/>
              <w:rPr>
                <w:sz w:val="20"/>
                <w:szCs w:val="20"/>
                <w:color w:val="auto"/>
              </w:rPr>
            </w:pPr>
            <w:r>
              <w:rPr>
                <w:rFonts w:ascii="Arial" w:cs="Arial" w:eastAsia="Arial" w:hAnsi="Arial"/>
                <w:sz w:val="16"/>
                <w:szCs w:val="16"/>
                <w:b w:val="1"/>
                <w:bCs w:val="1"/>
                <w:color w:val="auto"/>
              </w:rPr>
              <w:t>BASE</w:t>
            </w:r>
          </w:p>
        </w:tc>
        <w:tc>
          <w:tcPr>
            <w:tcW w:w="0" w:type="dxa"/>
            <w:vAlign w:val="bottom"/>
          </w:tcPr>
          <w:p>
            <w:pPr>
              <w:spacing w:after="0"/>
              <w:rPr>
                <w:sz w:val="1"/>
                <w:szCs w:val="1"/>
                <w:color w:val="auto"/>
              </w:rPr>
            </w:pPr>
          </w:p>
        </w:tc>
      </w:tr>
      <w:tr>
        <w:trPr>
          <w:trHeight w:val="22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24, 2023</w:t>
            </w: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6"/>
                <w:szCs w:val="16"/>
                <w:color w:val="auto"/>
              </w:rPr>
              <w:t>September 25, 2022</w:t>
            </w:r>
          </w:p>
        </w:tc>
        <w:tc>
          <w:tcPr>
            <w:tcW w:w="288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26, 2021</w:t>
            </w:r>
          </w:p>
        </w:tc>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0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Thirteen and Thirty-Nine Weeks Ended September 24, 2023 Compared to Thirteen and Thirty-Nine Weeks Ended September 25, 2022</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results of operations and the percentages of certain items in relation to Total revenues or, where indicated, Restaurant sales for the thirteen and thirty-nine weeks ended September 24, 2023 and September 25,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THIRTEEN WEEKS ENDED</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THIRTY-NINE WEEKS ENDED</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206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Pr>
          <w:p>
            <w:pPr>
              <w:spacing w:after="0"/>
              <w:rPr>
                <w:sz w:val="18"/>
                <w:szCs w:val="18"/>
                <w:color w:val="auto"/>
              </w:rPr>
            </w:pPr>
          </w:p>
        </w:tc>
        <w:tc>
          <w:tcPr>
            <w:tcW w:w="198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Pr>
          <w:p>
            <w:pPr>
              <w:spacing w:after="0"/>
              <w:rPr>
                <w:sz w:val="18"/>
                <w:szCs w:val="18"/>
                <w:color w:val="auto"/>
              </w:rPr>
            </w:pPr>
          </w:p>
        </w:tc>
        <w:tc>
          <w:tcPr>
            <w:tcW w:w="20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199"/>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215,495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98.3 %</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183,978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98.5 %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636,050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98.3 %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536,329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98.5 %</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6"/>
        </w:trPr>
        <w:tc>
          <w:tcPr>
            <w:tcW w:w="218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219,212</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186,852</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646,918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544,417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2"/>
              </w:rPr>
              <w:t>Operating costs and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180" w:type="dxa"/>
            <w:vAlign w:val="bottom"/>
          </w:tcPr>
          <w:p>
            <w:pPr>
              <w:ind w:left="20"/>
              <w:spacing w:after="0" w:line="165" w:lineRule="exact"/>
              <w:rPr>
                <w:sz w:val="20"/>
                <w:szCs w:val="20"/>
                <w:color w:val="auto"/>
              </w:rPr>
            </w:pPr>
            <w:r>
              <w:rPr>
                <w:rFonts w:ascii="Arial" w:cs="Arial" w:eastAsia="Arial" w:hAnsi="Arial"/>
                <w:sz w:val="15"/>
                <w:szCs w:val="15"/>
                <w:color w:val="auto"/>
                <w:w w:val="93"/>
              </w:rPr>
              <w:t xml:space="preserve">Restaurant operating expenses </w:t>
            </w:r>
            <w:r>
              <w:rPr>
                <w:rFonts w:ascii="Arial" w:cs="Arial" w:eastAsia="Arial" w:hAnsi="Arial"/>
                <w:sz w:val="19"/>
                <w:szCs w:val="19"/>
                <w:color w:val="auto"/>
                <w:w w:val="93"/>
                <w:vertAlign w:val="superscript"/>
              </w:rPr>
              <w:t>(1)</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20"/>
              <w:spacing w:after="0" w:line="162" w:lineRule="exact"/>
              <w:rPr>
                <w:sz w:val="20"/>
                <w:szCs w:val="20"/>
                <w:color w:val="auto"/>
              </w:rPr>
            </w:pPr>
            <w:r>
              <w:rPr>
                <w:rFonts w:ascii="Arial" w:cs="Arial" w:eastAsia="Arial" w:hAnsi="Arial"/>
                <w:sz w:val="16"/>
                <w:szCs w:val="16"/>
                <w:color w:val="auto"/>
              </w:rPr>
              <w:t>(exclusive of depreciation and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amortization shown below):</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Food and beverage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0" w:type="dxa"/>
            <w:vAlign w:val="bottom"/>
          </w:tcPr>
          <w:p>
            <w:pPr>
              <w:spacing w:after="0"/>
              <w:rPr>
                <w:sz w:val="1"/>
                <w:szCs w:val="1"/>
                <w:color w:val="auto"/>
              </w:rPr>
            </w:pPr>
          </w:p>
        </w:tc>
      </w:tr>
      <w:tr>
        <w:trPr>
          <w:trHeight w:val="166"/>
        </w:trPr>
        <w:tc>
          <w:tcPr>
            <w:tcW w:w="2180" w:type="dxa"/>
            <w:vAlign w:val="bottom"/>
          </w:tcPr>
          <w:p>
            <w:pPr>
              <w:ind w:left="360"/>
              <w:spacing w:after="0" w:line="166" w:lineRule="exact"/>
              <w:rPr>
                <w:sz w:val="20"/>
                <w:szCs w:val="20"/>
                <w:color w:val="auto"/>
              </w:rPr>
            </w:pPr>
            <w:r>
              <w:rPr>
                <w:rFonts w:ascii="Arial" w:cs="Arial" w:eastAsia="Arial" w:hAnsi="Arial"/>
                <w:sz w:val="16"/>
                <w:szCs w:val="16"/>
                <w:color w:val="auto"/>
              </w:rPr>
              <w:t>Labor and other related</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73,137</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33.9 %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61,262</w:t>
            </w: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212,312</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175,091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32.6 %</w:t>
            </w:r>
          </w:p>
        </w:tc>
        <w:tc>
          <w:tcPr>
            <w:tcW w:w="0" w:type="dxa"/>
            <w:vAlign w:val="bottom"/>
          </w:tcPr>
          <w:p>
            <w:pPr>
              <w:spacing w:after="0"/>
              <w:rPr>
                <w:sz w:val="1"/>
                <w:szCs w:val="1"/>
                <w:color w:val="auto"/>
              </w:rPr>
            </w:pPr>
          </w:p>
        </w:tc>
      </w:tr>
      <w:tr>
        <w:trPr>
          <w:trHeight w:val="209"/>
        </w:trPr>
        <w:tc>
          <w:tcPr>
            <w:tcW w:w="2180" w:type="dxa"/>
            <w:vAlign w:val="bottom"/>
          </w:tcPr>
          <w:p>
            <w:pPr>
              <w:ind w:left="36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Other restaurant operating</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33,694</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29,685</w:t>
            </w: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97,572</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360"/>
              <w:spacing w:after="0"/>
              <w:rPr>
                <w:sz w:val="20"/>
                <w:szCs w:val="20"/>
                <w:color w:val="auto"/>
              </w:rPr>
            </w:pPr>
            <w:r>
              <w:rPr>
                <w:rFonts w:ascii="Arial" w:cs="Arial" w:eastAsia="Arial" w:hAnsi="Arial"/>
                <w:sz w:val="16"/>
                <w:szCs w:val="16"/>
                <w:color w:val="auto"/>
              </w:rPr>
              <w:t>Occupancy expenses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17,555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15,091</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49,950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Pre-opening expenses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66"/>
        </w:trPr>
        <w:tc>
          <w:tcPr>
            <w:tcW w:w="2180" w:type="dxa"/>
            <w:vAlign w:val="bottom"/>
          </w:tcPr>
          <w:p>
            <w:pPr>
              <w:ind w:left="20"/>
              <w:spacing w:after="0" w:line="166" w:lineRule="exact"/>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25,179</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11.5 %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73,168</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63,194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166"/>
        </w:trPr>
        <w:tc>
          <w:tcPr>
            <w:tcW w:w="2180" w:type="dxa"/>
            <w:vAlign w:val="bottom"/>
          </w:tcPr>
          <w:p>
            <w:pPr>
              <w:ind w:left="20"/>
              <w:spacing w:after="0" w:line="166" w:lineRule="exact"/>
              <w:rPr>
                <w:sz w:val="20"/>
                <w:szCs w:val="20"/>
                <w:color w:val="auto"/>
              </w:rPr>
            </w:pPr>
            <w:r>
              <w:rPr>
                <w:rFonts w:ascii="Arial" w:cs="Arial" w:eastAsia="Arial" w:hAnsi="Arial"/>
                <w:sz w:val="16"/>
                <w:szCs w:val="16"/>
                <w:color w:val="auto"/>
              </w:rPr>
              <w:t>Impairments and loss on</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618</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disposal of assets</w:t>
            </w: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46"/>
        </w:trPr>
        <w:tc>
          <w:tcPr>
            <w:tcW w:w="2180" w:type="dxa"/>
            <w:vAlign w:val="bottom"/>
          </w:tcPr>
          <w:p>
            <w:pPr>
              <w:ind w:left="360"/>
              <w:spacing w:after="0" w:line="146" w:lineRule="exact"/>
              <w:rPr>
                <w:sz w:val="20"/>
                <w:szCs w:val="20"/>
                <w:color w:val="auto"/>
              </w:rPr>
            </w:pPr>
            <w:r>
              <w:rPr>
                <w:rFonts w:ascii="Arial" w:cs="Arial" w:eastAsia="Arial" w:hAnsi="Arial"/>
                <w:sz w:val="16"/>
                <w:szCs w:val="16"/>
                <w:color w:val="auto"/>
              </w:rPr>
              <w:t>Total operating costs and</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211,474</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96.5 %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184,231</w:t>
            </w:r>
          </w:p>
        </w:tc>
        <w:tc>
          <w:tcPr>
            <w:tcW w:w="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98.6 %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612,506</w:t>
            </w:r>
          </w:p>
        </w:tc>
        <w:tc>
          <w:tcPr>
            <w:tcW w:w="100" w:type="dxa"/>
            <w:vAlign w:val="bottom"/>
            <w:vMerge w:val="restart"/>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94.7 %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528,983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97.2 %</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Income from operations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(5,792)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7"/>
        </w:trPr>
        <w:tc>
          <w:tcPr>
            <w:tcW w:w="2180" w:type="dxa"/>
            <w:vAlign w:val="bottom"/>
          </w:tcPr>
          <w:p>
            <w:pPr>
              <w:ind w:left="20"/>
              <w:spacing w:after="0"/>
              <w:rPr>
                <w:sz w:val="20"/>
                <w:szCs w:val="20"/>
                <w:color w:val="auto"/>
              </w:rPr>
            </w:pPr>
            <w:r>
              <w:rPr>
                <w:rFonts w:ascii="Arial" w:cs="Arial" w:eastAsia="Arial" w:hAnsi="Arial"/>
                <w:sz w:val="16"/>
                <w:szCs w:val="16"/>
                <w:b w:val="1"/>
                <w:bCs w:val="1"/>
                <w:color w:val="auto"/>
                <w:w w:val="99"/>
              </w:rPr>
              <w:t>Income before income taxes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1,375</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30,570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7"/>
        </w:trPr>
        <w:tc>
          <w:tcPr>
            <w:tcW w:w="21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5,418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22,737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Percentages are calculated as a percentage of restaurant sales.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Sales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 In both the thirteen and twenty-six week comparative periods in the table below, the trend of declining off-premises occasions is reflected as the change in the relative contribution of the Third-party delivery sales and Take-out sales to the Total Restaurant sales.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THIRTY-NINE WEEKS ENDED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gridSpan w:val="3"/>
          </w:tcPr>
          <w:p>
            <w:pPr>
              <w:ind w:left="80"/>
              <w:spacing w:after="0" w:line="158" w:lineRule="exact"/>
              <w:rPr>
                <w:sz w:val="20"/>
                <w:szCs w:val="20"/>
                <w:color w:val="auto"/>
              </w:rPr>
            </w:pPr>
            <w:r>
              <w:rPr>
                <w:rFonts w:ascii="Arial" w:cs="Arial" w:eastAsia="Arial" w:hAnsi="Arial"/>
                <w:sz w:val="16"/>
                <w:szCs w:val="16"/>
                <w:b w:val="1"/>
                <w:bCs w:val="1"/>
                <w:color w:val="auto"/>
              </w:rPr>
              <w:t>SEPTEMBER 24,</w:t>
            </w:r>
          </w:p>
        </w:tc>
        <w:tc>
          <w:tcPr>
            <w:tcW w:w="1720" w:type="dxa"/>
            <w:vAlign w:val="bottom"/>
            <w:gridSpan w:val="4"/>
          </w:tcPr>
          <w:p>
            <w:pPr>
              <w:ind w:left="80"/>
              <w:spacing w:after="0" w:line="158" w:lineRule="exact"/>
              <w:rPr>
                <w:sz w:val="20"/>
                <w:szCs w:val="20"/>
                <w:color w:val="auto"/>
              </w:rPr>
            </w:pPr>
            <w:r>
              <w:rPr>
                <w:rFonts w:ascii="Arial" w:cs="Arial" w:eastAsia="Arial" w:hAnsi="Arial"/>
                <w:sz w:val="16"/>
                <w:szCs w:val="16"/>
                <w:b w:val="1"/>
                <w:bCs w:val="1"/>
                <w:color w:val="auto"/>
              </w:rPr>
              <w:t>SEPTEMBER 25,</w:t>
            </w: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ind w:left="60"/>
              <w:spacing w:after="0" w:line="158" w:lineRule="exact"/>
              <w:rPr>
                <w:sz w:val="20"/>
                <w:szCs w:val="20"/>
                <w:color w:val="auto"/>
              </w:rPr>
            </w:pPr>
            <w:r>
              <w:rPr>
                <w:rFonts w:ascii="Arial" w:cs="Arial" w:eastAsia="Arial" w:hAnsi="Arial"/>
                <w:sz w:val="16"/>
                <w:szCs w:val="16"/>
                <w:b w:val="1"/>
                <w:bCs w:val="1"/>
                <w:color w:val="auto"/>
              </w:rPr>
              <w:t>SEPTEMBER 24,</w:t>
            </w:r>
          </w:p>
        </w:tc>
        <w:tc>
          <w:tcPr>
            <w:tcW w:w="1780" w:type="dxa"/>
            <w:vAlign w:val="bottom"/>
            <w:gridSpan w:val="4"/>
          </w:tcPr>
          <w:p>
            <w:pPr>
              <w:ind w:left="80"/>
              <w:spacing w:after="0" w:line="158" w:lineRule="exact"/>
              <w:rPr>
                <w:sz w:val="20"/>
                <w:szCs w:val="20"/>
                <w:color w:val="auto"/>
              </w:rPr>
            </w:pPr>
            <w:r>
              <w:rPr>
                <w:rFonts w:ascii="Arial" w:cs="Arial" w:eastAsia="Arial" w:hAnsi="Arial"/>
                <w:sz w:val="16"/>
                <w:szCs w:val="16"/>
                <w:b w:val="1"/>
                <w:bCs w:val="1"/>
                <w:color w:val="auto"/>
              </w:rPr>
              <w:t>SEPTEMBER 25,</w:t>
            </w:r>
          </w:p>
        </w:tc>
        <w:tc>
          <w:tcPr>
            <w:tcW w:w="8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3"/>
        </w:trPr>
        <w:tc>
          <w:tcPr>
            <w:tcW w:w="28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360"/>
              <w:spacing w:after="0"/>
              <w:rPr>
                <w:sz w:val="20"/>
                <w:szCs w:val="20"/>
                <w:color w:val="auto"/>
              </w:rPr>
            </w:pPr>
            <w:r>
              <w:rPr>
                <w:rFonts w:ascii="Arial" w:cs="Arial" w:eastAsia="Arial" w:hAnsi="Arial"/>
                <w:sz w:val="16"/>
                <w:szCs w:val="16"/>
                <w:color w:val="auto"/>
              </w:rPr>
              <w:t>In-restaurant dining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176,696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147,491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520,277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425,222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delivery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Take-out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50,147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Restaurant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restaurant sales during the thirteen weeks ended September 24, 2023 as compared to the same period in the prior year was primarily due to (i) same-restaurant sales growth of 4.8%, mainly driven by menu price increases, and (ii) $23.3 million from restaurants not in the Comparable Restaurant Base, which included $14.6 million from our 31 NROs between September 25, 2022 and September 24, 2023 and $7.1 million from restaurants we had acquired from our franchisees.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restaurant sales during the thirty-nine weeks ended September 24, 2023 as compared to the same period in the prior year was primarily due to (i) same restaurant sales growth of 8.5%, driven by same-restaurant traffic growth of 0.7% and menu price increases and (ii) $57.0 million from restaurants not in the Comparable Restaurant Base, which included $32.6 million from our 31 NROs between September 25, 2022 and September 24, 2023 and $8.9 million from restaurants we had acquired from our franchisees.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7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THIRTY-NINE WEEKS ENDED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gridSpan w:val="3"/>
          </w:tcPr>
          <w:p>
            <w:pPr>
              <w:ind w:left="80"/>
              <w:spacing w:after="0" w:line="158" w:lineRule="exact"/>
              <w:rPr>
                <w:sz w:val="20"/>
                <w:szCs w:val="20"/>
                <w:color w:val="auto"/>
              </w:rPr>
            </w:pPr>
            <w:r>
              <w:rPr>
                <w:rFonts w:ascii="Arial" w:cs="Arial" w:eastAsia="Arial" w:hAnsi="Arial"/>
                <w:sz w:val="16"/>
                <w:szCs w:val="16"/>
                <w:b w:val="1"/>
                <w:bCs w:val="1"/>
                <w:color w:val="auto"/>
              </w:rPr>
              <w:t>SEPTEMBER 24,</w:t>
            </w:r>
          </w:p>
        </w:tc>
        <w:tc>
          <w:tcPr>
            <w:tcW w:w="1700" w:type="dxa"/>
            <w:vAlign w:val="bottom"/>
            <w:gridSpan w:val="4"/>
          </w:tcPr>
          <w:p>
            <w:pPr>
              <w:ind w:left="60"/>
              <w:spacing w:after="0" w:line="158" w:lineRule="exact"/>
              <w:rPr>
                <w:sz w:val="20"/>
                <w:szCs w:val="20"/>
                <w:color w:val="auto"/>
              </w:rPr>
            </w:pPr>
            <w:r>
              <w:rPr>
                <w:rFonts w:ascii="Arial" w:cs="Arial" w:eastAsia="Arial" w:hAnsi="Arial"/>
                <w:sz w:val="16"/>
                <w:szCs w:val="16"/>
                <w:b w:val="1"/>
                <w:bCs w:val="1"/>
                <w:color w:val="auto"/>
              </w:rPr>
              <w:t>SEPTEMBER 25,</w:t>
            </w: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ind w:left="60"/>
              <w:spacing w:after="0" w:line="158" w:lineRule="exact"/>
              <w:rPr>
                <w:sz w:val="20"/>
                <w:szCs w:val="20"/>
                <w:color w:val="auto"/>
              </w:rPr>
            </w:pPr>
            <w:r>
              <w:rPr>
                <w:rFonts w:ascii="Arial" w:cs="Arial" w:eastAsia="Arial" w:hAnsi="Arial"/>
                <w:sz w:val="16"/>
                <w:szCs w:val="16"/>
                <w:b w:val="1"/>
                <w:bCs w:val="1"/>
                <w:color w:val="auto"/>
              </w:rPr>
              <w:t>SEPTEMBER 24,</w:t>
            </w:r>
          </w:p>
        </w:tc>
        <w:tc>
          <w:tcPr>
            <w:tcW w:w="1780" w:type="dxa"/>
            <w:vAlign w:val="bottom"/>
            <w:gridSpan w:val="4"/>
          </w:tcPr>
          <w:p>
            <w:pPr>
              <w:ind w:left="80"/>
              <w:spacing w:after="0" w:line="158" w:lineRule="exact"/>
              <w:rPr>
                <w:sz w:val="20"/>
                <w:szCs w:val="20"/>
                <w:color w:val="auto"/>
              </w:rPr>
            </w:pPr>
            <w:r>
              <w:rPr>
                <w:rFonts w:ascii="Arial" w:cs="Arial" w:eastAsia="Arial" w:hAnsi="Arial"/>
                <w:sz w:val="16"/>
                <w:szCs w:val="16"/>
                <w:b w:val="1"/>
                <w:bCs w:val="1"/>
                <w:color w:val="auto"/>
              </w:rPr>
              <w:t>SEPTEMBER 25,</w:t>
            </w:r>
          </w:p>
        </w:tc>
        <w:tc>
          <w:tcPr>
            <w:tcW w:w="8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3"/>
        </w:trPr>
        <w:tc>
          <w:tcPr>
            <w:tcW w:w="28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360"/>
              <w:spacing w:after="0"/>
              <w:rPr>
                <w:sz w:val="20"/>
                <w:szCs w:val="20"/>
                <w:color w:val="auto"/>
              </w:rPr>
            </w:pPr>
            <w:r>
              <w:rPr>
                <w:rFonts w:ascii="Arial" w:cs="Arial" w:eastAsia="Arial" w:hAnsi="Arial"/>
                <w:sz w:val="16"/>
                <w:szCs w:val="16"/>
                <w:color w:val="auto"/>
                <w:w w:val="99"/>
              </w:rPr>
              <w:t>Royalty and system fund contributions $</w:t>
            </w:r>
          </w:p>
        </w:tc>
        <w:tc>
          <w:tcPr>
            <w:tcW w:w="1060" w:type="dxa"/>
            <w:vAlign w:val="bottom"/>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10,160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28.7 %</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Initial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line="219"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19"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04"/>
        </w:trPr>
        <w:tc>
          <w:tcPr>
            <w:tcW w:w="2880" w:type="dxa"/>
            <w:vAlign w:val="bottom"/>
          </w:tcPr>
          <w:p>
            <w:pPr>
              <w:ind w:left="20"/>
              <w:spacing w:after="0"/>
              <w:rPr>
                <w:sz w:val="20"/>
                <w:szCs w:val="20"/>
                <w:color w:val="auto"/>
              </w:rPr>
            </w:pPr>
            <w:r>
              <w:rPr>
                <w:rFonts w:ascii="Arial" w:cs="Arial" w:eastAsia="Arial" w:hAnsi="Arial"/>
                <w:sz w:val="16"/>
                <w:szCs w:val="16"/>
                <w:color w:val="auto"/>
              </w:rPr>
              <w:t>Total Franchise revenues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10,868</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8,088</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franchise revenues during the thirteen and thirty-nine weeks ended September 24, 2023 as compared to the same periods in the prior year was primarily driven by (i) the increase in sales from franchise-owned restaurants and (ii) $0.3 million and $0.8 million, respectively, from 17 franchise-owned NROs between September 25, 2022 and September 24, 2023. The increase was partially offset by $0.3 million and $0.2 million lower franchise fees, respectively, as a result of the acquisitions of restaurants from our franchisees during the thirteen and thirty-nine weeks ended September 24,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Beverage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0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9.3 %  $</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129,200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Food and beverage costs as a percent of restaurant sales decreased during the thirteen and thirty-nine weeks ended September 24, 2023 as compared to the same periods in the prior year primarily due to (i) lower commodity costs across the market basket, driven mostly by decreases in pork and avocado prices and (ii) leveraging restaurant sales.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Food and beverage costs increased during the thirteen and thirty-nine weeks ended September 24, 2023 as compared to the same periods in the prior year primarily as a result of (i) the increase in restaurant sales, (ii) 31 NROs that have opened between September 25, 2022 and September 24, 2023 and (iii) restaurants we had acquired from our franchisees. The increase was partially offset by lower commodity costs across the market basket, driven mostly by decreases in pork and avocado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Other Related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0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19.4 %  $</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175,091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Labor and other related expenses as a percentage of restaurant sales increased during the thirteen and thirty-nine weeks ended September 24, 2023 as compared to the same periods in the prior year primarily as a result of the increase in wages and staffing to serve growing dining room traffic. This was partially offset by (i) the increase in menu prices and (ii) the decrease in health insurance costs.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labor and other related expenses during the thirteen and thirty-nine weeks ended September 24, 2023 as compared to the same periods in the prior year was primarily due to (i) investments in labor, including increases in wages and staffing levels, (ii) 31 NROs that have opened between September 25, 2022 and September 24, 2023 and (iii) restaurants we had acquired from our franchisees. This was partially offset by the decrease in health insurance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vMerge w:val="restart"/>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0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Other restaurant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29,685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13.5 %  $</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97,572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85,761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As a percentage of restaurant sales</w:t>
            </w:r>
          </w:p>
        </w:tc>
        <w:tc>
          <w:tcPr>
            <w:tcW w:w="138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480"/>
              <w:spacing w:after="0"/>
              <w:rPr>
                <w:sz w:val="20"/>
                <w:szCs w:val="20"/>
                <w:color w:val="auto"/>
              </w:rPr>
            </w:pPr>
            <w:r>
              <w:rPr>
                <w:rFonts w:ascii="Arial" w:cs="Arial" w:eastAsia="Arial" w:hAnsi="Arial"/>
                <w:sz w:val="16"/>
                <w:szCs w:val="16"/>
                <w:color w:val="auto"/>
                <w:w w:val="97"/>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other restaurant operating expenses as a percentage of restaurant sales during the thirteen and thirty-nine weeks ended September 24, 2023 as compared to the same periods in the prior year was primarily due to (i) leveraging in-restaurant dining sales, (ii) lower costs of to-go supplies and (iii) lower insurance costs. This was partially offset by the increase in repairs and maintenance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restaurant operating expenses during the thirteen weeks ended September 24, 2023 as compared to the same period in the prior year was mainly due to the increase in restaurant sales and restaurant growth, including restaurants we acquired from our franchisees, driving (i) $2.9 million related to repairs and maintenance, utilities, and credit card fees, (ii) $0.5 million in operating supplies expense and (iii) $0.5 million in third-party delivery service fees. The increase was partially offset by $0.4 million lower insurance costs.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other restaurant operating expenses during the thirty-nine weeks ended September 24, 2023 as compared to the same period in the prior year was mainly due to the increase in restaurant sales and restaurant growth driving (i) $2.2 million in operating supplies expense, (ii) $7.0 million related to credit card fees, utilities and repairs and maintenance expense, in addition to (iii) $1.4 million in third-party delivery service fees.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expense, property insurance, common area expenses and property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0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17,555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16.3 %  $</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44,318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 a percentage of restaurant sales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480"/>
              <w:spacing w:after="0"/>
              <w:rPr>
                <w:sz w:val="20"/>
                <w:szCs w:val="20"/>
                <w:color w:val="auto"/>
              </w:rPr>
            </w:pPr>
            <w:r>
              <w:rPr>
                <w:rFonts w:ascii="Arial" w:cs="Arial" w:eastAsia="Arial" w:hAnsi="Arial"/>
                <w:sz w:val="16"/>
                <w:szCs w:val="16"/>
                <w:color w:val="auto"/>
                <w:w w:val="97"/>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percentage of restaurant sales, the decrease in occupancy expenses for the thirteen and thirty-nine weeks ended September 24, 2023 as compared to the same periods in the prior year was primarily due to leveraging restaurant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occupancy expenses during the thirteen and thirty-nine weeks ended September 24, 2023 as compared to the same periods in the prior year was primarily due to the increase in the number of company-owned restaurants.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rPr>
              <w:t>THIRTEEN WEEKS ENDED</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gridSpan w:val="3"/>
          </w:tcPr>
          <w:p>
            <w:pPr>
              <w:jc w:val="right"/>
              <w:ind w:right="180"/>
              <w:spacing w:after="0" w:line="158" w:lineRule="exact"/>
              <w:rPr>
                <w:sz w:val="20"/>
                <w:szCs w:val="20"/>
                <w:color w:val="auto"/>
              </w:rPr>
            </w:pPr>
            <w:r>
              <w:rPr>
                <w:rFonts w:ascii="Arial" w:cs="Arial" w:eastAsia="Arial" w:hAnsi="Arial"/>
                <w:sz w:val="16"/>
                <w:szCs w:val="16"/>
                <w:b w:val="1"/>
                <w:bCs w:val="1"/>
                <w:color w:val="auto"/>
              </w:rPr>
              <w:t>SEPTEMBER 24,</w:t>
            </w:r>
          </w:p>
        </w:tc>
        <w:tc>
          <w:tcPr>
            <w:tcW w:w="1660" w:type="dxa"/>
            <w:vAlign w:val="bottom"/>
            <w:gridSpan w:val="4"/>
          </w:tcPr>
          <w:p>
            <w:pPr>
              <w:jc w:val="right"/>
              <w:ind w:right="340"/>
              <w:spacing w:after="0" w:line="158" w:lineRule="exact"/>
              <w:rPr>
                <w:sz w:val="20"/>
                <w:szCs w:val="20"/>
                <w:color w:val="auto"/>
              </w:rPr>
            </w:pPr>
            <w:r>
              <w:rPr>
                <w:rFonts w:ascii="Arial" w:cs="Arial" w:eastAsia="Arial" w:hAnsi="Arial"/>
                <w:sz w:val="16"/>
                <w:szCs w:val="16"/>
                <w:b w:val="1"/>
                <w:bCs w:val="1"/>
                <w:color w:val="auto"/>
              </w:rPr>
              <w:t>SEPTEMBER 25,</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jc w:val="right"/>
              <w:ind w:right="180"/>
              <w:spacing w:after="0" w:line="158" w:lineRule="exact"/>
              <w:rPr>
                <w:sz w:val="20"/>
                <w:szCs w:val="20"/>
                <w:color w:val="auto"/>
              </w:rPr>
            </w:pPr>
            <w:r>
              <w:rPr>
                <w:rFonts w:ascii="Arial" w:cs="Arial" w:eastAsia="Arial" w:hAnsi="Arial"/>
                <w:sz w:val="16"/>
                <w:szCs w:val="16"/>
                <w:b w:val="1"/>
                <w:bCs w:val="1"/>
                <w:color w:val="auto"/>
              </w:rPr>
              <w:t>SEPTEMBER 24,</w:t>
            </w:r>
          </w:p>
        </w:tc>
        <w:tc>
          <w:tcPr>
            <w:tcW w:w="1680" w:type="dxa"/>
            <w:vAlign w:val="bottom"/>
            <w:gridSpan w:val="4"/>
          </w:tcPr>
          <w:p>
            <w:pPr>
              <w:jc w:val="right"/>
              <w:ind w:right="360"/>
              <w:spacing w:after="0" w:line="158" w:lineRule="exact"/>
              <w:rPr>
                <w:sz w:val="20"/>
                <w:szCs w:val="20"/>
                <w:color w:val="auto"/>
              </w:rPr>
            </w:pPr>
            <w:r>
              <w:rPr>
                <w:rFonts w:ascii="Arial" w:cs="Arial" w:eastAsia="Arial" w:hAnsi="Arial"/>
                <w:sz w:val="16"/>
                <w:szCs w:val="16"/>
                <w:b w:val="1"/>
                <w:bCs w:val="1"/>
                <w:color w:val="auto"/>
              </w:rPr>
              <w:t>SEPTEMBER 25,</w:t>
            </w:r>
          </w:p>
        </w:tc>
        <w:tc>
          <w:tcPr>
            <w:tcW w:w="8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3"/>
        </w:trPr>
        <w:tc>
          <w:tcPr>
            <w:tcW w:w="3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Pre-opening expenses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pre-opening expenses during the thirteen and thirty-nine weeks ended September 24, 2023 as compared to the same periods in the prior year was primarily due to (i) increased staffing and wages and (ii) pre-opening rent expense mainly related to the increase in the number of restaurants expected to open and the investment in larger, stand-alone company-owned restaurants.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THIRTY-NINE WEEKS ENDED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gridSpan w:val="3"/>
          </w:tcPr>
          <w:p>
            <w:pPr>
              <w:jc w:val="right"/>
              <w:ind w:right="160"/>
              <w:spacing w:after="0" w:line="158" w:lineRule="exact"/>
              <w:rPr>
                <w:sz w:val="20"/>
                <w:szCs w:val="20"/>
                <w:color w:val="auto"/>
              </w:rPr>
            </w:pPr>
            <w:r>
              <w:rPr>
                <w:rFonts w:ascii="Arial" w:cs="Arial" w:eastAsia="Arial" w:hAnsi="Arial"/>
                <w:sz w:val="16"/>
                <w:szCs w:val="16"/>
                <w:b w:val="1"/>
                <w:bCs w:val="1"/>
                <w:color w:val="auto"/>
              </w:rPr>
              <w:t>SEPTEMBER 24,</w:t>
            </w:r>
          </w:p>
        </w:tc>
        <w:tc>
          <w:tcPr>
            <w:tcW w:w="1720" w:type="dxa"/>
            <w:vAlign w:val="bottom"/>
            <w:gridSpan w:val="4"/>
          </w:tcPr>
          <w:p>
            <w:pPr>
              <w:jc w:val="right"/>
              <w:ind w:right="400"/>
              <w:spacing w:after="0" w:line="158" w:lineRule="exact"/>
              <w:rPr>
                <w:sz w:val="20"/>
                <w:szCs w:val="20"/>
                <w:color w:val="auto"/>
              </w:rPr>
            </w:pPr>
            <w:r>
              <w:rPr>
                <w:rFonts w:ascii="Arial" w:cs="Arial" w:eastAsia="Arial" w:hAnsi="Arial"/>
                <w:sz w:val="16"/>
                <w:szCs w:val="16"/>
                <w:b w:val="1"/>
                <w:bCs w:val="1"/>
                <w:color w:val="auto"/>
              </w:rPr>
              <w:t>SEPTEMBER 25,</w:t>
            </w: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jc w:val="right"/>
              <w:ind w:right="160"/>
              <w:spacing w:after="0" w:line="158" w:lineRule="exact"/>
              <w:rPr>
                <w:sz w:val="20"/>
                <w:szCs w:val="20"/>
                <w:color w:val="auto"/>
              </w:rPr>
            </w:pPr>
            <w:r>
              <w:rPr>
                <w:rFonts w:ascii="Arial" w:cs="Arial" w:eastAsia="Arial" w:hAnsi="Arial"/>
                <w:sz w:val="16"/>
                <w:szCs w:val="16"/>
                <w:b w:val="1"/>
                <w:bCs w:val="1"/>
                <w:color w:val="auto"/>
              </w:rPr>
              <w:t>SEPTEMBER 24,</w:t>
            </w:r>
          </w:p>
        </w:tc>
        <w:tc>
          <w:tcPr>
            <w:tcW w:w="1780" w:type="dxa"/>
            <w:vAlign w:val="bottom"/>
            <w:gridSpan w:val="4"/>
          </w:tcPr>
          <w:p>
            <w:pPr>
              <w:jc w:val="right"/>
              <w:ind w:right="460"/>
              <w:spacing w:after="0" w:line="158" w:lineRule="exact"/>
              <w:rPr>
                <w:sz w:val="20"/>
                <w:szCs w:val="20"/>
                <w:color w:val="auto"/>
              </w:rPr>
            </w:pPr>
            <w:r>
              <w:rPr>
                <w:rFonts w:ascii="Arial" w:cs="Arial" w:eastAsia="Arial" w:hAnsi="Arial"/>
                <w:sz w:val="16"/>
                <w:szCs w:val="16"/>
                <w:b w:val="1"/>
                <w:bCs w:val="1"/>
                <w:color w:val="auto"/>
              </w:rPr>
              <w:t>SEPTEMBER 25,</w:t>
            </w:r>
          </w:p>
        </w:tc>
        <w:tc>
          <w:tcPr>
            <w:tcW w:w="8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3"/>
        </w:trPr>
        <w:tc>
          <w:tcPr>
            <w:tcW w:w="28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63,194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general and administrative expenses during the thirteen weeks ended September 24, 2023 as compared to the same period in the prior year was mainly due to $3.7 million in compensation expense from performance-based compensation and additional employee headcount to support growth. This was partially offset by the $1.0 million decrease in stock-based compensation expense mainly due to the accelerated recognition method for certain stock option grants as well as forfeitures of stock option grants, net of the stock-based compensation expense recognized for stock-based awards issued.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general and administrative expenses during the thirty-nine weeks ended September 24, 2023 as compared to the same period in the prior year was mainly due to (i) $9.9 million in compensation expense from performance-based compensation and additional employee headcount to support growth, (ii) $1.0 million of fees associated with investments in technology initiatives and (iii) $0.4 million of professional service costs incurred in connection with the Delaware Voluntary Disclosure Agreement Program related to unclaimed or abandoned property. This was partially offset by (i) the decrease in stock-based compensation expense of $2.5 million mainly due to the accelerated recognition method for certain stock option grants as well as forfeitures of stock option grants, net of the stock-based compensation expense recognized for stock-based awards issued during the thirty-nine weeks ended September 24, 2023 and (ii) the decrease of $0.7 million in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 August 2017 as well as reacquired rights from our acquisitions of franchise-owned restaurants.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6"/>
          </w:tcPr>
          <w:p>
            <w:pPr>
              <w:ind w:left="1020"/>
              <w:spacing w:after="0"/>
              <w:rPr>
                <w:sz w:val="20"/>
                <w:szCs w:val="20"/>
                <w:color w:val="auto"/>
              </w:rPr>
            </w:pPr>
            <w:r>
              <w:rPr>
                <w:rFonts w:ascii="Arial" w:cs="Arial" w:eastAsia="Arial" w:hAnsi="Arial"/>
                <w:sz w:val="14"/>
                <w:szCs w:val="14"/>
                <w:b w:val="1"/>
                <w:bCs w:val="1"/>
                <w:color w:val="auto"/>
              </w:rPr>
              <w:t>THIRTEEN WEEKS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THIRTY-NINE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SEPTEMBER 24,</w:t>
            </w:r>
          </w:p>
        </w:tc>
        <w:tc>
          <w:tcPr>
            <w:tcW w:w="12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9"/>
              </w:rPr>
              <w:t>SEPTEMBER 25,</w:t>
            </w:r>
          </w:p>
        </w:tc>
        <w:tc>
          <w:tcPr>
            <w:tcW w:w="10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Change</w:t>
            </w:r>
          </w:p>
        </w:tc>
        <w:tc>
          <w:tcPr>
            <w:tcW w:w="1500" w:type="dxa"/>
            <w:vAlign w:val="bottom"/>
            <w:gridSpan w:val="3"/>
          </w:tcPr>
          <w:p>
            <w:pPr>
              <w:jc w:val="center"/>
              <w:ind w:right="100"/>
              <w:spacing w:after="0" w:line="169" w:lineRule="exact"/>
              <w:rPr>
                <w:sz w:val="20"/>
                <w:szCs w:val="20"/>
                <w:color w:val="auto"/>
              </w:rPr>
            </w:pPr>
            <w:r>
              <w:rPr>
                <w:rFonts w:ascii="Arial" w:cs="Arial" w:eastAsia="Arial" w:hAnsi="Arial"/>
                <w:sz w:val="16"/>
                <w:szCs w:val="16"/>
                <w:b w:val="1"/>
                <w:bCs w:val="1"/>
                <w:color w:val="auto"/>
                <w:w w:val="98"/>
              </w:rPr>
              <w:t>SEPTEMBER 24,</w:t>
            </w:r>
          </w:p>
        </w:tc>
        <w:tc>
          <w:tcPr>
            <w:tcW w:w="1720" w:type="dxa"/>
            <w:vAlign w:val="bottom"/>
            <w:gridSpan w:val="4"/>
          </w:tcPr>
          <w:p>
            <w:pPr>
              <w:jc w:val="center"/>
              <w:ind w:right="320"/>
              <w:spacing w:after="0" w:line="169" w:lineRule="exact"/>
              <w:rPr>
                <w:sz w:val="20"/>
                <w:szCs w:val="20"/>
                <w:color w:val="auto"/>
              </w:rPr>
            </w:pPr>
            <w:r>
              <w:rPr>
                <w:rFonts w:ascii="Arial" w:cs="Arial" w:eastAsia="Arial" w:hAnsi="Arial"/>
                <w:sz w:val="16"/>
                <w:szCs w:val="16"/>
                <w:b w:val="1"/>
                <w:bCs w:val="1"/>
                <w:color w:val="auto"/>
                <w:w w:val="98"/>
              </w:rPr>
              <w:t>SEPTEMBER 25,</w:t>
            </w: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6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6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increase in depreciation and amortization during the thirteen and thirty-nine weeks ended September 24, 2023 as compared to the same periods in the prior year was primarily due to incremental depreciation of capital expenditures associated with NROs and the acquired restaurants from our franchisees.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and Loss on Disposal of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ind w:left="720"/>
              <w:spacing w:after="0"/>
              <w:rPr>
                <w:sz w:val="20"/>
                <w:szCs w:val="20"/>
                <w:color w:val="auto"/>
              </w:rPr>
            </w:pPr>
            <w:r>
              <w:rPr>
                <w:rFonts w:ascii="Arial" w:cs="Arial" w:eastAsia="Arial" w:hAnsi="Arial"/>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50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9"/>
              </w:rPr>
              <w:t>SEPTEMBER 24,</w:t>
            </w:r>
          </w:p>
        </w:tc>
        <w:tc>
          <w:tcPr>
            <w:tcW w:w="174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99"/>
              </w:rPr>
              <w:t>SEPTEMBER 25,</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SEPTEMBER 24,</w:t>
            </w:r>
          </w:p>
        </w:tc>
        <w:tc>
          <w:tcPr>
            <w:tcW w:w="1780" w:type="dxa"/>
            <w:vAlign w:val="bottom"/>
            <w:gridSpan w:val="4"/>
          </w:tcPr>
          <w:p>
            <w:pPr>
              <w:jc w:val="center"/>
              <w:ind w:right="38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9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Impairments and loss on disposal of</w:t>
            </w: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impairment losses recognized on intangible assets or fixed assets during the thirteen and thirty-nine weeks ended September 24, 2023 and September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Expenses,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certain restaurants from our franchisees, (iv) costs related to restaurant closures and (v) costs related to certain equity offerings.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ind w:left="700"/>
              <w:spacing w:after="0"/>
              <w:rPr>
                <w:sz w:val="20"/>
                <w:szCs w:val="20"/>
                <w:color w:val="auto"/>
              </w:rPr>
            </w:pPr>
            <w:r>
              <w:rPr>
                <w:rFonts w:ascii="Arial" w:cs="Arial" w:eastAsia="Arial" w:hAnsi="Arial"/>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62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SEPTEMBER 24,</w:t>
            </w:r>
          </w:p>
        </w:tc>
        <w:tc>
          <w:tcPr>
            <w:tcW w:w="172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50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9"/>
              </w:rPr>
              <w:t>SEPTEMBER 24,</w:t>
            </w:r>
          </w:p>
        </w:tc>
        <w:tc>
          <w:tcPr>
            <w:tcW w:w="1800" w:type="dxa"/>
            <w:vAlign w:val="bottom"/>
            <w:gridSpan w:val="4"/>
          </w:tcPr>
          <w:p>
            <w:pPr>
              <w:jc w:val="center"/>
              <w:ind w:right="40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9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 net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Transaction expenses, net during the thirteen weeks ended September 24, 2023 as compared to the same period in the prior year was primarily due to costs incurred by us during the thirteen weeks ended September 25, 2022 totaling $1.6 million in connection with the sale of the Company’s common stock by funds managed by our majority owner, Advent through secondary public offerings. The decrease was partially offset by costs incurred in connection with the acquisitions of certain restaurants from our franchisees.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Transaction expenses, net during the thirty-nine weeks ended September 24, 2023 as compared to the same period in the prior year was primarily due to costs incurred in connection with the acquisition of certain restaurants from our franchisees. The increase was partially offset by (i) lower costs incurred by us in connection with the sale of the Company’s common stock by funds managed by Advent through secondary public offerings and (ii) costs related to the closures of company-owned restaurants incurred during the thirty-nine weeks ended September 25,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ind w:left="100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10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7,738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34,412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w w:val="97"/>
              </w:rPr>
              <w:t>As a percentage of restaurant sales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Income from operations margin increased during the thirteen and thirty-nine weeks ended September 24, 2023 as compared to the same periods in the prior year primarily due to (i) leveraging restaurant sales, (ii) lower costs for pork, avocados and to-go supplies and (iii) lower transaction costs. This was partially offset by the increase in restaurant-level wages and staffing.</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increased during the thirteen and thirty-nine weeks ended September 24, 2023 as compared to the same periods in the prior year primarily due to (i) the increase in restaurant sales and franchise revenues and (ii) lower costs for commodities and to-go supplies. This was partially offset by (i) the increase in restaurant-level wages and staffing, (ii) higher operating costs and depreciation expense driven by our restaurant growth and acquisitions of certain franchise-owned restaurant, as well as (iii) higher general and administrative expenses mainly attributable to wage increases, performance-based compensation and additional employee headcount.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primarily consists of interest and fees on our outstanding debt and the amortization expense for debt discount and deferred issuance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ind w:left="840"/>
              <w:spacing w:after="0"/>
              <w:rPr>
                <w:sz w:val="20"/>
                <w:szCs w:val="20"/>
                <w:color w:val="auto"/>
              </w:rPr>
            </w:pPr>
            <w:r>
              <w:rPr>
                <w:rFonts w:ascii="Arial" w:cs="Arial" w:eastAsia="Arial" w:hAnsi="Arial"/>
                <w:sz w:val="14"/>
                <w:szCs w:val="14"/>
                <w:b w:val="1"/>
                <w:bCs w:val="1"/>
                <w:color w:val="auto"/>
              </w:rPr>
              <w:t>THIRTEEN WEEKS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THIRTY-NINE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5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8"/>
              </w:rPr>
              <w:t>SEPTEMBER 24,</w:t>
            </w:r>
          </w:p>
        </w:tc>
        <w:tc>
          <w:tcPr>
            <w:tcW w:w="1660" w:type="dxa"/>
            <w:vAlign w:val="bottom"/>
            <w:gridSpan w:val="4"/>
          </w:tcPr>
          <w:p>
            <w:pPr>
              <w:jc w:val="center"/>
              <w:ind w:right="260"/>
              <w:spacing w:after="0" w:line="155" w:lineRule="exact"/>
              <w:rPr>
                <w:sz w:val="20"/>
                <w:szCs w:val="20"/>
                <w:color w:val="auto"/>
              </w:rPr>
            </w:pPr>
            <w:r>
              <w:rPr>
                <w:rFonts w:ascii="Arial" w:cs="Arial" w:eastAsia="Arial" w:hAnsi="Arial"/>
                <w:sz w:val="16"/>
                <w:szCs w:val="16"/>
                <w:b w:val="1"/>
                <w:bCs w:val="1"/>
                <w:color w:val="auto"/>
                <w:w w:val="98"/>
              </w:rPr>
              <w:t>SEPTEMBER 25,</w:t>
            </w:r>
          </w:p>
        </w:tc>
        <w:tc>
          <w:tcPr>
            <w:tcW w:w="11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Change</w:t>
            </w:r>
          </w:p>
        </w:tc>
        <w:tc>
          <w:tcPr>
            <w:tcW w:w="150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99"/>
              </w:rPr>
              <w:t>SEPTEMBER 24,</w:t>
            </w:r>
          </w:p>
        </w:tc>
        <w:tc>
          <w:tcPr>
            <w:tcW w:w="1720" w:type="dxa"/>
            <w:vAlign w:val="bottom"/>
            <w:gridSpan w:val="4"/>
          </w:tcPr>
          <w:p>
            <w:pPr>
              <w:jc w:val="center"/>
              <w:ind w:right="300"/>
              <w:spacing w:after="0" w:line="155" w:lineRule="exact"/>
              <w:rPr>
                <w:sz w:val="20"/>
                <w:szCs w:val="20"/>
                <w:color w:val="auto"/>
              </w:rPr>
            </w:pPr>
            <w:r>
              <w:rPr>
                <w:rFonts w:ascii="Arial" w:cs="Arial" w:eastAsia="Arial" w:hAnsi="Arial"/>
                <w:sz w:val="16"/>
                <w:szCs w:val="16"/>
                <w:b w:val="1"/>
                <w:bCs w:val="1"/>
                <w:color w:val="auto"/>
                <w:w w:val="99"/>
              </w:rPr>
              <w:t>SEPTEMBER 25,</w:t>
            </w: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8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5,792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interest expense during the thirteen and thirty-nine weeks ended September 24, 2023 as compared to the same periods in the prior year was primarily due to higher interest rates, which was partially offset by the decrease in outstanding debt due to expected principal repayments.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Other income, net includes items deemed to be non-operating based on management’s assessment of the nature of the item in relation to our core operations.</w:t>
      </w: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680"/>
              <w:spacing w:after="0"/>
              <w:rPr>
                <w:sz w:val="20"/>
                <w:szCs w:val="20"/>
                <w:color w:val="auto"/>
              </w:rPr>
            </w:pPr>
            <w:r>
              <w:rPr>
                <w:rFonts w:ascii="Arial" w:cs="Arial" w:eastAsia="Arial" w:hAnsi="Arial"/>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560"/>
              <w:spacing w:after="0"/>
              <w:rPr>
                <w:sz w:val="20"/>
                <w:szCs w:val="20"/>
                <w:color w:val="auto"/>
              </w:rPr>
            </w:pPr>
            <w:r>
              <w:rPr>
                <w:rFonts w:ascii="Arial" w:cs="Arial" w:eastAsia="Arial" w:hAnsi="Arial"/>
                <w:sz w:val="16"/>
                <w:szCs w:val="16"/>
                <w:b w:val="1"/>
                <w:bCs w:val="1"/>
                <w:color w:val="auto"/>
              </w:rPr>
              <w:t>THIRTY-NINE WEEKS ENDED</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SEPTEMBER 24,</w:t>
            </w:r>
          </w:p>
        </w:tc>
        <w:tc>
          <w:tcPr>
            <w:tcW w:w="1680" w:type="dxa"/>
            <w:vAlign w:val="bottom"/>
            <w:gridSpan w:val="4"/>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9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SEPTEMBER 24,</w:t>
            </w:r>
          </w:p>
        </w:tc>
        <w:tc>
          <w:tcPr>
            <w:tcW w:w="176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420"/>
              <w:spacing w:after="0" w:line="213" w:lineRule="exact"/>
              <w:rPr>
                <w:sz w:val="20"/>
                <w:szCs w:val="20"/>
                <w:color w:val="auto"/>
              </w:rPr>
            </w:pPr>
            <w:r>
              <w:rPr>
                <w:rFonts w:ascii="Arial" w:cs="Arial" w:eastAsia="Arial" w:hAnsi="Arial"/>
                <w:sz w:val="16"/>
                <w:szCs w:val="16"/>
                <w:color w:val="auto"/>
                <w:w w:val="82"/>
              </w:rPr>
              <w:t xml:space="preserve">n/m </w:t>
            </w:r>
            <w:r>
              <w:rPr>
                <w:rFonts w:ascii="Arial" w:cs="Arial" w:eastAsia="Arial" w:hAnsi="Arial"/>
                <w:sz w:val="21"/>
                <w:szCs w:val="21"/>
                <w:color w:val="auto"/>
                <w:w w:val="82"/>
                <w:vertAlign w:val="superscript"/>
              </w:rPr>
              <w:t>(1)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Other income, net during the thirteen and thirty-nine weeks ended September 24, 2023 was primarily due to (i) insurance recoveries, net of costs incurred, in connection with Hurricane Ian and (ii) the increase in interest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primarily consists of various federal and state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8"/>
              </w:rPr>
              <w:t>SEPTEMBER 24,</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SEPTEMBER 24,</w:t>
            </w:r>
          </w:p>
        </w:tc>
        <w:tc>
          <w:tcPr>
            <w:tcW w:w="100" w:type="dxa"/>
            <w:vAlign w:val="bottom"/>
          </w:tcPr>
          <w:p>
            <w:pPr>
              <w:spacing w:after="0"/>
              <w:rPr>
                <w:sz w:val="13"/>
                <w:szCs w:val="13"/>
                <w:color w:val="auto"/>
              </w:rPr>
            </w:pPr>
          </w:p>
        </w:tc>
        <w:tc>
          <w:tcPr>
            <w:tcW w:w="1700" w:type="dxa"/>
            <w:vAlign w:val="bottom"/>
            <w:gridSpan w:val="3"/>
          </w:tcPr>
          <w:p>
            <w:pPr>
              <w:jc w:val="center"/>
              <w:ind w:right="400"/>
              <w:spacing w:after="0" w:line="158" w:lineRule="exact"/>
              <w:rPr>
                <w:sz w:val="20"/>
                <w:szCs w:val="20"/>
                <w:color w:val="auto"/>
              </w:rPr>
            </w:pPr>
            <w:r>
              <w:rPr>
                <w:rFonts w:ascii="Arial" w:cs="Arial" w:eastAsia="Arial" w:hAnsi="Arial"/>
                <w:sz w:val="16"/>
                <w:szCs w:val="16"/>
                <w:b w:val="1"/>
                <w:bCs w:val="1"/>
                <w:color w:val="auto"/>
                <w:w w:val="99"/>
              </w:rPr>
              <w:t>SEPTEMBER 25,</w:t>
            </w:r>
          </w:p>
        </w:tc>
        <w:tc>
          <w:tcPr>
            <w:tcW w:w="9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17"/>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1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17"/>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97"/>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6"/>
                <w:szCs w:val="16"/>
                <w:color w:val="auto"/>
              </w:rPr>
              <w:t>(1,243)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6"/>
                <w:szCs w:val="16"/>
                <w:color w:val="auto"/>
              </w:rPr>
              <w:t>(1,329)</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6"/>
                <w:szCs w:val="16"/>
                <w:color w:val="auto"/>
              </w:rPr>
              <w:t>(7,833)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6"/>
                <w:szCs w:val="16"/>
                <w:color w:val="auto"/>
              </w:rPr>
              <w:t>(4,942)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96.7 %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ind w:left="860"/>
              <w:spacing w:after="0"/>
              <w:rPr>
                <w:sz w:val="20"/>
                <w:szCs w:val="20"/>
                <w:color w:val="auto"/>
              </w:rPr>
            </w:pPr>
            <w:r>
              <w:rPr>
                <w:rFonts w:ascii="Arial" w:cs="Arial" w:eastAsia="Arial" w:hAnsi="Arial"/>
                <w:sz w:val="18"/>
                <w:szCs w:val="18"/>
                <w:color w:val="auto"/>
                <w:w w:val="92"/>
              </w:rPr>
              <w:t>25.6 %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the effective income tax rates for the thirteen and thirty-nine week period ended September 24, 2023 as compared to the same periods in the prior year was primarily due to (i) the change in the valuation allowance for federal deferred tax assets, (ii) the decrease in the valuation allowance for state net operating loss carryforwards, (iii) the benefit of tax credits for FICA taxes on certain employees’ tips, (iv) impacts of executive stock-based compensation and (v) non-deductible costs associated with the secondary offerings.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3"/>
                <w:szCs w:val="13"/>
                <w:color w:val="auto"/>
              </w:rPr>
            </w:pPr>
          </w:p>
        </w:tc>
        <w:tc>
          <w:tcPr>
            <w:tcW w:w="14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24,</w:t>
            </w:r>
          </w:p>
        </w:tc>
        <w:tc>
          <w:tcPr>
            <w:tcW w:w="100" w:type="dxa"/>
            <w:vAlign w:val="bottom"/>
          </w:tcPr>
          <w:p>
            <w:pPr>
              <w:spacing w:after="0"/>
              <w:rPr>
                <w:sz w:val="13"/>
                <w:szCs w:val="13"/>
                <w:color w:val="auto"/>
              </w:rPr>
            </w:pPr>
          </w:p>
        </w:tc>
        <w:tc>
          <w:tcPr>
            <w:tcW w:w="1640" w:type="dxa"/>
            <w:vAlign w:val="bottom"/>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8"/>
              </w:rPr>
              <w:t>SEPTEMBER 25,</w:t>
            </w:r>
          </w:p>
        </w:tc>
        <w:tc>
          <w:tcPr>
            <w:tcW w:w="9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SEPTEMBER 24,</w:t>
            </w:r>
          </w:p>
        </w:tc>
        <w:tc>
          <w:tcPr>
            <w:tcW w:w="10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3" w:lineRule="exact"/>
              <w:rPr>
                <w:sz w:val="20"/>
                <w:szCs w:val="20"/>
                <w:color w:val="auto"/>
              </w:rPr>
            </w:pPr>
            <w:r>
              <w:rPr>
                <w:rFonts w:ascii="Arial" w:cs="Arial" w:eastAsia="Arial" w:hAnsi="Arial"/>
                <w:sz w:val="16"/>
                <w:szCs w:val="16"/>
                <w:color w:val="auto"/>
              </w:rPr>
              <w:t xml:space="preserve">n/m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As a percentage of total revenues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10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Not meaningful.</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net income and net income margin during the thirteen and thirty-nine weeks ended September 24, 2023 as compared to the same periods in the prior year was primarily due to the increase in income from operations. This was partially offset by (i) the increase in interest expense and (ii) the increase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Level Operating Profit and Restaurant level Operating Profit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ind w:left="98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62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 25,</w:t>
            </w:r>
          </w:p>
        </w:tc>
        <w:tc>
          <w:tcPr>
            <w:tcW w:w="9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 level operating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26.6 %  $</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128,865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Restaurant level operating profit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20.3 %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margin</w:t>
            </w: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Restaurant level operating profit margin during the thirteen and thirty-nine weeks ended September 24, 2023 increased as compared to the same period in the prior year primarily due to (i) leveraging the increase in restaurant sales and (ii) lower costs for pork, avocados and to-go supplies. This was partially offset by the increase in wages and staffing levels.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Restaurant level operating profit during the thirteen and thirty-nine weeks ended September 24, 2023 increased as compared to the same periods in the prior year primarily due to (i) same-restaurant sales growth, driven by menu price increases, (ii) 31 NROs between September 25, 2022 and September 24, 2023,</w:t>
      </w:r>
    </w:p>
    <w:p>
      <w:pPr>
        <w:ind w:right="20" w:firstLine="8"/>
        <w:spacing w:after="0" w:line="260"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restaurants we had acquired from our franchisees and (iv) lower costs for commodities and to-go supplies. This was partially offset by (i) the increase in operating costs and expenses driven by our restaurant growth and (ii) the increase in restaurant-level wages and staffing.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ind w:left="1000"/>
              <w:spacing w:after="0"/>
              <w:rPr>
                <w:sz w:val="20"/>
                <w:szCs w:val="20"/>
                <w:color w:val="auto"/>
              </w:rPr>
            </w:pPr>
            <w:r>
              <w:rPr>
                <w:rFonts w:ascii="Arial" w:cs="Arial" w:eastAsia="Arial" w:hAnsi="Arial"/>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THIRTY-NINE WEEKS ENDED</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64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3"/>
                <w:szCs w:val="13"/>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SEPTEMBER 25,</w:t>
            </w: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BFE4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BFE4FF"/>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21,629</w:t>
            </w:r>
          </w:p>
        </w:tc>
        <w:tc>
          <w:tcPr>
            <w:tcW w:w="8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17,023</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160" w:type="dxa"/>
            <w:vAlign w:val="bottom"/>
            <w:gridSpan w:val="3"/>
            <w:shd w:val="clear" w:color="auto" w:fill="BFE4FF"/>
          </w:tcPr>
          <w:p>
            <w:pPr>
              <w:jc w:val="right"/>
              <w:spacing w:after="0"/>
              <w:rPr>
                <w:sz w:val="20"/>
                <w:szCs w:val="20"/>
                <w:color w:val="auto"/>
              </w:rPr>
            </w:pPr>
            <w:r>
              <w:rPr>
                <w:rFonts w:ascii="Arial" w:cs="Arial" w:eastAsia="Arial" w:hAnsi="Arial"/>
                <w:sz w:val="16"/>
                <w:szCs w:val="16"/>
                <w:color w:val="auto"/>
              </w:rPr>
              <w:t>27.1 %  $</w:t>
            </w:r>
          </w:p>
        </w:tc>
        <w:tc>
          <w:tcPr>
            <w:tcW w:w="140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74,858</w:t>
            </w:r>
          </w:p>
        </w:tc>
        <w:tc>
          <w:tcPr>
            <w:tcW w:w="8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FE4FF"/>
          </w:tcPr>
          <w:p>
            <w:pPr>
              <w:jc w:val="right"/>
              <w:ind w:right="117"/>
              <w:spacing w:after="0"/>
              <w:rPr>
                <w:sz w:val="20"/>
                <w:szCs w:val="20"/>
                <w:color w:val="auto"/>
              </w:rPr>
            </w:pPr>
            <w:r>
              <w:rPr>
                <w:rFonts w:ascii="Arial" w:cs="Arial" w:eastAsia="Arial" w:hAnsi="Arial"/>
                <w:sz w:val="18"/>
                <w:szCs w:val="18"/>
                <w:color w:val="auto"/>
              </w:rPr>
              <w:t>54,176</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38.2 %</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Adjusted EBITDA and Adjusted EBITDA margin during the thirteen and thirty-nine weeks ended September 24, 2023 as compared to the same periods in the prior year was primarily due to the increase in restaurant level operating profit and restaurant level operating profit margin. This was partially offset by the increase in general and administrative expenses mainly due to wage increases and additional employee headcount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Non-GAAP Financial Measures Reconciliations</w:t>
      </w:r>
    </w:p>
    <w:p>
      <w:pPr>
        <w:spacing w:after="0" w:line="256" w:lineRule="exact"/>
        <w:rPr>
          <w:sz w:val="20"/>
          <w:szCs w:val="20"/>
          <w:color w:val="auto"/>
        </w:rPr>
      </w:pPr>
    </w:p>
    <w:p>
      <w:pPr>
        <w:ind w:left="80"/>
        <w:spacing w:after="0" w:line="277"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The following table reconciles Net income and Net income margin, the most directly comparable 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to Adjusted EBITDA and Adjusted EBITDA margin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Pr>
          <w:p>
            <w:pPr>
              <w:spacing w:after="0"/>
              <w:rPr>
                <w:sz w:val="18"/>
                <w:szCs w:val="18"/>
                <w:color w:val="auto"/>
              </w:rPr>
            </w:pPr>
          </w:p>
        </w:tc>
        <w:tc>
          <w:tcPr>
            <w:tcW w:w="18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SEPTEMBER 25, 2022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5,418</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22,737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7,393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10,434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8,679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28,992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25,302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7,833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18,943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65,354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40" w:type="dxa"/>
            <w:vAlign w:val="bottom"/>
          </w:tcPr>
          <w:p>
            <w:pPr>
              <w:ind w:left="360"/>
              <w:spacing w:after="0" w:line="230" w:lineRule="exact"/>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21"/>
                <w:szCs w:val="21"/>
                <w:color w:val="auto"/>
                <w:vertAlign w:val="superscript"/>
              </w:rPr>
              <w:t>(1)</w:t>
            </w:r>
          </w:p>
        </w:tc>
        <w:tc>
          <w:tcPr>
            <w:tcW w:w="4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1,764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5,386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 xml:space="preserve">Transaction expenses, net </w:t>
            </w:r>
            <w:r>
              <w:rPr>
                <w:rFonts w:ascii="Arial" w:cs="Arial" w:eastAsia="Arial" w:hAnsi="Arial"/>
                <w:sz w:val="21"/>
                <w:szCs w:val="21"/>
                <w:color w:val="auto"/>
                <w:vertAlign w:val="superscript"/>
              </w:rPr>
              <w:t>(2)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Strategic transition costs </w:t>
            </w:r>
            <w:r>
              <w:rPr>
                <w:rFonts w:ascii="Arial" w:cs="Arial" w:eastAsia="Arial" w:hAnsi="Arial"/>
                <w:sz w:val="21"/>
                <w:szCs w:val="21"/>
                <w:color w:val="auto"/>
                <w:vertAlign w:val="superscript"/>
              </w:rPr>
              <w:t>(3)</w:t>
            </w: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w w:val="91"/>
              </w:rPr>
              <w:t xml:space="preserve">Delaware Voluntary Disclosure Agreement Program </w:t>
            </w:r>
            <w:r>
              <w:rPr>
                <w:rFonts w:ascii="Arial" w:cs="Arial" w:eastAsia="Arial" w:hAnsi="Arial"/>
                <w:sz w:val="21"/>
                <w:szCs w:val="21"/>
                <w:color w:val="auto"/>
                <w:w w:val="91"/>
                <w:vertAlign w:val="superscript"/>
              </w:rPr>
              <w:t>(4)</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940" w:type="dxa"/>
            <w:vAlign w:val="bottom"/>
          </w:tcPr>
          <w:p>
            <w:pPr>
              <w:ind w:left="360"/>
              <w:spacing w:after="0" w:line="166" w:lineRule="exact"/>
              <w:rPr>
                <w:sz w:val="20"/>
                <w:szCs w:val="20"/>
                <w:color w:val="auto"/>
              </w:rPr>
            </w:pPr>
            <w:r>
              <w:rPr>
                <w:rFonts w:ascii="Arial" w:cs="Arial" w:eastAsia="Arial" w:hAnsi="Arial"/>
                <w:sz w:val="16"/>
                <w:szCs w:val="16"/>
                <w:color w:val="auto"/>
              </w:rPr>
              <w:t>Insurance proceeds in connection with natural</w:t>
            </w:r>
          </w:p>
        </w:tc>
        <w:tc>
          <w:tcPr>
            <w:tcW w:w="420" w:type="dxa"/>
            <w:vAlign w:val="bottom"/>
          </w:tcPr>
          <w:p>
            <w:pPr>
              <w:spacing w:after="0"/>
              <w:rPr>
                <w:sz w:val="14"/>
                <w:szCs w:val="14"/>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360" w:type="dxa"/>
            <w:vAlign w:val="bottom"/>
            <w:vMerge w:val="restart"/>
          </w:tcPr>
          <w:p>
            <w:pPr>
              <w:jc w:val="right"/>
              <w:ind w:right="5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940" w:type="dxa"/>
            <w:vAlign w:val="bottom"/>
          </w:tcPr>
          <w:p>
            <w:pPr>
              <w:ind w:left="360"/>
              <w:spacing w:after="0" w:line="213" w:lineRule="exact"/>
              <w:rPr>
                <w:sz w:val="20"/>
                <w:szCs w:val="20"/>
                <w:color w:val="auto"/>
              </w:rPr>
            </w:pPr>
            <w:r>
              <w:rPr>
                <w:rFonts w:ascii="Arial" w:cs="Arial" w:eastAsia="Arial" w:hAnsi="Arial"/>
                <w:sz w:val="16"/>
                <w:szCs w:val="16"/>
                <w:color w:val="auto"/>
              </w:rPr>
              <w:t xml:space="preserve">disasters, net </w:t>
            </w:r>
            <w:r>
              <w:rPr>
                <w:rFonts w:ascii="Arial" w:cs="Arial" w:eastAsia="Arial" w:hAnsi="Arial"/>
                <w:sz w:val="21"/>
                <w:szCs w:val="21"/>
                <w:color w:val="auto"/>
                <w:vertAlign w:val="superscript"/>
              </w:rPr>
              <w:t>(5)</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Impairments and loss on disposal of assets </w:t>
            </w:r>
            <w:r>
              <w:rPr>
                <w:rFonts w:ascii="Arial" w:cs="Arial" w:eastAsia="Arial" w:hAnsi="Arial"/>
                <w:sz w:val="21"/>
                <w:szCs w:val="21"/>
                <w:color w:val="auto"/>
                <w:vertAlign w:val="superscript"/>
              </w:rPr>
              <w:t>(6)</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Recruiting and relocation costs </w:t>
            </w:r>
            <w:r>
              <w:rPr>
                <w:rFonts w:ascii="Arial" w:cs="Arial" w:eastAsia="Arial" w:hAnsi="Arial"/>
                <w:sz w:val="21"/>
                <w:szCs w:val="21"/>
                <w:color w:val="auto"/>
                <w:vertAlign w:val="superscript"/>
              </w:rPr>
              <w:t>(7)</w:t>
            </w: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(8)</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21,629</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17,023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74,858</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54,176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219,212</w:t>
            </w:r>
          </w:p>
        </w:tc>
        <w:tc>
          <w:tcPr>
            <w:tcW w:w="8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89"/>
              </w:rPr>
              <w:t>186,852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646,918</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544,417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margin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Arial" w:cs="Arial" w:eastAsia="Arial" w:hAnsi="Arial"/>
                <w:sz w:val="16"/>
                <w:szCs w:val="16"/>
                <w:color w:val="auto"/>
              </w:rPr>
              <w:t>Adjusted EBITDA margin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Additional information</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vMerge w:val="restart"/>
          </w:tcPr>
          <w:p>
            <w:pPr>
              <w:jc w:val="right"/>
              <w:spacing w:after="0"/>
              <w:rPr>
                <w:sz w:val="20"/>
                <w:szCs w:val="20"/>
                <w:color w:val="auto"/>
              </w:rPr>
            </w:pPr>
            <w:r>
              <w:rPr>
                <w:rFonts w:ascii="Arial" w:cs="Arial" w:eastAsia="Arial" w:hAnsi="Arial"/>
                <w:sz w:val="10"/>
                <w:szCs w:val="10"/>
                <w:color w:val="auto"/>
                <w:w w:val="70"/>
              </w:rPr>
              <w:t>.</w:t>
            </w:r>
          </w:p>
        </w:tc>
        <w:tc>
          <w:tcPr>
            <w:tcW w:w="39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Deferred rent expense </w:t>
            </w:r>
            <w:r>
              <w:rPr>
                <w:rFonts w:ascii="Arial" w:cs="Arial" w:eastAsia="Arial" w:hAnsi="Arial"/>
                <w:sz w:val="21"/>
                <w:szCs w:val="21"/>
                <w:color w:val="auto"/>
                <w:vertAlign w:val="superscript"/>
              </w:rPr>
              <w:t>(9)</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108"/>
        </w:trPr>
        <w:tc>
          <w:tcPr>
            <w:tcW w:w="4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non-cash, stock-based compensation expense which is recorded within General and administrative expenses on the Consolidated Statements of Operations and Comprehensive Income.</w:t>
      </w:r>
    </w:p>
    <w:p>
      <w:pPr>
        <w:ind w:left="320" w:hanging="23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incurred in connection with the secondary offerings by Advent and the acquisition of certain franchise-owned restaurants.</w:t>
      </w:r>
    </w:p>
    <w:p>
      <w:pPr>
        <w:spacing w:after="0" w:line="8" w:lineRule="exact"/>
        <w:rPr>
          <w:rFonts w:ascii="Arial" w:cs="Arial" w:eastAsia="Arial" w:hAnsi="Arial"/>
          <w:sz w:val="16"/>
          <w:szCs w:val="16"/>
          <w:color w:val="auto"/>
        </w:rPr>
      </w:pPr>
    </w:p>
    <w:p>
      <w:pPr>
        <w:ind w:left="80" w:firstLine="8"/>
        <w:spacing w:after="0" w:line="255" w:lineRule="auto"/>
        <w:tabs>
          <w:tab w:leader="none" w:pos="326"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related to process improvements and strategic initiatives. These costs are recorded within General and administrative expenses on the Consolidated Statements of Operations and Comprehensive Income.</w:t>
      </w:r>
    </w:p>
    <w:p>
      <w:pPr>
        <w:ind w:left="80" w:right="20" w:firstLine="8"/>
        <w:spacing w:after="0" w:line="270" w:lineRule="auto"/>
        <w:tabs>
          <w:tab w:leader="none" w:pos="319"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80" w:right="20" w:firstLine="8"/>
        <w:spacing w:after="0" w:line="255" w:lineRule="auto"/>
        <w:tabs>
          <w:tab w:leader="none" w:pos="318"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insurance recoveries, net of costs incurred, in connection with Hurricane Ian, which were recorded in Other income, net on the Consolidated Statements of Operations and Comprehensive Income.</w:t>
      </w:r>
    </w:p>
    <w:p>
      <w:pPr>
        <w:ind w:left="80" w:firstLine="8"/>
        <w:spacing w:after="0" w:line="255"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48" w:lineRule="auto"/>
        <w:tabs>
          <w:tab w:leader="none" w:pos="33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incurred for hiring qualified individuals. These costs are recorded within General and administrative expenses on the Consolidated Statements of Operations and Comprehensive Income.</w:t>
      </w:r>
    </w:p>
    <w:p>
      <w:pPr>
        <w:spacing w:after="0" w:line="1" w:lineRule="exact"/>
        <w:rPr>
          <w:rFonts w:ascii="Arial" w:cs="Arial" w:eastAsia="Arial" w:hAnsi="Arial"/>
          <w:sz w:val="16"/>
          <w:szCs w:val="16"/>
          <w:color w:val="auto"/>
        </w:rPr>
      </w:pPr>
    </w:p>
    <w:p>
      <w:pPr>
        <w:ind w:left="320" w:hanging="23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Severance costs are recorded in General and administrative expenses on the Consolidated Statements of Operations and Comprehensive Income.</w:t>
      </w:r>
    </w:p>
    <w:p>
      <w:pPr>
        <w:spacing w:after="0" w:line="15" w:lineRule="exact"/>
        <w:rPr>
          <w:rFonts w:ascii="Arial" w:cs="Arial" w:eastAsia="Arial" w:hAnsi="Arial"/>
          <w:sz w:val="16"/>
          <w:szCs w:val="16"/>
          <w:color w:val="auto"/>
        </w:rPr>
      </w:pPr>
    </w:p>
    <w:p>
      <w:pPr>
        <w:ind w:left="80" w:firstLine="8"/>
        <w:spacing w:after="0" w:line="275" w:lineRule="auto"/>
        <w:tabs>
          <w:tab w:leader="none" w:pos="32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Restaurant level operating profit and Restaurant level operating profit margin </w:t>
      </w:r>
      <w:r>
        <w:rPr>
          <w:rFonts w:ascii="Arial" w:cs="Arial" w:eastAsia="Arial" w:hAnsi="Arial"/>
          <w:sz w:val="18"/>
          <w:szCs w:val="18"/>
          <w:color w:val="auto"/>
        </w:rPr>
        <w:t>- The following table reconciles Income from operations and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margin, the most comparable GAAP measures to Restaurant level operating profit and Restaurant level operating profit margin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THIRTEEN WEEKS ENDED</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THIRTY-NINE WEEKS ENDED</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c>
          <w:tcPr>
            <w:tcW w:w="8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SEPTEMBER 25, 2022</w:t>
            </w: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7,738</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34,412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15,434</w:t>
            </w:r>
          </w:p>
        </w:tc>
      </w:tr>
      <w:tr>
        <w:trPr>
          <w:trHeight w:val="213"/>
        </w:trPr>
        <w:tc>
          <w:tcPr>
            <w:tcW w:w="3880" w:type="dxa"/>
            <w:vAlign w:val="bottom"/>
          </w:tcPr>
          <w:p>
            <w:pPr>
              <w:ind w:left="360"/>
              <w:spacing w:after="0"/>
              <w:rPr>
                <w:sz w:val="20"/>
                <w:szCs w:val="20"/>
                <w:color w:val="auto"/>
              </w:rPr>
            </w:pPr>
            <w:r>
              <w:rPr>
                <w:rFonts w:ascii="Arial" w:cs="Arial" w:eastAsia="Arial" w:hAnsi="Arial"/>
                <w:sz w:val="16"/>
                <w:szCs w:val="16"/>
                <w:color w:val="auto"/>
              </w:rPr>
              <w:t>Less: Franchise revenues</w:t>
            </w:r>
          </w:p>
        </w:tc>
        <w:tc>
          <w:tcPr>
            <w:tcW w:w="44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(3,717)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(2,874)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(10,868)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(8,088)</w:t>
            </w: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88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4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25,179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73,168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63,194</w:t>
            </w:r>
          </w:p>
        </w:tc>
      </w:tr>
      <w:tr>
        <w:trPr>
          <w:trHeight w:val="219"/>
        </w:trPr>
        <w:tc>
          <w:tcPr>
            <w:tcW w:w="3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10,434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25,302</w:t>
            </w:r>
          </w:p>
        </w:tc>
      </w:tr>
      <w:tr>
        <w:trPr>
          <w:trHeight w:val="216"/>
        </w:trPr>
        <w:tc>
          <w:tcPr>
            <w:tcW w:w="388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Transaction expenses, net </w:t>
            </w:r>
            <w:r>
              <w:rPr>
                <w:rFonts w:ascii="Arial" w:cs="Arial" w:eastAsia="Arial" w:hAnsi="Arial"/>
                <w:sz w:val="21"/>
                <w:szCs w:val="21"/>
                <w:color w:val="auto"/>
                <w:vertAlign w:val="superscript"/>
              </w:rPr>
              <w:t>(1)</w:t>
            </w:r>
          </w:p>
        </w:tc>
        <w:tc>
          <w:tcPr>
            <w:tcW w:w="4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1,419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1,976</w:t>
            </w:r>
          </w:p>
        </w:tc>
      </w:tr>
      <w:tr>
        <w:trPr>
          <w:trHeight w:val="216"/>
        </w:trPr>
        <w:tc>
          <w:tcPr>
            <w:tcW w:w="388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Impairments and loss on disposal of assets </w:t>
            </w:r>
            <w:r>
              <w:rPr>
                <w:rFonts w:ascii="Arial" w:cs="Arial" w:eastAsia="Arial" w:hAnsi="Arial"/>
                <w:sz w:val="21"/>
                <w:szCs w:val="21"/>
                <w:color w:val="auto"/>
                <w:vertAlign w:val="superscript"/>
              </w:rPr>
              <w:t>(2)</w:t>
            </w: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572</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Restaurant level operating profit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40,365</w:t>
            </w:r>
          </w:p>
        </w:tc>
        <w:tc>
          <w:tcPr>
            <w:tcW w:w="80" w:type="dxa"/>
            <w:vAlign w:val="bottom"/>
          </w:tcPr>
          <w:p>
            <w:pPr>
              <w:spacing w:after="0"/>
              <w:rPr>
                <w:sz w:val="17"/>
                <w:szCs w:val="17"/>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31,872</w:t>
            </w:r>
          </w:p>
        </w:tc>
        <w:tc>
          <w:tcPr>
            <w:tcW w:w="8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128,865</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98,390</w:t>
            </w:r>
          </w:p>
        </w:tc>
      </w:tr>
      <w:tr>
        <w:trPr>
          <w:trHeight w:val="219"/>
        </w:trPr>
        <w:tc>
          <w:tcPr>
            <w:tcW w:w="3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Restaurant sales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215,495</w:t>
            </w:r>
          </w:p>
        </w:tc>
        <w:tc>
          <w:tcPr>
            <w:tcW w:w="8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3"/>
              </w:rPr>
              <w:t>183,978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636,050</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536,329</w:t>
            </w:r>
          </w:p>
        </w:tc>
      </w:tr>
      <w:tr>
        <w:trPr>
          <w:trHeight w:val="219"/>
        </w:trPr>
        <w:tc>
          <w:tcPr>
            <w:tcW w:w="3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from operations margin</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3880" w:type="dxa"/>
            <w:vAlign w:val="bottom"/>
          </w:tcPr>
          <w:p>
            <w:pPr>
              <w:ind w:left="360"/>
              <w:spacing w:after="0"/>
              <w:rPr>
                <w:sz w:val="20"/>
                <w:szCs w:val="20"/>
                <w:color w:val="auto"/>
              </w:rPr>
            </w:pPr>
            <w:r>
              <w:rPr>
                <w:rFonts w:ascii="Arial" w:cs="Arial" w:eastAsia="Arial" w:hAnsi="Arial"/>
                <w:sz w:val="16"/>
                <w:szCs w:val="16"/>
                <w:color w:val="auto"/>
              </w:rPr>
              <w:t>Restaurant level operating profit margin</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18.7 %</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18.3 %</w:t>
            </w:r>
          </w:p>
        </w:tc>
      </w:tr>
      <w:tr>
        <w:trPr>
          <w:trHeight w:val="219"/>
        </w:trPr>
        <w:tc>
          <w:tcPr>
            <w:tcW w:w="3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Additional information</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88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Deferred rent expense </w:t>
            </w:r>
            <w:r>
              <w:rPr>
                <w:rFonts w:ascii="Arial" w:cs="Arial" w:eastAsia="Arial" w:hAnsi="Arial"/>
                <w:sz w:val="21"/>
                <w:szCs w:val="21"/>
                <w:color w:val="auto"/>
                <w:vertAlign w:val="superscript"/>
              </w:rPr>
              <w:t>(3)</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1,762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costs incurred in connection with the secondary offerings by Advent and the acquisition of certain franchise-owned restaurants.</w:t>
      </w:r>
    </w:p>
    <w:p>
      <w:pPr>
        <w:spacing w:after="0" w:line="9" w:lineRule="exact"/>
        <w:rPr>
          <w:rFonts w:ascii="Arial" w:cs="Arial" w:eastAsia="Arial" w:hAnsi="Arial"/>
          <w:sz w:val="16"/>
          <w:szCs w:val="16"/>
          <w:color w:val="auto"/>
        </w:rPr>
      </w:pPr>
    </w:p>
    <w:p>
      <w:pPr>
        <w:ind w:firstLine="8"/>
        <w:spacing w:after="0" w:line="248" w:lineRule="auto"/>
        <w:tabs>
          <w:tab w:leader="none" w:pos="2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costs related to the disposal of assets due to retirements, replacements or certain restaurant closures. There were no impairments recognized during the periods presented.</w:t>
      </w:r>
    </w:p>
    <w:p>
      <w:pPr>
        <w:spacing w:after="0" w:line="1" w:lineRule="exact"/>
        <w:rPr>
          <w:rFonts w:ascii="Arial" w:cs="Arial" w:eastAsia="Arial" w:hAnsi="Arial"/>
          <w:sz w:val="16"/>
          <w:szCs w:val="16"/>
          <w:color w:val="auto"/>
        </w:rPr>
      </w:pPr>
    </w:p>
    <w:p>
      <w:pPr>
        <w:ind w:firstLine="8"/>
        <w:spacing w:after="0" w:line="270" w:lineRule="auto"/>
        <w:tabs>
          <w:tab w:leader="none" w:pos="2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non-cash portion of straight-line rent expense recorded within Occupancy expenses on the Consolidated Statements of Operations and Comprehensive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24, 2023, we had cash and cash equivalents of $39.9 million and we had outstanding borrowings, excluding unamortized debt issuance costs and deferred issuance costs of $95.0 million. We had availability under our undrawn revolving credit facility of $75.0 million pursuant to our credit agreement dated as of October 6, 2021 (the “Credit Agreement”). Our principal uses of cash include capital expenditures for the development, acquisition or remodeling of restaurants, lease obligations, debt service payments and strategic infrastructure investments. Our working capital requirements are low because our restaurants store very little inventory and our customers pay for their purchases at the time of the sale which frequently precedes our payment terms with suppliers.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flow from operations, availability under our Credit Agreement and available cash and cash equivalents will be sufficient to meet our liquidity needs for at least the next 12 months. We anticipate that to the extent that we require additional liquidity, or should we decide to pursue one or more significant acquisitions, it will be funded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that our capital expenditures will total approximately $85.0 million to $90.0 million in 2023, which will be invested primarily in new restaurant projects and planned remodels. We plan to fund the capital expenditures primarily with cash generated from our operating activities as well as with borrowings from our facilities pursuant to our Credit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our cash provided by (used in) operating, investing and financing activities for the thirty-nine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2023 and September 25,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THIRTY-NINE WEEKS ENDED</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24, 2023</w:t>
            </w:r>
          </w:p>
        </w:tc>
        <w:tc>
          <w:tcPr>
            <w:tcW w:w="140" w:type="dxa"/>
            <w:vAlign w:val="bottom"/>
          </w:tcPr>
          <w:p>
            <w:pPr>
              <w:spacing w:after="0"/>
              <w:rPr>
                <w:sz w:val="18"/>
                <w:szCs w:val="18"/>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SEPTEMBER 25, 2022</w:t>
            </w: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46,644</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(82,633)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(45,700)</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w:t>
            </w:r>
          </w:p>
        </w:tc>
      </w:tr>
      <w:tr>
        <w:trPr>
          <w:trHeight w:val="207"/>
        </w:trPr>
        <w:tc>
          <w:tcPr>
            <w:tcW w:w="71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w:t>
            </w:r>
          </w:p>
        </w:tc>
      </w:tr>
      <w:tr>
        <w:trPr>
          <w:trHeight w:val="23"/>
        </w:trPr>
        <w:tc>
          <w:tcPr>
            <w:tcW w:w="7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thirty-nine weeks ended September 24, 2023 increased to $73.0 million from $46.6 million during the thirty-nine weeks ended September 25, 2022 primarily due to (i) the increase in net income of $15.3 million, (ii) the impact of non-cash charges that increased by a net $5.1 million and (iii) the net change in operating assets and liabilities of $6.0 million. The $5.1 million increase in non-cash charges was primarily driven by increases in (i) deferred income taxes, (ii) depreciation and amortization and (iii) non-cash operating lease costs. This increase was partially offset by a decrease in stock-based compensation expense. The net change of $6.0 million in operating assets and liabilities was primarily a result of higher accrued compensation.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increased to $82.6 million during the thirty-nine weeks ended September 24, 2023 from $45.7 million during the thirty-nine weeks ended September 25, 2022 primarily as a result of the increase in capital expenditures to support our restaurant growth and new restaurant technology as well as the acquisition of certain restaurants from our franchisees.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decreased to $0.1 million during the thirty-nine weeks ended September 24, 2023 from $3.4 million during the thirty-nine weeks ended September 25, 2022 primarily due to the increased proceeds from the exercise of stock options, net of employee taxes paid, which was partially offset by higher principal repayments of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 in the 2022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discussion of recently issued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accompanying notes to the unaudited interim consolidated financial statements.</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interest rate risk through fluctuations in interest rates on our debt obligations. On June 23, 2023, we entered into a variable-to-fixed interest rate swap agreement with two financial institutions to hedge $90.0 million of the $95.0 million outstanding variable rate debt. Under the terms of the interest rate swap agreement, the Company will pay a weighted average fixed rate of 4.16% on the notional amount and will receive payments from the counterparties based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three-month secured overnight financing rate. Refer to Note 8, </w:t>
      </w:r>
      <w:r>
        <w:rPr>
          <w:rFonts w:ascii="Arial" w:cs="Arial" w:eastAsia="Arial" w:hAnsi="Arial"/>
          <w:sz w:val="18"/>
          <w:szCs w:val="18"/>
          <w:i w:val="1"/>
          <w:iCs w:val="1"/>
          <w:color w:val="auto"/>
        </w:rPr>
        <w:t>Interest Rate Swaps</w:t>
      </w:r>
      <w:r>
        <w:rPr>
          <w:rFonts w:ascii="Arial" w:cs="Arial" w:eastAsia="Arial" w:hAnsi="Arial"/>
          <w:sz w:val="18"/>
          <w:szCs w:val="18"/>
          <w:color w:val="auto"/>
        </w:rPr>
        <w:t>, in the accompanying notes to the unaudited interim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above, there have been no material changes to our exposure to market risks as disclosed in the 2022 Form 10-K.</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which were previously identified and disclosed in connection with our initial public offering and in our periodic reports filed with the SEC, our Chief Executive Officer and Chief Financial Officer concluded that, as of September 24, 2023,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 to the management report on internal control over financial reporting in Part II - Item 9A of the 2022 Form 10-K filed with the SEC on March 7, 2023 for a discussion of the material weaknesses that continue to exist as of September 24,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24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Management continues to implement measures designed to improve the Company’s internal control over financial reporting, including disclosure controls and procedures, to address and remediate the previously identified material weaknesses. To date, such measures include the following:</w:t>
      </w:r>
    </w:p>
    <w:p>
      <w:pPr>
        <w:spacing w:after="0" w:line="174" w:lineRule="exact"/>
        <w:rPr>
          <w:sz w:val="20"/>
          <w:szCs w:val="20"/>
          <w:color w:val="auto"/>
        </w:rPr>
      </w:pPr>
    </w:p>
    <w:p>
      <w:pPr>
        <w:ind w:left="66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Augmented financial reporting capabilities by staffing professionals with special skills in income tax, internal audit, information technology, and legal.</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various policies, including a formal delegation of authority policy defining the protocols for reviewing and authorizing commitments, contracts, invoices, and transactions as well as a comprehensive set of information technology policies to govern the Company’s information technology practices.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Formalized certain roles and reviewed responsibilities, including ensuring appropriate segregation of duties.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and implemented period-end financial reporting controls, such as controls over the preparation and review of account reconciliations, financial statement disclosures, and the consolidated financial statements as well as establishing a formal management Disclosure Committee to review the draft financial statements and disclosures prior to release, including a sub-certification process from various functional groups.</w:t>
      </w:r>
    </w:p>
    <w:p>
      <w:pPr>
        <w:spacing w:after="0" w:line="162"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Enhanced access restrictions for certain users over general ledger journal entries to further segregate journal entry creation from journal entry approval authority. In addition, we are designing new processes to review and approve journal entries.</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and implemented controls over the accounting for income taxes to ensure the appropriate recording of deferred income taxes, income taxes and related disclosures.</w:t>
      </w:r>
    </w:p>
    <w:p>
      <w:pPr>
        <w:spacing w:after="0" w:line="21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sufficient user access controls to ensure appropriate segregation of duties and adequately restrict user and privileged access to financial applications, programs and data to appropriate Company personnel.</w:t>
      </w:r>
    </w:p>
    <w:p>
      <w:pPr>
        <w:spacing w:after="0" w:line="19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and implemented change management controls to ensure that information technology program and data changes affecting financial information technology applications and underlying accounting records are identified, tested, authorized, and implemented appropriately.</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Designed and implemented computer operation controls to ensure critical jobs are monitored and privileges are appropriately granted.</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a new backup and recovery platform to monitor data backups for all relevant systems in accordance with the applicable policy as well as manage a test recovery process.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material weaknesses previously disclosed have not yet been remediated as of September 24, 2023,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September 24,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interim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2022 Form 10-K which could materially affect our business, financial condition or future results. There have been no material changes to the risk factors disclosed in our 2022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3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in the Exhibits index to this Form 10-Q are incorporated herein by reference.</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3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46716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2400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920" w:space="560"/>
            <w:col w:w="3760"/>
          </w:cols>
          <w:pgMar w:left="320" w:top="125" w:right="339" w:bottom="1440" w:gutter="0" w:footer="0" w:header="0"/>
        </w:sectPr>
      </w:pPr>
    </w:p>
    <w:tbl>
      <w:tblPr>
        <w:tblLayout w:type="fixed"/>
        <w:tblInd w:w="200" w:type="dxa"/>
        <w:tblCellMar>
          <w:top w:w="0" w:type="dxa"/>
          <w:left w:w="0" w:type="dxa"/>
          <w:bottom w:w="0" w:type="dxa"/>
          <w:right w:w="0" w:type="dxa"/>
        </w:tblCellMar>
      </w:tblPr>
      <w:tr>
        <w:trPr>
          <w:trHeight w:val="207"/>
        </w:trPr>
        <w:tc>
          <w:tcPr>
            <w:tcW w:w="68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31.1</w:t>
            </w:r>
          </w:p>
        </w:tc>
        <w:tc>
          <w:tcPr>
            <w:tcW w:w="612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1"/>
              </w:rPr>
              <w:t>Certification of the Chief Executive Officer pursuant to Section 302 of the Sarbanes-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360" w:type="dxa"/>
            <w:vAlign w:val="bottom"/>
            <w:gridSpan w:val="2"/>
            <w:vMerge w:val="restart"/>
          </w:tcPr>
          <w:p>
            <w:pPr>
              <w:ind w:left="20"/>
              <w:spacing w:after="0" w:line="156" w:lineRule="exact"/>
              <w:rPr>
                <w:sz w:val="20"/>
                <w:szCs w:val="20"/>
                <w:color w:val="auto"/>
              </w:rPr>
            </w:pPr>
            <w:r>
              <w:rPr>
                <w:rFonts w:ascii="Arial" w:cs="Arial" w:eastAsia="Arial" w:hAnsi="Arial"/>
                <w:sz w:val="18"/>
                <w:szCs w:val="18"/>
                <w:color w:val="0000FF"/>
                <w:w w:val="92"/>
              </w:rPr>
              <w:t>Oxley Act of 2002</w:t>
            </w:r>
          </w:p>
        </w:tc>
        <w:tc>
          <w:tcPr>
            <w:tcW w:w="4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680" w:type="dxa"/>
            <w:vAlign w:val="bottom"/>
          </w:tcPr>
          <w:p>
            <w:pPr>
              <w:spacing w:after="0"/>
              <w:rPr>
                <w:sz w:val="3"/>
                <w:szCs w:val="3"/>
                <w:color w:val="auto"/>
              </w:rPr>
            </w:pPr>
          </w:p>
        </w:tc>
        <w:tc>
          <w:tcPr>
            <w:tcW w:w="1360" w:type="dxa"/>
            <w:vAlign w:val="bottom"/>
            <w:tcBorders>
              <w:bottom w:val="single" w:sz="8" w:color="0000FF"/>
            </w:tcBorders>
            <w:gridSpan w:val="2"/>
            <w:vMerge w:val="continue"/>
          </w:tcPr>
          <w:p>
            <w:pPr>
              <w:spacing w:after="0"/>
              <w:rPr>
                <w:sz w:val="3"/>
                <w:szCs w:val="3"/>
                <w:color w:val="auto"/>
              </w:rPr>
            </w:pPr>
          </w:p>
        </w:tc>
        <w:tc>
          <w:tcPr>
            <w:tcW w:w="48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31.2</w:t>
            </w:r>
          </w:p>
        </w:tc>
        <w:tc>
          <w:tcPr>
            <w:tcW w:w="6240" w:type="dxa"/>
            <w:vAlign w:val="bottom"/>
            <w:gridSpan w:val="6"/>
          </w:tcPr>
          <w:p>
            <w:pPr>
              <w:ind w:left="20"/>
              <w:spacing w:after="0"/>
              <w:rPr>
                <w:sz w:val="20"/>
                <w:szCs w:val="20"/>
                <w:color w:val="auto"/>
              </w:rPr>
            </w:pPr>
            <w:r>
              <w:rPr>
                <w:rFonts w:ascii="Arial" w:cs="Arial" w:eastAsia="Arial" w:hAnsi="Arial"/>
                <w:sz w:val="18"/>
                <w:szCs w:val="18"/>
                <w:color w:val="0000FF"/>
                <w:w w:val="93"/>
              </w:rPr>
              <w:t>Certification of the Chief Financial Officer pursuant to Section 302 of the Sarbanes-</w:t>
            </w: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360" w:type="dxa"/>
            <w:vAlign w:val="bottom"/>
            <w:tcBorders>
              <w:top w:val="single" w:sz="8" w:color="0000FF"/>
            </w:tcBorders>
            <w:gridSpan w:val="2"/>
            <w:vMerge w:val="restart"/>
          </w:tcPr>
          <w:p>
            <w:pPr>
              <w:ind w:left="20"/>
              <w:spacing w:after="0" w:line="156" w:lineRule="exact"/>
              <w:rPr>
                <w:sz w:val="20"/>
                <w:szCs w:val="20"/>
                <w:color w:val="auto"/>
              </w:rPr>
            </w:pPr>
            <w:r>
              <w:rPr>
                <w:rFonts w:ascii="Arial" w:cs="Arial" w:eastAsia="Arial" w:hAnsi="Arial"/>
                <w:sz w:val="18"/>
                <w:szCs w:val="18"/>
                <w:color w:val="0000FF"/>
                <w:w w:val="92"/>
              </w:rPr>
              <w:t>Oxley Act of 2002</w:t>
            </w:r>
          </w:p>
        </w:tc>
        <w:tc>
          <w:tcPr>
            <w:tcW w:w="4700" w:type="dxa"/>
            <w:vAlign w:val="bottom"/>
            <w:tcBorders>
              <w:top w:val="single" w:sz="8" w:color="0000FF"/>
            </w:tcBorders>
            <w:gridSpan w:val="2"/>
            <w:vMerge w:val="restart"/>
          </w:tcPr>
          <w:p>
            <w:pPr>
              <w:spacing w:after="0"/>
              <w:rPr>
                <w:sz w:val="10"/>
                <w:szCs w:val="10"/>
                <w:color w:val="auto"/>
              </w:rPr>
            </w:pPr>
          </w:p>
        </w:tc>
        <w:tc>
          <w:tcPr>
            <w:tcW w:w="1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680" w:type="dxa"/>
            <w:vAlign w:val="bottom"/>
          </w:tcPr>
          <w:p>
            <w:pPr>
              <w:spacing w:after="0"/>
              <w:rPr>
                <w:sz w:val="3"/>
                <w:szCs w:val="3"/>
                <w:color w:val="auto"/>
              </w:rPr>
            </w:pPr>
          </w:p>
        </w:tc>
        <w:tc>
          <w:tcPr>
            <w:tcW w:w="1360" w:type="dxa"/>
            <w:vAlign w:val="bottom"/>
            <w:tcBorders>
              <w:bottom w:val="single" w:sz="8" w:color="0000FF"/>
            </w:tcBorders>
            <w:gridSpan w:val="2"/>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6240" w:type="dxa"/>
            <w:vAlign w:val="bottom"/>
            <w:gridSpan w:val="6"/>
          </w:tcPr>
          <w:p>
            <w:pPr>
              <w:ind w:left="20"/>
              <w:spacing w:after="0"/>
              <w:rPr>
                <w:sz w:val="20"/>
                <w:szCs w:val="20"/>
                <w:color w:val="auto"/>
              </w:rPr>
            </w:pPr>
            <w:r>
              <w:rPr>
                <w:rFonts w:ascii="Arial" w:cs="Arial" w:eastAsia="Arial" w:hAnsi="Arial"/>
                <w:sz w:val="18"/>
                <w:szCs w:val="18"/>
                <w:color w:val="0000FF"/>
                <w:w w:val="96"/>
              </w:rPr>
              <w:t>Certification of Chief Executive Officer and Chief Financial Officer pursuant to 18</w:t>
            </w:r>
          </w:p>
        </w:tc>
        <w:tc>
          <w:tcPr>
            <w:tcW w:w="0" w:type="dxa"/>
            <w:vAlign w:val="bottom"/>
          </w:tcPr>
          <w:p>
            <w:pPr>
              <w:spacing w:after="0"/>
              <w:rPr>
                <w:sz w:val="1"/>
                <w:szCs w:val="1"/>
                <w:color w:val="auto"/>
              </w:rPr>
            </w:pPr>
          </w:p>
        </w:tc>
      </w:tr>
      <w:tr>
        <w:trPr>
          <w:trHeight w:val="156"/>
        </w:trPr>
        <w:tc>
          <w:tcPr>
            <w:tcW w:w="680" w:type="dxa"/>
            <w:vAlign w:val="bottom"/>
          </w:tcPr>
          <w:p>
            <w:pPr>
              <w:jc w:val="center"/>
              <w:ind w:right="190"/>
              <w:spacing w:after="0" w:line="156" w:lineRule="exact"/>
              <w:rPr>
                <w:sz w:val="20"/>
                <w:szCs w:val="20"/>
                <w:color w:val="auto"/>
              </w:rPr>
            </w:pPr>
            <w:r>
              <w:rPr>
                <w:rFonts w:ascii="Arial" w:cs="Arial" w:eastAsia="Arial" w:hAnsi="Arial"/>
                <w:sz w:val="18"/>
                <w:szCs w:val="18"/>
                <w:color w:val="auto"/>
                <w:w w:val="95"/>
              </w:rPr>
              <w:t>32.1*</w:t>
            </w:r>
          </w:p>
        </w:tc>
        <w:tc>
          <w:tcPr>
            <w:tcW w:w="5980" w:type="dxa"/>
            <w:vAlign w:val="bottom"/>
            <w:tcBorders>
              <w:top w:val="single" w:sz="8" w:color="0000FF"/>
              <w:bottom w:val="single" w:sz="8" w:color="0000FF"/>
            </w:tcBorders>
            <w:gridSpan w:val="3"/>
          </w:tcPr>
          <w:p>
            <w:pPr>
              <w:ind w:left="20"/>
              <w:spacing w:after="0" w:line="156" w:lineRule="exact"/>
              <w:rPr>
                <w:sz w:val="20"/>
                <w:szCs w:val="20"/>
                <w:color w:val="auto"/>
              </w:rPr>
            </w:pPr>
            <w:r>
              <w:rPr>
                <w:rFonts w:ascii="Arial" w:cs="Arial" w:eastAsia="Arial" w:hAnsi="Arial"/>
                <w:sz w:val="18"/>
                <w:szCs w:val="18"/>
                <w:color w:val="0000FF"/>
                <w:w w:val="88"/>
              </w:rPr>
              <w:t>U.S.C. Section 1350, as adopted pursuant to Section 906 of the Sarbanes-Oxley Act</w:t>
            </w:r>
          </w:p>
        </w:tc>
        <w:tc>
          <w:tcPr>
            <w:tcW w:w="260" w:type="dxa"/>
            <w:vAlign w:val="bottom"/>
            <w:tcBorders>
              <w:bottom w:val="single" w:sz="8" w:color="0000FF"/>
            </w:tcBorders>
            <w:gridSpan w:val="3"/>
          </w:tcPr>
          <w:p>
            <w:pPr>
              <w:ind w:left="120"/>
              <w:spacing w:after="0" w:line="156" w:lineRule="exact"/>
              <w:rPr>
                <w:sz w:val="20"/>
                <w:szCs w:val="20"/>
                <w:color w:val="auto"/>
              </w:rPr>
            </w:pPr>
            <w:r>
              <w:rPr>
                <w:rFonts w:ascii="Arial" w:cs="Arial" w:eastAsia="Arial" w:hAnsi="Arial"/>
                <w:sz w:val="18"/>
                <w:szCs w:val="18"/>
                <w:color w:val="0000FF"/>
                <w:w w:val="79"/>
              </w:rPr>
              <w:t>of</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60" w:type="dxa"/>
            <w:vAlign w:val="bottom"/>
            <w:tcBorders>
              <w:bottom w:val="single" w:sz="8" w:color="0000FF"/>
            </w:tcBorders>
          </w:tcPr>
          <w:p>
            <w:pPr>
              <w:ind w:left="20"/>
              <w:spacing w:after="0" w:line="169" w:lineRule="exact"/>
              <w:rPr>
                <w:sz w:val="20"/>
                <w:szCs w:val="20"/>
                <w:color w:val="auto"/>
              </w:rPr>
            </w:pPr>
            <w:r>
              <w:rPr>
                <w:rFonts w:ascii="Arial" w:cs="Arial" w:eastAsia="Arial" w:hAnsi="Arial"/>
                <w:sz w:val="18"/>
                <w:szCs w:val="18"/>
                <w:color w:val="0000FF"/>
                <w:w w:val="79"/>
              </w:rPr>
              <w:t>2002</w:t>
            </w:r>
          </w:p>
        </w:tc>
        <w:tc>
          <w:tcPr>
            <w:tcW w:w="1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information from First Watch Restaurant Group, Inc’s Quarterly Report on</w:t>
      </w:r>
    </w:p>
    <w:p>
      <w:pPr>
        <w:spacing w:after="0" w:line="35" w:lineRule="exact"/>
        <w:rPr>
          <w:sz w:val="20"/>
          <w:szCs w:val="20"/>
          <w:color w:val="auto"/>
        </w:rPr>
      </w:pPr>
    </w:p>
    <w:p>
      <w:pPr>
        <w:ind w:left="900" w:right="100" w:hanging="642"/>
        <w:spacing w:after="0" w:line="28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Form 10-Q for the third fiscal quarter ended September 24, 2023, filed on November 1, 2023, formatted in Inline Extensible Business Reporting Language (“iXBRL”)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8" w:lineRule="exact"/>
        <w:rPr>
          <w:sz w:val="20"/>
          <w:szCs w:val="20"/>
          <w:color w:val="auto"/>
        </w:rPr>
      </w:pPr>
    </w:p>
    <w:p>
      <w:pPr>
        <w:sectPr>
          <w:pgSz w:w="11900" w:h="16838" w:orient="portrait"/>
          <w:cols w:equalWidth="0" w:num="2">
            <w:col w:w="7280" w:space="200"/>
            <w:col w:w="3760"/>
          </w:cols>
          <w:pgMar w:left="320" w:top="125" w:right="339" w:bottom="1440" w:gutter="0" w:footer="0" w:header="0"/>
          <w:type w:val="continuous"/>
        </w:sectPr>
      </w:pPr>
    </w:p>
    <w:p>
      <w:pPr>
        <w:ind w:left="260"/>
        <w:spacing w:after="0"/>
        <w:tabs>
          <w:tab w:leader="none" w:pos="880" w:val="left"/>
          <w:tab w:leader="none" w:pos="7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(formatted as iXBRL and contained in Exhibit 101)</w:t>
      </w:r>
      <w:r>
        <w:rPr>
          <w:sz w:val="20"/>
          <w:szCs w:val="20"/>
          <w:color w:val="auto"/>
        </w:rPr>
        <w:tab/>
      </w:r>
      <w:r>
        <w:rPr>
          <w:rFonts w:ascii="Arial" w:cs="Arial" w:eastAsia="Arial" w:hAnsi="Arial"/>
          <w:sz w:val="16"/>
          <w:szCs w:val="16"/>
          <w:color w:val="auto"/>
        </w:rPr>
        <w:t>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jc w:val="both"/>
        <w:ind w:firstLine="8"/>
        <w:spacing w:after="0" w:line="254" w:lineRule="auto"/>
        <w:tabs>
          <w:tab w:leader="none" w:pos="1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Tomasso</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Christopher A. Tomasso</w:t>
            </w:r>
          </w:p>
        </w:tc>
      </w:tr>
      <w:tr>
        <w:trPr>
          <w:trHeight w:val="176"/>
        </w:trPr>
        <w:tc>
          <w:tcPr>
            <w:tcW w:w="72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 Hope</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Mel Hope</w:t>
            </w:r>
          </w:p>
        </w:tc>
      </w:tr>
      <w:tr>
        <w:trPr>
          <w:trHeight w:val="176"/>
        </w:trPr>
        <w:tc>
          <w:tcPr>
            <w:tcW w:w="720" w:type="dxa"/>
            <w:vAlign w:val="bottom"/>
          </w:tcPr>
          <w:p>
            <w:pPr>
              <w:spacing w:after="0"/>
              <w:rPr>
                <w:sz w:val="15"/>
                <w:szCs w:val="15"/>
                <w:color w:val="auto"/>
              </w:rPr>
            </w:pPr>
          </w:p>
        </w:tc>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type w:val="continuous"/>
        </w:sectPr>
      </w:pPr>
    </w:p>
    <w:bookmarkStart w:id="39" w:name="page40"/>
    <w:bookmarkEnd w:id="39"/>
    <w:p>
      <w:pPr>
        <w:ind w:left="10360"/>
        <w:spacing w:after="0"/>
        <w:rPr>
          <w:sz w:val="20"/>
          <w:szCs w:val="20"/>
          <w:color w:val="auto"/>
        </w:rPr>
      </w:pPr>
      <w:r>
        <w:rPr>
          <w:rFonts w:ascii="Arial" w:cs="Arial" w:eastAsia="Arial" w:hAnsi="Arial"/>
          <w:sz w:val="15"/>
          <w:szCs w:val="15"/>
          <w:b w:val="1"/>
          <w:bCs w:val="1"/>
          <w:color w:val="auto"/>
        </w:rPr>
        <w:t>Exhibit 31.1</w:t>
      </w:r>
    </w:p>
    <w:p>
      <w:pPr>
        <w:spacing w:after="0" w:line="273" w:lineRule="exact"/>
        <w:rPr>
          <w:sz w:val="20"/>
          <w:szCs w:val="20"/>
          <w:color w:val="auto"/>
        </w:rPr>
      </w:pPr>
    </w:p>
    <w:p>
      <w:pPr>
        <w:jc w:val="center"/>
        <w:ind w:left="340" w:right="200"/>
        <w:spacing w:after="0" w:line="267" w:lineRule="auto"/>
        <w:rPr>
          <w:sz w:val="20"/>
          <w:szCs w:val="20"/>
          <w:color w:val="auto"/>
        </w:rPr>
      </w:pPr>
      <w:r>
        <w:rPr>
          <w:rFonts w:ascii="Arial" w:cs="Arial" w:eastAsia="Arial" w:hAnsi="Arial"/>
          <w:sz w:val="17"/>
          <w:szCs w:val="17"/>
          <w:b w:val="1"/>
          <w:bCs w:val="1"/>
          <w:color w:val="auto"/>
        </w:rPr>
        <w:t>Certification of Principal Executive Officer Pursuant to Exchange Act Rule 13a-14(a)/15d-14(a)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 Christopher A. Tomasso, certify that:</w:t>
      </w:r>
    </w:p>
    <w:p>
      <w:pPr>
        <w:spacing w:after="0" w:line="263"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326" w:lineRule="auto"/>
        <w:tabs>
          <w:tab w:leader="none" w:pos="675" w:val="left"/>
        </w:tabs>
        <w:numPr>
          <w:ilvl w:val="0"/>
          <w:numId w:val="15"/>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660" w:hanging="328"/>
        <w:spacing w:after="0" w:line="260"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660" w:hanging="328"/>
        <w:spacing w:after="0" w:line="269" w:lineRule="auto"/>
        <w:tabs>
          <w:tab w:leader="none" w:pos="6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7"/>
          <w:szCs w:val="17"/>
          <w:color w:val="auto"/>
        </w:rPr>
      </w:pPr>
    </w:p>
    <w:p>
      <w:pPr>
        <w:jc w:val="both"/>
        <w:ind w:left="980" w:hanging="324"/>
        <w:spacing w:after="0" w:line="253" w:lineRule="auto"/>
        <w:tabs>
          <w:tab w:leader="none" w:pos="977" w:val="left"/>
        </w:tabs>
        <w:numPr>
          <w:ilvl w:val="1"/>
          <w:numId w:val="15"/>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980" w:hanging="324"/>
        <w:spacing w:after="0" w:line="269"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7"/>
          <w:szCs w:val="17"/>
          <w:color w:val="auto"/>
        </w:rPr>
      </w:pPr>
    </w:p>
    <w:p>
      <w:pPr>
        <w:ind w:left="980" w:right="20" w:hanging="324"/>
        <w:spacing w:after="0" w:line="291"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7"/>
          <w:szCs w:val="17"/>
          <w:color w:val="auto"/>
        </w:rPr>
      </w:pPr>
    </w:p>
    <w:p>
      <w:pPr>
        <w:jc w:val="both"/>
        <w:ind w:left="980" w:hanging="324"/>
        <w:spacing w:after="0" w:line="261"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7" w:lineRule="exact"/>
        <w:rPr>
          <w:rFonts w:ascii="Arial" w:cs="Arial" w:eastAsia="Arial" w:hAnsi="Arial"/>
          <w:sz w:val="18"/>
          <w:szCs w:val="18"/>
          <w:color w:val="auto"/>
        </w:rPr>
      </w:pPr>
    </w:p>
    <w:p>
      <w:pPr>
        <w:ind w:left="660" w:hanging="328"/>
        <w:spacing w:after="0" w:line="291" w:lineRule="auto"/>
        <w:tabs>
          <w:tab w:leader="none" w:pos="675" w:val="left"/>
        </w:tabs>
        <w:numPr>
          <w:ilvl w:val="0"/>
          <w:numId w:val="15"/>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980" w:right="20" w:hanging="324"/>
        <w:spacing w:after="0" w:line="274" w:lineRule="auto"/>
        <w:tabs>
          <w:tab w:leader="none" w:pos="96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980" w:hanging="324"/>
        <w:spacing w:after="0" w:line="274"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2180" w:val="left"/>
        </w:tabs>
        <w:rPr>
          <w:sz w:val="20"/>
          <w:szCs w:val="20"/>
          <w:color w:val="auto"/>
        </w:rPr>
      </w:pPr>
      <w:r>
        <w:rPr>
          <w:rFonts w:ascii="Arial" w:cs="Arial" w:eastAsia="Arial" w:hAnsi="Arial"/>
          <w:sz w:val="17"/>
          <w:szCs w:val="17"/>
          <w:color w:val="auto"/>
        </w:rPr>
        <w:t>Date: November 1, 2023</w:t>
      </w:r>
      <w:r>
        <w:rPr>
          <w:sz w:val="20"/>
          <w:szCs w:val="20"/>
          <w:color w:val="auto"/>
        </w:rPr>
        <w:tab/>
      </w:r>
      <w:r>
        <w:rPr>
          <w:rFonts w:ascii="Arial" w:cs="Arial" w:eastAsia="Arial" w:hAnsi="Arial"/>
          <w:sz w:val="15"/>
          <w:szCs w:val="15"/>
          <w:u w:val="single" w:color="auto"/>
          <w:color w:val="auto"/>
        </w:rPr>
        <w:t>/s/ Christopher A. Tomasso</w:t>
      </w:r>
    </w:p>
    <w:p>
      <w:pPr>
        <w:spacing w:after="0" w:line="156"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Christopher A. Tomasso</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41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 Mel Hope, certify that:</w:t>
      </w:r>
    </w:p>
    <w:p>
      <w:pPr>
        <w:spacing w:after="0" w:line="250"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7"/>
          <w:szCs w:val="17"/>
          <w:color w:val="auto"/>
        </w:rPr>
        <w:t>I have reviewed this Quarterly Report on Form 10-Q of First Watch Restaurant Group, Inc.;</w:t>
      </w:r>
    </w:p>
    <w:p>
      <w:pPr>
        <w:spacing w:after="0" w:line="252" w:lineRule="exact"/>
        <w:rPr>
          <w:rFonts w:ascii="Arial" w:cs="Arial" w:eastAsia="Arial" w:hAnsi="Arial"/>
          <w:sz w:val="18"/>
          <w:szCs w:val="18"/>
          <w:color w:val="auto"/>
        </w:rPr>
      </w:pPr>
    </w:p>
    <w:p>
      <w:pPr>
        <w:ind w:left="660" w:hanging="328"/>
        <w:spacing w:after="0" w:line="326" w:lineRule="auto"/>
        <w:tabs>
          <w:tab w:leader="none" w:pos="675" w:val="left"/>
        </w:tabs>
        <w:numPr>
          <w:ilvl w:val="0"/>
          <w:numId w:val="16"/>
        </w:numPr>
        <w:rPr>
          <w:rFonts w:ascii="Arial" w:cs="Arial" w:eastAsia="Arial" w:hAnsi="Arial"/>
          <w:sz w:val="16"/>
          <w:szCs w:val="16"/>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6"/>
          <w:szCs w:val="16"/>
          <w:color w:val="auto"/>
        </w:rPr>
      </w:pPr>
    </w:p>
    <w:p>
      <w:pPr>
        <w:ind w:left="660" w:hanging="328"/>
        <w:spacing w:after="0" w:line="260" w:lineRule="auto"/>
        <w:tabs>
          <w:tab w:leader="none" w:pos="675" w:val="left"/>
        </w:tabs>
        <w:numPr>
          <w:ilvl w:val="0"/>
          <w:numId w:val="16"/>
        </w:numPr>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660" w:hanging="328"/>
        <w:spacing w:after="0" w:line="261" w:lineRule="auto"/>
        <w:tabs>
          <w:tab w:leader="none" w:pos="6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jc w:val="both"/>
        <w:ind w:left="980" w:hanging="324"/>
        <w:spacing w:after="0" w:line="261" w:lineRule="auto"/>
        <w:tabs>
          <w:tab w:leader="none" w:pos="1011" w:val="left"/>
        </w:tabs>
        <w:numPr>
          <w:ilvl w:val="1"/>
          <w:numId w:val="16"/>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980" w:hanging="324"/>
        <w:spacing w:after="0" w:line="261" w:lineRule="auto"/>
        <w:tabs>
          <w:tab w:leader="none" w:pos="977"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9" w:lineRule="exact"/>
        <w:rPr>
          <w:rFonts w:ascii="Arial" w:cs="Arial" w:eastAsia="Arial" w:hAnsi="Arial"/>
          <w:sz w:val="17"/>
          <w:szCs w:val="17"/>
          <w:color w:val="auto"/>
        </w:rPr>
      </w:pPr>
    </w:p>
    <w:p>
      <w:pPr>
        <w:ind w:left="980" w:right="20" w:hanging="324"/>
        <w:spacing w:after="0" w:line="291" w:lineRule="auto"/>
        <w:tabs>
          <w:tab w:leader="none" w:pos="977" w:val="left"/>
        </w:tabs>
        <w:numPr>
          <w:ilvl w:val="1"/>
          <w:numId w:val="16"/>
        </w:numPr>
        <w:rPr>
          <w:rFonts w:ascii="Arial" w:cs="Arial" w:eastAsia="Arial" w:hAnsi="Arial"/>
          <w:sz w:val="17"/>
          <w:szCs w:val="17"/>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7"/>
          <w:szCs w:val="17"/>
          <w:color w:val="auto"/>
        </w:rPr>
      </w:pPr>
    </w:p>
    <w:p>
      <w:pPr>
        <w:jc w:val="both"/>
        <w:ind w:left="980" w:hanging="324"/>
        <w:spacing w:after="0" w:line="253"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7" w:lineRule="exact"/>
        <w:rPr>
          <w:rFonts w:ascii="Arial" w:cs="Arial" w:eastAsia="Arial" w:hAnsi="Arial"/>
          <w:sz w:val="18"/>
          <w:szCs w:val="18"/>
          <w:color w:val="auto"/>
        </w:rPr>
      </w:pPr>
    </w:p>
    <w:p>
      <w:pPr>
        <w:ind w:left="660" w:hanging="328"/>
        <w:spacing w:after="0" w:line="291" w:lineRule="auto"/>
        <w:tabs>
          <w:tab w:leader="none" w:pos="675" w:val="left"/>
        </w:tabs>
        <w:numPr>
          <w:ilvl w:val="0"/>
          <w:numId w:val="16"/>
        </w:numPr>
        <w:rPr>
          <w:rFonts w:ascii="Arial" w:cs="Arial" w:eastAsia="Arial" w:hAnsi="Arial"/>
          <w:sz w:val="17"/>
          <w:szCs w:val="17"/>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980" w:right="20" w:hanging="324"/>
        <w:spacing w:after="0" w:line="274" w:lineRule="auto"/>
        <w:tabs>
          <w:tab w:leader="none" w:pos="96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7"/>
          <w:szCs w:val="17"/>
          <w:color w:val="auto"/>
        </w:rPr>
      </w:pPr>
    </w:p>
    <w:p>
      <w:pPr>
        <w:ind w:left="980" w:hanging="324"/>
        <w:spacing w:after="0" w:line="274" w:lineRule="auto"/>
        <w:tabs>
          <w:tab w:leader="none" w:pos="97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2180" w:val="left"/>
        </w:tabs>
        <w:rPr>
          <w:sz w:val="20"/>
          <w:szCs w:val="20"/>
          <w:color w:val="auto"/>
        </w:rPr>
      </w:pPr>
      <w:r>
        <w:rPr>
          <w:rFonts w:ascii="Arial" w:cs="Arial" w:eastAsia="Arial" w:hAnsi="Arial"/>
          <w:sz w:val="17"/>
          <w:szCs w:val="17"/>
          <w:color w:val="auto"/>
        </w:rPr>
        <w:t>Date: November 1, 2023</w:t>
      </w:r>
      <w:r>
        <w:rPr>
          <w:sz w:val="20"/>
          <w:szCs w:val="20"/>
          <w:color w:val="auto"/>
        </w:rPr>
        <w:tab/>
      </w:r>
      <w:r>
        <w:rPr>
          <w:rFonts w:ascii="Arial" w:cs="Arial" w:eastAsia="Arial" w:hAnsi="Arial"/>
          <w:sz w:val="16"/>
          <w:szCs w:val="16"/>
          <w:u w:val="single" w:color="auto"/>
          <w:color w:val="auto"/>
        </w:rPr>
        <w:t>/s/ Mel Hope</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Mel Hope</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414"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Quarterly Report on Form 10-Q of First Watch Restaurant Group, Inc. (the “Company”) for the quarter ended September 24, 2023,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spacing w:after="0"/>
        <w:rPr>
          <w:sz w:val="20"/>
          <w:szCs w:val="20"/>
          <w:color w:val="auto"/>
        </w:rPr>
      </w:pPr>
      <w:r>
        <w:rPr>
          <w:rFonts w:ascii="Arial" w:cs="Arial" w:eastAsia="Arial" w:hAnsi="Arial"/>
          <w:sz w:val="17"/>
          <w:szCs w:val="17"/>
          <w:u w:val="single" w:color="auto"/>
          <w:color w:val="auto"/>
        </w:rPr>
        <w:t>/s/ Mel Hope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Roman"/>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2023-11-01T06:16:12Z</dcterms:created>
  <dcterms:modified xsi:type="dcterms:W3CDTF">2023-11-01T06:16:12Z</dcterms:modified>
</cp:coreProperties>
</file>