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2026</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394335</wp:posOffset>
            </wp:positionV>
            <wp:extent cx="209994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994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First Watch Restaurant Group,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32" w:right="339" w:bottom="1440" w:gutter="0" w:footer="0" w:header="0"/>
        </w:sectPr>
      </w:pPr>
    </w:p>
    <w:p>
      <w:pPr>
        <w:spacing w:after="0" w:line="8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82-4271369</w:t>
      </w:r>
    </w:p>
    <w:p>
      <w:pPr>
        <w:spacing w:after="0" w:line="65" w:lineRule="exact"/>
        <w:rPr>
          <w:sz w:val="24"/>
          <w:szCs w:val="24"/>
          <w:color w:val="auto"/>
        </w:rPr>
      </w:pPr>
    </w:p>
    <w:p>
      <w:pPr>
        <w:sectPr>
          <w:pgSz w:w="11900" w:h="16838" w:orient="portrait"/>
          <w:cols w:equalWidth="0" w:num="2">
            <w:col w:w="8460" w:space="720"/>
            <w:col w:w="2060"/>
          </w:cols>
          <w:pgMar w:left="320" w:top="932"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47" w:lineRule="exact"/>
        <w:rPr>
          <w:sz w:val="24"/>
          <w:szCs w:val="24"/>
          <w:color w:val="auto"/>
        </w:rPr>
      </w:pPr>
    </w:p>
    <w:p>
      <w:pPr>
        <w:sectPr>
          <w:pgSz w:w="11900" w:h="16838" w:orient="portrait"/>
          <w:cols w:equalWidth="0" w:num="2">
            <w:col w:w="7600" w:space="720"/>
            <w:col w:w="2920"/>
          </w:cols>
          <w:pgMar w:left="320" w:top="932" w:right="339"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8725 Pendery Place, Suite 201, Bradenton, FL 34201</w:t>
      </w:r>
    </w:p>
    <w:p>
      <w:pPr>
        <w:spacing w:after="0" w:line="65"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32" w:right="339" w:bottom="1440" w:gutter="0" w:footer="0" w:header="0"/>
          <w:type w:val="continuous"/>
        </w:sectPr>
      </w:pP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(941) 907-9800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9"/>
        </w:trPr>
        <w:tc>
          <w:tcPr>
            <w:tcW w:w="336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FWRG</w:t>
            </w:r>
          </w:p>
        </w:tc>
        <w:tc>
          <w:tcPr>
            <w:tcW w:w="376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46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20" w:type="dxa"/>
            <w:vAlign w:val="bottom"/>
          </w:tcPr>
          <w:p>
            <w:pPr>
              <w:ind w:left="184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46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12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61,644,885 shares of common stock as of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4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37"/>
        </w:trPr>
        <w:tc>
          <w:tcPr>
            <w:tcW w:w="41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2" w:name="page3"/>
    <w:bookmarkEnd w:id="2"/>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This Quarterly Report on Form 10-Q (“Form 10-Q”) contains forward-looking statements within the meaning of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can be identified by words such as “aim,” “anticipate,” “believe,” “estimate,” “expect,” “forecast,” “future,” “intend,” “outlook,” “potential,” “project,” “projection,” “plan,” “seek,” “may,” “could,” “would,” “will,” “should,” “can,” “can have,” “likely,” the negatives thereof and other similar expressions. Examples of forward-looking statements include, but are not limited to, statements we make regarding the outlook for our future business and financial performance and statements discussing our current expectations and projections relating to our financial position, results of operations, plans, objectives, future performance and business, such as those contained in the Part I. Item 2. “Management’s Discussion and Analysis of Financial Condition and Results of Operations.”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vulnerability to changes in consumer preferences and economic conditions such as inflation and recession;</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inability to successfully open new restaurants or establish new markets;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inability to effectively manage our growth;</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negative impacts on sales at our and our franchisees’ restaurants as a result of our opening new restaurants in existing markets;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decline in visitors to any of the retail centers, lifestyle centers, or entertainment centers where our restaurants are located;</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lower than expected same-restaurant sales growth;</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unsuccessful marketing programs and limited time new offerings;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the cost of food;</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unprofitability or closure of new restaurants or lower than previously experienced performance in existing restaurants;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inability to compete effectively for customers;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vulnerability to food safety and food-borne illness concerns;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unsuccessful financial performance of our franchisees;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limited control over our franchisees’ operations;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inability to maintain good relationships with our franchisees and conflicts of interest with our franchisees;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geographic concentration of our system-wide restaurant base in the southeast portion of the United States;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damage to our reputation and negative publicity;</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inability or failure to recognize, respond to and effectively manage the accelerated impact of social media and artificial intelligence;</w:t>
      </w:r>
    </w:p>
    <w:p>
      <w:pPr>
        <w:ind w:left="660" w:hanging="328"/>
        <w:spacing w:after="0" w:line="24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limited number of suppliers and distributors for several of our frequently used ingredients and shortages or disruptions in the supply or delivery of such ingredients;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information technology system failures or breaches of our network security;</w:t>
      </w:r>
    </w:p>
    <w:p>
      <w:pPr>
        <w:ind w:left="660" w:right="20" w:hanging="328"/>
        <w:spacing w:after="0" w:line="23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potential liability with our gift cards under the property laws of some states;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enforce and maintain our trademarks and protect our other intellectual property;</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litigation with respect to intellectual property assets;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dependence on our executive officers and certain other key employees;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inability to identify, hire, train and retain qualified individuals for our workforce;</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obtain or to properly verify the employment eligibility of our employees;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maintain our corporate culture as we grow;</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unionization activities among our employees;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employment and labor law proceedings;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labor shortages or increased labor costs or health care costs;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leasing property subject to long-term and non-cancelable leases;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sale of alcoholic beverages;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costly and complex compliance with federal, state and local laws, including trade and tax policies;</w:t>
      </w:r>
    </w:p>
    <w:p>
      <w:pPr>
        <w:spacing w:after="0" w:line="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principles applicable to us;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vulnerability to natural disasters, unusual weather conditions, pandemic outbreaks, political events, war and terrorism;</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inability to secure additional capital to support business growth;</w:t>
      </w: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level of indebtedness;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comply with covenants under our credit facility; and</w:t>
      </w:r>
    </w:p>
    <w:p>
      <w:pPr>
        <w:ind w:left="660" w:hanging="328"/>
        <w:spacing w:after="0" w:line="24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regarding the Russia and Ukraine war, war and unrest in the Middle East and the related impact on macroeconomic conditions, including inflation, as a result of such conflicts or other related events.</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See Part I. Item 1A. “Risk Factors” in our Annual Report on Form 10-K as of and for the year ended December 28, 2025 (“2025 Form 10-K”) and Part II. Item 1A. “Risk Factors” in this Quarterly Report on Form 10-Q for a further description of these and other factors. For the reasons described above, we caution you against relying on any forward-looking statements, which should also be read in conjunction with the other cautionary statements that are</w:t>
      </w:r>
    </w:p>
    <w:p>
      <w:pPr>
        <w:spacing w:after="0" w:line="1"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i w:val="1"/>
          <w:iCs w:val="1"/>
          <w:color w:val="auto"/>
        </w:rPr>
        <w:t>included elsewhere in this Quarterly Report on Form 10</w:t>
      </w:r>
      <w:r>
        <w:rPr>
          <w:rFonts w:ascii="MS PGothic" w:cs="MS PGothic" w:eastAsia="MS PGothic" w:hAnsi="MS PGothic"/>
          <w:sz w:val="21"/>
          <w:szCs w:val="21"/>
          <w:color w:val="auto"/>
        </w:rPr>
        <w:t>‑</w:t>
      </w:r>
      <w:r>
        <w:rPr>
          <w:rFonts w:ascii="Times New Roman" w:cs="Times New Roman" w:eastAsia="Times New Roman" w:hAnsi="Times New Roman"/>
          <w:sz w:val="18"/>
          <w:szCs w:val="18"/>
          <w:i w:val="1"/>
          <w:iCs w:val="1"/>
          <w:color w:val="auto"/>
        </w:rPr>
        <w:t>Q and in our other filings with the Securities and Exchange Commission (the “SEC”). Any forward-looking statement made by us in this Quarterly Report on Form 10-Q speaks only as of the date hereof and is expressly qualified in its entirety by these cautionary statements.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0" w:type="dxa"/>
            <w:vAlign w:val="bottom"/>
          </w:tcPr>
          <w:p>
            <w:pPr>
              <w:spacing w:after="0"/>
              <w:rPr>
                <w:sz w:val="1"/>
                <w:szCs w:val="1"/>
                <w:color w:val="auto"/>
              </w:rPr>
            </w:pPr>
          </w:p>
        </w:tc>
      </w:tr>
      <w:tr>
        <w:trPr>
          <w:trHeight w:val="19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21,246</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Deposits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5,856</w:t>
            </w:r>
          </w:p>
        </w:tc>
        <w:tc>
          <w:tcPr>
            <w:tcW w:w="0" w:type="dxa"/>
            <w:vAlign w:val="bottom"/>
          </w:tcPr>
          <w:p>
            <w:pPr>
              <w:spacing w:after="0"/>
              <w:rPr>
                <w:sz w:val="1"/>
                <w:szCs w:val="1"/>
                <w:color w:val="auto"/>
              </w:rPr>
            </w:pPr>
          </w:p>
        </w:tc>
      </w:tr>
      <w:tr>
        <w:trPr>
          <w:trHeight w:val="207"/>
        </w:trPr>
        <w:tc>
          <w:tcPr>
            <w:tcW w:w="6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49,080</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420,208</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174,908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614,548</w:t>
            </w:r>
          </w:p>
        </w:tc>
        <w:tc>
          <w:tcPr>
            <w:tcW w:w="0" w:type="dxa"/>
            <w:vAlign w:val="bottom"/>
          </w:tcPr>
          <w:p>
            <w:pPr>
              <w:spacing w:after="0"/>
              <w:rPr>
                <w:sz w:val="1"/>
                <w:szCs w:val="1"/>
                <w:color w:val="auto"/>
              </w:rPr>
            </w:pPr>
          </w:p>
        </w:tc>
      </w:tr>
      <w:tr>
        <w:trPr>
          <w:trHeight w:val="162"/>
        </w:trPr>
        <w:tc>
          <w:tcPr>
            <w:tcW w:w="6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Property, fixtures and equipment, net of accumulated depreciation of $303,086 and $285,706,</w:t>
            </w:r>
          </w:p>
        </w:tc>
        <w:tc>
          <w:tcPr>
            <w:tcW w:w="28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493,246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478,451</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0" w:type="dxa"/>
            <w:vAlign w:val="bottom"/>
          </w:tcPr>
          <w:p>
            <w:pPr>
              <w:spacing w:after="0"/>
              <w:rPr>
                <w:sz w:val="1"/>
                <w:szCs w:val="1"/>
                <w:color w:val="auto"/>
              </w:rPr>
            </w:pPr>
          </w:p>
        </w:tc>
      </w:tr>
      <w:tr>
        <w:trPr>
          <w:trHeight w:val="212"/>
        </w:trPr>
        <w:tc>
          <w:tcPr>
            <w:tcW w:w="6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1,774,055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1,742,029</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8,701</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24,281</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75,034</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rate swap liabilities, current</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07"/>
        </w:trPr>
        <w:tc>
          <w:tcPr>
            <w:tcW w:w="6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167,499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651,254</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269,071</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21,972</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0" w:type="dxa"/>
            <w:vAlign w:val="bottom"/>
          </w:tcPr>
          <w:p>
            <w:pPr>
              <w:spacing w:after="0"/>
              <w:rPr>
                <w:sz w:val="1"/>
                <w:szCs w:val="1"/>
                <w:color w:val="auto"/>
              </w:rPr>
            </w:pPr>
          </w:p>
        </w:tc>
      </w:tr>
      <w:tr>
        <w:trPr>
          <w:trHeight w:val="207"/>
        </w:trPr>
        <w:tc>
          <w:tcPr>
            <w:tcW w:w="6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1,146,398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1,115,750</w:t>
            </w:r>
          </w:p>
        </w:tc>
        <w:tc>
          <w:tcPr>
            <w:tcW w:w="0" w:type="dxa"/>
            <w:vAlign w:val="bottom"/>
          </w:tcPr>
          <w:p>
            <w:pPr>
              <w:spacing w:after="0"/>
              <w:rPr>
                <w:sz w:val="1"/>
                <w:szCs w:val="1"/>
                <w:color w:val="auto"/>
              </w:rPr>
            </w:pPr>
          </w:p>
        </w:tc>
      </w:tr>
      <w:tr>
        <w:trPr>
          <w:trHeight w:val="19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2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300,000,000 shares authorized; 61,625,155 and 61,131,978 shares</w:t>
            </w:r>
          </w:p>
        </w:tc>
        <w:tc>
          <w:tcPr>
            <w:tcW w:w="28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at March 29, 2026 and December 28, 2025, respectively</w:t>
            </w:r>
          </w:p>
        </w:tc>
        <w:tc>
          <w:tcPr>
            <w:tcW w:w="2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661,153</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(34,390)</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207"/>
        </w:trPr>
        <w:tc>
          <w:tcPr>
            <w:tcW w:w="6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627,657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626,279</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1,774,055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1,742,029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CONSOLIDATED STATEMENTS OF OPERATIONS AND COMPREHENSIVE LOSS </w:t>
      </w:r>
      <w:r>
        <w:rPr>
          <w:rFonts w:ascii="Times New Roman" w:cs="Times New Roman" w:eastAsia="Times New Roman" w:hAnsi="Times New Roman"/>
          <w:sz w:val="18"/>
          <w:szCs w:val="18"/>
          <w:i w:val="1"/>
          <w:iCs w:val="1"/>
          <w:color w:val="auto"/>
        </w:rPr>
        <w:t>(IN THOUSANDS, EXCEPT SHARE AND PER SHARE DATA)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0" w:type="dxa"/>
            <w:vAlign w:val="bottom"/>
          </w:tcPr>
          <w:p>
            <w:pPr>
              <w:spacing w:after="0"/>
              <w:rPr>
                <w:sz w:val="16"/>
                <w:szCs w:val="16"/>
                <w:color w:val="auto"/>
              </w:rPr>
            </w:pPr>
          </w:p>
        </w:tc>
        <w:tc>
          <w:tcPr>
            <w:tcW w:w="15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328,148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279,591</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282,240</w:t>
            </w:r>
          </w:p>
        </w:tc>
      </w:tr>
      <w:tr>
        <w:trPr>
          <w:trHeight w:val="19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operating expenses (exclusive of depreciation and amortization shown below):</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66,647</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96,754</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44,259</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23,149</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30,219</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and restructuring expenses, net</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329,960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281,127</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07"/>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1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gain (loss) on derivatives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related to other comprehensive income (loss)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6"/>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common share - 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common share - 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61,243,494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60,767,401</w:t>
            </w: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61,243,494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60,767,401</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4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5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60,700,090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(53,822)</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595,389</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0" w:type="dxa"/>
            <w:vAlign w:val="bottom"/>
          </w:tcPr>
          <w:p>
            <w:pPr>
              <w:spacing w:after="0"/>
              <w:rPr>
                <w:sz w:val="1"/>
                <w:szCs w:val="1"/>
                <w:color w:val="auto"/>
              </w:rPr>
            </w:pPr>
          </w:p>
        </w:tc>
      </w:tr>
      <w:tr>
        <w:trPr>
          <w:trHeight w:val="162"/>
        </w:trPr>
        <w:tc>
          <w:tcPr>
            <w:tcW w:w="3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274,453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30,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60,974,543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651,434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(54,651)</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596,289</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14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2"/>
                <w:szCs w:val="12"/>
                <w:color w:val="auto"/>
              </w:rPr>
            </w:pPr>
          </w:p>
        </w:tc>
        <w:tc>
          <w:tcPr>
            <w:tcW w:w="21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5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28,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61,131,978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661,153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(34,390)</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626,279</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0" w:type="dxa"/>
            <w:vAlign w:val="bottom"/>
          </w:tcPr>
          <w:p>
            <w:pPr>
              <w:spacing w:after="0"/>
              <w:rPr>
                <w:sz w:val="1"/>
                <w:szCs w:val="1"/>
                <w:color w:val="auto"/>
              </w:rPr>
            </w:pPr>
          </w:p>
        </w:tc>
      </w:tr>
      <w:tr>
        <w:trPr>
          <w:trHeight w:val="162"/>
        </w:trPr>
        <w:tc>
          <w:tcPr>
            <w:tcW w:w="3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493,177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2"/>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29, 2026</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61,625,155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664,657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(37,075)</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627,657</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6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9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21,396</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w:t>
            </w: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net of amounts capitalized</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7,679</w:t>
            </w: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effects of business combinations: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13"/>
        </w:trPr>
        <w:tc>
          <w:tcPr>
            <w:tcW w:w="6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w:t>
            </w:r>
          </w:p>
        </w:tc>
      </w:tr>
      <w:tr>
        <w:trPr>
          <w:trHeight w:val="213"/>
        </w:trPr>
        <w:tc>
          <w:tcPr>
            <w:tcW w:w="6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Deposits and other assets, current and long-term</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13"/>
        </w:trPr>
        <w:tc>
          <w:tcPr>
            <w:tcW w:w="6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r>
      <w:tr>
        <w:trPr>
          <w:trHeight w:val="219"/>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compensation</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5,662</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r>
      <w:tr>
        <w:trPr>
          <w:trHeight w:val="213"/>
        </w:trPr>
        <w:tc>
          <w:tcPr>
            <w:tcW w:w="6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r>
      <w:tr>
        <w:trPr>
          <w:trHeight w:val="219"/>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1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r>
      <w:tr>
        <w:trPr>
          <w:trHeight w:val="207"/>
        </w:trPr>
        <w:tc>
          <w:tcPr>
            <w:tcW w:w="6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34,456</w:t>
            </w:r>
          </w:p>
        </w:tc>
        <w:tc>
          <w:tcPr>
            <w:tcW w:w="1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20,138</w:t>
            </w: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(29,346)</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(36,544)</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6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(29,532)</w:t>
            </w:r>
          </w:p>
        </w:tc>
        <w:tc>
          <w:tcPr>
            <w:tcW w:w="1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(36,605)</w:t>
            </w:r>
          </w:p>
        </w:tc>
      </w:tr>
      <w:tr>
        <w:trPr>
          <w:trHeight w:val="19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174,500</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borrowings on revolving credit facility</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2"/>
        </w:trPr>
        <w:tc>
          <w:tcPr>
            <w:tcW w:w="67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r>
      <w:tr>
        <w:trPr>
          <w:trHeight w:val="213"/>
        </w:trPr>
        <w:tc>
          <w:tcPr>
            <w:tcW w:w="67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(14,705)</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3"/>
        </w:trPr>
        <w:tc>
          <w:tcPr>
            <w:tcW w:w="6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21,246</w:t>
            </w:r>
          </w:p>
        </w:tc>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33,312</w:t>
            </w:r>
          </w:p>
        </w:tc>
      </w:tr>
      <w:tr>
        <w:trPr>
          <w:trHeight w:val="237"/>
        </w:trPr>
        <w:tc>
          <w:tcPr>
            <w:tcW w:w="67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23,565</w:t>
            </w:r>
          </w:p>
        </w:tc>
        <w:tc>
          <w:tcPr>
            <w:tcW w:w="1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6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9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6"/>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26,821</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operating lease assets and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finance lease assets and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liabilities from acquisition of property, fixtures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bl>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32 states operating under the “First Watch” trade name, which are focused on made-to-order breakfast, brunch and lunch. The Company does not operate outside of the United States and all of its assets are located in the United States. As of March 29, 2026, the Company operated 572 company-owned restaurants and had 76 franchise-owned restaurants.</w:t>
      </w:r>
    </w:p>
    <w:p>
      <w:pPr>
        <w:spacing w:after="0" w:line="284" w:lineRule="exact"/>
        <w:rPr>
          <w:sz w:val="20"/>
          <w:szCs w:val="20"/>
          <w:color w:val="auto"/>
        </w:rPr>
      </w:pPr>
    </w:p>
    <w:p>
      <w:pPr>
        <w:ind w:right="7540" w:firstLine="8"/>
        <w:spacing w:after="0" w:line="377"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quarters ended March 29, 2026 and March 30, 2025 were 13-week periods. These unaudited interim consolidated financial statements (“these financial statements”) include only the information and notes required for interim financial statements by generally accepted accounting principles in the United States of America (“GAAP”) and the Securities and Exchange Commission (“SEC”) and should be read in conjunction with the audited consolidated financial statements and notes thereto included in the Company’s Annual Report on Form 10-K as of and for the year ended December 28, 2025 (“2025 Form 10</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K”).</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financial statements have been prepared on the same basis as those presented in the 2025 Form 10-K and include all adjustments necessary for fair presentation of the quarterly periods presented. The quarterly results of operations are not necessarily indicative of the expected results for other quarters or the entire fiscal year. Preparation of financial statements requires Management to make estimates and assumptions that affect the reported assets and liabilities and disclosure of contingent assets and liabilities at the date of the financial statements and the reported amounts of revenues and expenses for the reporting periods. Actual results could differ materially from the estimates.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deposits and other current assets, and other current liabilities approximate their fair values due to their short-term maturities.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element of the Company’s interest rate risk management strategy, Management uses interest rate swaps. The intent of these instruments is to reduce cash flow exposure to variability in future interest rates on the Company’s debt. Management has elected to designate and qualify the interest rate swaps as cash flow hedges. As such, the instruments are recorded on the consolidated balance sheets at fair value. Thereafter, gains or losses on the instruments are recognized in equity as changes to Other Comprehensive Income (Loss) and subsequently reclassified into earnings at the time of the Company’s debt interest payments.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Comprehensive Income - Expense Disaggregation Disclosures, </w:t>
      </w:r>
      <w:r>
        <w:rPr>
          <w:rFonts w:ascii="Times New Roman" w:cs="Times New Roman" w:eastAsia="Times New Roman" w:hAnsi="Times New Roman"/>
          <w:sz w:val="18"/>
          <w:szCs w:val="18"/>
          <w:color w:val="auto"/>
        </w:rPr>
        <w:t>which establishes new disclosure requirements related to purchases of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compensation, selling expenses, depreciation and intangible amortization. The new guidance is effective for fiscal years beginning after December 15, 2026, and interim periods beginning after December 15, 2027, and should be applied on a prospective basis with the option to apply the standard retrospectively. Early adoption is permitted. Management is currently evaluating the impact of this new standard.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which updates the accounting for internal-use software by replacing stage-based rules with a principles-based framework, clarifying the criteria for capitalization and merging website development cost guidance. The amendments in this update are effective for annual periods beginning after December 15, 2027, and interim reporting periods within those annual reporting periods. The update may be applied prospectively, retrospectively, or on a modified transition basis based on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NOTES TO CONSOLIDATED FINANCIAL STATEMENTS (continued)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status of the project and whether software costs were capitalized before the date of adoption. Management is currently evaluating the impact of this new standard.</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Hedge Accounting Improvements</w:t>
      </w:r>
      <w:r>
        <w:rPr>
          <w:rFonts w:ascii="Times New Roman" w:cs="Times New Roman" w:eastAsia="Times New Roman" w:hAnsi="Times New Roman"/>
          <w:sz w:val="18"/>
          <w:szCs w:val="18"/>
          <w:color w:val="auto"/>
        </w:rPr>
        <w:t>, which includes amendments to more closely align hedge accounting with the economics of the Company’s risk management activities. The amendments in this update are effective for annual periods beginning after December 15, 2026, and interim reporting periods within those annual reporting periods. Early adoption is permitted. Management is currently evaluating the impact of this new standard.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Narrow-Scope Improvements</w:t>
      </w:r>
      <w:r>
        <w:rPr>
          <w:rFonts w:ascii="Times New Roman" w:cs="Times New Roman" w:eastAsia="Times New Roman" w:hAnsi="Times New Roman"/>
          <w:sz w:val="18"/>
          <w:szCs w:val="18"/>
          <w:color w:val="auto"/>
        </w:rPr>
        <w:t>, which makes targeted, narrow scope improvements to interim reporting to clarify application and improve consistency in practice. The amendments in this update are effective for interim reporting periods within annual reporting periods beginning after December 15, 2027. Early adoption is permitted. Management is currently evaluating the impact of this new standard.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or did not have, or is not expected to have, a material impact to the Company.</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80" w:type="dxa"/>
            <w:vAlign w:val="bottom"/>
          </w:tcPr>
          <w:p>
            <w:pPr>
              <w:spacing w:after="0"/>
              <w:rPr>
                <w:sz w:val="18"/>
                <w:szCs w:val="18"/>
                <w:color w:val="auto"/>
              </w:rPr>
            </w:pPr>
          </w:p>
        </w:tc>
        <w:tc>
          <w:tcPr>
            <w:tcW w:w="19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98"/>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r>
      <w:tr>
        <w:trPr>
          <w:trHeight w:val="213"/>
        </w:trPr>
        <w:tc>
          <w:tcPr>
            <w:tcW w:w="6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265,722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226,727</w:t>
            </w:r>
          </w:p>
        </w:tc>
      </w:tr>
      <w:tr>
        <w:trPr>
          <w:trHeight w:val="21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32,005</w:t>
            </w:r>
          </w:p>
        </w:tc>
      </w:tr>
      <w:tr>
        <w:trPr>
          <w:trHeight w:val="213"/>
        </w:trPr>
        <w:tc>
          <w:tcPr>
            <w:tcW w:w="6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20,859</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279,591</w:t>
            </w:r>
          </w:p>
        </w:tc>
      </w:tr>
      <w:tr>
        <w:trPr>
          <w:trHeight w:val="239"/>
        </w:trPr>
        <w:tc>
          <w:tcPr>
            <w:tcW w:w="6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3"/>
        </w:trPr>
        <w:tc>
          <w:tcPr>
            <w:tcW w:w="6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r>
      <w:tr>
        <w:trPr>
          <w:trHeight w:val="21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w:t>
            </w:r>
          </w:p>
        </w:tc>
      </w:tr>
      <w:tr>
        <w:trPr>
          <w:trHeight w:val="237"/>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282,240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19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6,778</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w:t>
            </w: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NOTES TO CONSOLIDATED FINANCIAL STATEMENTS (continued)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98"/>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r>
      <w:tr>
        <w:trPr>
          <w:trHeight w:val="21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r>
      <w:tr>
        <w:trPr>
          <w:trHeight w:val="213"/>
        </w:trPr>
        <w:tc>
          <w:tcPr>
            <w:tcW w:w="7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2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12"/>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1"/>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9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2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r>
      <w:tr>
        <w:trPr>
          <w:trHeight w:val="21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7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2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8"/>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24"/>
                <w:szCs w:val="24"/>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vendors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2"/>
        </w:trPr>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6,859</w:t>
            </w: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11,588</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8,806</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liabilities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6,361</w:t>
            </w:r>
          </w:p>
        </w:tc>
      </w:tr>
      <w:tr>
        <w:trPr>
          <w:trHeight w:val="237"/>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NOTES TO CONSOLIDATED FINANCIAL STATEMENTS (continued)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2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21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208,813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211,625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6.54%</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56,500</w:t>
            </w:r>
          </w:p>
        </w:tc>
        <w:tc>
          <w:tcPr>
            <w:tcW w:w="17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56,000</w:t>
            </w:r>
          </w:p>
        </w:tc>
        <w:tc>
          <w:tcPr>
            <w:tcW w:w="17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7.17%</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deferred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07"/>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debt, net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282,103</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282,380</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(13,309)</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2"/>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268,744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269,071</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FWR Holding Corporation (“FWR”), a subsidiary of the Company, is the borrower under the credit agreement dated October 6, 2021, the terms of which were amended on February 24, 2023 and January 5, 2024, which provides for (i) a $225.0 million term loan A facility and delayed draw facility (the “Term Facilities”) and (ii) a $125.0 million revolving credit facility (the “Revolving Credit Facility” and, collectively with the Term Facilities, the “Credit Facility”). The Credit Facility matures on January 5, 2029.</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March 29, 2026, borrowings under the Credit Facility bear interest at the option of FWR at either (i) the alternate base rate plus a margin of between 150 and 225 basis points depending on the total rent adjusted net leverage ratio of FWR and its restricted subsidiaries on a consolidated basis (the “Total Rent Adjusted Net Leverage Ratio”) or (ii) the secured overnight financing rate (“SOFR”), plus a credit spread adjustment of 10 basis points plus a margin of between 250 and 325 basis points depending on the Total Rent Adjusted Net Leverage Ratio. Additionally, an unused commitment fee of between 37.5 and 50 basis points is paid on the undrawn commitments under the Revolving Credit Facility, also depending on the Total Rent Adjusted Net Leverage Ratio. Refer to Note 7,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for information about the Company’s variable-to-fixed interest rate swap agreements.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dates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60" w:type="dxa"/>
            <w:vAlign w:val="bottom"/>
          </w:tcPr>
          <w:p>
            <w:pPr>
              <w:spacing w:after="0"/>
              <w:rPr>
                <w:sz w:val="18"/>
                <w:szCs w:val="18"/>
                <w:color w:val="auto"/>
              </w:rPr>
            </w:pPr>
          </w:p>
        </w:tc>
        <w:tc>
          <w:tcPr>
            <w:tcW w:w="284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21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Facilities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208,813</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207,051</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211,625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210,860</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55,761</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is guaranteed by all of FWR’s wholly-owned domestic restricted subsidiaries, subject to customary exceptions, and by AI Fresh Parent, Inc., a Delaware corporation and the direct parent company of FWR (“Holdings”), and is secured by associated collateral agreements that pledge a lien on substantially all of FWR’s and each guarantor’s assets, including fixed assets and intangible assets, in each case, subject to customary exceptions.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Credit Agreement, FWR (and in certain circumstances, Holdings) and its restricted subsidiaries are subject to customary affirmative, negative and financial covenants, maintenance of certain ratios, restrictions on additional indebtedness and events of default for facilities of this type (with customary grace periods, as applicable, and lender remedies). FWR was in compliance with the covenants under the Credit Agreement as of March 29, 2026.</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Interest Rate Swaps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swaps are utilized to hedge a portion of the cash flows of the Company’s variable rate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NOTES TO CONSOLIDATED FINANCIAL STATEMENTS (continued)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23, 2023, the Company entered into two variable-to-fixed interest rate swaps. These interest rate swaps have an aggregate notional amount of $90.0 million and mature on October 6, 2026. Under the terms of these interest rate swaps, the Company will pay a weighted average fixed rate of 4.16% on the notional amount and will receive payments from, or make payments to, the counterparties based on the three-month SOFR 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the Company entered into two additional variable-to-fixed interest rate swaps. These interest rate swaps have an aggregate notional amount of $60.0 million and mature on June 30, 2027. Under the terms of these interest rate swaps, the Company will pay a weighted average fixed rate of 4.42% on the notional amount and will receive payments from, or make payments to, the counterparties based on the three-month SOFR rate.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 of the interest rate swaps was based on the contractual terms and used observable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Company has determined that the impact of the credit valuation adjustments was not significant to the overall valuation. As a result, the derivatives were classified within Level 2 of the fair value hierarchy.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reported in Other comprehensive income (loss) related to the interest rate swaps will be reclassified to interest expense as interest payments are made on the Company’s variable-rate debt. During the thirteen weeks ended March 29, 2026, a total of $0.2 million was reclassified from Other comprehensive income (loss) as an increase to interest expense. Over the next 12 months, Management estimates that $0.6 million will be reclassified as an increase to interest expense.</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 Classification</w:t>
            </w:r>
          </w:p>
        </w:tc>
        <w:tc>
          <w:tcPr>
            <w:tcW w:w="1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80" w:type="dxa"/>
            <w:vAlign w:val="bottom"/>
          </w:tcPr>
          <w:p>
            <w:pPr>
              <w:spacing w:after="0"/>
              <w:rPr>
                <w:sz w:val="18"/>
                <w:szCs w:val="18"/>
                <w:color w:val="auto"/>
              </w:rPr>
            </w:pPr>
          </w:p>
        </w:tc>
        <w:tc>
          <w:tcPr>
            <w:tcW w:w="1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21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 - current</w:t>
            </w:r>
          </w:p>
        </w:tc>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614,548</w:t>
            </w:r>
          </w:p>
        </w:tc>
      </w:tr>
      <w:tr>
        <w:trPr>
          <w:trHeight w:val="21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w:t>
            </w:r>
          </w:p>
        </w:tc>
      </w:tr>
      <w:tr>
        <w:trPr>
          <w:trHeight w:val="207"/>
        </w:trPr>
        <w:tc>
          <w:tcPr>
            <w:tcW w:w="3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644,133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625,398</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6"/>
        </w:trPr>
        <w:tc>
          <w:tcPr>
            <w:tcW w:w="330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6"/>
        </w:trPr>
        <w:tc>
          <w:tcPr>
            <w:tcW w:w="33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lease liabilities - current</w:t>
            </w:r>
            <w:r>
              <w:rPr>
                <w:rFonts w:ascii="Times New Roman" w:cs="Times New Roman" w:eastAsia="Times New Roman" w:hAnsi="Times New Roman"/>
                <w:sz w:val="21"/>
                <w:szCs w:val="21"/>
                <w:color w:val="auto"/>
                <w:vertAlign w:val="superscript"/>
              </w:rPr>
              <w:t>(1)</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75,034</w:t>
            </w: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651,254</w:t>
            </w:r>
          </w:p>
        </w:tc>
      </w:tr>
      <w:tr>
        <w:trPr>
          <w:trHeight w:val="216"/>
        </w:trPr>
        <w:tc>
          <w:tcPr>
            <w:tcW w:w="33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Finance lease liabilities - current</w:t>
            </w:r>
            <w:r>
              <w:rPr>
                <w:rFonts w:ascii="Times New Roman" w:cs="Times New Roman" w:eastAsia="Times New Roman" w:hAnsi="Times New Roman"/>
                <w:sz w:val="21"/>
                <w:szCs w:val="21"/>
                <w:color w:val="auto"/>
                <w:vertAlign w:val="superscript"/>
              </w:rPr>
              <w:t>(1)</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r>
      <w:tr>
        <w:trPr>
          <w:trHeight w:val="21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10,847</w:t>
            </w:r>
          </w:p>
        </w:tc>
      </w:tr>
      <w:tr>
        <w:trPr>
          <w:trHeight w:val="212"/>
        </w:trPr>
        <w:tc>
          <w:tcPr>
            <w:tcW w:w="3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763,409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739,194</w:t>
            </w:r>
          </w:p>
        </w:tc>
      </w:tr>
      <w:tr>
        <w:trPr>
          <w:trHeight w:val="20"/>
        </w:trPr>
        <w:tc>
          <w:tcPr>
            <w:tcW w:w="3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NOTES TO CONSOLIDATED FINANCIAL STATEMENTS (continued)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52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Consolidated Statements of Operations and</w:t>
            </w:r>
          </w:p>
        </w:tc>
        <w:tc>
          <w:tcPr>
            <w:tcW w:w="220" w:type="dxa"/>
            <w:vAlign w:val="bottom"/>
          </w:tcPr>
          <w:p>
            <w:pPr>
              <w:spacing w:after="0"/>
              <w:rPr>
                <w:sz w:val="12"/>
                <w:szCs w:val="12"/>
                <w:color w:val="auto"/>
              </w:rPr>
            </w:pPr>
          </w:p>
        </w:tc>
        <w:tc>
          <w:tcPr>
            <w:tcW w:w="1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2"/>
                <w:szCs w:val="12"/>
                <w:color w:val="auto"/>
              </w:rPr>
            </w:pPr>
          </w:p>
        </w:tc>
        <w:tc>
          <w:tcPr>
            <w:tcW w:w="16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0" w:type="dxa"/>
            <w:vAlign w:val="bottom"/>
          </w:tcPr>
          <w:p>
            <w:pPr>
              <w:spacing w:after="0"/>
              <w:rPr>
                <w:sz w:val="1"/>
                <w:szCs w:val="1"/>
                <w:color w:val="auto"/>
              </w:rPr>
            </w:pPr>
          </w:p>
        </w:tc>
      </w:tr>
      <w:tr>
        <w:trPr>
          <w:trHeight w:val="214"/>
        </w:trPr>
        <w:tc>
          <w:tcPr>
            <w:tcW w:w="3820" w:type="dxa"/>
            <w:vAlign w:val="bottom"/>
            <w:vMerge w:val="continue"/>
          </w:tcPr>
          <w:p>
            <w:pPr>
              <w:spacing w:after="0"/>
              <w:rPr>
                <w:sz w:val="18"/>
                <w:szCs w:val="18"/>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 Classification</w:t>
            </w:r>
          </w:p>
        </w:tc>
        <w:tc>
          <w:tcPr>
            <w:tcW w:w="2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820" w:type="dxa"/>
            <w:vAlign w:val="bottom"/>
            <w:tcBorders>
              <w:top w:val="single" w:sz="8" w:color="CCEEFF"/>
            </w:tcBorders>
            <w:shd w:val="clear" w:color="auto" w:fill="CCEEFF"/>
          </w:tcPr>
          <w:p>
            <w:pPr>
              <w:spacing w:after="0"/>
              <w:rPr>
                <w:sz w:val="13"/>
                <w:szCs w:val="13"/>
                <w:color w:val="auto"/>
              </w:rPr>
            </w:pPr>
          </w:p>
        </w:tc>
        <w:tc>
          <w:tcPr>
            <w:tcW w:w="342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5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Pre-opening expenses</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22,975</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19,630</w:t>
            </w:r>
          </w:p>
        </w:tc>
        <w:tc>
          <w:tcPr>
            <w:tcW w:w="0" w:type="dxa"/>
            <w:vAlign w:val="bottom"/>
          </w:tcPr>
          <w:p>
            <w:pPr>
              <w:spacing w:after="0"/>
              <w:rPr>
                <w:sz w:val="1"/>
                <w:szCs w:val="1"/>
                <w:color w:val="auto"/>
              </w:rPr>
            </w:pPr>
          </w:p>
        </w:tc>
      </w:tr>
      <w:tr>
        <w:trPr>
          <w:trHeight w:val="216"/>
        </w:trPr>
        <w:tc>
          <w:tcPr>
            <w:tcW w:w="3820" w:type="dxa"/>
            <w:vAlign w:val="bottom"/>
            <w:vMerge w:val="continue"/>
            <w:shd w:val="clear" w:color="auto" w:fill="CCEEFF"/>
          </w:tcPr>
          <w:p>
            <w:pPr>
              <w:spacing w:after="0"/>
              <w:rPr>
                <w:sz w:val="18"/>
                <w:szCs w:val="18"/>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35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Food and beverage costs</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35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0" w:type="dxa"/>
            <w:vAlign w:val="bottom"/>
          </w:tcPr>
          <w:p>
            <w:pPr>
              <w:spacing w:after="0"/>
              <w:rPr>
                <w:sz w:val="1"/>
                <w:szCs w:val="1"/>
                <w:color w:val="auto"/>
              </w:rPr>
            </w:pPr>
          </w:p>
        </w:tc>
      </w:tr>
      <w:tr>
        <w:trPr>
          <w:trHeight w:val="213"/>
        </w:trPr>
        <w:tc>
          <w:tcPr>
            <w:tcW w:w="3820" w:type="dxa"/>
            <w:vAlign w:val="bottom"/>
            <w:vMerge w:val="continue"/>
          </w:tcPr>
          <w:p>
            <w:pPr>
              <w:spacing w:after="0"/>
              <w:rPr>
                <w:sz w:val="18"/>
                <w:szCs w:val="18"/>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expense:</w:t>
            </w:r>
          </w:p>
        </w:tc>
        <w:tc>
          <w:tcPr>
            <w:tcW w:w="3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2"/>
        </w:trPr>
        <w:tc>
          <w:tcPr>
            <w:tcW w:w="3820" w:type="dxa"/>
            <w:vAlign w:val="bottom"/>
          </w:tcPr>
          <w:p>
            <w:pPr>
              <w:ind w:left="360"/>
              <w:spacing w:after="0" w:line="213"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1"/>
                <w:szCs w:val="21"/>
                <w:color w:val="auto"/>
                <w:vertAlign w:val="superscript"/>
              </w:rPr>
              <w:t>(1)</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25,101</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contingent rent expense of $0.5 million during the thirteen week periods ended March 29, 2026 and March 30, 2025.</w:t>
      </w:r>
    </w:p>
    <w:p>
      <w:pPr>
        <w:spacing w:after="0" w:line="10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80" w:type="dxa"/>
            <w:vAlign w:val="bottom"/>
          </w:tcPr>
          <w:p>
            <w:pPr>
              <w:spacing w:after="0"/>
              <w:rPr>
                <w:sz w:val="18"/>
                <w:szCs w:val="18"/>
                <w:color w:val="auto"/>
              </w:rPr>
            </w:pPr>
          </w:p>
        </w:tc>
        <w:tc>
          <w:tcPr>
            <w:tcW w:w="1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98"/>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16,373</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0"/>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16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6"/>
          <w:szCs w:val="16"/>
          <w:b w:val="1"/>
          <w:bCs w:val="1"/>
          <w:color w:val="auto"/>
        </w:rPr>
        <w:t>THIRTEEN WEEKS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40" w:type="dxa"/>
            <w:vAlign w:val="bottom"/>
            <w:tcBorders>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9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213"/>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9"/>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6"/>
        </w:trPr>
        <w:tc>
          <w:tcPr>
            <w:tcW w:w="8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10"/>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NOTES TO CONSOLIDATED FINANCIAL STATEMENTS (continued)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7860" w:firstLine="8"/>
        <w:spacing w:after="0" w:line="378" w:lineRule="auto"/>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Stock-Based Compensation Stock option awards</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stock option awards granted during the thirteen weeks ended March 29, 2026. A summary of stock option activity during the thirteen weeks ended March 29, 2026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6"/>
                <w:szCs w:val="16"/>
                <w:color w:val="auto"/>
              </w:rPr>
            </w:pPr>
          </w:p>
        </w:tc>
        <w:tc>
          <w:tcPr>
            <w:tcW w:w="1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PER</w:t>
            </w:r>
          </w:p>
        </w:tc>
        <w:tc>
          <w:tcPr>
            <w:tcW w:w="140" w:type="dxa"/>
            <w:vAlign w:val="bottom"/>
          </w:tcPr>
          <w:p>
            <w:pPr>
              <w:spacing w:after="0"/>
              <w:rPr>
                <w:sz w:val="14"/>
                <w:szCs w:val="14"/>
                <w:color w:val="auto"/>
              </w:rPr>
            </w:pPr>
          </w:p>
        </w:tc>
        <w:tc>
          <w:tcPr>
            <w:tcW w:w="17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28, 2025</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3,577,374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20,614</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(9,051)</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29, 2026</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3,568,323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8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March 29, 2026</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3,568,323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8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the Nasdaq Global Select Market on the last trading day of the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the thirteen weeks ended March 29, 2026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24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DATE FAIR VALUE PER</w:t>
            </w:r>
          </w:p>
        </w:tc>
        <w:tc>
          <w:tcPr>
            <w:tcW w:w="0" w:type="dxa"/>
            <w:vAlign w:val="bottom"/>
          </w:tcPr>
          <w:p>
            <w:pPr>
              <w:spacing w:after="0"/>
              <w:rPr>
                <w:sz w:val="1"/>
                <w:szCs w:val="1"/>
                <w:color w:val="auto"/>
              </w:rPr>
            </w:pPr>
          </w:p>
        </w:tc>
      </w:tr>
      <w:tr>
        <w:trPr>
          <w:trHeight w:val="214"/>
        </w:trPr>
        <w:tc>
          <w:tcPr>
            <w:tcW w:w="624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28, 2025</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March 29, 2026</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thirteen weeks ended March 29, 2026, a total of 1,005,581 restricted stock units (“RSUs”) were granted. Of these RSUs, 896,026 will vest ratably over a period of three years, with one-third vesting on each anniversary of the grant date; 9,302 will vest in full one year from the grant date; and 94,636 will vest in full three years from the grant date. Of the remaining 5,617 RSUs, 25% of such RSUs will vest one year from the grant date, 25% will vest two years from the grant date and 50% will vest three years from the grant date.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during the thirteen weeks ended March 29, 2026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200" w:type="dxa"/>
            <w:vAlign w:val="bottom"/>
          </w:tcPr>
          <w:p>
            <w:pPr>
              <w:spacing w:after="0"/>
              <w:rPr>
                <w:sz w:val="16"/>
                <w:szCs w:val="16"/>
                <w:color w:val="auto"/>
              </w:rPr>
            </w:pPr>
          </w:p>
        </w:tc>
        <w:tc>
          <w:tcPr>
            <w:tcW w:w="23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25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w w:val="96"/>
              </w:rPr>
              <w:t>VALUE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200" w:type="dxa"/>
            <w:vAlign w:val="bottom"/>
          </w:tcPr>
          <w:p>
            <w:pPr>
              <w:spacing w:after="0"/>
              <w:rPr>
                <w:sz w:val="18"/>
                <w:szCs w:val="18"/>
                <w:color w:val="auto"/>
              </w:rPr>
            </w:pPr>
          </w:p>
        </w:tc>
        <w:tc>
          <w:tcPr>
            <w:tcW w:w="23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28, 2025</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2,010,917</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31,994</w:t>
            </w:r>
          </w:p>
        </w:tc>
        <w:tc>
          <w:tcPr>
            <w:tcW w:w="0" w:type="dxa"/>
            <w:vAlign w:val="bottom"/>
          </w:tcPr>
          <w:p>
            <w:pPr>
              <w:spacing w:after="0"/>
              <w:rPr>
                <w:sz w:val="1"/>
                <w:szCs w:val="1"/>
                <w:color w:val="auto"/>
              </w:rPr>
            </w:pPr>
          </w:p>
        </w:tc>
      </w:tr>
      <w:tr>
        <w:trPr>
          <w:trHeight w:val="213"/>
        </w:trPr>
        <w:tc>
          <w:tcPr>
            <w:tcW w:w="3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1,005,581</w:t>
            </w:r>
          </w:p>
        </w:tc>
        <w:tc>
          <w:tcPr>
            <w:tcW w:w="118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(79,553)</w:t>
            </w:r>
          </w:p>
        </w:tc>
        <w:tc>
          <w:tcPr>
            <w:tcW w:w="118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(484,126)</w:t>
            </w:r>
          </w:p>
        </w:tc>
        <w:tc>
          <w:tcPr>
            <w:tcW w:w="1180" w:type="dxa"/>
            <w:vAlign w:val="bottom"/>
            <w:tcBorders>
              <w:bottom w:val="single" w:sz="8" w:color="CCEEFF"/>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29, 2026</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2,452,819</w:t>
            </w:r>
          </w:p>
        </w:tc>
        <w:tc>
          <w:tcPr>
            <w:tcW w:w="1180" w:type="dxa"/>
            <w:vAlign w:val="bottom"/>
            <w:tcBorders>
              <w:bottom w:val="single" w:sz="8" w:color="CCEEFF"/>
            </w:tcBorders>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closing price of the Company’s common stock on Nasdaq of $10.31 and $15.91 on March 27, 2026 and December 26, 2025, the last trading days of the periods,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net of amounts capitalized, was $3.4 million and $2.3 million during the thirteen weeks ended March 29, 2026 and March 30, 2025, respectively. Capitalized stock-based compensation included in property, fixtures and equipment totaled $0.1 million for the thirteen weeks ended March 29,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NOTES TO CONSOLIDATED FINANCIAL STATEMENTS (continued)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March 29, 2026: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4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UNRECOGNIZED STOCK-BASED</w:t>
            </w:r>
          </w:p>
        </w:tc>
        <w:tc>
          <w:tcPr>
            <w:tcW w:w="37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REMAINING WEIGHTED AVERAGE</w:t>
            </w:r>
          </w:p>
        </w:tc>
      </w:tr>
      <w:tr>
        <w:trPr>
          <w:trHeight w:val="162"/>
        </w:trPr>
        <w:tc>
          <w:tcPr>
            <w:tcW w:w="2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40" w:type="dxa"/>
            <w:vAlign w:val="bottom"/>
          </w:tcPr>
          <w:p>
            <w:pPr>
              <w:jc w:val="center"/>
              <w:ind w:right="499"/>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EXPENSE</w:t>
            </w:r>
          </w:p>
        </w:tc>
        <w:tc>
          <w:tcPr>
            <w:tcW w:w="370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RECOGNITION PERIOD</w:t>
            </w:r>
          </w:p>
        </w:tc>
      </w:tr>
      <w:tr>
        <w:trPr>
          <w:trHeight w:val="214"/>
        </w:trPr>
        <w:tc>
          <w:tcPr>
            <w:tcW w:w="2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540" w:type="dxa"/>
            <w:vAlign w:val="bottom"/>
          </w:tcPr>
          <w:p>
            <w:pPr>
              <w:jc w:val="center"/>
              <w:ind w:right="5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70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years)</w:t>
            </w: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33,737</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2026, all stock options were fully vested and there were no unvested stock options outstanding.</w:t>
      </w:r>
    </w:p>
    <w:p>
      <w:pPr>
        <w:spacing w:after="0" w:line="37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10.</w:t>
        <w:tab/>
        <w:t>Income Taxes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80" w:type="dxa"/>
            <w:vAlign w:val="bottom"/>
          </w:tcPr>
          <w:p>
            <w:pPr>
              <w:spacing w:after="0"/>
              <w:rPr>
                <w:sz w:val="18"/>
                <w:szCs w:val="18"/>
                <w:color w:val="auto"/>
              </w:rPr>
            </w:pPr>
          </w:p>
        </w:tc>
        <w:tc>
          <w:tcPr>
            <w:tcW w:w="16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11"/>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(1,537)</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708</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46.1 %</w:t>
            </w: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accounts for income taxes in interim periods using an estimated annual effective tax rate, adjusted for discrete items recognized during the period. For the thirteen weeks ended March 29, 2026 the Company recorded an income tax benefit. The income tax benefit reflects the application of the estimated annual effective tax rate to the Company’s loss before income taxes for the period, partially offset by discrete tax items, which include the impact of executive stock-based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Discrete items recorded during the thirteen weeks ended March 30, 2025 were immaterial.</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thirteen weeks ended March 29, 2026 differed from the prior year period primarily due to the changes in loss before income taxes, the benefit of federal tax credits for FICA taxes paid on certain employee tips, and the impact of executive compensation.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routinely assess the realizability of deferred tax assets, and may record a valuation allowance if, based on all available positive and negative evidence, the determination is reached that some portion of the deferred tax assets may not be realized prior to expiration. If we determine that the Company may be able to realize the deferred tax assets in the future, we would make an adjustment to the deferred tax assets valuation allowance, which would reduce the provision for income taxes during the period in which the determination was made. As of the period ended March 29, 2026 based upon all available evidence, Management has maintained a valuation allowance against a portion of the deferred tax assets.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Company’s future taxable earnings increase and the deferred tax assets are utilized, it is possible that a portion of the valuation allowance will no longer be needed. Release of any valuation allowance would result in the recognition of certain deferred tax assets and a decrease to income tax expense in the period of the release. The timing and amount of any release related to future taxable income is currently indeterminable.</w:t>
      </w:r>
    </w:p>
    <w:p>
      <w:pPr>
        <w:spacing w:after="0" w:line="280" w:lineRule="exact"/>
        <w:rPr>
          <w:sz w:val="20"/>
          <w:szCs w:val="20"/>
          <w:color w:val="auto"/>
        </w:rPr>
      </w:pPr>
    </w:p>
    <w:p>
      <w:pPr>
        <w:ind w:right="8280" w:firstLine="8"/>
        <w:spacing w:after="0" w:line="378" w:lineRule="auto"/>
        <w:tabs>
          <w:tab w:leader="none" w:pos="39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anticipated liability with respect to these matters was not material as of March 29, 2026. In the event any litigation losses become probable and estimable, the Company will recognize anticipated losses.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determined the Company’s single operating segment on the basis that the Company’s Chief Operating Decision Maker (the “CODM”), the Chief Executive Officer, assesses performance and allocates resources at the Company’s consolidated level. The Company’s CODM uses consolidated net income (loss) to evaluate performance and make key operating decisions, such as investments in our long-term growth strategy. This measure is also used to monitor budget against actual results.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NOTES TO CONSOLIDATED FINANCIAL STATEMENTS (continued)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derived from sales of food and beverage, net of discounts, by our restaurants as well as franchise royalty, system fund and initial franchise fees. The measure of total assets for the reporting segment is reported on the consolidated balance sheets as total assets. The measure of capital expenditures for the reporting segment is reported on the consolidated statements of cash flows as total capital expenditures.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consolidated net loss for the segment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6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11"/>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282,240</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66,647</w:t>
            </w: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96,754</w:t>
            </w: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44,259</w:t>
            </w: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23,149</w:t>
            </w: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amounts capitalized</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r>
      <w:tr>
        <w:trPr>
          <w:trHeight w:val="219"/>
        </w:trPr>
        <w:tc>
          <w:tcPr>
            <w:tcW w:w="7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General and administrative expenses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27,960</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16,557</w:t>
            </w:r>
          </w:p>
        </w:tc>
      </w:tr>
      <w:tr>
        <w:trPr>
          <w:trHeight w:val="219"/>
        </w:trPr>
        <w:tc>
          <w:tcPr>
            <w:tcW w:w="77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37"/>
        </w:trPr>
        <w:tc>
          <w:tcPr>
            <w:tcW w:w="7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expenses excludes stock-based compensation, net of amounts capitalized, which is presented separately.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included in segment net loss include transaction and restructuring expenses, net and impairments and loss on disposal of assets.</w:t>
      </w:r>
    </w:p>
    <w:p>
      <w:pPr>
        <w:spacing w:after="0" w:line="3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Net Loss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loss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24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40" w:type="dxa"/>
            <w:vAlign w:val="bottom"/>
          </w:tcPr>
          <w:p>
            <w:pPr>
              <w:spacing w:after="0"/>
              <w:rPr>
                <w:sz w:val="18"/>
                <w:szCs w:val="18"/>
                <w:color w:val="auto"/>
              </w:rPr>
            </w:pPr>
          </w:p>
        </w:tc>
        <w:tc>
          <w:tcPr>
            <w:tcW w:w="17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98"/>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4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71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61,243,494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60,767,401</w:t>
            </w:r>
          </w:p>
        </w:tc>
      </w:tr>
      <w:tr>
        <w:trPr>
          <w:trHeight w:val="219"/>
        </w:trPr>
        <w:tc>
          <w:tcPr>
            <w:tcW w:w="7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61,243,494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60,767,401</w:t>
            </w: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common share - 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common share - 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outstanding not included in diluted net loss per common share as their effect is anti-dilutive</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12,552</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 outstanding not included in diluted net loss per share as their effect is anti-dilutive</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Diluted net loss per common share is calculated by adjusting the weighted average shares outstanding for the theoretical effect of potential common shares that would be issued for stock awards outstanding and unvested as of the respective periods using the treasury method.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7" w:lineRule="exact"/>
        <w:rPr>
          <w:sz w:val="20"/>
          <w:szCs w:val="20"/>
          <w:color w:val="auto"/>
        </w:rPr>
      </w:pPr>
    </w:p>
    <w:p>
      <w:pPr>
        <w:jc w:val="both"/>
        <w:ind w:left="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these consolidated financial statements and notes thereto included in Part I, Item 1 of this Form 10-Q and our audited consolidated financial statements and notes included in our 2025 Form 10-K. As discussed in the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in our 2025 Form 10-K, including under “Item 1A. Risk Factors” and “Item 7. Management’s Discussion and Analysis of Financial Condition and Results of Operations” and in “Part II, Item 1A. Risk Factors” of this Form 10-Q.</w:t>
      </w: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 xml:space="preserve">First Watch is an award-winning Daytime Dining concept serving made-to-order breakfast, brunch and lunch using fresh ingredients. Our common stock trades on Nasdaq under the ticker symbol “FWRG”. A recipient of many local “Best Breakfast” and “Best Brunch” accolades, First Watch’s award-winning chef-driven menu includes elevated executions of classic favorites for breakfast, brunch and lunch. For four consecutive years, First Watch has been named a Top 100 Most Loved Workplace® by the Best Practice Institute, and in 2025, was named the #1 Most Loved Workplace for the second year in a row, as featured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We operate and franchise restaurants in 32 states under the “First Watch” trade name and as of March 29, 2026, the Company had 572 company-owned restaurants and 76 franchise-owned restaurants.</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80" w:right="20"/>
        <w:spacing w:after="0" w:line="282" w:lineRule="auto"/>
        <w:rPr>
          <w:sz w:val="20"/>
          <w:szCs w:val="20"/>
          <w:color w:val="auto"/>
        </w:rPr>
      </w:pPr>
      <w:r>
        <w:rPr>
          <w:rFonts w:ascii="Times New Roman" w:cs="Times New Roman" w:eastAsia="Times New Roman" w:hAnsi="Times New Roman"/>
          <w:sz w:val="18"/>
          <w:szCs w:val="18"/>
          <w:color w:val="auto"/>
        </w:rPr>
        <w:t>Financial highlights for the thirteen weeks ended March 29, 2026 (“first quarter of 2026”) as compared, unless otherwise indicated below, to the thirteen weeks ended March 30, 2025 (“first quarter of 2025”) reflect the continued momentum of our operating performance and include the following:</w:t>
      </w:r>
    </w:p>
    <w:p>
      <w:pPr>
        <w:spacing w:after="0" w:line="162" w:lineRule="exact"/>
        <w:rPr>
          <w:sz w:val="20"/>
          <w:szCs w:val="20"/>
          <w:color w:val="auto"/>
        </w:rPr>
      </w:pPr>
    </w:p>
    <w:p>
      <w:pPr>
        <w:ind w:left="660" w:hanging="410"/>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16 system-wide restaurants in 11 states, with 1 planned closure, resulting in a total of 648 system-wide restaurants (572 company-owned and 76 franchise-owned) across 32 states as of March 29, 2026</w:t>
      </w:r>
    </w:p>
    <w:p>
      <w:pPr>
        <w:ind w:left="660" w:hanging="410"/>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revenues increased 17.3% to $331.0 million in the first quarter of 2026 from $282.2 million in the first quarter of 2025</w:t>
      </w:r>
    </w:p>
    <w:p>
      <w:pPr>
        <w:spacing w:after="0" w:line="9" w:lineRule="exact"/>
        <w:rPr>
          <w:rFonts w:ascii="Times New Roman" w:cs="Times New Roman" w:eastAsia="Times New Roman" w:hAnsi="Times New Roman"/>
          <w:sz w:val="18"/>
          <w:szCs w:val="18"/>
          <w:b w:val="1"/>
          <w:bCs w:val="1"/>
          <w:color w:val="auto"/>
        </w:rPr>
      </w:pPr>
    </w:p>
    <w:p>
      <w:pPr>
        <w:ind w:left="660" w:hanging="410"/>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System-wide sales increased 13.8% to $367.6 million in the first quarter of 2026 from $323.0 million in the first quarter of 2025</w:t>
      </w:r>
    </w:p>
    <w:p>
      <w:pPr>
        <w:spacing w:after="0" w:line="9" w:lineRule="exact"/>
        <w:rPr>
          <w:rFonts w:ascii="Times New Roman" w:cs="Times New Roman" w:eastAsia="Times New Roman" w:hAnsi="Times New Roman"/>
          <w:sz w:val="18"/>
          <w:szCs w:val="18"/>
          <w:b w:val="1"/>
          <w:bCs w:val="1"/>
          <w:color w:val="auto"/>
        </w:rPr>
      </w:pPr>
    </w:p>
    <w:p>
      <w:pPr>
        <w:ind w:left="660" w:hanging="41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2.8%</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negative 2.0%</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decreased to 0.3% during the first quarter of 2026 from 0.4% in the first quarter of 2025</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 increased to 18.5% in the first quarter of 2026 from 16.5% in the first quarter of 2025</w:t>
      </w:r>
    </w:p>
    <w:p>
      <w:pPr>
        <w:spacing w:after="0" w:line="9" w:lineRule="exact"/>
        <w:rPr>
          <w:rFonts w:ascii="Times New Roman" w:cs="Times New Roman" w:eastAsia="Times New Roman" w:hAnsi="Times New Roman"/>
          <w:sz w:val="18"/>
          <w:szCs w:val="18"/>
          <w:color w:val="auto"/>
        </w:rPr>
      </w:pPr>
    </w:p>
    <w:p>
      <w:pPr>
        <w:ind w:left="660" w:right="20" w:hanging="410"/>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to $(2.7) million, or $(0.04) per diluted share, in the first quarter of 2026 from net loss of $(0.8) million, or $(0.01) per diluted share, in the first quarter of 2025</w:t>
      </w:r>
    </w:p>
    <w:p>
      <w:pPr>
        <w:ind w:left="660" w:hanging="41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$27.8 million in the first quarter of 2026 from $22.8 million in the first quarter of 2025</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left="200" w:hanging="112"/>
        <w:spacing w:after="0"/>
        <w:tabs>
          <w:tab w:leader="none" w:pos="2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2026, we experienced same-restaurant sales growth of 2.8% and same-restaurant traffic growth of negative 2.0%. We expect annual same-restaurant sales growth to be between 1% to 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commodity deflation of 1.6% in the first quarter of 2026, primarily due to lower costs of eggs, avocados, and bacon, partially offset by an increase in the cost of coffee. We expect our full year commodity inflation to be approximately 1% to 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Restaurant-level wage inflation during the first quarter of 2026 was 3.7% and full year inflation is expected to be approximately 3% to 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“Management’s Discussion and Analysis of Financial Condition and Results of Operations,” we discuss the following key operating metrics that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For the thirteen weeks ended March 29, 2026 and March 30, 2025, there were 454 restaurants and 383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year-over-year traffic counts using the Comparable Restaurant Base. Measuring our same-restaurant traffic growth allows Management to evaluate the performance of our existing restaurant base. We believe this measure is useful for investors because same-restaurant traffic provides an indicator as to the development of our brand and the effectiveness of our marketing strategy.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Restaurant level operating profit and Restaurant level operating profit margin (i) to evaluate the performance and profitability of operating restaurants, individually and in the aggregate, and (ii) to make decisions regarding future spending and other operational decisions.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(loss) before depreciation and amortization, interest expense, income taxes, and items that we do not consider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our evaluation of ongoing core operating performance as identified in the reconciliation of Net loss,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reconciliation to Net loss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 Reconciliations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 for a reconciliation to Income from operations margin, the most directly comparable GAAP measure.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5480" w:type="dxa"/>
            <w:vAlign w:val="bottom"/>
            <w:tcBorders>
              <w:bottom w:val="single" w:sz="8" w:color="auto"/>
            </w:tcBorders>
            <w:gridSpan w:val="6"/>
          </w:tcPr>
          <w:p>
            <w:pPr>
              <w:ind w:left="1840"/>
              <w:spacing w:after="0"/>
              <w:rPr>
                <w:sz w:val="20"/>
                <w:szCs w:val="20"/>
                <w:color w:val="auto"/>
              </w:rPr>
            </w:pPr>
            <w:r>
              <w:rPr>
                <w:rFonts w:ascii="Times New Roman" w:cs="Times New Roman" w:eastAsia="Times New Roman" w:hAnsi="Times New Roman"/>
                <w:sz w:val="16"/>
                <w:szCs w:val="16"/>
                <w:b w:val="1"/>
                <w:bCs w:val="1"/>
                <w:color w:val="auto"/>
              </w:rPr>
              <w:t>THIRTEEN WEEKS ENDED MARCH 29, 2026</w:t>
            </w:r>
          </w:p>
        </w:tc>
        <w:tc>
          <w:tcPr>
            <w:tcW w:w="1560" w:type="dxa"/>
            <w:vAlign w:val="bottom"/>
            <w:tcBorders>
              <w:bottom w:val="single" w:sz="8" w:color="auto"/>
            </w:tcBorders>
          </w:tcPr>
          <w:p>
            <w:pPr>
              <w:spacing w:after="0"/>
              <w:rPr>
                <w:sz w:val="18"/>
                <w:szCs w:val="18"/>
                <w:color w:val="auto"/>
              </w:rPr>
            </w:pPr>
          </w:p>
        </w:tc>
      </w:tr>
      <w:tr>
        <w:trPr>
          <w:trHeight w:val="211"/>
        </w:trPr>
        <w:tc>
          <w:tcPr>
            <w:tcW w:w="4200" w:type="dxa"/>
            <w:vAlign w:val="bottom"/>
          </w:tcPr>
          <w:p>
            <w:pPr>
              <w:spacing w:after="0"/>
              <w:rPr>
                <w:sz w:val="18"/>
                <w:szCs w:val="18"/>
                <w:color w:val="auto"/>
              </w:rPr>
            </w:pPr>
          </w:p>
        </w:tc>
        <w:tc>
          <w:tcPr>
            <w:tcW w:w="20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COMPANY-OWNED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FRANCHISE-OWNED</w:t>
            </w:r>
          </w:p>
        </w:tc>
        <w:tc>
          <w:tcPr>
            <w:tcW w:w="15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200" w:type="dxa"/>
            <w:vAlign w:val="bottom"/>
            <w:tcBorders>
              <w:top w:val="single" w:sz="8" w:color="CCEEFF"/>
            </w:tcBorders>
            <w:shd w:val="clear" w:color="auto" w:fill="CCEEFF"/>
          </w:tcPr>
          <w:p>
            <w:pPr>
              <w:jc w:val="right"/>
              <w:ind w:right="2779"/>
              <w:spacing w:after="0"/>
              <w:rPr>
                <w:sz w:val="20"/>
                <w:szCs w:val="20"/>
                <w:color w:val="auto"/>
              </w:rPr>
            </w:pPr>
            <w:r>
              <w:rPr>
                <w:rFonts w:ascii="Times New Roman" w:cs="Times New Roman" w:eastAsia="Times New Roman" w:hAnsi="Times New Roman"/>
                <w:sz w:val="16"/>
                <w:szCs w:val="16"/>
                <w:color w:val="auto"/>
              </w:rPr>
              <w:t>Beginning of period</w:t>
            </w:r>
          </w:p>
        </w:tc>
        <w:tc>
          <w:tcPr>
            <w:tcW w:w="2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30"/>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New restaurant openings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9"/>
        </w:trPr>
        <w:tc>
          <w:tcPr>
            <w:tcW w:w="6240" w:type="dxa"/>
            <w:vAlign w:val="bottom"/>
            <w:gridSpan w:val="2"/>
            <w:shd w:val="clear" w:color="auto" w:fill="CCEEFF"/>
          </w:tcPr>
          <w:p>
            <w:pPr>
              <w:jc w:val="right"/>
              <w:ind w:right="5239"/>
              <w:spacing w:after="0"/>
              <w:rPr>
                <w:sz w:val="20"/>
                <w:szCs w:val="20"/>
                <w:color w:val="auto"/>
              </w:rPr>
            </w:pPr>
            <w:r>
              <w:rPr>
                <w:rFonts w:ascii="Times New Roman" w:cs="Times New Roman" w:eastAsia="Times New Roman" w:hAnsi="Times New Roman"/>
                <w:sz w:val="16"/>
                <w:szCs w:val="16"/>
                <w:color w:val="auto"/>
              </w:rPr>
              <w:t>Closures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4200" w:type="dxa"/>
            <w:vAlign w:val="bottom"/>
          </w:tcPr>
          <w:p>
            <w:pPr>
              <w:jc w:val="right"/>
              <w:ind w:right="3199"/>
              <w:spacing w:after="0"/>
              <w:rPr>
                <w:sz w:val="20"/>
                <w:szCs w:val="20"/>
                <w:color w:val="auto"/>
              </w:rPr>
            </w:pPr>
            <w:r>
              <w:rPr>
                <w:rFonts w:ascii="Times New Roman" w:cs="Times New Roman" w:eastAsia="Times New Roman" w:hAnsi="Times New Roman"/>
                <w:sz w:val="16"/>
                <w:szCs w:val="16"/>
                <w:color w:val="auto"/>
              </w:rPr>
              <w:t>End of period</w:t>
            </w:r>
          </w:p>
        </w:tc>
        <w:tc>
          <w:tcPr>
            <w:tcW w:w="20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7"/>
                <w:szCs w:val="17"/>
                <w:color w:val="auto"/>
              </w:rPr>
            </w:pPr>
          </w:p>
        </w:tc>
        <w:tc>
          <w:tcPr>
            <w:tcW w:w="2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3"/>
        </w:trPr>
        <w:tc>
          <w:tcPr>
            <w:tcW w:w="4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7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30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1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sales (in thousands)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367,566</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322,999</w:t>
            </w: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Same-restaurant sales growth</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3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Same-restaurant traffic growth</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(in thousands)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999</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1,113</w:t>
            </w:r>
          </w:p>
        </w:tc>
      </w:tr>
      <w:tr>
        <w:trPr>
          <w:trHeight w:val="21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6"/>
        </w:trPr>
        <w:tc>
          <w:tcPr>
            <w:tcW w:w="7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(in thousands) </w:t>
            </w:r>
            <w:r>
              <w:rPr>
                <w:rFonts w:ascii="Times New Roman" w:cs="Times New Roman" w:eastAsia="Times New Roman" w:hAnsi="Times New Roman"/>
                <w:sz w:val="21"/>
                <w:szCs w:val="21"/>
                <w:color w:val="auto"/>
                <w:vertAlign w:val="superscript"/>
              </w:rPr>
              <w:t>(1)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60,858</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46,122</w:t>
            </w:r>
          </w:p>
        </w:tc>
      </w:tr>
      <w:tr>
        <w:trPr>
          <w:trHeight w:val="216"/>
        </w:trPr>
        <w:tc>
          <w:tcPr>
            <w:tcW w:w="70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margin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r>
      <w:tr>
        <w:trPr>
          <w:trHeight w:val="21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 thousands)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(2,685)</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(829)</w:t>
            </w:r>
          </w:p>
        </w:tc>
      </w:tr>
      <w:tr>
        <w:trPr>
          <w:trHeight w:val="21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margin</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7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(in thousands) </w:t>
            </w:r>
            <w:r>
              <w:rPr>
                <w:rFonts w:ascii="Times New Roman" w:cs="Times New Roman" w:eastAsia="Times New Roman" w:hAnsi="Times New Roman"/>
                <w:sz w:val="21"/>
                <w:szCs w:val="21"/>
                <w:color w:val="auto"/>
                <w:vertAlign w:val="superscript"/>
              </w:rPr>
              <w:t>(2)</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27,797</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22,753</w:t>
            </w:r>
          </w:p>
        </w:tc>
      </w:tr>
      <w:tr>
        <w:trPr>
          <w:trHeight w:val="216"/>
        </w:trPr>
        <w:tc>
          <w:tcPr>
            <w:tcW w:w="70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right="20" w:firstLine="8"/>
        <w:spacing w:after="0" w:line="248" w:lineRule="auto"/>
        <w:tabs>
          <w:tab w:leader="none" w:pos="25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respectively,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1" w:lineRule="exact"/>
        <w:rPr>
          <w:rFonts w:ascii="Times New Roman" w:cs="Times New Roman" w:eastAsia="Times New Roman" w:hAnsi="Times New Roman"/>
          <w:sz w:val="16"/>
          <w:szCs w:val="16"/>
          <w:color w:val="auto"/>
        </w:rPr>
      </w:pPr>
    </w:p>
    <w:p>
      <w:pPr>
        <w:ind w:firstLine="8"/>
        <w:spacing w:after="0" w:line="270" w:lineRule="auto"/>
        <w:tabs>
          <w:tab w:leader="none" w:pos="2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loss and Net loss margin, the most comparable GAAP measures to Adjusted EBITDA and Adjusted EBITDA margin, respectively,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items in our Consolidated Statements of Operations and Comprehensive Loss in relation to Total revenues or, where indicated, Restaurant sales for the thirteen weeks ended March 29, 2026 and March 30,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860" w:type="dxa"/>
            <w:vAlign w:val="bottom"/>
            <w:tcBorders>
              <w:bottom w:val="single" w:sz="8" w:color="auto"/>
            </w:tcBorders>
          </w:tcPr>
          <w:p>
            <w:pPr>
              <w:spacing w:after="0"/>
              <w:rPr>
                <w:sz w:val="18"/>
                <w:szCs w:val="18"/>
                <w:color w:val="auto"/>
              </w:rPr>
            </w:pPr>
          </w:p>
        </w:tc>
      </w:tr>
      <w:tr>
        <w:trPr>
          <w:trHeight w:val="21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60" w:type="dxa"/>
            <w:vAlign w:val="bottom"/>
          </w:tcPr>
          <w:p>
            <w:pPr>
              <w:spacing w:after="0"/>
              <w:rPr>
                <w:sz w:val="18"/>
                <w:szCs w:val="18"/>
                <w:color w:val="auto"/>
              </w:rPr>
            </w:pPr>
          </w:p>
        </w:tc>
        <w:tc>
          <w:tcPr>
            <w:tcW w:w="192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98"/>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328,148</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99.2 %</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279,591</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99.1 %</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07"/>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330,959</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282,240</w:t>
            </w:r>
          </w:p>
        </w:tc>
        <w:tc>
          <w:tcPr>
            <w:tcW w:w="3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19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6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Restaurant operating expenses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(exclusive of depreciation and amortization shown below):</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r>
      <w:tr>
        <w:trPr>
          <w:trHeight w:val="213"/>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110,609</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96,754</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r>
      <w:tr>
        <w:trPr>
          <w:trHeight w:val="21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r>
      <w:tr>
        <w:trPr>
          <w:trHeight w:val="213"/>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39,945</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and restructuring expenses, net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07"/>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329,960</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99.7 %</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281,127</w:t>
            </w:r>
          </w:p>
        </w:tc>
        <w:tc>
          <w:tcPr>
            <w:tcW w:w="3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99.6 %</w:t>
            </w:r>
          </w:p>
        </w:tc>
      </w:tr>
      <w:tr>
        <w:trPr>
          <w:trHeight w:val="212"/>
        </w:trPr>
        <w:tc>
          <w:tcPr>
            <w:tcW w:w="686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Income from operations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(4,778)</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0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20" w:type="dxa"/>
            <w:vAlign w:val="bottom"/>
          </w:tcPr>
          <w:p>
            <w:pPr>
              <w:spacing w:after="0"/>
              <w:rPr>
                <w:sz w:val="17"/>
                <w:szCs w:val="17"/>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(3,434)</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(2,685)</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 a percentage of restaurant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the combined result of our menu price increases and changes to our menu mix.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6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4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3"/>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265,722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226,727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17.2 %</w:t>
            </w:r>
          </w:p>
        </w:tc>
      </w:tr>
      <w:tr>
        <w:trPr>
          <w:trHeight w:val="21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w:t>
            </w:r>
          </w:p>
        </w:tc>
      </w:tr>
      <w:tr>
        <w:trPr>
          <w:trHeight w:val="213"/>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20,859</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279,591</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total restaurant sales as compared to the same period in the prior year was due principally to (i) a higher number of restaurants from new openings and 2025 franchise acquisitions and (ii) positive same-restaurant sales growth of 2.8%.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8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franchise revenues during the thirteen weeks ended March 29, 2026 as compared to the same period in the prior year was due to an increase in the system fund contribution rate, partially offset by a decrease in franchise-owned restaurants from 86 to 76.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and beverage costs at company-owned restaurants vary with sales volume and are subject to increases and declines in commodity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74,310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66,647</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Food and beverage costs as a percent of restaurant sales decreased during the thirteen weeks ended March 29, 2026 as compared to the same period in the prior year primarily as a result of (i) menu price increases and (ii) commodity deflation due to a decrease in the cost of eggs, avocados, and bacon, partially offset by an increase in the cost of coffee.</w:t>
      </w:r>
    </w:p>
    <w:p>
      <w:pPr>
        <w:spacing w:after="0" w:line="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Food and beverage costs increased during the thirteen weeks ended March 29, 2026 as compared to the same period in the prior year primarily as a result of the 58 new restaurant openings and 19 restaurants acquired from franchisees between March 30, 2025 and March 29, 2026. This increase was partially offset by commodity deflation.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include hourly and management wages, bonuses, payroll taxes, workers’ compensation expense and employee benefits. Factors that influence labor costs include minimum wage and payroll tax legislation, health care costs, the number and performance of our company-owned restaurants and competition for qualified staff.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4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110,609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96,754</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bl>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decreased during the thirteen weeks ended March 29, 2026 as compared to the same period in the prior year primarily as a result of the leverage associated with menu price increases, partially offset by wage increases.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labor and other related expenses during the thirteen weeks ended March 29, 2026 as compared to the same period in the prior year was primarily due to (i) the increase in the number of company-owned restaurants and related headcount and (ii) wage increases.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variable expenses incidental to operating company-owned restaurants, such as operating supplies (including paper products, menus and to-go supplies), credit card fees, repairs and maintenance, and third-party delivery services fees.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2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51,904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44,259</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thirteen weeks ended March 29, 2026 as compared to the same period in the prior year was primarily due to the increase in the number of company-owned restaurants driving increased expenses, including (i) $2.6 million related to utilities, repair and maintenance expenses, (ii) $2.2 million in operating supplies, (iii) $1.6 million in third-party delivery fees and (iv) $1.0 million in credit card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23,149</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bl>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as a percentage of restaurant sales for the thirteen weeks ended March 29, 2026 as compared to the same period in the prior year was primarily due to an increase in company-owned restaurants.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during the thirteen weeks ended March 29, 2026 as compared to the same period in the prior year was primarily due to the increase in the number of company-owned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rent expense, manager salaries, recruiting expenses, employee payroll and training costs. Pre-opening expenses can fluctuate from period to period, based on the number and timing of new company-owned restaurant openings.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r>
      <w:tr>
        <w:trPr>
          <w:trHeight w:val="211"/>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pre-opening expenses during the thirteen weeks ended March 29, 2026 as compared to the same period in the prior year was primarily due to the higher number of new restaurants opened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30,219</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thirteen weeks ended March 29, 2026 as compared to the same period in the prior year was mainly due to (i) a $4.0 million increase related to 2026 leadership conference expenses, (ii) a $3.5 million increase in compensation expenses related to stock compensation, bonus expenses and additional employee headcount to support growth, (iii) a $1.7 million increase in marketing expenses and (iv) a $0.5 million increase in licenses and fees including information technology related expenses for an increased number of restaurants.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gridSpan w:val="5"/>
          </w:tcPr>
          <w:p>
            <w:pPr>
              <w:ind w:left="1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5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21,396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the thirteen weeks ended March 29, 2026 as compared to the same period in the prior year was primarily related to depreciating and amortizing the assets of NROs and of acquired restaurants, including reacquired rights from franchisees.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Restructuring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and restructuring expenses, net principally include (i) incremental severance costs resulting from organizational optimization, (ii) costs incurred in connection with the acquisition of franchise-owned restaurants and (iii) costs related to secondary equity offerings completed in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and restructuring expenses,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873</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34.7 %</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transaction and restructuring expenses, net during the thirteen weeks ended March 29, 2026 as compared to the same period in the prior year was mainly due to a $1.1 million increase in incremental severance costs resulting from organizational optimization. The increase was partially offset by (i) a $0.4 million decrease in costs incurred in connection with acquisitions and (ii) a $0.4 million reduction in secondary equity offering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1,113</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bl>
    <w:p>
      <w:pPr>
        <w:spacing w:after="0" w:line="2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from operations and income from operations margin decreased during the thirteen weeks ended March 29, 2026 compared to the same period in the prior year, as revenue increases were exceeded by increases in (i) general and administrative expenses, (ii) depreciation and amortization expense and (iii) occupancy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8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during the thirteen weeks ended March 29, 2026 as compared to the same period in the prior year was primarily due to increased borrowing associated with 2025 franchise acquisitions, partially offset by lower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includes items deemed to be non-operating based on Management’s assessment of the nature of the item in relation to our core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decreased during the thirteen weeks ended March 29, 2026 as compared to the same period in the prior year primarily due to a decrease in insurance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consists of federal and state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708</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bl>
    <w:p>
      <w:pPr>
        <w:spacing w:after="0" w:line="2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change in the effective income tax rate and provision for income taxes for the thirteen weeks ended March 29, 2026 as compared to the same period in the prior year was primarily due to (i) the changes in the loss before taxes, (ii) the benefit of FICA tax credits and (iii) the impact of executive compensation.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(2,685)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223.9 %</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total revenues</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bl>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loss and net loss margin during the thirteen weeks ended March 29, 2026 increased as compared to the same period in the prior year primarily due to (i) the decrease in income from operations as expenses increased at a higher rate than revenue and (ii) an increase in interest expense associated with increased borrowings to fund 2025 franchise acquisitions.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60,858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46,122</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bl>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Restaurant level operating profit margin during the thirteen weeks ended March 29, 2026 increased as compared to the same period in the prior year primarily due to (i) favorable labor and other related expenses as a percent of sales and (ii) favorable food and beverage costs as a percent of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level operating profit for the thirteen weeks ended March 29, 2026 increased as compared to the same period in the prior year due to sales growth driven by increases in (i) restaurant locations and (ii) same-restaurant sales. This was partially offset by increases in expenses associated primarily with an increase in the number of company-owned restaurants, including (i) labor and other related expenses, (ii) food and beverage costs, (iii) other restaurant operating expenses, (iv) occupancy expenses and (v) pre-opening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72"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r>
      <w:tr>
        <w:trPr>
          <w:trHeight w:val="21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22,753</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bl>
    <w:p>
      <w:pPr>
        <w:spacing w:after="0" w:line="284"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Adjusted EBITDA margin increased during the thirteen weeks ended March 29, 2026 compared to the same period in the prior year primarily due to an increase in restaurant level operating profit margin, partially offset by an increase in general and administrative expenses as a percentage of revenues.</w:t>
      </w:r>
    </w:p>
    <w:p>
      <w:pPr>
        <w:spacing w:after="0" w:line="162" w:lineRule="exact"/>
        <w:rPr>
          <w:sz w:val="20"/>
          <w:szCs w:val="20"/>
          <w:color w:val="auto"/>
        </w:rPr>
      </w:pPr>
    </w:p>
    <w:p>
      <w:pPr>
        <w:jc w:val="both"/>
        <w:ind w:left="80"/>
        <w:spacing w:after="0" w:line="242" w:lineRule="auto"/>
        <w:rPr>
          <w:sz w:val="20"/>
          <w:szCs w:val="20"/>
          <w:color w:val="auto"/>
        </w:rPr>
      </w:pPr>
      <w:r>
        <w:rPr>
          <w:rFonts w:ascii="Times New Roman" w:cs="Times New Roman" w:eastAsia="Times New Roman" w:hAnsi="Times New Roman"/>
          <w:sz w:val="18"/>
          <w:szCs w:val="18"/>
          <w:color w:val="auto"/>
        </w:rPr>
        <w:t>Adjusted EBITDA increased during the thirteen weeks ended March 29, 2026 compared to the same period in the prior year primarily due to an increase in restaurant level operating profit, partially offset by an increase in general and administrative expenses including (i) expenses related to the leadership conference held in the first quarter of 2026 and (ii) an increase in compensation expenses.</w:t>
      </w:r>
    </w:p>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Measures Reconciliations</w:t>
      </w:r>
    </w:p>
    <w:p>
      <w:pPr>
        <w:spacing w:after="0" w:line="254" w:lineRule="exact"/>
        <w:rPr>
          <w:sz w:val="20"/>
          <w:szCs w:val="20"/>
          <w:color w:val="auto"/>
        </w:rPr>
      </w:pPr>
    </w:p>
    <w:p>
      <w:pPr>
        <w:jc w:val="both"/>
        <w:ind w:lef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loss and Net loss margin, the most directly comparable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to Adjusted EBITDA and Adjusted EBITDA margin, respectively,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20" w:type="dxa"/>
            <w:vAlign w:val="bottom"/>
          </w:tcPr>
          <w:p>
            <w:pPr>
              <w:spacing w:after="0"/>
              <w:rPr>
                <w:sz w:val="18"/>
                <w:szCs w:val="18"/>
                <w:color w:val="auto"/>
              </w:rPr>
            </w:pPr>
          </w:p>
        </w:tc>
        <w:tc>
          <w:tcPr>
            <w:tcW w:w="16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11"/>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(2,685)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(829)</w:t>
            </w: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21,396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16,557</w:t>
            </w: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4,778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3,334</w:t>
            </w:r>
          </w:p>
        </w:tc>
      </w:tr>
      <w:tr>
        <w:trPr>
          <w:trHeight w:val="213"/>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benefit</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(749)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(708)</w:t>
            </w:r>
          </w:p>
        </w:tc>
      </w:tr>
      <w:tr>
        <w:trPr>
          <w:trHeight w:val="21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18,354</w:t>
            </w:r>
          </w:p>
        </w:tc>
      </w:tr>
      <w:tr>
        <w:trPr>
          <w:trHeight w:val="216"/>
        </w:trPr>
        <w:tc>
          <w:tcPr>
            <w:tcW w:w="74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Strategic transition costs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1,234</w:t>
            </w:r>
          </w:p>
        </w:tc>
      </w:tr>
      <w:tr>
        <w:trPr>
          <w:trHeight w:val="216"/>
        </w:trPr>
        <w:tc>
          <w:tcPr>
            <w:tcW w:w="74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net of amounts capitalized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2,259</w:t>
            </w:r>
          </w:p>
        </w:tc>
      </w:tr>
      <w:tr>
        <w:trPr>
          <w:trHeight w:val="216"/>
        </w:trPr>
        <w:tc>
          <w:tcPr>
            <w:tcW w:w="74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Delaware Voluntary Disclosure Agreement Program </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8"/>
                <w:szCs w:val="18"/>
                <w:color w:val="auto"/>
              </w:rPr>
            </w:pP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r>
      <w:tr>
        <w:trPr>
          <w:trHeight w:val="216"/>
        </w:trPr>
        <w:tc>
          <w:tcPr>
            <w:tcW w:w="74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Transaction and restructuring expenses, net </w:t>
            </w:r>
            <w:r>
              <w:rPr>
                <w:rFonts w:ascii="Times New Roman" w:cs="Times New Roman" w:eastAsia="Times New Roman" w:hAnsi="Times New Roman"/>
                <w:sz w:val="21"/>
                <w:szCs w:val="21"/>
                <w:color w:val="auto"/>
                <w:vertAlign w:val="superscript"/>
              </w:rPr>
              <w:t>(4)</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873</w:t>
            </w:r>
          </w:p>
        </w:tc>
      </w:tr>
      <w:tr>
        <w:trPr>
          <w:trHeight w:val="216"/>
        </w:trPr>
        <w:tc>
          <w:tcPr>
            <w:tcW w:w="7400" w:type="dxa"/>
            <w:vAlign w:val="bottom"/>
            <w:tcBorders>
              <w:bottom w:val="single" w:sz="8" w:color="CCEEFF"/>
            </w:tcBorders>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(5)</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r>
      <w:tr>
        <w:trPr>
          <w:trHeight w:val="232"/>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27,797</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22,753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330,959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282,240</w:t>
            </w: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 margin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16"/>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81"/>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Deferred rent </w:t>
            </w:r>
            <w:r>
              <w:rPr>
                <w:rFonts w:ascii="Times New Roman" w:cs="Times New Roman" w:eastAsia="Times New Roman" w:hAnsi="Times New Roman"/>
                <w:sz w:val="21"/>
                <w:szCs w:val="21"/>
                <w:color w:val="auto"/>
                <w:vertAlign w:val="superscript"/>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(155)</w:t>
            </w:r>
          </w:p>
        </w:tc>
        <w:tc>
          <w:tcPr>
            <w:tcW w:w="16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r>
    </w:tbl>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left="80" w:firstLine="8"/>
        <w:spacing w:after="0" w:line="251" w:lineRule="auto"/>
        <w:tabs>
          <w:tab w:leader="none" w:pos="32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process improvements and strategic initiatives. These costs are recorded within General and administrative expenses on the Consolidated Statements of Operations and Comprehensive Loss.</w:t>
      </w:r>
    </w:p>
    <w:p>
      <w:pPr>
        <w:ind w:left="80" w:firstLine="8"/>
        <w:spacing w:after="0" w:line="253" w:lineRule="auto"/>
        <w:tabs>
          <w:tab w:leader="none" w:pos="31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net of amounts capitalized, which is recorded within General and administrative expenses on the Consolidated Statements of Operations and Comprehensive Loss.</w:t>
      </w:r>
    </w:p>
    <w:p>
      <w:pPr>
        <w:ind w:left="80" w:right="20" w:firstLine="8"/>
        <w:spacing w:after="0" w:line="255" w:lineRule="auto"/>
        <w:tabs>
          <w:tab w:leader="none" w:pos="31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Loss.</w:t>
      </w:r>
    </w:p>
    <w:p>
      <w:pPr>
        <w:ind w:left="80" w:firstLine="8"/>
        <w:spacing w:after="0" w:line="255" w:lineRule="auto"/>
        <w:tabs>
          <w:tab w:leader="none" w:pos="3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severance costs resulting from organizational optimization, costs incurred in connection with the acquisition of franchise-owned restaurants, secondary equity offering costs and costs related to restaurant closures.</w:t>
      </w:r>
    </w:p>
    <w:p>
      <w:pPr>
        <w:ind w:left="320" w:hanging="232"/>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charges and costs related to the disposal of assets due to retirements, replacements and restaurant closures.</w:t>
      </w:r>
    </w:p>
    <w:p>
      <w:pPr>
        <w:spacing w:after="0" w:line="5" w:lineRule="exact"/>
        <w:rPr>
          <w:rFonts w:ascii="Times New Roman" w:cs="Times New Roman" w:eastAsia="Times New Roman" w:hAnsi="Times New Roman"/>
          <w:sz w:val="16"/>
          <w:szCs w:val="16"/>
          <w:color w:val="auto"/>
        </w:rPr>
      </w:pPr>
    </w:p>
    <w:p>
      <w:pPr>
        <w:ind w:left="80" w:firstLine="8"/>
        <w:spacing w:after="0" w:line="275" w:lineRule="auto"/>
        <w:tabs>
          <w:tab w:leader="none" w:pos="31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recorded within both Occupancy expenses and General and administrative expenses on the Consolidated Statements of Operations and Comprehensive Loss.</w:t>
      </w: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11"/>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1,113</w:t>
            </w:r>
          </w:p>
        </w:tc>
      </w:tr>
      <w:tr>
        <w:trPr>
          <w:trHeight w:val="213"/>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Franchise revenues</w:t>
            </w:r>
          </w:p>
        </w:tc>
        <w:tc>
          <w:tcPr>
            <w:tcW w:w="1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(2,649)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39,945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30,219</w:t>
            </w:r>
          </w:p>
        </w:tc>
      </w:tr>
      <w:tr>
        <w:trPr>
          <w:trHeight w:val="21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16,557</w:t>
            </w:r>
          </w:p>
        </w:tc>
      </w:tr>
      <w:tr>
        <w:trPr>
          <w:trHeight w:val="216"/>
        </w:trPr>
        <w:tc>
          <w:tcPr>
            <w:tcW w:w="75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and restructuring expenses, net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873</w:t>
            </w:r>
          </w:p>
        </w:tc>
      </w:tr>
      <w:tr>
        <w:trPr>
          <w:trHeight w:val="216"/>
        </w:trPr>
        <w:tc>
          <w:tcPr>
            <w:tcW w:w="75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r>
      <w:tr>
        <w:trPr>
          <w:trHeight w:val="20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60,858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46,122</w:t>
            </w:r>
          </w:p>
        </w:tc>
      </w:tr>
      <w:tr>
        <w:trPr>
          <w:trHeight w:val="199"/>
        </w:trPr>
        <w:tc>
          <w:tcPr>
            <w:tcW w:w="7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328,148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279,591</w:t>
            </w:r>
          </w:p>
        </w:tc>
      </w:tr>
      <w:tr>
        <w:trPr>
          <w:trHeight w:val="21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3"/>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r>
      <w:tr>
        <w:trPr>
          <w:trHeight w:val="219"/>
        </w:trPr>
        <w:tc>
          <w:tcPr>
            <w:tcW w:w="7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5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Deferred rent</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firstLine="8"/>
        <w:spacing w:after="0" w:line="249" w:lineRule="auto"/>
        <w:tabs>
          <w:tab w:leader="none" w:pos="22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severance costs resulting from organizational optimization, costs incurred in connection with the acquisition of franchise-owned restaurants, secondary equity offering costs and costs related to restaurant closures.</w:t>
      </w:r>
    </w:p>
    <w:p>
      <w:pPr>
        <w:ind w:left="240" w:hanging="232"/>
        <w:spacing w:after="0"/>
        <w:tabs>
          <w:tab w:leader="none" w:pos="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charges and costs related to the disposal of assets due to retirements, replacements and restaurant closures.</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recorded within Occupancy expenses on the Consolidated Statements of Operations and Comprehensive Loss.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29, 2026, we had cash and cash equivalents of $23.6 million and outstanding borrowings under the Credit Facility of $265.3 million, excluding unamortized debt discount and deferred issuance costs. We had availability of $66.0 million under our revolving credit facility of $125.0 million, of which $2.5 million is reserved under letters of credit pursuant to our credit agreement, dated as of October 6, 2021 as amended (“Credit Agreement”). Our principal uses of cash include capital expenditures for the development, acquisition or remodeling of restaurants, lease obligations, debt service payments and strategic infrastructure investments. Our working capital requirements are low due to our restaurants storing minimal inventory and customers pay for their purchases at the time of the sale, which frequently precedes our payment terms with suppliers.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flow from operations combined with our availability under the Credit Facility and our cash and cash equivalents will be sufficient to meet our liquidity needs for at least the next 12 months. We anticipate that to the extent that we require additional liquidity, or should we decide to pursue one or more significant acquisitions, the funds would be furnished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$150.0 million to $160.0 million in 2026. This capital is invested primarily in new restaurant projects and planned remodels. We intend to fund the capital expenditures primarily with cash generated from our operating activities as well as with borrowings pursuant to our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the thirteen weeks ended March 29, 2026 and March 30,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60" w:type="dxa"/>
            <w:vAlign w:val="bottom"/>
          </w:tcPr>
          <w:p>
            <w:pPr>
              <w:spacing w:after="0"/>
              <w:rPr>
                <w:sz w:val="18"/>
                <w:szCs w:val="18"/>
                <w:color w:val="auto"/>
              </w:rPr>
            </w:pPr>
          </w:p>
        </w:tc>
        <w:tc>
          <w:tcPr>
            <w:tcW w:w="18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20,138</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(36,605)</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r>
      <w:tr>
        <w:trPr>
          <w:trHeight w:val="207"/>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(14,705)</w:t>
            </w:r>
          </w:p>
        </w:tc>
      </w:tr>
      <w:tr>
        <w:trPr>
          <w:trHeight w:val="23"/>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operations is our typical source of liquidity used (i) to fund capital expenditures for new restaurants, (ii) to maintain and remodel existing restaurants and (iii) for debt service. While there was a higher net loss during the thirteen weeks ended March 29, 2026 as compared to the thirteen weeks ended March 30, 2025, there was an increase in cash provided by operations primarily due to (i) higher net earnings and (ii) the timing of operational payments.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during the thirteen weeks ended March 29, 2026 from the thirteen weeks ended March 30, 2025 due principally to the timing and amounts paid for new restaurants and capital projects into which we are investing.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provided by financing activities includes borrowing from and repayments of the Company’s Credit Facility.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the accompanying consolidated financial statements and notes thereto, which have been prepared in accordance with GAAP. The preparation of these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 the 2025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these consolidated financial statements.</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exposure to market risks as disclosed in the 2025 Form 10-K.</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disclosure controls and procedures, as defined in Rules 13a-15(e)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Disclosure controls and procedures are also designed to ensure that information allowing for timely disclosure decisions is accumulated and communicated to Management, including the Chief Executive Officer and Chief Financial Officer, as appropriate.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has evaluated the effectiveness of our disclosure controls and procedures as of the end of the period covered by this report. Based on that evaluation, our Chief Executive Officer and Chief Financial Officer concluded that, as of March 29, 2026, our disclosure controls and procedures were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March 29,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involved in various claims and legal actions that arise in the ordinary course of business. We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consolidated financial statements included in Part I, Item 1 of this Form 10-Q.</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discussed in this Form 10-Q, please consider the factors described in Part I, Item 1A., “Risk Factors” in our 2025 Form 10-K, which could materially affect our business, financial condition or future results. Additional risks and uncertainties not currently known to us or that we currently deem to be immaterial also may adversely affect our business,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our 2025 Form 10-K.</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29, 2026, none of our directors or officers adopted or terminated a “Rule 10b5-1 trading arrangement” or “non-Rule 10b5-1 trading arrangement,” as those terms are defined in Regulation S-K, Item 408.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Exhibits index to this Form 10-Q are incorporated herein by reference.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120" w:type="dxa"/>
            <w:vAlign w:val="bottom"/>
            <w:gridSpan w:val="6"/>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2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Form of 2026 Restricted Stock Unit Award Agreement</w:t>
            </w:r>
          </w:p>
        </w:tc>
        <w:tc>
          <w:tcPr>
            <w:tcW w:w="2620" w:type="dxa"/>
            <w:vAlign w:val="bottom"/>
            <w:gridSpan w:val="6"/>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10"/>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60" w:type="dxa"/>
            <w:vAlign w:val="bottom"/>
            <w:tcBorders>
              <w:top w:val="single" w:sz="8" w:color="0000FF"/>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00" w:type="dxa"/>
            <w:vAlign w:val="bottom"/>
            <w:tcBorders>
              <w:top w:val="single" w:sz="8" w:color="0000FF"/>
            </w:tcBorders>
            <w:gridSpan w:val="3"/>
          </w:tcPr>
          <w:p>
            <w:pPr>
              <w:spacing w:after="0"/>
              <w:rPr>
                <w:sz w:val="14"/>
                <w:szCs w:val="14"/>
                <w:color w:val="auto"/>
              </w:rPr>
            </w:pPr>
          </w:p>
        </w:tc>
        <w:tc>
          <w:tcPr>
            <w:tcW w:w="180" w:type="dxa"/>
            <w:vAlign w:val="bottom"/>
            <w:gridSpan w:val="2"/>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U.S.C. Section 1350, as adopted pursuant to Section 906 of the Sarbanes-Oxley Act</w:t>
            </w:r>
          </w:p>
        </w:tc>
        <w:tc>
          <w:tcPr>
            <w:tcW w:w="600" w:type="dxa"/>
            <w:vAlign w:val="bottom"/>
            <w:gridSpan w:val="5"/>
          </w:tcPr>
          <w:p>
            <w:pPr>
              <w:ind w:left="120"/>
              <w:spacing w:after="0" w:line="169" w:lineRule="exact"/>
              <w:rPr>
                <w:sz w:val="20"/>
                <w:szCs w:val="20"/>
                <w:color w:val="auto"/>
              </w:rPr>
            </w:pPr>
            <w:r>
              <w:rPr>
                <w:rFonts w:ascii="Times New Roman" w:cs="Times New Roman" w:eastAsia="Times New Roman" w:hAnsi="Times New Roman"/>
                <w:sz w:val="18"/>
                <w:szCs w:val="18"/>
                <w:color w:val="0000FF"/>
              </w:rPr>
              <w:t>of</w:t>
            </w: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2002</w:t>
            </w:r>
          </w:p>
        </w:tc>
        <w:tc>
          <w:tcPr>
            <w:tcW w:w="100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auto"/>
              </w:rPr>
              <w:t>The financial information from First Watch Restaurant Group, Inc.’s Quarterly Report on</w:t>
            </w:r>
          </w:p>
        </w:tc>
        <w:tc>
          <w:tcPr>
            <w:tcW w:w="37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6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Form 10-Q for the first fiscal quarter ended March 29, 2026, filed on May 5, 2026,</w:t>
            </w: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as iXBRL and contained in Exhibit 101)</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Denotes a management contract or compensatory plan or arrangement.</w:t>
      </w:r>
    </w:p>
    <w:p>
      <w:pPr>
        <w:spacing w:after="0" w:line="9" w:lineRule="exact"/>
        <w:rPr>
          <w:sz w:val="20"/>
          <w:szCs w:val="20"/>
          <w:color w:val="auto"/>
        </w:rPr>
      </w:pPr>
    </w:p>
    <w:p>
      <w:pPr>
        <w:jc w:val="both"/>
        <w:ind w:firstLine="8"/>
        <w:spacing w:after="0" w:line="260" w:lineRule="auto"/>
        <w:tabs>
          <w:tab w:leader="none" w:pos="21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5,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A. Tomasso</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A. Tomasso</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4" w:name="page35"/>
    <w:bookmarkEnd w:id="34"/>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WATCH RESTAURANT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17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This Restricted Stock Unit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between First Watch Restaurant Group,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effective as of [•] (the “</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47"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First Watch Restaurant Group, Inc., 2021 Equity Incentive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Agreement. Capitalized terms not otherwise defined in this Agreement shall have the meanings ascribed to those terms in the Plan; and</w:t>
      </w:r>
    </w:p>
    <w:p>
      <w:pPr>
        <w:spacing w:after="0" w:line="10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authorized and approved the grant of an Award to the Participant that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the Participant the opportunity to receive shares of Common Stock upon the settlement of stock units on the terms and conditions set forth in the Plan and this Agreement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mutual covenants set forth in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agree as follows:</w:t>
      </w:r>
    </w:p>
    <w:p>
      <w:pPr>
        <w:spacing w:after="0" w:line="82" w:lineRule="exact"/>
        <w:rPr>
          <w:sz w:val="20"/>
          <w:szCs w:val="20"/>
          <w:color w:val="auto"/>
        </w:rPr>
      </w:pPr>
    </w:p>
    <w:p>
      <w:pPr>
        <w:ind w:left="660" w:hanging="652"/>
        <w:spacing w:after="0" w:line="227"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The Company hereby grants to the Participant, effective as of the Date of Grant,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Restricted Stock Units, on the terms and conditions set forth in the Plan and this Agreement.</w:t>
      </w:r>
    </w:p>
    <w:p>
      <w:pPr>
        <w:spacing w:after="0" w:line="217" w:lineRule="exact"/>
        <w:rPr>
          <w:rFonts w:ascii="Times New Roman" w:cs="Times New Roman" w:eastAsia="Times New Roman" w:hAnsi="Times New Roman"/>
          <w:sz w:val="22"/>
          <w:szCs w:val="22"/>
          <w:color w:val="auto"/>
        </w:rPr>
      </w:pPr>
    </w:p>
    <w:p>
      <w:pPr>
        <w:ind w:left="660" w:hanging="652"/>
        <w:spacing w:after="0" w:line="271"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w:t>
      </w:r>
      <w:r>
        <w:rPr>
          <w:rFonts w:ascii="Times New Roman" w:cs="Times New Roman" w:eastAsia="Times New Roman" w:hAnsi="Times New Roman"/>
          <w:sz w:val="22"/>
          <w:szCs w:val="22"/>
          <w:color w:val="auto"/>
        </w:rPr>
        <w:t>. Subject to the terms and conditions set forth in the Plan and this Agreement, the Restricted Stock Units shall vest as follows:</w:t>
      </w:r>
    </w:p>
    <w:p>
      <w:pPr>
        <w:spacing w:after="0" w:line="198"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297"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One-third (1/3) of the Restricted Stock Units shall vest on each of the first three (3) anniversaries of the Date of Grant (with such amounts rounded down to the nearest whole number for the first two anniversary dates and rounded up to the nearest whole number for the third anniversary date), subject to the Participant’s continued Service through the vesting date.</w:t>
      </w:r>
    </w:p>
    <w:p>
      <w:pPr>
        <w:spacing w:after="0" w:line="179" w:lineRule="exact"/>
        <w:rPr>
          <w:rFonts w:ascii="Times New Roman" w:cs="Times New Roman" w:eastAsia="Times New Roman" w:hAnsi="Times New Roman"/>
          <w:sz w:val="22"/>
          <w:szCs w:val="22"/>
          <w:color w:val="auto"/>
        </w:rPr>
      </w:pPr>
    </w:p>
    <w:p>
      <w:pPr>
        <w:ind w:left="1300" w:hanging="644"/>
        <w:spacing w:after="0" w:line="284" w:lineRule="auto"/>
        <w:tabs>
          <w:tab w:leader="none" w:pos="1295"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Participant’s Service for any reason or no reason, any then unvested Restricted Stock Units will be forfeited immediately, automatically and without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645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91" w:lineRule="exact"/>
        <w:rPr>
          <w:sz w:val="20"/>
          <w:szCs w:val="20"/>
          <w:color w:val="auto"/>
        </w:rPr>
      </w:pPr>
    </w:p>
    <w:p>
      <w:pPr>
        <w:ind w:right="260" w:firstLine="8"/>
        <w:spacing w:after="0" w:line="224" w:lineRule="auto"/>
        <w:tabs>
          <w:tab w:leader="none" w:pos="124"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NTD: Determined by dividing target award grant value by the closing price of FWRG common stock on the date of grant and rounding down to the nearest whole share.</w:t>
      </w:r>
    </w:p>
    <w:p>
      <w:pPr>
        <w:sectPr>
          <w:pgSz w:w="11900" w:h="16838" w:orient="portrait"/>
          <w:cols w:equalWidth="0" w:num="1">
            <w:col w:w="11240"/>
          </w:cols>
          <w:pgMar w:left="320" w:top="1440" w:right="339" w:bottom="1440" w:gutter="0" w:footer="0" w:header="0"/>
        </w:sectPr>
      </w:pPr>
    </w:p>
    <w:bookmarkStart w:id="35" w:name="page36"/>
    <w:bookmarkEnd w:id="35"/>
    <w:p>
      <w:pPr>
        <w:ind w:left="660" w:hanging="652"/>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p>
    <w:p>
      <w:pPr>
        <w:spacing w:after="0" w:line="246"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9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The Company shall deliver to the Participant within sixty (60) days following the vesting date of the Restricted Stock Units, a number of shares of Common Stock equal to the aggregate number of Restricted Stock Units that have vested pursuant to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No fractional shares of Common Stock shall be delivered and the Committee shall determine whether cash, other securities or other property shall be paid or transferred in lieu of any fractional shares of Common Stock or whether such fractional shares or any rights thereto shall be canceled, terminated or otherwise eliminated. The Company may deliver such shares of Common Stock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47" w:lineRule="auto"/>
        <w:tabs>
          <w:tab w:leader="none" w:pos="1295"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As a condition to receipt of the Restricted Stock Units, to the fullest extent permitted under the Plan and applicable law and until further action by the Committee to elect a different method, withholding taxes and other tax related items shall be satisfied through the sale of only such number of the shares of Common Stock subject to the Restricted Stock Units as are necessary to satisfy tax withholding obligations arising exclusively from the vesting or settlement of the Restricted Stock Units through a broker of the Company’s choosing and the remittance of the cash proceeds to the Company. The Company is authorized and directed by the Participant to make payment(s) from the cash proceeds of this sale directly to the appropriate taxing authorities. The mandatory sale of shares of Common Stock to cover withholding taxes and tax related items is imposed by the Company on the Participant in connection with the receipt of the Restricted Stock Units, and it is intended by the Participant to (i) comply with the requirements of Rule 10b5-1(c)(1)(i)(B) of the Exchange Act, (ii) constitute a sell-to-cover transaction within the meaning of Rule 10b5-1(c)(1)(ii)(D)(3) of the Exchange Act and (iii) be interpreted to meet the requirements of Rule 10b5-1(c) of the Exchange Act. The Participant hereby represents and certifies to the Company that the Participant is not aware of any material nonpublic information about the Restricted Stock Units, shares of Common Stock underlying the Restricted Stock Units or the Company, and the Participant is executing this Agreement in good faith and not as part of a plan or scheme to evade the prohibitions of Rule 10b5-1(c) of the Exchange Act.</w:t>
      </w:r>
    </w:p>
    <w:p>
      <w:pPr>
        <w:spacing w:after="0" w:line="194" w:lineRule="exact"/>
        <w:rPr>
          <w:rFonts w:ascii="Times New Roman" w:cs="Times New Roman" w:eastAsia="Times New Roman" w:hAnsi="Times New Roman"/>
          <w:sz w:val="22"/>
          <w:szCs w:val="22"/>
          <w:color w:val="auto"/>
        </w:rPr>
      </w:pPr>
    </w:p>
    <w:p>
      <w:pPr>
        <w:jc w:val="both"/>
        <w:ind w:left="660" w:hanging="652"/>
        <w:spacing w:after="0" w:line="25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xml:space="preserve">. In the event that it is determined that any payments or benefits provided under the Plan and this Agreement, together with any payments or benefits to be provided under any other plan, program, arrangement or agreement, would constitute parachute payments within the meaning of Section 280G of the Code and would, but for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amounts of</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36" w:name="page37"/>
    <w:bookmarkEnd w:id="36"/>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 xml:space="preserve">any such payments or benefits under the Plan, this Agreement and such other arrangements shall be either (a) paid in full or (b) reduced to the minimum extent necessary to ensure that no portion of the payments or benefits is subject to the Excise Tax, whichever of the foregoing (a) or (b) results in the Participant’s receipt on an after-tax basis of the greatest amount of payments and benefits after taking into account the applicable federal, state, local and foreign income, employment and excise taxes (including the Excise Tax). The Company shall cooperate in good faith with the Participant in making such determination, including but not limited to providing the Participant with an estimate of any parachute payments as soon as reasonably practicable prior to an event constituting a change in the ownership or effective control of the Company or in the ownership of a substantial portion of the assets of the Company (within the meaning of Section 280G(b)(2)(A) of the Code). Any such reduction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made in a manner that results in the greatest economic benefit for the Participant and is consistent with the requirements of Section 409A. Any determination required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made in writing in good faith by a nationally recognized public accounting firm selected by the Company. The Company and the Participant shall provide the accounting firm with such information and documents as the accounting firm may reasonably request in order to make a determination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p>
    <w:p>
      <w:pPr>
        <w:spacing w:after="0" w:line="246"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29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a Shareholder; Dividend Equivalents</w:t>
      </w:r>
      <w:r>
        <w:rPr>
          <w:rFonts w:ascii="Times New Roman" w:cs="Times New Roman" w:eastAsia="Times New Roman" w:hAnsi="Times New Roman"/>
          <w:sz w:val="22"/>
          <w:szCs w:val="22"/>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of Common Stock shall accumulate and be paid with respect to each unvested Restricted Stock Unit at time of settlement; provided that any dividend equivalent rights granted shall be subject to the same vesting terms as the related Restricted Stock Units.</w:t>
      </w:r>
    </w:p>
    <w:p>
      <w:pPr>
        <w:spacing w:after="0" w:line="208"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295"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7" w:name="page38"/>
    <w:bookmarkEnd w:id="37"/>
    <w:p>
      <w:pPr>
        <w:ind w:left="1300" w:hanging="644"/>
        <w:spacing w:after="0" w:line="284" w:lineRule="auto"/>
        <w:tabs>
          <w:tab w:leader="none" w:pos="129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For the avoidance of doubt, Section 4.2(f) of the Company’s Executive Severance Plan shall apply to the Restricted Stock Units and this Agreement shall be interpreted consistent therewith.]</w:t>
      </w:r>
      <w:r>
        <w:rPr>
          <w:rFonts w:ascii="Times New Roman" w:cs="Times New Roman" w:eastAsia="Times New Roman" w:hAnsi="Times New Roman"/>
          <w:sz w:val="28"/>
          <w:szCs w:val="28"/>
          <w:color w:val="auto"/>
          <w:vertAlign w:val="superscript"/>
        </w:rPr>
        <w:t>2</w:t>
      </w:r>
    </w:p>
    <w:p>
      <w:pPr>
        <w:spacing w:after="0" w:line="75"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2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Participant acknowledges that the Participant is subject to the provisions of Section 12 (Forfeiture Events) and Section 14.6 (Trading Policy and Other Restrictions) of the Plan, the First Watch Restaurant Group, Inc. Incentive-Based Compensation Recovery Policy and any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206" w:lineRule="exact"/>
        <w:rPr>
          <w:rFonts w:ascii="Times New Roman" w:cs="Times New Roman" w:eastAsia="Times New Roman" w:hAnsi="Times New Roman"/>
          <w:sz w:val="22"/>
          <w:szCs w:val="22"/>
          <w:color w:val="auto"/>
        </w:rPr>
      </w:pPr>
    </w:p>
    <w:p>
      <w:pPr>
        <w:ind w:left="1300" w:hanging="644"/>
        <w:spacing w:after="0" w:line="295" w:lineRule="auto"/>
        <w:tabs>
          <w:tab w:leader="none" w:pos="129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with respect to the outstanding shares of Common Stock contemplated by Section 4.5 of the Plan, the Restricted Stock Units may be adjusted in accordance with Section 4.5 of the Plan.</w:t>
      </w:r>
    </w:p>
    <w:p>
      <w:pPr>
        <w:spacing w:after="0" w:line="162" w:lineRule="exact"/>
        <w:rPr>
          <w:rFonts w:ascii="Times New Roman" w:cs="Times New Roman" w:eastAsia="Times New Roman" w:hAnsi="Times New Roman"/>
          <w:sz w:val="21"/>
          <w:szCs w:val="21"/>
          <w:color w:val="auto"/>
        </w:rPr>
      </w:pPr>
    </w:p>
    <w:p>
      <w:pPr>
        <w:jc w:val="both"/>
        <w:ind w:left="1300" w:hanging="644"/>
        <w:spacing w:after="0" w:line="256" w:lineRule="auto"/>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203" w:lineRule="exact"/>
        <w:rPr>
          <w:rFonts w:ascii="Times New Roman" w:cs="Times New Roman" w:eastAsia="Times New Roman" w:hAnsi="Times New Roman"/>
          <w:sz w:val="22"/>
          <w:szCs w:val="22"/>
          <w:color w:val="auto"/>
        </w:rPr>
      </w:pPr>
    </w:p>
    <w:p>
      <w:pPr>
        <w:jc w:val="both"/>
        <w:ind w:left="1300" w:hanging="644"/>
        <w:spacing w:after="0" w:line="253" w:lineRule="auto"/>
        <w:tabs>
          <w:tab w:leader="none" w:pos="12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2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72" w:lineRule="exact"/>
        <w:rPr>
          <w:rFonts w:ascii="Times New Roman" w:cs="Times New Roman" w:eastAsia="Times New Roman" w:hAnsi="Times New Roman"/>
          <w:sz w:val="22"/>
          <w:szCs w:val="22"/>
          <w:color w:val="auto"/>
        </w:rPr>
      </w:pPr>
    </w:p>
    <w:p>
      <w:pPr>
        <w:ind w:left="1300" w:right="20" w:hanging="644"/>
        <w:spacing w:after="0" w:line="284" w:lineRule="auto"/>
        <w:tabs>
          <w:tab w:leader="none" w:pos="128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Except as otherwise provided in the Plan, this Agreement will not be amended unless the amendment is agreed to in writing by both the Participant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645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18" w:lineRule="exact"/>
        <w:rPr>
          <w:sz w:val="20"/>
          <w:szCs w:val="20"/>
          <w:color w:val="auto"/>
        </w:rPr>
      </w:pPr>
    </w:p>
    <w:p>
      <w:pPr>
        <w:ind w:firstLine="8"/>
        <w:spacing w:after="0" w:line="230" w:lineRule="auto"/>
        <w:tabs>
          <w:tab w:leader="none" w:pos="138"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NTD: Provision to be included in grant agreements to executives who are participants in the Company’s Executive Severance Plan.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38" w:name="page39"/>
    <w:bookmarkEnd w:id="38"/>
    <w:p>
      <w:pPr>
        <w:jc w:val="both"/>
        <w:ind w:left="644" w:hanging="644"/>
        <w:spacing w:after="0" w:line="272" w:lineRule="auto"/>
        <w:tabs>
          <w:tab w:leader="none" w:pos="63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Jurisdiction</w:t>
      </w:r>
      <w:r>
        <w:rPr>
          <w:rFonts w:ascii="Times New Roman" w:cs="Times New Roman" w:eastAsia="Times New Roman" w:hAnsi="Times New Roman"/>
          <w:sz w:val="21"/>
          <w:szCs w:val="21"/>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160" w:lineRule="exact"/>
        <w:rPr>
          <w:rFonts w:ascii="Times New Roman" w:cs="Times New Roman" w:eastAsia="Times New Roman" w:hAnsi="Times New Roman"/>
          <w:sz w:val="21"/>
          <w:szCs w:val="21"/>
          <w:color w:val="auto"/>
        </w:rPr>
      </w:pPr>
    </w:p>
    <w:p>
      <w:pPr>
        <w:ind w:left="644" w:right="20" w:hanging="644"/>
        <w:spacing w:after="0" w:line="271" w:lineRule="auto"/>
        <w:tabs>
          <w:tab w:leader="none" w:pos="6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w:t>
      </w:r>
      <w:r>
        <w:rPr>
          <w:rFonts w:ascii="Times New Roman" w:cs="Times New Roman" w:eastAsia="Times New Roman" w:hAnsi="Times New Roman"/>
          <w:sz w:val="22"/>
          <w:szCs w:val="22"/>
          <w:color w:val="auto"/>
        </w:rPr>
        <w:t>. This Agreement may be signed in counterparts, manually or electronically, each of which will be an original, with the same effect as if the signatures to each were upon the same instrument.</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53" w:lineRule="auto"/>
        <w:tabs>
          <w:tab w:leader="none" w:pos="6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78" w:lineRule="exact"/>
        <w:rPr>
          <w:rFonts w:ascii="Times New Roman" w:cs="Times New Roman" w:eastAsia="Times New Roman" w:hAnsi="Times New Roman"/>
          <w:sz w:val="22"/>
          <w:szCs w:val="22"/>
          <w:color w:val="auto"/>
        </w:rPr>
      </w:pPr>
    </w:p>
    <w:p>
      <w:pPr>
        <w:jc w:val="both"/>
        <w:ind w:left="644" w:hanging="644"/>
        <w:spacing w:after="0" w:line="252" w:lineRule="auto"/>
        <w:tabs>
          <w:tab w:leader="none" w:pos="6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75" w:lineRule="exact"/>
        <w:rPr>
          <w:sz w:val="20"/>
          <w:szCs w:val="20"/>
          <w:color w:val="auto"/>
        </w:rPr>
      </w:pPr>
    </w:p>
    <w:p>
      <w:pPr>
        <w:ind w:left="3864"/>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33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4"/>
          </w:cols>
          <w:pgMar w:left="976" w:top="1422" w:right="339" w:bottom="1440" w:gutter="0" w:footer="0" w:header="0"/>
        </w:sectPr>
      </w:pPr>
    </w:p>
    <w:bookmarkStart w:id="39" w:name="page40"/>
    <w:bookmarkEnd w:id="39"/>
    <w:p>
      <w:pPr>
        <w:ind w:firstLine="237"/>
        <w:spacing w:after="0" w:line="271" w:lineRule="auto"/>
        <w:rPr>
          <w:sz w:val="20"/>
          <w:szCs w:val="20"/>
          <w:color w:val="auto"/>
        </w:rPr>
      </w:pPr>
      <w:r>
        <w:rPr>
          <w:rFonts w:ascii="Times New Roman" w:cs="Times New Roman" w:eastAsia="Times New Roman" w:hAnsi="Times New Roman"/>
          <w:sz w:val="22"/>
          <w:szCs w:val="22"/>
          <w:color w:val="auto"/>
        </w:rPr>
        <w:t>IN WITNESS WHEREOF, the Company and the Participant have executed this Restricted Stock Unit Award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FIRST WATCH RESTAURANT GROUP, INC.</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200" w:lineRule="exact"/>
        <w:rPr>
          <w:sz w:val="20"/>
          <w:szCs w:val="20"/>
          <w:color w:val="auto"/>
        </w:rPr>
      </w:pPr>
    </w:p>
    <w:p>
      <w:pPr>
        <w:sectPr>
          <w:pgSz w:w="11900" w:h="16838" w:orient="portrait"/>
          <w:cols w:equalWidth="0" w:num="2">
            <w:col w:w="3580" w:space="420"/>
            <w:col w:w="7240"/>
          </w:cols>
          <w:pgMar w:left="320" w:top="1422"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Date:_____________________________</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____________________________</w:t>
      </w:r>
    </w:p>
    <w:p>
      <w:pPr>
        <w:sectPr>
          <w:pgSz w:w="11900" w:h="16838" w:orient="portrait"/>
          <w:cols w:equalWidth="0" w:num="2">
            <w:col w:w="3600" w:space="440"/>
            <w:col w:w="7200"/>
          </w:cols>
          <w:pgMar w:left="320" w:top="1422" w:right="339" w:bottom="1440" w:gutter="0" w:footer="0" w:header="0"/>
          <w:type w:val="continuous"/>
        </w:sectPr>
      </w:pPr>
    </w:p>
    <w:bookmarkStart w:id="40" w:name="page41"/>
    <w:bookmarkEnd w:id="40"/>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the occurrence of any of the following events without the consent of the Participant: (i) the Company materially reduces the Participant’s annual base salary or annual bonus opportunity percentage; (ii) a material diminution in the Participant’s responsibilities; or (iii) the Company relocates the Participant’s principal place of employment more than twenty</w:t>
      </w:r>
    </w:p>
    <w:p>
      <w:pPr>
        <w:spacing w:after="0" w:line="1" w:lineRule="exact"/>
        <w:rPr>
          <w:sz w:val="20"/>
          <w:szCs w:val="20"/>
          <w:color w:val="auto"/>
        </w:rPr>
      </w:pPr>
    </w:p>
    <w:p>
      <w:pPr>
        <w:jc w:val="both"/>
        <w:ind w:firstLine="8"/>
        <w:spacing w:after="0" w:line="246" w:lineRule="auto"/>
        <w:tabs>
          <w:tab w:leader="none" w:pos="41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from the existing location as of the Date of Grant (unless such relocation results in a reduction in the Participant’s one-way commute). Notwithstanding the foregoing, the events described in clauses (i), (ii) or (iii) shall not constitute Good Reason unless (A) the Participant has given the Company written notice of the Participant’s resignation for Good Reason, setting forth the conduct of the Company that is alleged to constitute Good Reason, within thirty (30) days following the first occurrence of such event, and (B) the Participant has provided the Company at least thirty (30) days following the date on which such notice is provided to cure such conduct and the Company has failed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41" w:name="page42"/>
    <w:bookmarkEnd w:id="41"/>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18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6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5, 2026</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18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98" w:lineRule="auto"/>
        <w:tabs>
          <w:tab w:leader="none" w:pos="96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5, 2026</w:t>
      </w:r>
    </w:p>
    <w:p>
      <w:pPr>
        <w:spacing w:after="0" w:line="1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Watch Restaurant Group, Inc. (the “Company”) for the period ended March 29, 2026,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0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9"/>
    </w:lvl>
  </w:abstractNum>
  <w:abstractNum w:abstractNumId="7">
    <w:nsid w:val="25E45D32"/>
    <w:multiLevelType w:val="hybridMultilevel"/>
    <w:lvl w:ilvl="0">
      <w:lvlJc w:val="left"/>
      <w:lvlText w:val="%1."/>
      <w:numFmt w:val="decimal"/>
      <w:start w:val="1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lvl w:ilvl="1">
      <w:lvlJc w:val="left"/>
      <w:lvlText w:val="(%2)"/>
      <w:numFmt w:val="lowerLetter"/>
      <w:start w:val="1"/>
    </w:lvl>
  </w:abstractNum>
  <w:abstractNum w:abstractNumId="16">
    <w:nsid w:val="333AB105"/>
    <w:multiLevelType w:val="hybridMultilevel"/>
    <w:lvl w:ilvl="0">
      <w:lvlJc w:val="left"/>
      <w:lvlText w:val="1"/>
      <w:numFmt w:val="bullet"/>
      <w:start w:val="1"/>
    </w:lvl>
  </w:abstractNum>
  <w:abstractNum w:abstractNumId="17">
    <w:nsid w:val="721DA317"/>
    <w:multiLevelType w:val="hybridMultilevel"/>
    <w:lvl w:ilvl="0">
      <w:lvlJc w:val="left"/>
      <w:lvlText w:val="%1."/>
      <w:numFmt w:val="decimal"/>
      <w:start w:val="3"/>
    </w:lvl>
    <w:lvl w:ilvl="1">
      <w:lvlJc w:val="left"/>
      <w:lvlText w:val="(%2)"/>
      <w:numFmt w:val="lowerLetter"/>
      <w:start w:val="1"/>
    </w:lvl>
  </w:abstractNum>
  <w:abstractNum w:abstractNumId="18">
    <w:nsid w:val="2443A858"/>
    <w:multiLevelType w:val="hybridMultilevel"/>
    <w:lvl w:ilvl="0">
      <w:lvlJc w:val="left"/>
      <w:lvlText w:val="%1."/>
      <w:numFmt w:val="decimal"/>
      <w:start w:val="5"/>
    </w:lvl>
    <w:lvl w:ilvl="1">
      <w:lvlJc w:val="left"/>
      <w:lvlText w:val="(%2)"/>
      <w:numFmt w:val="lowerLetter"/>
      <w:start w:val="1"/>
    </w:lvl>
  </w:abstractNum>
  <w:abstractNum w:abstractNumId="19">
    <w:nsid w:val="2D1D5AE9"/>
    <w:multiLevelType w:val="hybridMultilevel"/>
    <w:lvl w:ilvl="0">
      <w:lvlJc w:val="left"/>
      <w:lvlText w:val="(%1)"/>
      <w:numFmt w:val="lowerLetter"/>
      <w:start w:val="3"/>
    </w:lvl>
  </w:abstractNum>
  <w:abstractNum w:abstractNumId="20">
    <w:nsid w:val="6763845E"/>
    <w:multiLevelType w:val="hybridMultilevel"/>
    <w:lvl w:ilvl="0">
      <w:lvlJc w:val="left"/>
      <w:lvlText w:val="2"/>
      <w:numFmt w:val="bullet"/>
      <w:start w:val="1"/>
    </w:lvl>
  </w:abstractNum>
  <w:abstractNum w:abstractNumId="21">
    <w:nsid w:val="75A2A8D4"/>
    <w:multiLevelType w:val="hybridMultilevel"/>
    <w:lvl w:ilvl="0">
      <w:lvlJc w:val="left"/>
      <w:lvlText w:val="(%1)"/>
      <w:numFmt w:val="lowerLetter"/>
      <w:start w:val="10"/>
    </w:lvl>
  </w:abstractNum>
  <w:abstractNum w:abstractNumId="22">
    <w:nsid w:val="8EDBDAB"/>
    <w:multiLevelType w:val="hybridMultilevel"/>
    <w:lvl w:ilvl="0">
      <w:lvlJc w:val="left"/>
      <w:lvlText w:val="(%1)"/>
      <w:numFmt w:val="decimal"/>
      <w:start w:val="20"/>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2026-05-05T06:07:19Z</dcterms:created>
  <dcterms:modified xsi:type="dcterms:W3CDTF">2026-05-05T06:07:19Z</dcterms:modified>
</cp:coreProperties>
</file>