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2025</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394335</wp:posOffset>
            </wp:positionV>
            <wp:extent cx="209994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60,993,214 shares of common stock as of May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29, 2024 (“2024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our vulnerability to changes in consumer preferences and economic conditions such as inflation and recession; uncertainty regarding the Russia and Ukraine war, Israel-Hamas war and the related impact on macroeconomic conditions, including inflation, as a result of such conflicts or other related events;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largest stockholder may differ from those of public stockholders.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398,565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167,596</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527,674</w:t>
            </w:r>
          </w:p>
        </w:tc>
        <w:tc>
          <w:tcPr>
            <w:tcW w:w="0" w:type="dxa"/>
            <w:vAlign w:val="bottom"/>
          </w:tcPr>
          <w:p>
            <w:pPr>
              <w:spacing w:after="0"/>
              <w:rPr>
                <w:sz w:val="1"/>
                <w:szCs w:val="1"/>
                <w:color w:val="auto"/>
              </w:rPr>
            </w:pPr>
          </w:p>
        </w:tc>
      </w:tr>
      <w:tr>
        <w:trPr>
          <w:trHeight w:val="165"/>
        </w:trPr>
        <w:tc>
          <w:tcPr>
            <w:tcW w:w="6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$241,905 and $229,227,</w:t>
            </w:r>
          </w:p>
        </w:tc>
        <w:tc>
          <w:tcPr>
            <w:tcW w:w="28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361,394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1,544,138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39,607</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liabilities, current</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138,472</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555,576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189,043</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947,849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918,967</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8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300,000,000 shares authorized; 60,974,543 and 60,700,090 shares</w:t>
            </w:r>
          </w:p>
        </w:tc>
        <w:tc>
          <w:tcPr>
            <w:tcW w:w="28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at March 30, 2025 and December 29, 2024, respectively</w:t>
            </w:r>
          </w:p>
        </w:tc>
        <w:tc>
          <w:tcPr>
            <w:tcW w:w="280" w:type="dxa"/>
            <w:vAlign w:val="bottom"/>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596,289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12"/>
        </w:trPr>
        <w:tc>
          <w:tcPr>
            <w:tcW w:w="6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1,544,138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6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8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279,591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239,308</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r>
      <w:tr>
        <w:trPr>
          <w:trHeight w:val="207"/>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242,449</w:t>
            </w:r>
          </w:p>
        </w:tc>
      </w:tr>
      <w:tr>
        <w:trPr>
          <w:trHeight w:val="19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operating expenses (exclusive of depreciation and amortization shown below):</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79,735</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36,792</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19,168</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27,658</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7"/>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230,163</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07"/>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10,013</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gain on derivatives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(loss) income</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8,143</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16"/>
        </w:trPr>
        <w:tc>
          <w:tcPr>
            <w:tcW w:w="6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60,767,401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60,012,790</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60,767,401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62,476,379</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20" w:type="dxa"/>
            <w:vAlign w:val="bottom"/>
          </w:tcPr>
          <w:p>
            <w:pPr>
              <w:spacing w:after="0"/>
              <w:rPr>
                <w:sz w:val="12"/>
                <w:szCs w:val="12"/>
                <w:color w:val="auto"/>
              </w:rPr>
            </w:pPr>
          </w:p>
        </w:tc>
        <w:tc>
          <w:tcPr>
            <w:tcW w:w="90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480,826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60,372,531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574,440</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1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6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60,700,090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0" w:type="dxa"/>
            <w:vAlign w:val="bottom"/>
          </w:tcPr>
          <w:p>
            <w:pPr>
              <w:spacing w:after="0"/>
              <w:rPr>
                <w:sz w:val="1"/>
                <w:szCs w:val="1"/>
                <w:color w:val="auto"/>
              </w:rPr>
            </w:pPr>
          </w:p>
        </w:tc>
      </w:tr>
      <w:tr>
        <w:trPr>
          <w:trHeight w:val="162"/>
        </w:trPr>
        <w:tc>
          <w:tcPr>
            <w:tcW w:w="3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274,453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66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2"/>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60,974,543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596,289</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8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12,271</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loss on extinguishments and modifications of debt</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combinations: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r>
      <w:tr>
        <w:trPr>
          <w:trHeight w:val="207"/>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24,982</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(28,584)</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(32,002)</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w:t>
            </w:r>
          </w:p>
        </w:tc>
      </w:tr>
      <w:tr>
        <w:trPr>
          <w:trHeight w:val="207"/>
        </w:trPr>
        <w:tc>
          <w:tcPr>
            <w:tcW w:w="74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9"/>
        </w:trPr>
        <w:tc>
          <w:tcPr>
            <w:tcW w:w="7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7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49,961</w:t>
            </w:r>
          </w:p>
        </w:tc>
      </w:tr>
      <w:tr>
        <w:trPr>
          <w:trHeight w:val="212"/>
        </w:trPr>
        <w:tc>
          <w:tcPr>
            <w:tcW w:w="74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43,503</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6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Leased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8,902</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liabilities from acquisition of property, fixtures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w:t>
            </w:r>
          </w:p>
        </w:tc>
      </w:tr>
    </w:tbl>
    <w:p>
      <w:pPr>
        <w:spacing w:after="0" w:line="302"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Leased assets and liabilities obtained during the thirteen weeks ended March 31, 2024 include $1.2 million from business acquisitions.</w:t>
      </w:r>
    </w:p>
    <w:p>
      <w:pPr>
        <w:spacing w:after="0" w:line="216" w:lineRule="exact"/>
        <w:rPr>
          <w:rFonts w:ascii="Times New Roman" w:cs="Times New Roman" w:eastAsia="Times New Roman" w:hAnsi="Times New Roman"/>
          <w:sz w:val="16"/>
          <w:szCs w:val="16"/>
          <w:color w:val="auto"/>
        </w:rPr>
      </w:pPr>
    </w:p>
    <w:p>
      <w:pPr>
        <w:ind w:left="2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30 states operating under the “First Watch” trade name, which are focused on made-to-order breakfast, brunch and lunch. The Company does not operate outside of the United States and all of its assets are located in the United States. As of March 30, 2025, the Company operated 498 company-owned restaurants and had 86 franchise-owned restaurants.</w:t>
      </w:r>
    </w:p>
    <w:p>
      <w:pPr>
        <w:spacing w:after="0" w:line="284" w:lineRule="exact"/>
        <w:rPr>
          <w:sz w:val="20"/>
          <w:szCs w:val="20"/>
          <w:color w:val="auto"/>
        </w:rPr>
      </w:pPr>
    </w:p>
    <w:p>
      <w:pPr>
        <w:ind w:right="7540" w:firstLine="8"/>
        <w:spacing w:after="0" w:line="377"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quarters ended March 30, 2025 and March 31, 2024 were 13-week periods. These unaudited interim consolidated financial statements should be read in conjunction with the audited consolidated financial statements and notes thereto included in the Company’s Annual Report on Form 10-K as of and for the year ended December 29, 2024 (“2024 Form 10-K”).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2024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and other current liabilities approximate their fair values due to their short-term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(Loss) and subsequently reclassified into earnings at the time of the Company’s debt interest payments.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amendments are effective for fiscal years beginning after December 15, 2024 and should be applied on a prospective basis, however, retrospective application is permitted. Management is currently evaluating the impact of this new standard and anticipates an expansion in the Company’s annual income tax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which establishes new disclosure requirements related to purchases of inventory, employee compensation, selling expenses, depreciation and intangible amortization. The new guidance is effective for fiscal years beginning after December 15, 2026, and interim periods beginning after December 15, 2027 and should be applied on a prospective basis with the option to apply the standard retrospectively. Early adoption is permitted. Management is currently evaluating the impact of this new standard.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Revenues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45"/>
        </w:trPr>
        <w:tc>
          <w:tcPr>
            <w:tcW w:w="6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80" w:type="dxa"/>
            <w:vAlign w:val="bottom"/>
          </w:tcPr>
          <w:p>
            <w:pPr>
              <w:spacing w:after="0"/>
              <w:rPr>
                <w:sz w:val="18"/>
                <w:szCs w:val="18"/>
                <w:color w:val="auto"/>
              </w:rPr>
            </w:pPr>
          </w:p>
        </w:tc>
        <w:tc>
          <w:tcPr>
            <w:tcW w:w="18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8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195,199</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25,935</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18,174</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239,308</w:t>
            </w:r>
          </w:p>
        </w:tc>
      </w:tr>
      <w:tr>
        <w:trPr>
          <w:trHeight w:val="239"/>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combinations - revenues recognized</w:t>
            </w:r>
          </w:p>
        </w:tc>
        <w:tc>
          <w:tcPr>
            <w:tcW w:w="28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r>
      <w:tr>
        <w:trPr>
          <w:trHeight w:val="212"/>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282,240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242,449</w:t>
            </w: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5,623</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8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liabilities assumed through acquisitions</w:t>
            </w:r>
          </w:p>
        </w:tc>
        <w:tc>
          <w:tcPr>
            <w:tcW w:w="28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8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Business combinations - franchise revenues recognized</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rebates from vendors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12"/>
        </w:trPr>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7,235</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10" w:name="page11"/>
    <w:bookmarkEnd w:id="1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16,769</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liabilities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w:t>
            </w:r>
          </w:p>
        </w:tc>
      </w:tr>
      <w:tr>
        <w:trPr>
          <w:trHeight w:val="237"/>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6.93%</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Draw Term Facility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95,063</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95,672</w:t>
            </w:r>
          </w:p>
        </w:tc>
        <w:tc>
          <w:tcPr>
            <w:tcW w:w="17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6.93%</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7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12"/>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201,813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198,271</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(10,292)</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37"/>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191,521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189,043</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October 6, 2021, the terms of which were amended on February 24, 2023 and January 5, 2025, which provides for (i) a $100.0 million term loan A facility (the “Term Facility”), (ii) a $125.0 million revolving credit facility (“the Revolving Credit Facility”) and (iii) a $125.0 million delayed draw term facility (the “Delayed Draw Term Facility”, and together with the Term Facility and the Revolving Credit Facility, the “Credit Facility”).</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Delayed Draw Term Facility is available to FWR for an 18-month period expiring July 5, 2025 and may be used to fund permitted acquisitions and new restaurant capital expenditures. Loans drawn under the Delayed Draw Term Facility will amortize at the same amortization rate per annum as applicable to loans under the Term Facility. The Credit Facility matures on January 5, 2029.</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March 30, 2025, borrowings under the Credit Facility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SOFR plus a credit spread adjustment of 10 basis points plus a margin of between 250 and 325 basis points depending on the Total Rent Adjusted Net Leverage Ratio. Refer to Note 7,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variable-to-fixed interest rate swap agreements.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April 11, 2025 and April 25, 2025, the Company drew $7.0 million and $20.5 million on the Delayed Draw Term Facility. The proceeds were used to fund the acquisitions completed on April 14, 2025 and April 28, 2025 discussed in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dates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60" w:type="dxa"/>
            <w:vAlign w:val="bottom"/>
          </w:tcPr>
          <w:p>
            <w:pPr>
              <w:spacing w:after="0"/>
              <w:rPr>
                <w:sz w:val="18"/>
                <w:szCs w:val="18"/>
                <w:color w:val="auto"/>
              </w:rPr>
            </w:pPr>
          </w:p>
        </w:tc>
        <w:tc>
          <w:tcPr>
            <w:tcW w:w="28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Facility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97,372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98,125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97,933</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Draw Term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95,484</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guaranteed by all of FWR’s wholly-owned subsidiaries and by AI Fresh Parent, Inc., a Delaware corporation and the direct parent company of FWR (“Holdings”), and is secured by associated collateral agreements that pledge a lien on substantially all of FWR’s and each guarantor’s assets, including fixed assets and intangibles, in each case, subject to customary exceptions.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FWR (and in certain circumstances, Holdings) and its subsidiaries are subject to affirmative, negative and financial covenants, maintenance of certain ratios, restrictions on additional indebtedness and events of default for facilities of this type (with customary grace periods, as applicable, and lender remedies). FWR was in compliance with covenants under the credit agreement as of March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Interest Rate Swaps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interest rate swaps to hedge a portion of the cash flows of the Company’s variable rate debt.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2023, the Company entered into two variable-to-fixed interest rate swaps. These interest rate swaps have an aggregate notional amount of $90.0 million and mature on October 6, 2026. Under the terms of the interest rate swaps, the Company will pay a weighted average fixed rate of 4.16% on the notional amount and will receive payments from the counterparties based on the three-month SOFR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the Company entered into two additional variable-to-fixed interest rate swaps. These interest rate swaps have an aggregate notional amount of $60.0 million and mature on June 30, 2027. Under the terms of the interest rate swaps, the Company will pay a weighted average fixed rate of 4.42% on the notional amount and will receive payments from the counterparties based on the three-month SOFR rate.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impact of the credit valuation adjustments was not determined to be significant to the overall valuation. As a result, the derivative was classified as Level 2 in the fair value hierarchy.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(loss) related to the interest rate swaps are reclassified to interest expense as interest payments are made on the Company’s variable-rate debt. During the thirteen weeks ended March 30, 2025, a total of $0.1 million was reclassified from Other comprehensive income (loss) as a reduction to Interest expense. Over the next 12 months, the Company estimates that $0.5 million will be reclassified as an increase to interest expense.</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 - current</w:t>
            </w:r>
          </w:p>
        </w:tc>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548,548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527,674</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r>
      <w:tr>
        <w:trPr>
          <w:trHeight w:val="20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552,908</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530,398</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378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liabilities - current</w:t>
            </w:r>
            <w:r>
              <w:rPr>
                <w:rFonts w:ascii="Times New Roman" w:cs="Times New Roman" w:eastAsia="Times New Roman" w:hAnsi="Times New Roman"/>
                <w:sz w:val="21"/>
                <w:szCs w:val="21"/>
                <w:color w:val="auto"/>
                <w:vertAlign w:val="superscript"/>
              </w:rPr>
              <w:t>(1)</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56,514</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555,576</w:t>
            </w:r>
          </w:p>
        </w:tc>
      </w:tr>
      <w:tr>
        <w:trPr>
          <w:trHeight w:val="216"/>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Finance lease liabilities - current</w:t>
            </w:r>
            <w:r>
              <w:rPr>
                <w:rFonts w:ascii="Times New Roman" w:cs="Times New Roman" w:eastAsia="Times New Roman" w:hAnsi="Times New Roman"/>
                <w:sz w:val="21"/>
                <w:szCs w:val="21"/>
                <w:color w:val="auto"/>
                <w:vertAlign w:val="superscript"/>
              </w:rPr>
              <w:t>(1)</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1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2"/>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639,870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614,046</w:t>
            </w:r>
          </w:p>
        </w:tc>
      </w:tr>
      <w:tr>
        <w:trPr>
          <w:trHeight w:val="20"/>
        </w:trPr>
        <w:tc>
          <w:tcPr>
            <w:tcW w:w="3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 for real estate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w:t>
            </w: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08"/>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Classification</w:t>
            </w: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2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157"/>
        </w:trPr>
        <w:tc>
          <w:tcPr>
            <w:tcW w:w="282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lease expense</w:t>
            </w:r>
          </w:p>
        </w:tc>
        <w:tc>
          <w:tcPr>
            <w:tcW w:w="446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45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spacing w:after="0"/>
              <w:rPr>
                <w:sz w:val="14"/>
                <w:szCs w:val="14"/>
                <w:color w:val="auto"/>
              </w:rPr>
            </w:pPr>
          </w:p>
        </w:tc>
        <w:tc>
          <w:tcPr>
            <w:tcW w:w="45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19,630</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lease expense</w:t>
            </w:r>
          </w:p>
        </w:tc>
        <w:tc>
          <w:tcPr>
            <w:tcW w:w="45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45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4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2820" w:type="dxa"/>
            <w:vAlign w:val="bottom"/>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contingent rent expense of $0.5 million and $0.5 million during the thirteen weeks ended March 30, 2025 and March 31, 2024.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8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14,144</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60"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THIRTEEN WEEKS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Borders>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13"/>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8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0"/>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a non-qualified deferred compensation plan (the “First Watch Deferred Compensation Plan”) effective January 1, 2025. The First Watch Deferred Compensation Plan allows officers and other key employees to defer their compensation within annual limits designated by the Company. Discretionary matching and other credits may be made to the accounts of active participants, which vest based on an employee’s years of service or vest in full upon an active participant’s death, disability or a Company change in control event, as defined in the plan. Participants’ earnings on contributions fluctuate with the actual earnings and losses of available investment choices selected by the participants.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First Watch Deferred Compensation Plan is unsecured, the Company has elected to fund certain of these obligations through a rabbi trust, the assets of which consist of Company-owned life insurance policies. The assets held in the rabbi trust are not available for general corporate purposes and are subject to creditor claims in the event of insolvency.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cash surrender value of the life insurance policies held in the rabbi trust is recorded in other long-term assets. As of March 30, 2025, rabbi trust assets totaled $0.2 million. Changes to the cash surrender value and any increases or decreases to deferred compensation liabilities incurred under the First Watch Deferred Compensation Plan are recorded as general and administrative expenses. As of March 30, 2025, the deferred compensation obligation included in other long-term liabilities totaled $0.3 million.</w:t>
      </w:r>
    </w:p>
    <w:p>
      <w:pPr>
        <w:spacing w:after="0" w:line="284" w:lineRule="exact"/>
        <w:rPr>
          <w:sz w:val="20"/>
          <w:szCs w:val="20"/>
          <w:color w:val="auto"/>
        </w:rPr>
      </w:pPr>
    </w:p>
    <w:p>
      <w:pPr>
        <w:ind w:right="7960" w:firstLine="8"/>
        <w:spacing w:after="0" w:line="377"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Stock option awards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thirteen weeks ended March 30, 2025. A summary of stock option activity during the thirteen weeks ended March 30, 2025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120" w:type="dxa"/>
            <w:vAlign w:val="bottom"/>
          </w:tcPr>
          <w:p>
            <w:pPr>
              <w:spacing w:after="0"/>
              <w:rPr>
                <w:sz w:val="14"/>
                <w:szCs w:val="14"/>
                <w:color w:val="auto"/>
              </w:rPr>
            </w:pPr>
          </w:p>
        </w:tc>
        <w:tc>
          <w:tcPr>
            <w:tcW w:w="17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29, 2024</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3,701,017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March 30, 2025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3,687,766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24,802</w:t>
            </w: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March 30, 2025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3,670,895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Nasdaq on the last trading day of the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thirteen weeks ended March 30, 2025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24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DATE FAIR VALUE PER</w:t>
            </w:r>
          </w:p>
        </w:tc>
        <w:tc>
          <w:tcPr>
            <w:tcW w:w="0" w:type="dxa"/>
            <w:vAlign w:val="bottom"/>
          </w:tcPr>
          <w:p>
            <w:pPr>
              <w:spacing w:after="0"/>
              <w:rPr>
                <w:sz w:val="1"/>
                <w:szCs w:val="1"/>
                <w:color w:val="auto"/>
              </w:rPr>
            </w:pPr>
          </w:p>
        </w:tc>
      </w:tr>
      <w:tr>
        <w:trPr>
          <w:trHeight w:val="214"/>
        </w:trPr>
        <w:tc>
          <w:tcPr>
            <w:tcW w:w="624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29, 2024</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(306,411)</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12"/>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March 30, 2025</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March 30, 2025, a total of 597,737 restricted stock units (“RSUs”) were granted. The grants will vest ratably over a period of three years from grant date. A summary of the Company’s RSU activity during the thirteen weeks ended March 30, 2025 is as follows: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200" w:type="dxa"/>
            <w:vAlign w:val="bottom"/>
          </w:tcPr>
          <w:p>
            <w:pPr>
              <w:spacing w:after="0"/>
              <w:rPr>
                <w:sz w:val="16"/>
                <w:szCs w:val="16"/>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5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200" w:type="dxa"/>
            <w:vAlign w:val="bottom"/>
          </w:tcPr>
          <w:p>
            <w:pPr>
              <w:spacing w:after="0"/>
              <w:rPr>
                <w:sz w:val="18"/>
                <w:szCs w:val="18"/>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29, 2024</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759,721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0" w:type="dxa"/>
            <w:vAlign w:val="bottom"/>
          </w:tcPr>
          <w:p>
            <w:pPr>
              <w:spacing w:after="0"/>
              <w:rPr>
                <w:sz w:val="1"/>
                <w:szCs w:val="1"/>
                <w:color w:val="auto"/>
              </w:rPr>
            </w:pPr>
          </w:p>
        </w:tc>
      </w:tr>
      <w:tr>
        <w:trPr>
          <w:trHeight w:val="213"/>
        </w:trPr>
        <w:tc>
          <w:tcPr>
            <w:tcW w:w="3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597,737</w:t>
            </w:r>
          </w:p>
        </w:tc>
        <w:tc>
          <w:tcPr>
            <w:tcW w:w="118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18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(262,165)</w:t>
            </w:r>
          </w:p>
        </w:tc>
        <w:tc>
          <w:tcPr>
            <w:tcW w:w="1180" w:type="dxa"/>
            <w:vAlign w:val="bottom"/>
            <w:tcBorders>
              <w:bottom w:val="single" w:sz="8" w:color="CCEEFF"/>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30, 2025</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1,092,552</w:t>
            </w:r>
          </w:p>
        </w:tc>
        <w:tc>
          <w:tcPr>
            <w:tcW w:w="1180" w:type="dxa"/>
            <w:vAlign w:val="bottom"/>
            <w:tcBorders>
              <w:bottom w:val="single" w:sz="8" w:color="CCEEFF"/>
            </w:tcBorders>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closing price of the Company’s common stock on Nasdaq of $16.86 and $18.70 on March 28, 2025 and December 27, 2024, the last trading days of the periods,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$2.3 million and $1.9 million during the thirteen weeks ended March 30, 2025 and March 31, 2024, respectively. The total related income tax benefit for stock-based compensation expense was $1.1 million and $1.3 million during the thirteen weeks ended March 30, 2025 and March 31,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March 30,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5040" w:type="dxa"/>
            <w:vAlign w:val="bottom"/>
            <w:gridSpan w:val="2"/>
            <w:vMerge w:val="restart"/>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25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 WEIGHTED</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25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jc w:val="center"/>
              <w:ind w:right="29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EXPENSE</w:t>
            </w:r>
          </w:p>
        </w:tc>
        <w:tc>
          <w:tcPr>
            <w:tcW w:w="2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60" w:type="dxa"/>
            <w:vAlign w:val="bottom"/>
          </w:tcPr>
          <w:p>
            <w:pPr>
              <w:jc w:val="center"/>
              <w:ind w:right="29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560" w:type="dxa"/>
            <w:vAlign w:val="bottom"/>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18,634</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Income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(1,537)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10,013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(2,799)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w:t>
            </w:r>
          </w:p>
        </w:tc>
      </w:tr>
    </w:tbl>
    <w:p>
      <w:pPr>
        <w:spacing w:after="0" w:line="3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effective income tax rate for the thirteen weeks ended March 30, 2025 was 46.1% as compared to 28.0% for the thirteen weeks ended March 31, 2024. In the United States, a restaurant company employer may claim a credit against its federal income taxes for FICA taxes paid on certain tipped wages (the “FICA tax credit”). The level of FICA tax credits is primarily driven by restaurant sales and is not impacted by costs incurred that may reduce income before provision for income taxes. The provision for income taxes decreased primarily due to the FICA tax credits, which are subject to a valuation allowance, relative to changes in pre-tax book income.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rates for the thirteen weeks ended March 30, 2025 and March 31, 2024 were different than the blended federal and state statutory rate primarily due to (i) the change in the valuation allowance, (ii) the benefit of tax credits for FICA taxes on certain employees’ tips and (iii) the impacts of executive stock-based compensation.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March 30, 2025.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assess the rationale for recording a valuation allowance for deferred tax assets. As the Company’s future taxable earnings increase and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pacing w:after="0" w:line="284" w:lineRule="exact"/>
        <w:rPr>
          <w:sz w:val="20"/>
          <w:szCs w:val="20"/>
          <w:color w:val="auto"/>
        </w:rPr>
      </w:pPr>
    </w:p>
    <w:p>
      <w:pPr>
        <w:ind w:right="8280" w:firstLine="8"/>
        <w:spacing w:after="0" w:line="378" w:lineRule="auto"/>
        <w:tabs>
          <w:tab w:leader="none" w:pos="4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anticipated liability with respect to these matters was not material as of March 30, 2025. In the event any litigation losses become probable and estimable, the Company will recognize anticipated losses.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determined the Company’s single operating segment on the basis that the Company’s Chief Operating Decision Maker (the “CODM”), the Chief Executive Officer, assesses performance and allocates resources at the Company’s consolidated level. The Company’s CODM uses consolidated net income to evaluate performance and make key operating decisions, such as investments in our long-term growth strategy. This measure is also used to monitor budget against actual results.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derived from sales of food and beverage, net of discounts, by our restaurants as well as franchise royalty, system fund and initial franchise fees. The measure of total assets for the reporting segment is reported on the consolidated balance sheets as total assets. The measure of capital expenditures for the reporting segment is reported on the consolidated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consolidated net (loss) income for the segment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gridSpan w:val="4"/>
          </w:tcPr>
          <w:p>
            <w:pPr>
              <w:jc w:val="right"/>
              <w:ind w:right="1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8"/>
                <w:szCs w:val="18"/>
                <w:color w:val="auto"/>
              </w:rPr>
            </w:pPr>
          </w:p>
        </w:tc>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420" w:type="dxa"/>
            <w:vAlign w:val="bottom"/>
          </w:tcPr>
          <w:p>
            <w:pPr>
              <w:spacing w:after="0"/>
              <w:rPr>
                <w:sz w:val="18"/>
                <w:szCs w:val="18"/>
                <w:color w:val="auto"/>
              </w:rPr>
            </w:pPr>
          </w:p>
        </w:tc>
        <w:tc>
          <w:tcPr>
            <w:tcW w:w="23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242,449</w:t>
            </w:r>
          </w:p>
        </w:tc>
      </w:tr>
      <w:tr>
        <w:trPr>
          <w:trHeight w:val="19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4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19"/>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4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w:t>
            </w:r>
          </w:p>
        </w:tc>
      </w:tr>
      <w:tr>
        <w:trPr>
          <w:trHeight w:val="213"/>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4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79,735</w:t>
            </w:r>
          </w:p>
        </w:tc>
      </w:tr>
      <w:tr>
        <w:trPr>
          <w:trHeight w:val="219"/>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4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36,792</w:t>
            </w:r>
          </w:p>
        </w:tc>
      </w:tr>
      <w:tr>
        <w:trPr>
          <w:trHeight w:val="213"/>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4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19,168</w:t>
            </w:r>
          </w:p>
        </w:tc>
      </w:tr>
      <w:tr>
        <w:trPr>
          <w:trHeight w:val="219"/>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4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r>
      <w:tr>
        <w:trPr>
          <w:trHeight w:val="219"/>
        </w:trPr>
        <w:tc>
          <w:tcPr>
            <w:tcW w:w="5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General and administrative expenses</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25,792</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12,271</w:t>
            </w:r>
          </w:p>
        </w:tc>
      </w:tr>
      <w:tr>
        <w:trPr>
          <w:trHeight w:val="219"/>
        </w:trPr>
        <w:tc>
          <w:tcPr>
            <w:tcW w:w="5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w:t>
            </w:r>
          </w:p>
        </w:tc>
      </w:tr>
      <w:tr>
        <w:trPr>
          <w:trHeight w:val="237"/>
        </w:trPr>
        <w:tc>
          <w:tcPr>
            <w:tcW w:w="5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income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excludes stock-based compensation presented separately.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included in segment net (loss) income are primarily transaction expenses, and impairments and loss on disposal of assets.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Net (Loss)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(loss) income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8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60,767,401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60,012,790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60,767,401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62,476,379</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common share - 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per common share - diluted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162"/>
        </w:trPr>
        <w:tc>
          <w:tcPr>
            <w:tcW w:w="6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(loss) income per common share as their effect is</w:t>
            </w:r>
          </w:p>
        </w:tc>
        <w:tc>
          <w:tcPr>
            <w:tcW w:w="28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w:t>
            </w:r>
          </w:p>
        </w:tc>
        <w:tc>
          <w:tcPr>
            <w:tcW w:w="2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units outstanding not included in diluted net (loss) income per share as their effect is</w:t>
            </w:r>
          </w:p>
        </w:tc>
        <w:tc>
          <w:tcPr>
            <w:tcW w:w="280" w:type="dxa"/>
            <w:vAlign w:val="bottom"/>
            <w:shd w:val="clear" w:color="auto" w:fill="CCEEFF"/>
          </w:tcPr>
          <w:p>
            <w:pPr>
              <w:spacing w:after="0"/>
              <w:rPr>
                <w:sz w:val="14"/>
                <w:szCs w:val="14"/>
                <w:color w:val="auto"/>
              </w:rPr>
            </w:pPr>
          </w:p>
        </w:tc>
        <w:tc>
          <w:tcPr>
            <w:tcW w:w="1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114,904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w:t>
            </w:r>
          </w:p>
        </w:tc>
        <w:tc>
          <w:tcPr>
            <w:tcW w:w="280" w:type="dxa"/>
            <w:vAlign w:val="bottom"/>
            <w:shd w:val="clear" w:color="auto" w:fill="CCEEFF"/>
          </w:tcPr>
          <w:p>
            <w:pPr>
              <w:spacing w:after="0"/>
              <w:rPr>
                <w:sz w:val="18"/>
                <w:szCs w:val="18"/>
                <w:color w:val="auto"/>
              </w:rPr>
            </w:pPr>
          </w:p>
        </w:tc>
        <w:tc>
          <w:tcPr>
            <w:tcW w:w="1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(loss)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28, 2025, the Company acquired 16 restaurants from a franchisee, together with other associated assets, including, but not limited to, franchise and development rights for cash of approximately $49.0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14, 2025, the Company acquired three restaurants from a franchisee, together with other associated assets, including, but not limited to, franchise and development rights for cash of approximately $7.0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for the acquisitions will be allocated to the assets acquired and liabilities assumed as the information necessary to complete the fair value analysis is obtained. The acquisitions were funded by borrowings under the Credit Facility. See Note 6, Debt.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2024 Form 10-K. As discussed in the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2024 Form 10-K, including under “Item 1A. Risk Factors” and “Item 7. Management’s Discussion and Analysis of Financial Condition and Results of Operations” and in “Part II, Item 1A. Risk Factors” of this Form 10-Q.</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The Company’s common stock trades on Nasdaq under the ticker symbol “FWRG”. A recipient of hundreds of local “Best Breakfast” and “Best Brunch” accolades, First Watch’s award-winning chef-driven menu includes elevated executions of classic favorites for breakfast, brunch and lunch. For three consecutive years, First Watch was named a Top 100 Most Loved Workplace® by Newsweek and the Best Practice Institute, and in 2024, was named the #1 Most Loved Workplace.</w:t>
      </w:r>
    </w:p>
    <w:p>
      <w:pPr>
        <w:spacing w:after="0" w:line="183"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30 states under the “First Watch” trade name and as of March 30, 2025, the Company had 498 company-owned restaurants and 86 franchise-owned restaurants.</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80" w:right="20"/>
        <w:spacing w:after="0" w:line="282" w:lineRule="auto"/>
        <w:rPr>
          <w:sz w:val="20"/>
          <w:szCs w:val="20"/>
          <w:color w:val="auto"/>
        </w:rPr>
      </w:pPr>
      <w:r>
        <w:rPr>
          <w:rFonts w:ascii="Times New Roman" w:cs="Times New Roman" w:eastAsia="Times New Roman" w:hAnsi="Times New Roman"/>
          <w:sz w:val="18"/>
          <w:szCs w:val="18"/>
          <w:color w:val="auto"/>
        </w:rPr>
        <w:t>Financial highlights for the thirteen weeks ended March 30, 2025 (“first quarter of 2025”) as compared, unless otherwise indicated below, to the thirteen weeks ended March 31, 2024 (“first quarter of 2024”), reflected the continued momentum of our operating performance and include the following:</w:t>
      </w:r>
    </w:p>
    <w:p>
      <w:pPr>
        <w:spacing w:after="0" w:line="162" w:lineRule="exact"/>
        <w:rPr>
          <w:sz w:val="20"/>
          <w:szCs w:val="20"/>
          <w:color w:val="auto"/>
        </w:rPr>
      </w:pPr>
    </w:p>
    <w:p>
      <w:pPr>
        <w:ind w:left="660" w:hanging="410"/>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13 system-wide restaurants in 10 states, resulting in a total of 584 system-wide restaurants (498 company-owned and 86 franchise-owned) across 30 states</w:t>
      </w:r>
    </w:p>
    <w:p>
      <w:pPr>
        <w:ind w:left="660" w:hanging="410"/>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revenues increased 16.4% to $282.2 million in the first quarter of 2025 from $242.4 million in the first quarter of 2024</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System-wide sales increased 11.5% to $323.0 million in the first quarter of 2025 from $289.6 million in the first quarter of 2024</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0.7%</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negative 0.7%</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decreased to 0.4% during the first quarter of 2025 from 5.1% in the first quarter of 2024</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decreased to 16.5% in the first quarter of 2025 from 20.8% in the first quarter of 2024</w:t>
      </w:r>
    </w:p>
    <w:p>
      <w:pPr>
        <w:spacing w:after="0" w:line="9" w:lineRule="exact"/>
        <w:rPr>
          <w:rFonts w:ascii="Times New Roman" w:cs="Times New Roman" w:eastAsia="Times New Roman" w:hAnsi="Times New Roman"/>
          <w:sz w:val="18"/>
          <w:szCs w:val="18"/>
          <w:color w:val="auto"/>
        </w:rPr>
      </w:pPr>
    </w:p>
    <w:p>
      <w:pPr>
        <w:ind w:left="660" w:hanging="410"/>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$(0.8) million, or $(0.01) per diluted share, in the first quarter of 2025 from net income of $7.2 million, or $0.12 per diluted share in the first quarter of 2024</w:t>
      </w:r>
    </w:p>
    <w:p>
      <w:pPr>
        <w:ind w:left="660" w:hanging="410"/>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$22.8 million in the first quarter of 2025 from $28.6 million in the first quarter of 2024</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left="200" w:hanging="112"/>
        <w:spacing w:after="0"/>
        <w:tabs>
          <w:tab w:leader="none" w:pos="2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first quarter, we experienced same-restaurant traffic growth of negative 0.7%. Though remaining somewhat challenged in the near-term due to the dynamic macroenvironment, we expect traffic to improve in the second half of the year when we anticipate benefiting from the results of increased focused marketing initiatives. Commodity inflation was 7.7% in the first quarter of 2025, largely driven by four of our top five commodities: eggs, coffee, bacon and avocados. We expect commodity inflation to remain in the high single-digit percentage range for the balance of the year based on current market conditions. We estimate that the tariffs enacted in April 2025 will increase our food and beverage costs as a percentage of restaurant sales by approximately 0.1% and supplies costs as a percentage of restaurant sales by approximately 0.2% for 2025.</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thirteen weeks ended March 30, 2025 and March 31, 2024, there were 383 restaurants and 344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as compared to the same period in the prior year using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(loss) before depreciation and amortization, interest expense, income taxes, and items that we do not consider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our evaluation of ongoing core operating performance as identified in the reconciliation of Net income (loss),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(loss)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480" w:type="dxa"/>
            <w:vAlign w:val="bottom"/>
            <w:tcBorders>
              <w:bottom w:val="single" w:sz="8" w:color="auto"/>
            </w:tcBorders>
            <w:gridSpan w:val="6"/>
          </w:tcPr>
          <w:p>
            <w:pPr>
              <w:ind w:left="1840"/>
              <w:spacing w:after="0"/>
              <w:rPr>
                <w:sz w:val="20"/>
                <w:szCs w:val="20"/>
                <w:color w:val="auto"/>
              </w:rPr>
            </w:pPr>
            <w:r>
              <w:rPr>
                <w:rFonts w:ascii="Times New Roman" w:cs="Times New Roman" w:eastAsia="Times New Roman" w:hAnsi="Times New Roman"/>
                <w:sz w:val="16"/>
                <w:szCs w:val="16"/>
                <w:b w:val="1"/>
                <w:bCs w:val="1"/>
                <w:color w:val="auto"/>
              </w:rPr>
              <w:t>THIRTEEN WEEKS ENDED MARCH 30, 2025</w:t>
            </w:r>
          </w:p>
        </w:tc>
        <w:tc>
          <w:tcPr>
            <w:tcW w:w="156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5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jc w:val="right"/>
              <w:ind w:right="2779"/>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New restaurant openings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6240" w:type="dxa"/>
            <w:vAlign w:val="bottom"/>
            <w:gridSpan w:val="2"/>
            <w:shd w:val="clear" w:color="auto" w:fill="CCEEFF"/>
          </w:tcPr>
          <w:p>
            <w:pPr>
              <w:jc w:val="right"/>
              <w:ind w:right="5239"/>
              <w:spacing w:after="0"/>
              <w:rPr>
                <w:sz w:val="20"/>
                <w:szCs w:val="20"/>
                <w:color w:val="auto"/>
              </w:rPr>
            </w:pPr>
            <w:r>
              <w:rPr>
                <w:rFonts w:ascii="Times New Roman" w:cs="Times New Roman" w:eastAsia="Times New Roman" w:hAnsi="Times New Roman"/>
                <w:sz w:val="16"/>
                <w:szCs w:val="16"/>
                <w:color w:val="auto"/>
              </w:rPr>
              <w:t>Closures</w:t>
            </w:r>
          </w:p>
        </w:tc>
        <w:tc>
          <w:tcPr>
            <w:tcW w:w="3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4200" w:type="dxa"/>
            <w:vAlign w:val="bottom"/>
          </w:tcPr>
          <w:p>
            <w:pPr>
              <w:jc w:val="right"/>
              <w:ind w:right="3199"/>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498</w:t>
            </w:r>
          </w:p>
        </w:tc>
        <w:tc>
          <w:tcPr>
            <w:tcW w:w="100" w:type="dxa"/>
            <w:vAlign w:val="bottom"/>
          </w:tcPr>
          <w:p>
            <w:pPr>
              <w:spacing w:after="0"/>
              <w:rPr>
                <w:sz w:val="17"/>
                <w:szCs w:val="17"/>
                <w:color w:val="auto"/>
              </w:rPr>
            </w:pPr>
          </w:p>
        </w:tc>
        <w:tc>
          <w:tcPr>
            <w:tcW w:w="2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3"/>
        </w:trPr>
        <w:tc>
          <w:tcPr>
            <w:tcW w:w="4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322,999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289,581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Same-restaurant sales growth</w:t>
            </w:r>
          </w:p>
        </w:tc>
        <w:tc>
          <w:tcPr>
            <w:tcW w:w="3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Same-restaurant traffic growth</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1,113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12,286</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6"/>
        </w:trPr>
        <w:tc>
          <w:tcPr>
            <w:tcW w:w="66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46,122</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49,862</w:t>
            </w:r>
          </w:p>
        </w:tc>
      </w:tr>
      <w:tr>
        <w:trPr>
          <w:trHeight w:val="216"/>
        </w:trPr>
        <w:tc>
          <w:tcPr>
            <w:tcW w:w="66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(in thousands)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7,214</w:t>
            </w:r>
          </w:p>
        </w:tc>
      </w:tr>
      <w:tr>
        <w:trPr>
          <w:trHeight w:val="21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margin</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6"/>
        </w:trPr>
        <w:tc>
          <w:tcPr>
            <w:tcW w:w="66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(2)</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22,753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28,590</w:t>
            </w:r>
          </w:p>
        </w:tc>
      </w:tr>
      <w:tr>
        <w:trPr>
          <w:trHeight w:val="216"/>
        </w:trPr>
        <w:tc>
          <w:tcPr>
            <w:tcW w:w="66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right="20" w:firstLine="8"/>
        <w:spacing w:after="0" w:line="248" w:lineRule="auto"/>
        <w:tabs>
          <w:tab w:leader="none" w:pos="25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1" w:lineRule="exact"/>
        <w:rPr>
          <w:rFonts w:ascii="Times New Roman" w:cs="Times New Roman" w:eastAsia="Times New Roman" w:hAnsi="Times New Roman"/>
          <w:sz w:val="16"/>
          <w:szCs w:val="16"/>
          <w:color w:val="auto"/>
        </w:rPr>
      </w:pPr>
    </w:p>
    <w:p>
      <w:pPr>
        <w:ind w:firstLine="8"/>
        <w:spacing w:after="0" w:line="270" w:lineRule="auto"/>
        <w:tabs>
          <w:tab w:leader="none" w:pos="23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(loss) and Net income (loss)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where indicated, Restaurant sales for the thirteen weeks ended March 30, 2025 and March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r>
      <w:tr>
        <w:trPr>
          <w:trHeight w:val="21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Pr>
          <w:p>
            <w:pPr>
              <w:spacing w:after="0"/>
              <w:rPr>
                <w:sz w:val="18"/>
                <w:szCs w:val="18"/>
                <w:color w:val="auto"/>
              </w:rPr>
            </w:pPr>
          </w:p>
        </w:tc>
        <w:tc>
          <w:tcPr>
            <w:tcW w:w="270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500" w:type="dxa"/>
            <w:vAlign w:val="bottom"/>
          </w:tcPr>
          <w:p>
            <w:pPr>
              <w:spacing w:after="0"/>
              <w:rPr>
                <w:sz w:val="18"/>
                <w:szCs w:val="18"/>
                <w:color w:val="auto"/>
              </w:rPr>
            </w:pP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740" w:type="dxa"/>
            <w:vAlign w:val="bottom"/>
          </w:tcPr>
          <w:p>
            <w:pPr>
              <w:spacing w:after="0"/>
              <w:rPr>
                <w:sz w:val="18"/>
                <w:szCs w:val="18"/>
                <w:color w:val="auto"/>
              </w:rPr>
            </w:pPr>
          </w:p>
        </w:tc>
      </w:tr>
      <w:tr>
        <w:trPr>
          <w:trHeight w:val="19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279,591</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99.1 %</w:t>
            </w:r>
          </w:p>
        </w:tc>
        <w:tc>
          <w:tcPr>
            <w:tcW w:w="10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239,308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98.7 %</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2,649</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1.3 %</w:t>
            </w:r>
          </w:p>
        </w:tc>
      </w:tr>
      <w:tr>
        <w:trPr>
          <w:trHeight w:val="19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282,240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6"/>
                <w:szCs w:val="16"/>
                <w:color w:val="auto"/>
              </w:rPr>
            </w:pPr>
          </w:p>
        </w:tc>
        <w:tc>
          <w:tcPr>
            <w:tcW w:w="50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242,449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1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62"/>
        </w:trPr>
        <w:tc>
          <w:tcPr>
            <w:tcW w:w="4940" w:type="dxa"/>
            <w:vAlign w:val="bottom"/>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Restaurant operating expenses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 depreciation and</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shown below):</w:t>
            </w: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66,647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52,184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21.8 %</w:t>
            </w:r>
          </w:p>
        </w:tc>
      </w:tr>
      <w:tr>
        <w:trPr>
          <w:trHeight w:val="213"/>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96,754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79,735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33.3 %</w:t>
            </w:r>
          </w:p>
        </w:tc>
      </w:tr>
      <w:tr>
        <w:trPr>
          <w:trHeight w:val="21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44,259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36,792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213"/>
        </w:trPr>
        <w:tc>
          <w:tcPr>
            <w:tcW w:w="4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23,149</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19,168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8.0 %</w:t>
            </w:r>
          </w:p>
        </w:tc>
      </w:tr>
      <w:tr>
        <w:trPr>
          <w:trHeight w:val="21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2,660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30,219</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27,658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11.4 %</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16,557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12,271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873</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r>
      <w:tr>
        <w:trPr>
          <w:trHeight w:val="194"/>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281,127</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99.6 %</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230,163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94.9 %</w:t>
            </w:r>
          </w:p>
        </w:tc>
      </w:tr>
      <w:tr>
        <w:trPr>
          <w:trHeight w:val="198"/>
        </w:trPr>
        <w:tc>
          <w:tcPr>
            <w:tcW w:w="49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1,113</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12,286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684</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r>
      <w:tr>
        <w:trPr>
          <w:trHeight w:val="19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4.1 %</w:t>
            </w:r>
          </w:p>
        </w:tc>
      </w:tr>
      <w:tr>
        <w:trPr>
          <w:trHeight w:val="21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708</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5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7,214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3.0 %</w:t>
            </w:r>
          </w:p>
        </w:tc>
      </w:tr>
      <w:tr>
        <w:trPr>
          <w:trHeight w:val="22"/>
        </w:trPr>
        <w:tc>
          <w:tcPr>
            <w:tcW w:w="4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60" w:type="dxa"/>
            <w:vAlign w:val="bottom"/>
          </w:tcPr>
          <w:p>
            <w:pPr>
              <w:spacing w:after="0"/>
              <w:rPr>
                <w:sz w:val="18"/>
                <w:szCs w:val="18"/>
                <w:color w:val="auto"/>
              </w:rPr>
            </w:pPr>
          </w:p>
        </w:tc>
        <w:tc>
          <w:tcPr>
            <w:tcW w:w="18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r>
      <w:tr>
        <w:trPr>
          <w:trHeight w:val="21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restaurant sales as compared to the same period in the prior year was due principally to restaurant sales of (i) $25.6 million for the thirteen weeks ended March 30, 2025 from 46 NROs opened between March 31, 2024 and March 30, 2025, (ii) $10.5 million from 21 restaurants acquired from franchisees between March 31, 2024 and March 30, 2025, (iii) menu price increases, partially offset by a decrease in same-restaurant traffic and increased promotional usage.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8"/>
                <w:szCs w:val="18"/>
                <w:color w:val="auto"/>
              </w:rPr>
            </w:pPr>
          </w:p>
        </w:tc>
        <w:tc>
          <w:tcPr>
            <w:tcW w:w="1680" w:type="dxa"/>
            <w:vAlign w:val="bottom"/>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3,009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acquisitions - franchise revenues recognized</w:t>
            </w:r>
          </w:p>
        </w:tc>
        <w:tc>
          <w:tcPr>
            <w:tcW w:w="2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3,141</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franchise revenues during the thirteen weeks ended March 30, 2025 as compared to the same period in the prior year was primarily driven by the Company’s acquisitions of 21 franchise-owned restaurants, partially offset by franchise revenues from the 8 franchise-owned NROs between March 31, 2024 and March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40" w:type="dxa"/>
            <w:vAlign w:val="bottom"/>
            <w:tcBorders>
              <w:bottom w:val="single" w:sz="8" w:color="auto"/>
            </w:tcBorders>
          </w:tcPr>
          <w:p>
            <w:pPr>
              <w:spacing w:after="0"/>
              <w:rPr>
                <w:sz w:val="18"/>
                <w:szCs w:val="18"/>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66,647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52,184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3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Food and beverage costs as a percent of restaurant sales increased during the thirteen weeks ended March 30, 2025 as compared to the same period in the prior year primarily due to (i) commodity inflation largely driven by four of our top five commodities: eggs, coffee, bacon and avocados, and (ii) increased portion size of meat in certain menu items, partially offset by the leverage associated with menu price increases.</w:t>
      </w:r>
    </w:p>
    <w:p>
      <w:pPr>
        <w:spacing w:after="0" w:line="237" w:lineRule="auto"/>
        <w:rPr>
          <w:sz w:val="20"/>
          <w:szCs w:val="20"/>
          <w:color w:val="auto"/>
        </w:rPr>
      </w:pPr>
      <w:r>
        <w:rPr>
          <w:rFonts w:ascii="Times New Roman" w:cs="Times New Roman" w:eastAsia="Times New Roman" w:hAnsi="Times New Roman"/>
          <w:sz w:val="18"/>
          <w:szCs w:val="18"/>
          <w:color w:val="auto"/>
        </w:rPr>
        <w:t>Food and beverage costs increased during the thirteen weeks ended March 30, 2025 as compared to the same period in the prior year primarily as a result</w:t>
      </w:r>
    </w:p>
    <w:p>
      <w:pPr>
        <w:spacing w:after="0" w:line="1" w:lineRule="exact"/>
        <w:rPr>
          <w:sz w:val="20"/>
          <w:szCs w:val="20"/>
          <w:color w:val="auto"/>
        </w:rPr>
      </w:pPr>
    </w:p>
    <w:p>
      <w:pPr>
        <w:ind w:right="20" w:firstLine="8"/>
        <w:spacing w:after="0" w:line="243"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46 NROs and 21 restaurants acquired from franchisees between March 31, 2024 and March 30, 2025, (ii) commodity inflation and (iii) increased portion size of meat in certain menu items.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40" w:type="dxa"/>
            <w:vAlign w:val="bottom"/>
            <w:tcBorders>
              <w:bottom w:val="single" w:sz="8" w:color="auto"/>
            </w:tcBorders>
          </w:tcPr>
          <w:p>
            <w:pPr>
              <w:spacing w:after="0"/>
              <w:rPr>
                <w:sz w:val="18"/>
                <w:szCs w:val="18"/>
                <w:color w:val="auto"/>
              </w:rPr>
            </w:pP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96,754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79,735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the thirteen weeks ended March 30, 2025 as compared to the same period in the prior year primarily as a result of increases in (i) wage rates and (ii) health insurance costs, partially offset by the leverage associated with menu price increases.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weeks ended March 30, 2025 as compared to the same period in the prior year was primarily due to (i) the increase in the number of restaurants and related headcount, (ii) wage increases and (iii) increased health insurance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40" w:type="dxa"/>
            <w:vAlign w:val="bottom"/>
            <w:tcBorders>
              <w:bottom w:val="single" w:sz="8" w:color="auto"/>
            </w:tcBorders>
          </w:tcPr>
          <w:p>
            <w:pPr>
              <w:spacing w:after="0"/>
              <w:rPr>
                <w:sz w:val="18"/>
                <w:szCs w:val="18"/>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44,259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36,792</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bl>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percentage of restaurant sales, the increase in other restaurant operating expenses for the thirteen weeks ended March 30, 2025 as compared to the same period in the prior year was primarily due to (i) utilities expenses, (ii) operating supply costs, in particular, to-go supplies, (iii) repairs and maintenance, (iv) third-party delivery fees and (v) restaurant-level marketing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weeks ended March 30, 2025 as compared to the same period in the prior year primarily due to the increase in the number of restaurants driving increases expenses including (i) $2.5 million utilities and repair and maintenance expenses, (ii) $2.2 million operating supplies, (iii) $1.2 million third-party delivery fees, (iv) $0.9 million credit card fees, (v) $0.4 million insurance expense and (vi) $0.3 million restaurant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40" w:type="dxa"/>
            <w:vAlign w:val="bottom"/>
            <w:tcBorders>
              <w:bottom w:val="single" w:sz="8" w:color="auto"/>
            </w:tcBorders>
          </w:tcPr>
          <w:p>
            <w:pPr>
              <w:spacing w:after="0"/>
              <w:rPr>
                <w:sz w:val="18"/>
                <w:szCs w:val="18"/>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23,149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19,168</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increase in occupancy expenses for the thirteen weeks ended March 30, 2025 as compared to the same period in the prior year was primarily due to higher rent expense associated with newer restaurants.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weeks ended March 30, 2025 as compared to the same period in the prior year was primarily due to the increase in the number of company-owned restaurants.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rent expense,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700" w:type="dxa"/>
            <w:vAlign w:val="bottom"/>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2,660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1,567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69.8 %</w:t>
            </w:r>
          </w:p>
        </w:tc>
      </w:tr>
    </w:tbl>
    <w:p>
      <w:pPr>
        <w:spacing w:after="0" w:line="2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the thirteen weeks ended March 30, 2025 as compared to the same period in the prior year was primarily from (i) increases in pre-opening rent and (ii) the higher number of restaurants opened and under construction.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60" w:type="dxa"/>
            <w:vAlign w:val="bottom"/>
            <w:tcBorders>
              <w:bottom w:val="single" w:sz="8" w:color="auto"/>
            </w:tcBorders>
          </w:tcPr>
          <w:p>
            <w:pPr>
              <w:spacing w:after="0"/>
              <w:rPr>
                <w:sz w:val="18"/>
                <w:szCs w:val="18"/>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6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March 30, 2025 as compared to the same period in the prior year was mainly due to (i) $1.7 million increase in marketing expenses, (ii) $0.5 million increase in licenses and fees including information technology related expenses for an increased number of restaurants and (iii) approximately $0.2 million related to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60" w:type="dxa"/>
            <w:vAlign w:val="bottom"/>
            <w:tcBorders>
              <w:bottom w:val="single" w:sz="8" w:color="auto"/>
            </w:tcBorders>
          </w:tcPr>
          <w:p>
            <w:pPr>
              <w:spacing w:after="0"/>
              <w:rPr>
                <w:sz w:val="18"/>
                <w:szCs w:val="18"/>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6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34.9 %</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weeks ended March 30, 2025 as compared to the same period in the prior year is primarily related to depreciating and amortizing the assets of NROs and of acquired restaurants, including reacquired rights from franchisees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costs incurred in connection with the acquisition of franchise-owned restaurants, (ii) costs related to certain equity offerings, (iii) costs related to restaurant closures, (iv) gains or losses associated with lease or contract terminations and (v) revaluations of contingent consideration payable to previous stockholders for tax savings generated through the use of federal and state loss carryforwards and general business credits that had been accumulated from operations prior to August 2017.</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4"/>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expenses, net during the thirteen weeks ended March 30, 2025 as compared to the same period in the prior year was primarily due to recording a $0.6 million reduction to contingent consideration liability in the first quarter of 2024 offset in part by $0.3 million of debt modification costs incurred in the first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4"/>
          </w:tcPr>
          <w:p>
            <w:pPr>
              <w:ind w:left="15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00" w:type="dxa"/>
            <w:vAlign w:val="bottom"/>
            <w:tcBorders>
              <w:bottom w:val="single" w:sz="8" w:color="auto"/>
            </w:tcBorders>
          </w:tcPr>
          <w:p>
            <w:pPr>
              <w:spacing w:after="0"/>
              <w:rPr>
                <w:sz w:val="18"/>
                <w:szCs w:val="18"/>
                <w:color w:val="auto"/>
              </w:rPr>
            </w:pPr>
          </w:p>
        </w:tc>
      </w:tr>
      <w:tr>
        <w:trPr>
          <w:trHeight w:val="214"/>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19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2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1,113</w:t>
            </w:r>
          </w:p>
        </w:tc>
        <w:tc>
          <w:tcPr>
            <w:tcW w:w="3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12,286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bl>
    <w:p>
      <w:pPr>
        <w:spacing w:after="0" w:line="2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Income from operations margin decreased during the thirteen weeks ended March 30, 2025 as compared to the same period in the prior year primarily due to increases in restaurant level expenses as a percent of restaurant sales, primarily (i) food and beverage cost inflation, (ii) labor and other related expense including health insurance, (iii) higher depreciation and amortization expense driven by restaurant growth, (iv) other restaurant operating expenses including utilities, supplies and repairs and maintenance costs, and (v) occupancy and preopening rent expense, offset in part by leveraging certain general and administrative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during the thirteen weeks ended March 30, 2025 as revenue increases were exceeded by increases in various other costs compared to the same period in the prior year including (i) labor and related expenses, (ii) food and beverage costs, (iii) other restaurant operating expenses, (iv) occupancy and preopening rent expense, (v) depreciation and amortization expense and (vi)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700" w:type="dxa"/>
            <w:vAlign w:val="bottom"/>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3,334</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2,599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thirteen weeks ended March 30, 2025 as compared to the same period in the prior year was due to (i) increased borrowings associated with franchise acquisitions and (ii) higher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109.8 %</w:t>
            </w: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income, net increased during the thirteen weeks ended March 30, 2025 as compared to the same period in the prior year primarily due to insurance recoveries recognized during the first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80" w:type="dxa"/>
            <w:vAlign w:val="bottom"/>
            <w:tcBorders>
              <w:bottom w:val="single" w:sz="8" w:color="auto"/>
            </w:tcBorders>
          </w:tcPr>
          <w:p>
            <w:pPr>
              <w:spacing w:after="0"/>
              <w:rPr>
                <w:sz w:val="18"/>
                <w:szCs w:val="18"/>
                <w:color w:val="auto"/>
              </w:rPr>
            </w:pP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w:t>
      </w:r>
      <w:r>
        <w:rPr>
          <w:rFonts w:ascii="Times New Roman" w:cs="Times New Roman" w:eastAsia="Times New Roman" w:hAnsi="Times New Roman"/>
          <w:sz w:val="17"/>
          <w:szCs w:val="17"/>
          <w:color w:val="auto"/>
        </w:rPr>
        <w:t>n the United States, a restaurant company employer may claim a credit against its federal income taxes for FICA taxes paid on certain tipped wages (the</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“FICA tax credit”). The level of FICA tax credits is primarily driven by restaurant sales and is not impacted by costs incurred that may reduce income before provision for income taxes. The provision for income taxes decreased primarily due to the FICA tax credits, which are subject to a valuation allowance, relative to changes in pre-tax book income.</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effective income tax rates for the thirteen weeks ended March 30, 2025 as compared to the same period in the prior year was primarily due to the change in pre-tax book income relative to the FICA tax credit and valuation allowance.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80" w:type="dxa"/>
            <w:vAlign w:val="bottom"/>
            <w:tcBorders>
              <w:bottom w:val="single" w:sz="8" w:color="auto"/>
            </w:tcBorders>
          </w:tcPr>
          <w:p>
            <w:pPr>
              <w:spacing w:after="0"/>
              <w:rPr>
                <w:sz w:val="18"/>
                <w:szCs w:val="18"/>
                <w:color w:val="auto"/>
              </w:rPr>
            </w:pP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income and net (loss) income margin during the thirteen weeks ended March 30, 2025 decreased as compared to the same period in the prior year primarily due to the (i) decrease in income from operations as expenses increased at a higher rate than revenue and (ii) increase in interest expense associated with increased borrowings to fund acquisitions, offset partially by the impact of income taxes.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ind w:left="16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20" w:type="dxa"/>
            <w:vAlign w:val="bottom"/>
            <w:tcBorders>
              <w:bottom w:val="single" w:sz="8" w:color="auto"/>
            </w:tcBorders>
          </w:tcPr>
          <w:p>
            <w:pPr>
              <w:spacing w:after="0"/>
              <w:rPr>
                <w:sz w:val="18"/>
                <w:szCs w:val="18"/>
                <w:color w:val="auto"/>
              </w:rPr>
            </w:pP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46,122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49,862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bl>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weeks ended March 30, 2025 decreased as compared to the same period in the prior year primarily due to (i) inflation across commodities and supplies, (ii) increases in restaurant-level wages, and (iii) increases in occupancy and preopening rent expenses. This was partially offset by the leverage associated with menu price.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for the thirteen weeks ended March 30, 2025 decreased as compared to the same period in the prior year due to operating expense increases, including (i) labor costs, (ii) food and beverage expenses, (iii) other restaurant operating expenses, and (iv) occupancy and preopening rent, exceeding revenue increases.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5"/>
          </w:tcPr>
          <w:p>
            <w:pPr>
              <w:ind w:left="15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80" w:type="dxa"/>
            <w:vAlign w:val="bottom"/>
            <w:tcBorders>
              <w:bottom w:val="single" w:sz="8" w:color="auto"/>
            </w:tcBorders>
          </w:tcPr>
          <w:p>
            <w:pPr>
              <w:spacing w:after="0"/>
              <w:rPr>
                <w:sz w:val="18"/>
                <w:szCs w:val="18"/>
                <w:color w:val="auto"/>
              </w:rPr>
            </w:pPr>
          </w:p>
        </w:tc>
      </w:tr>
      <w:tr>
        <w:trPr>
          <w:trHeight w:val="214"/>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0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22,753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28,590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bl>
    <w:p>
      <w:pPr>
        <w:spacing w:after="0" w:line="2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decreased during the thirteen weeks ended March 30, 2025 as compared to the same period in the prior year primarily due to (i) the decrease in restaurant level operating profit and (ii) the increase in general and administrative expenses including increased marketing spend.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margin decreased during the thirteen weeks ended March 30, 2025 compared to the same period in the prior year primarily due to a decrease in restaurant level operating profit margin partially offset by leveraging of general and administrative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254" w:lineRule="exact"/>
        <w:rPr>
          <w:sz w:val="20"/>
          <w:szCs w:val="20"/>
          <w:color w:val="auto"/>
        </w:rPr>
      </w:pPr>
    </w:p>
    <w:p>
      <w:pPr>
        <w:ind w:left="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(loss) and Net income (loss) margin, the most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GAAP 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16,557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12,271</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2,599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2,799</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18,354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24,883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Strategic costs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Delaware Voluntary Disclosure Agreement Program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(4)</w:t>
            </w:r>
          </w:p>
        </w:tc>
        <w:tc>
          <w:tcPr>
            <w:tcW w:w="20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(5)</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(6)</w:t>
            </w:r>
          </w:p>
        </w:tc>
        <w:tc>
          <w:tcPr>
            <w:tcW w:w="2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(7)</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22,753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28,590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7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282,240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242,449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income margin</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EBITDA margin</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7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(8)</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108"/>
        </w:trPr>
        <w:tc>
          <w:tcPr>
            <w:tcW w:w="40" w:type="dxa"/>
            <w:vAlign w:val="bottom"/>
            <w:vMerge w:val="continue"/>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ind w:left="80" w:firstLine="8"/>
        <w:spacing w:after="0" w:line="249" w:lineRule="auto"/>
        <w:tabs>
          <w:tab w:leader="none" w:pos="32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 (Loss).</w:t>
      </w:r>
    </w:p>
    <w:p>
      <w:pPr>
        <w:ind w:left="80" w:firstLine="8"/>
        <w:spacing w:after="0" w:line="255" w:lineRule="auto"/>
        <w:tabs>
          <w:tab w:leader="none" w:pos="3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 (Loss).</w:t>
      </w:r>
    </w:p>
    <w:p>
      <w:pPr>
        <w:ind w:left="80" w:right="20" w:firstLine="8"/>
        <w:spacing w:after="0" w:line="255" w:lineRule="auto"/>
        <w:tabs>
          <w:tab w:leader="none" w:pos="31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 (Loss).</w:t>
      </w:r>
    </w:p>
    <w:p>
      <w:pPr>
        <w:ind w:left="80" w:firstLine="8"/>
        <w:spacing w:after="0" w:line="248" w:lineRule="auto"/>
        <w:tabs>
          <w:tab w:leader="none" w:pos="3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secondary offering costs and, in 2024, an offsetting gain on release of contingent consideration liability and expenses related to debt.</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80" w:right="20" w:firstLine="8"/>
        <w:spacing w:after="0" w:line="253" w:lineRule="auto"/>
        <w:tabs>
          <w:tab w:leader="none" w:pos="3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These costs are recorded within General and administrative expenses on the Consolidated Statements of Operations and Comprehensive Income (Loss).</w:t>
      </w:r>
    </w:p>
    <w:p>
      <w:pPr>
        <w:ind w:left="320" w:hanging="23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 (Loss).</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12,286</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20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(3,141)</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27,658</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12,271</w:t>
            </w:r>
          </w:p>
        </w:tc>
      </w:tr>
      <w:tr>
        <w:trPr>
          <w:trHeight w:val="216"/>
        </w:trPr>
        <w:tc>
          <w:tcPr>
            <w:tcW w:w="74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r>
      <w:tr>
        <w:trPr>
          <w:trHeight w:val="216"/>
        </w:trPr>
        <w:tc>
          <w:tcPr>
            <w:tcW w:w="74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r>
      <w:tr>
        <w:trPr>
          <w:trHeight w:val="207"/>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46,122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49,862</w:t>
            </w:r>
          </w:p>
        </w:tc>
      </w:tr>
      <w:tr>
        <w:trPr>
          <w:trHeight w:val="199"/>
        </w:trPr>
        <w:tc>
          <w:tcPr>
            <w:tcW w:w="7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279,591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239,308</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19"/>
        </w:trPr>
        <w:tc>
          <w:tcPr>
            <w:tcW w:w="7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line="249" w:lineRule="auto"/>
        <w:tabs>
          <w:tab w:leader="none" w:pos="24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secondary offering costs and, in 2024, an offsetting gain on release of contingent consideration liability and expenses related to debt.</w:t>
      </w:r>
    </w:p>
    <w:p>
      <w:pPr>
        <w:ind w:firstLine="8"/>
        <w:spacing w:after="0" w:line="255" w:lineRule="auto"/>
        <w:tabs>
          <w:tab w:leader="none" w:pos="2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firstLine="8"/>
        <w:spacing w:after="0" w:line="275" w:lineRule="auto"/>
        <w:tabs>
          <w:tab w:leader="none" w:pos="2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 (Loss).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30, 2025, we had cash and cash equivalents of $18.6 million and outstanding borrowings under the Credit Facility of $195.6 million, excluding unamortized debt discount and deferred issuance costs. We had availability of $119.9 million under our revolving credit facility of $125.0 million, of which $2.1 million is reserved under letters of credit, and availability of $27.5 million under our delayed draw term loan pursuant to our credit agreement,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 for their purchases at the time of the sale, which frequently precedes our payment terms with suppliers.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flow from operations combined with our availability under the Credit Facility and our cash and cash equivalents will be sufficient to meet the Company’s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$150.0 million to $160.0 million in 2025, not including the capital allocated to franchise acquisitions. This capital is invested primarily in new restaurant projects and planned remodels. We plan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thirteen weeks ended March 30, 2025 and March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28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24,982</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(32,002)</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0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(6,458)</w:t>
            </w:r>
          </w:p>
        </w:tc>
      </w:tr>
      <w:tr>
        <w:trPr>
          <w:trHeight w:val="2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operations is our typical source of liquidity used (i) to fund capital expenditures for new restaurants, (ii) to maintain and remodel existing restaurants and (iii) for debt service. Cash provided by operations decreased during the thirteen week period ended March 30, 2025 as compared to the thirteen week period ended March 31, 2024 primarily due to the decrease in income from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during the thirteen weeks ended March 30, 2025 from the thirteen weeks ended March 31, 2024 due principally to increases in the number of new restaurants and capital projects into which the Company is investing, offset in part by $3.4 million paid in the prior year to acquire a franchise location.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includes (i) borrowing the Company’s Credit Facility to fund capital projects and related debt issuance costs, net of debt repayments and (ii) proceeds from stock option exercises.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2024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exposed to interest rate risk through fluctuations in interest rates on our debt obligations. On June 23, 2023, we entered into a variable-to-fixed interest rate swap agreement with two financial institutions to hedge $90.0 million of the outstanding variable rate debt. Under the terms of the interest rate swap agreement, the Company will pay a weighted average fixed rate of 4.16% on the notional amount and will receive payments from the counterparties based on the three-month secured overnight financing rate. On May 17, 2024, we entered into a variable-to-fixed interest rate swap agreement with two financial institutions to hedge an additional $60.0 million of the $195.6 million variable rate debt outstanding. Under the terms of the interest rate swap agreement, the Company will pay a weighted average fixed rate of 4.42% on the notional amount and will receive payments from the counterparties based on the three-month secured overnight financing rate. Refer to Note 7,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there have been no material changes to our exposure to market risks as disclosed in the 2024 Form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our Chief Executive Officer and Chief Financial Officer concluded that, as of March 30, 2025,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the management report on internal control over financial reporting in Part II - Item 9A of the 2024 Form 10-K filed with SEC on March 11, 2025 for a discussion of the material weaknesses that continue to exist as of March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implement measures designed to improve the Company’s internal control over financial reporting to address and remediate the previously identified material weaknesses. To date, such measures include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account reconciliation and journal entry policies that provide the framework to ensure the performance of consistent procedures in reconciling general ledger balances to supporting documentation and set the standards for the preparation and review of journal entries.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automate journal entries and segregate journal entry creation from journal entry approval authority.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material weaknesses previously disclosed have not yet been remediated as of March 30, 2025, management is devoting substantial resources to the ongoing remediation efforts. 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designed and operating effectively.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March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2024 Form 10-K, which could materially affect our business, financial condition or future results. There have been no material changes to the risk factors disclosed in our 2024 Form 10-K, but these are not the only risks facing our Company. Additional risks and uncertainties not currently known to us or that we currently deem to be immaterial also may adversely affect our business, financial condition or results of operations.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30, 2025, none of our directors or officers adopted or terminated a “Rule 10b5-1 trading arrangement” or “non-Rule 10b5-1 trading arrangement,” as those terms are defined in Regulation S-K, Item 408, except as described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 Number of Shares of</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640" w:type="dxa"/>
            <w:vAlign w:val="bottom"/>
            <w:gridSpan w:val="2"/>
            <w:vMerge w:val="continue"/>
          </w:tcPr>
          <w:p>
            <w:pPr>
              <w:spacing w:after="0"/>
              <w:rPr>
                <w:sz w:val="12"/>
                <w:szCs w:val="12"/>
                <w:color w:val="auto"/>
              </w:rPr>
            </w:pPr>
          </w:p>
        </w:tc>
        <w:tc>
          <w:tcPr>
            <w:tcW w:w="25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 to be Sold Pursuant to</w:t>
            </w:r>
          </w:p>
        </w:tc>
        <w:tc>
          <w:tcPr>
            <w:tcW w:w="17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Duration (2)</w:t>
            </w:r>
          </w:p>
        </w:tc>
        <w:tc>
          <w:tcPr>
            <w:tcW w:w="0" w:type="dxa"/>
            <w:vAlign w:val="bottom"/>
          </w:tcPr>
          <w:p>
            <w:pPr>
              <w:spacing w:after="0"/>
              <w:rPr>
                <w:sz w:val="1"/>
                <w:szCs w:val="1"/>
                <w:color w:val="auto"/>
              </w:rPr>
            </w:pPr>
          </w:p>
        </w:tc>
      </w:tr>
      <w:tr>
        <w:trPr>
          <w:trHeight w:val="198"/>
        </w:trPr>
        <w:tc>
          <w:tcPr>
            <w:tcW w:w="376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Arrangement (1)</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 xml:space="preserve">Christoper A. Tomasso, </w:t>
            </w:r>
            <w:r>
              <w:rPr>
                <w:rFonts w:ascii="Times New Roman" w:cs="Times New Roman" w:eastAsia="Times New Roman" w:hAnsi="Times New Roman"/>
                <w:sz w:val="18"/>
                <w:szCs w:val="18"/>
                <w:i w:val="1"/>
                <w:iCs w:val="1"/>
                <w:color w:val="auto"/>
              </w:rPr>
              <w:t>President and Chief</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3/12/2025</w:t>
            </w: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Up to 935,825 shares to be sold</w:t>
            </w:r>
          </w:p>
        </w:tc>
        <w:tc>
          <w:tcPr>
            <w:tcW w:w="1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ind w:left="520"/>
              <w:spacing w:after="0" w:line="174" w:lineRule="exact"/>
              <w:rPr>
                <w:sz w:val="20"/>
                <w:szCs w:val="20"/>
                <w:color w:val="auto"/>
              </w:rPr>
            </w:pPr>
            <w:r>
              <w:rPr>
                <w:rFonts w:ascii="Times New Roman" w:cs="Times New Roman" w:eastAsia="Times New Roman" w:hAnsi="Times New Roman"/>
                <w:sz w:val="18"/>
                <w:szCs w:val="18"/>
                <w:color w:val="auto"/>
              </w:rPr>
              <w:t>7/24/2026</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Henry Melville Hope, III, Chief Financial Officer</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3/12/2025</w:t>
            </w:r>
          </w:p>
        </w:tc>
        <w:tc>
          <w:tcPr>
            <w:tcW w:w="100" w:type="dxa"/>
            <w:vAlign w:val="bottom"/>
          </w:tcPr>
          <w:p>
            <w:pPr>
              <w:spacing w:after="0"/>
              <w:rPr>
                <w:sz w:val="15"/>
                <w:szCs w:val="15"/>
                <w:color w:val="auto"/>
              </w:rPr>
            </w:pP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Rule 10b5-1 Trading</w:t>
            </w:r>
          </w:p>
        </w:tc>
        <w:tc>
          <w:tcPr>
            <w:tcW w:w="2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 to 177,570 shares to be sold</w:t>
            </w:r>
          </w:p>
        </w:tc>
        <w:tc>
          <w:tcPr>
            <w:tcW w:w="17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3/12/2026</w:t>
            </w:r>
          </w:p>
        </w:tc>
        <w:tc>
          <w:tcPr>
            <w:tcW w:w="0" w:type="dxa"/>
            <w:vAlign w:val="bottom"/>
          </w:tcPr>
          <w:p>
            <w:pPr>
              <w:spacing w:after="0"/>
              <w:rPr>
                <w:sz w:val="1"/>
                <w:szCs w:val="1"/>
                <w:color w:val="auto"/>
              </w:rPr>
            </w:pPr>
          </w:p>
        </w:tc>
      </w:tr>
      <w:tr>
        <w:trPr>
          <w:trHeight w:val="23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Treasurer</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7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 xml:space="preserve">Jay Wolszczak, </w:t>
            </w:r>
            <w:r>
              <w:rPr>
                <w:rFonts w:ascii="Times New Roman" w:cs="Times New Roman" w:eastAsia="Times New Roman" w:hAnsi="Times New Roman"/>
                <w:sz w:val="18"/>
                <w:szCs w:val="18"/>
                <w:i w:val="1"/>
                <w:iCs w:val="1"/>
                <w:color w:val="auto"/>
              </w:rPr>
              <w:t>Chief Legal Officer, General</w:t>
            </w:r>
          </w:p>
        </w:tc>
        <w:tc>
          <w:tcPr>
            <w:tcW w:w="14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3/12/2025</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Rule 10b5-1 Trading</w:t>
            </w:r>
          </w:p>
        </w:tc>
        <w:tc>
          <w:tcPr>
            <w:tcW w:w="25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Up to 70,000 shares to be sold</w:t>
            </w:r>
          </w:p>
        </w:tc>
        <w:tc>
          <w:tcPr>
            <w:tcW w:w="1760" w:type="dxa"/>
            <w:vAlign w:val="bottom"/>
            <w:shd w:val="clear" w:color="auto" w:fill="CCEEFF"/>
          </w:tcPr>
          <w:p>
            <w:pPr>
              <w:ind w:left="520"/>
              <w:spacing w:after="0" w:line="180" w:lineRule="exact"/>
              <w:rPr>
                <w:sz w:val="20"/>
                <w:szCs w:val="20"/>
                <w:color w:val="auto"/>
              </w:rPr>
            </w:pPr>
            <w:r>
              <w:rPr>
                <w:rFonts w:ascii="Times New Roman" w:cs="Times New Roman" w:eastAsia="Times New Roman" w:hAnsi="Times New Roman"/>
                <w:sz w:val="18"/>
                <w:szCs w:val="18"/>
                <w:color w:val="auto"/>
              </w:rPr>
              <w:t>3/12/2026</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Counsel &amp; Secretary</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firstLine="8"/>
        <w:spacing w:after="0" w:line="25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marked as a “Rule 10b5-1 Trading Arrangement” is intended to satisfy the affirmative defense of Rule 10b5-1(c), as amended (the “Rule”).</w:t>
      </w:r>
    </w:p>
    <w:p>
      <w:pPr>
        <w:ind w:firstLine="8"/>
        <w:spacing w:after="0" w:line="26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permits transactions through and including the earliest to occur of (i) the completion of all purchases or sales or the expiration of all of the orders relating to such trades, or (ii) the date listed in the table. Trading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arrangements marked as a “Rule 10b5-1 Trading Arrangement” only permits transactions upon the expiration of the applicable mandatory cooling-off period under the Rule.</w:t>
      </w:r>
    </w:p>
    <w:p>
      <w:pPr>
        <w:jc w:val="both"/>
        <w:ind w:firstLine="8"/>
        <w:spacing w:after="0" w:line="250" w:lineRule="auto"/>
        <w:tabs>
          <w:tab w:leader="none" w:pos="2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Tomasso’s trading plan provides for the sale of up to 935,825 shares on a quarterly basis as follows: (i) Up to 233,955 shares during the first quarterly period beginning on the later of June 16, 2025 or the end of the applicable mandatory cooling-off period and ending 90 days later, (ii) up to 233,955 shares during the second quarterly period, (iii) up to 233,955 shares during the third quarterly period, and (iv) up to 233,955 shares during the fourth quarterly period. The sales in each quarterly period are subject to limit prices.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Hope’s trading plan provides for the sale of up to 177,570 shares after the applicable mandatory cooling-off period subject to limit prices.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Wolszczak’s trading plan provides for the sale of up to 70,000 shares after the applicable mandatory cooling-off period subject to limit prices.</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120" w:type="dxa"/>
            <w:vAlign w:val="bottom"/>
            <w:gridSpan w:val="6"/>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First Watch Restaurant Group, Inc. Executive Severance Plan</w:t>
              </w:r>
            </w:hyperlink>
          </w:p>
        </w:tc>
        <w:tc>
          <w:tcPr>
            <w:tcW w:w="2140" w:type="dxa"/>
            <w:vAlign w:val="bottom"/>
            <w:gridSpan w:val="6"/>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14, 2025, Form 8-K, Exhibit 10.1</w:t>
            </w: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60" w:type="dxa"/>
            <w:vAlign w:val="bottom"/>
            <w:tcBorders>
              <w:top w:val="single" w:sz="8" w:color="0000FF"/>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600" w:type="dxa"/>
            <w:vAlign w:val="bottom"/>
            <w:gridSpan w:val="5"/>
          </w:tcPr>
          <w:p>
            <w:pPr>
              <w:ind w:left="120"/>
              <w:spacing w:after="0" w:line="169" w:lineRule="exact"/>
              <w:rPr>
                <w:sz w:val="20"/>
                <w:szCs w:val="20"/>
                <w:color w:val="auto"/>
              </w:rPr>
            </w:pPr>
            <w:r>
              <w:rPr>
                <w:rFonts w:ascii="Times New Roman" w:cs="Times New Roman" w:eastAsia="Times New Roman" w:hAnsi="Times New Roman"/>
                <w:sz w:val="18"/>
                <w:szCs w:val="18"/>
                <w:color w:val="0000FF"/>
              </w:rPr>
              <w:t>of</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Borders>
              <w:top w:val="single" w:sz="8" w:color="0000FF"/>
            </w:tcBorders>
          </w:tcPr>
          <w:p>
            <w:pPr>
              <w:spacing w:after="0"/>
              <w:rPr>
                <w:sz w:val="13"/>
                <w:szCs w:val="13"/>
                <w:color w:val="auto"/>
              </w:rPr>
            </w:pPr>
          </w:p>
        </w:tc>
        <w:tc>
          <w:tcPr>
            <w:tcW w:w="308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tc>
        <w:tc>
          <w:tcPr>
            <w:tcW w:w="37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6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Form 10-Q for the first fiscal quarter ended March 30, 2025, filed on May 6, 2025,</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as iXBRL and contained in Exhibit 101)</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Denotes a management contract or compensatory plan or arrangement.</w:t>
      </w:r>
    </w:p>
    <w:p>
      <w:pPr>
        <w:spacing w:after="0" w:line="9" w:lineRule="exact"/>
        <w:rPr>
          <w:sz w:val="20"/>
          <w:szCs w:val="20"/>
          <w:color w:val="auto"/>
        </w:rPr>
      </w:pPr>
    </w:p>
    <w:p>
      <w:pPr>
        <w:jc w:val="both"/>
        <w:ind w:right="20" w:firstLine="8"/>
        <w:spacing w:after="0" w:line="260" w:lineRule="auto"/>
        <w:tabs>
          <w:tab w:leader="none" w:pos="21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5" w:name="page36"/>
    <w:bookmarkEnd w:id="35"/>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6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6, 2025</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98" w:lineRule="auto"/>
        <w:tabs>
          <w:tab w:leader="none" w:pos="96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6, 2025</w:t>
      </w:r>
    </w:p>
    <w:p>
      <w:pPr>
        <w:spacing w:after="0" w:line="1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7" w:name="page38"/>
    <w:bookmarkEnd w:id="3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March 30, 2025,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2"/>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4" Type="http://schemas.openxmlformats.org/officeDocument/2006/relationships/hyperlink" Target="https://www.sec.gov/Archives/edgar/data/1789940/000178994025000025/exhibit101-executiveseve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2025-05-06T06:13:12Z</dcterms:created>
  <dcterms:modified xsi:type="dcterms:W3CDTF">2025-05-06T06:13:12Z</dcterms:modified>
</cp:coreProperties>
</file>