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spacing w:lineRule="auto" w:line="288" w:before="60" w:after="283"/>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CellMar>
          <w:top w:w="28" w:type="dxa"/>
          <w:left w:w="28" w:type="dxa"/>
          <w:bottom w:w="28" w:type="dxa"/>
          <w:right w:w="28" w:type="dxa"/>
        </w:tblCellMar>
      </w:tblPr>
      <w:tblGrid>
        <w:gridCol w:w="136"/>
        <w:gridCol w:w="119"/>
        <w:gridCol w:w="121"/>
        <w:gridCol w:w="2874"/>
        <w:gridCol w:w="2874"/>
        <w:gridCol w:w="4081"/>
      </w:tblGrid>
      <w:tr>
        <w:trPr/>
        <w:tc>
          <w:tcPr>
            <w:tcW w:w="13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874" w:type="dxa"/>
            <w:tcBorders/>
            <w:shd w:fill="auto" w:val="clear"/>
            <w:vAlign w:val="center"/>
          </w:tcPr>
          <w:p>
            <w:pPr>
              <w:pStyle w:val="TableContents"/>
              <w:spacing w:before="0" w:after="283"/>
              <w:rPr>
                <w:sz w:val="4"/>
                <w:szCs w:val="4"/>
              </w:rPr>
            </w:pPr>
            <w:r>
              <w:rPr>
                <w:sz w:val="4"/>
                <w:szCs w:val="4"/>
              </w:rPr>
            </w:r>
          </w:p>
        </w:tc>
        <w:tc>
          <w:tcPr>
            <w:tcW w:w="2874" w:type="dxa"/>
            <w:tcBorders/>
            <w:shd w:fill="auto" w:val="clear"/>
            <w:vAlign w:val="center"/>
          </w:tcPr>
          <w:p>
            <w:pPr>
              <w:pStyle w:val="TableContents"/>
              <w:spacing w:before="0" w:after="283"/>
              <w:rPr>
                <w:sz w:val="4"/>
                <w:szCs w:val="4"/>
              </w:rPr>
            </w:pPr>
            <w:r>
              <w:rPr>
                <w:sz w:val="4"/>
                <w:szCs w:val="4"/>
              </w:rPr>
            </w:r>
          </w:p>
        </w:tc>
        <w:tc>
          <w:tcPr>
            <w:tcW w:w="4081" w:type="dxa"/>
            <w:tcBorders/>
            <w:shd w:fill="auto" w:val="clear"/>
            <w:vAlign w:val="center"/>
          </w:tcPr>
          <w:p>
            <w:pPr>
              <w:pStyle w:val="TableContents"/>
              <w:spacing w:before="0" w:after="283"/>
              <w:rPr>
                <w:sz w:val="4"/>
                <w:szCs w:val="4"/>
              </w:rPr>
            </w:pPr>
            <w:r>
              <w:rPr>
                <w:sz w:val="4"/>
                <w:szCs w:val="4"/>
              </w:rPr>
            </w:r>
          </w:p>
        </w:tc>
      </w:tr>
      <w:tr>
        <w:trPr/>
        <w:tc>
          <w:tcPr>
            <w:tcW w:w="37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center"/>
              <w:rPr>
                <w:color w:val="000000"/>
              </w:rPr>
            </w:pPr>
            <w:r>
              <w:rPr>
                <w:color w:val="000000"/>
              </w:rPr>
              <w:t>☒</w:t>
            </w:r>
          </w:p>
        </w:tc>
        <w:tc>
          <w:tcPr>
            <w:tcW w:w="982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60" w:after="283"/>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26, 2023 </w:t>
      </w:r>
    </w:p>
    <w:p>
      <w:pPr>
        <w:pStyle w:val="TextBody"/>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CellMar>
          <w:top w:w="28" w:type="dxa"/>
          <w:left w:w="28" w:type="dxa"/>
          <w:bottom w:w="28" w:type="dxa"/>
          <w:right w:w="28" w:type="dxa"/>
        </w:tblCellMar>
      </w:tblPr>
      <w:tblGrid>
        <w:gridCol w:w="136"/>
        <w:gridCol w:w="119"/>
        <w:gridCol w:w="121"/>
        <w:gridCol w:w="2876"/>
        <w:gridCol w:w="2876"/>
        <w:gridCol w:w="4077"/>
      </w:tblGrid>
      <w:tr>
        <w:trPr/>
        <w:tc>
          <w:tcPr>
            <w:tcW w:w="13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876" w:type="dxa"/>
            <w:tcBorders/>
            <w:shd w:fill="auto" w:val="clear"/>
            <w:vAlign w:val="center"/>
          </w:tcPr>
          <w:p>
            <w:pPr>
              <w:pStyle w:val="TableContents"/>
              <w:spacing w:before="0" w:after="283"/>
              <w:rPr>
                <w:sz w:val="4"/>
                <w:szCs w:val="4"/>
              </w:rPr>
            </w:pPr>
            <w:r>
              <w:rPr>
                <w:sz w:val="4"/>
                <w:szCs w:val="4"/>
              </w:rPr>
            </w:r>
          </w:p>
        </w:tc>
        <w:tc>
          <w:tcPr>
            <w:tcW w:w="2876" w:type="dxa"/>
            <w:tcBorders/>
            <w:shd w:fill="auto" w:val="clear"/>
            <w:vAlign w:val="center"/>
          </w:tcPr>
          <w:p>
            <w:pPr>
              <w:pStyle w:val="TableContents"/>
              <w:spacing w:before="0" w:after="283"/>
              <w:rPr>
                <w:sz w:val="4"/>
                <w:szCs w:val="4"/>
              </w:rPr>
            </w:pPr>
            <w:r>
              <w:rPr>
                <w:sz w:val="4"/>
                <w:szCs w:val="4"/>
              </w:rPr>
            </w:r>
          </w:p>
        </w:tc>
        <w:tc>
          <w:tcPr>
            <w:tcW w:w="4077" w:type="dxa"/>
            <w:tcBorders/>
            <w:shd w:fill="auto" w:val="clear"/>
            <w:vAlign w:val="center"/>
          </w:tcPr>
          <w:p>
            <w:pPr>
              <w:pStyle w:val="TableContents"/>
              <w:spacing w:before="0" w:after="283"/>
              <w:rPr>
                <w:sz w:val="4"/>
                <w:szCs w:val="4"/>
              </w:rPr>
            </w:pPr>
            <w:r>
              <w:rPr>
                <w:sz w:val="4"/>
                <w:szCs w:val="4"/>
              </w:rPr>
            </w:r>
          </w:p>
        </w:tc>
      </w:tr>
      <w:tr>
        <w:trPr/>
        <w:tc>
          <w:tcPr>
            <w:tcW w:w="37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center"/>
              <w:rPr>
                <w:color w:val="000000"/>
              </w:rPr>
            </w:pPr>
            <w:r>
              <w:rPr>
                <w:color w:val="000000"/>
              </w:rPr>
              <w:t>☐</w:t>
            </w:r>
          </w:p>
        </w:tc>
        <w:tc>
          <w:tcPr>
            <w:tcW w:w="982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60" w:after="283"/>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______ to ______ </w:t>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001-40866</w:t>
      </w:r>
    </w:p>
    <w:p>
      <w:pPr>
        <w:pStyle w:val="TextBody"/>
        <w:spacing w:before="60" w:after="283"/>
        <w:jc w:val="center"/>
        <w:rPr/>
      </w:pPr>
      <w:r>
        <w:rPr/>
        <w:drawing>
          <wp:inline distT="0" distB="63500" distL="0" distR="0">
            <wp:extent cx="1905000" cy="1000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1000125"/>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First Watch Restaurant Group,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10205" w:type="dxa"/>
        <w:jc w:val="center"/>
        <w:tblInd w:w="0" w:type="dxa"/>
        <w:tblCellMar>
          <w:top w:w="28" w:type="dxa"/>
          <w:left w:w="28" w:type="dxa"/>
          <w:bottom w:w="28" w:type="dxa"/>
          <w:right w:w="28" w:type="dxa"/>
        </w:tblCellMar>
      </w:tblPr>
      <w:tblGrid>
        <w:gridCol w:w="940"/>
        <w:gridCol w:w="828"/>
        <w:gridCol w:w="834"/>
        <w:gridCol w:w="1516"/>
        <w:gridCol w:w="1514"/>
        <w:gridCol w:w="1519"/>
        <w:gridCol w:w="889"/>
        <w:gridCol w:w="889"/>
        <w:gridCol w:w="1276"/>
      </w:tblGrid>
      <w:tr>
        <w:trPr/>
        <w:tc>
          <w:tcPr>
            <w:tcW w:w="940"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1519"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602"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4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82-4271369</w:t>
            </w:r>
          </w:p>
        </w:tc>
      </w:tr>
      <w:tr>
        <w:trPr/>
        <w:tc>
          <w:tcPr>
            <w:tcW w:w="2602"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spacing w:lineRule="auto" w:line="26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4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2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8725 Pendery Place, Suite 201, Bradenton, FL 34201</w:t>
            </w:r>
          </w:p>
        </w:tc>
        <w:tc>
          <w:tcPr>
            <w:tcW w:w="3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tc>
        <w:tc>
          <w:tcPr>
            <w:tcW w:w="3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(941) 907-9800</w:t>
      </w:r>
    </w:p>
    <w:p>
      <w:pPr>
        <w:pStyle w:val="TextBody"/>
        <w:spacing w:lineRule="auto" w:line="288" w:before="0" w:after="0"/>
        <w:jc w:val="center"/>
        <w:rPr/>
      </w:pPr>
      <w:r>
        <w:rPr>
          <w:rFonts w:ascii="Times New Roman;sans-serif" w:hAnsi="Times New Roman;sans-serif"/>
          <w:b w:val="false"/>
          <w:color w:val="000000"/>
          <w:sz w:val="20"/>
        </w:rPr>
        <w:t>(Registrant</w:t>
      </w:r>
      <w:r>
        <w:rPr>
          <w:color w:val="000000"/>
          <w:highlight w:val="white"/>
        </w:rPr>
        <w:t>’</w:t>
      </w:r>
      <w:r>
        <w:rPr>
          <w:rFonts w:ascii="Times New Roman;sans-serif" w:hAnsi="Times New Roman;sans-serif"/>
          <w:b w:val="false"/>
          <w:color w:val="000000"/>
          <w:sz w:val="20"/>
        </w:rPr>
        <w:t>s telephone number, including area code)</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144" w:type="dxa"/>
        <w:jc w:val="left"/>
        <w:tblInd w:w="0" w:type="dxa"/>
        <w:tblCellMar>
          <w:top w:w="28" w:type="dxa"/>
          <w:left w:w="28" w:type="dxa"/>
          <w:bottom w:w="28" w:type="dxa"/>
          <w:right w:w="28" w:type="dxa"/>
        </w:tblCellMar>
      </w:tblPr>
      <w:tblGrid>
        <w:gridCol w:w="1021"/>
        <w:gridCol w:w="894"/>
        <w:gridCol w:w="905"/>
        <w:gridCol w:w="539"/>
        <w:gridCol w:w="539"/>
        <w:gridCol w:w="541"/>
        <w:gridCol w:w="1085"/>
        <w:gridCol w:w="1085"/>
        <w:gridCol w:w="1535"/>
      </w:tblGrid>
      <w:tr>
        <w:trPr/>
        <w:tc>
          <w:tcPr>
            <w:tcW w:w="102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8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$0.01 par value</w:t>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FWRG</w:t>
            </w:r>
          </w:p>
        </w:tc>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tc>
      </w:tr>
    </w:tbl>
    <w:p>
      <w:pPr>
        <w:pStyle w:val="TextBody"/>
        <w:spacing w:lineRule="auto" w:line="288" w:before="60" w:after="283"/>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60" w:after="283"/>
        <w:jc w:val="both"/>
        <w:rPr/>
      </w:pPr>
      <w:r>
        <w:rPr>
          <w:rFonts w:ascii="Times New Roman;sans-serif" w:hAnsi="Times New Roman;sans-serif"/>
          <w:b w:val="false"/>
          <w:color w:val="000000"/>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spacing w:before="0" w:after="0"/>
        <w:jc w:val="both"/>
        <w:rPr/>
      </w:pPr>
      <w:r>
        <w:rPr/>
      </w:r>
    </w:p>
    <w:tbl>
      <w:tblPr>
        <w:tblW w:w="5041" w:type="dxa"/>
        <w:jc w:val="center"/>
        <w:tblInd w:w="0" w:type="dxa"/>
        <w:tblCellMar>
          <w:top w:w="28" w:type="dxa"/>
          <w:left w:w="28" w:type="dxa"/>
          <w:bottom w:w="28" w:type="dxa"/>
          <w:right w:w="28" w:type="dxa"/>
        </w:tblCellMar>
      </w:tblPr>
      <w:tblGrid>
        <w:gridCol w:w="695"/>
        <w:gridCol w:w="611"/>
        <w:gridCol w:w="613"/>
        <w:gridCol w:w="120"/>
        <w:gridCol w:w="120"/>
        <w:gridCol w:w="121"/>
        <w:gridCol w:w="784"/>
        <w:gridCol w:w="784"/>
        <w:gridCol w:w="787"/>
        <w:gridCol w:w="118"/>
        <w:gridCol w:w="118"/>
        <w:gridCol w:w="170"/>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61"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both"/>
              <w:rPr>
                <w:color w:val="000000"/>
              </w:rPr>
            </w:pPr>
            <w:r>
              <w:rPr>
                <w:color w:val="000000"/>
              </w:rPr>
              <w:t>☐</w:t>
            </w:r>
          </w:p>
        </w:tc>
        <w:tc>
          <w:tcPr>
            <w:tcW w:w="2355"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40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both"/>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61"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both"/>
              <w:rPr>
                <w:color w:val="000000"/>
              </w:rPr>
            </w:pPr>
            <w:r>
              <w:rPr>
                <w:color w:val="000000"/>
              </w:rPr>
              <w:t>☐</w:t>
            </w:r>
          </w:p>
        </w:tc>
        <w:tc>
          <w:tcPr>
            <w:tcW w:w="2355"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40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both"/>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40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both"/>
              <w:rPr>
                <w:color w:val="000000"/>
              </w:rPr>
            </w:pPr>
            <w:r>
              <w:rPr>
                <w:color w:val="000000"/>
              </w:rPr>
              <w:t>☒</w:t>
            </w:r>
          </w:p>
        </w:tc>
      </w:tr>
    </w:tbl>
    <w:p>
      <w:pPr>
        <w:pStyle w:val="TextBody"/>
        <w:spacing w:lineRule="auto" w:line="288" w:before="6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0" w:after="0"/>
        <w:jc w:val="both"/>
        <w:rPr/>
      </w:pPr>
      <w:r>
        <w:rPr>
          <w:rFonts w:ascii="Times New Roman;sans-serif" w:hAnsi="Times New Roman;sans-serif"/>
          <w:b w:val="false"/>
          <w:color w:val="000000"/>
          <w:sz w:val="20"/>
        </w:rPr>
        <w:t xml:space="preserve">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 had outstanding 59,364,409 shares of common stock as of April 28, 2023.</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869"/>
        <w:gridCol w:w="763"/>
        <w:gridCol w:w="763"/>
        <w:gridCol w:w="2402"/>
        <w:gridCol w:w="2391"/>
        <w:gridCol w:w="2443"/>
        <w:gridCol w:w="167"/>
        <w:gridCol w:w="167"/>
        <w:gridCol w:w="240"/>
      </w:tblGrid>
      <w:tr>
        <w:trPr/>
        <w:tc>
          <w:tcPr>
            <w:tcW w:w="869"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2402" w:type="dxa"/>
            <w:tcBorders/>
            <w:shd w:fill="auto" w:val="clear"/>
            <w:vAlign w:val="center"/>
          </w:tcPr>
          <w:p>
            <w:pPr>
              <w:pStyle w:val="TableContents"/>
              <w:spacing w:before="0" w:after="283"/>
              <w:rPr>
                <w:sz w:val="4"/>
                <w:szCs w:val="4"/>
              </w:rPr>
            </w:pPr>
            <w:r>
              <w:rPr>
                <w:sz w:val="4"/>
                <w:szCs w:val="4"/>
              </w:rPr>
            </w:r>
          </w:p>
        </w:tc>
        <w:tc>
          <w:tcPr>
            <w:tcW w:w="2391" w:type="dxa"/>
            <w:tcBorders/>
            <w:shd w:fill="auto" w:val="clear"/>
            <w:vAlign w:val="center"/>
          </w:tcPr>
          <w:p>
            <w:pPr>
              <w:pStyle w:val="TableContents"/>
              <w:spacing w:before="0" w:after="283"/>
              <w:rPr>
                <w:sz w:val="4"/>
                <w:szCs w:val="4"/>
              </w:rPr>
            </w:pPr>
            <w:r>
              <w:rPr>
                <w:sz w:val="4"/>
                <w:szCs w:val="4"/>
              </w:rPr>
            </w:r>
          </w:p>
        </w:tc>
        <w:tc>
          <w:tcPr>
            <w:tcW w:w="244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r>
      <w:tr>
        <w:trPr/>
        <w:tc>
          <w:tcPr>
            <w:tcW w:w="2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10">
              <w:r>
                <w:rPr>
                  <w:rStyle w:val="InternetLink"/>
                  <w:rFonts w:ascii="Times New Roman;sans-serif" w:hAnsi="Times New Roman;sans-serif"/>
                  <w:b w:val="false"/>
                  <w:color w:val="0000FF"/>
                  <w:sz w:val="20"/>
                  <w:u w:val="single"/>
                </w:rPr>
                <w:t>Cautionary Note Regarding Forward-Looking Statements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right"/>
              <w:rPr/>
            </w:pPr>
            <w:hyperlink w:anchor="i98160bee112a4a388887a6ac3a68652f_10">
              <w:r>
                <w:rPr>
                  <w:rStyle w:val="InternetLink"/>
                  <w:rFonts w:ascii="Times New Roman;sans-serif" w:hAnsi="Times New Roman;sans-serif"/>
                  <w:b w:val="false"/>
                  <w:color w:val="0000EE"/>
                  <w:sz w:val="20"/>
                  <w:u w:val="single"/>
                </w:rPr>
                <w:t>3</w:t>
              </w:r>
            </w:hyperlink>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13">
              <w:r>
                <w:rPr>
                  <w:rStyle w:val="InternetLink"/>
                  <w:rFonts w:ascii="Times New Roman;sans-serif" w:hAnsi="Times New Roman;sans-serif"/>
                  <w:b w:val="false"/>
                  <w:color w:val="0000FF"/>
                  <w:sz w:val="20"/>
                  <w:u w:val="single"/>
                </w:rPr>
                <w:t>Part I. Financial Information</w:t>
              </w:r>
            </w:hyperlink>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16">
              <w:r>
                <w:rPr>
                  <w:rStyle w:val="InternetLink"/>
                  <w:rFonts w:ascii="Times New Roman;sans-serif" w:hAnsi="Times New Roman;sans-serif"/>
                  <w:b w:val="false"/>
                  <w:color w:val="0000FF"/>
                  <w:sz w:val="20"/>
                  <w:u w:val="single"/>
                </w:rPr>
                <w:t>Item 1.</w:t>
              </w:r>
            </w:hyperlink>
          </w:p>
        </w:tc>
        <w:tc>
          <w:tcPr>
            <w:tcW w:w="723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16">
              <w:r>
                <w:rPr>
                  <w:rStyle w:val="InternetLink"/>
                  <w:rFonts w:ascii="Times New Roman;sans-serif" w:hAnsi="Times New Roman;sans-serif"/>
                  <w:b w:val="false"/>
                  <w:color w:val="0000EE"/>
                  <w:sz w:val="20"/>
                  <w:u w:val="single"/>
                </w:rPr>
                <w:t>Financial Statements (Unaudited)</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right"/>
              <w:rPr/>
            </w:pPr>
            <w:hyperlink w:anchor="i98160bee112a4a388887a6ac3a68652f_19">
              <w:r>
                <w:rPr>
                  <w:rStyle w:val="InternetLink"/>
                  <w:rFonts w:ascii="Times New Roman;sans-serif" w:hAnsi="Times New Roman;sans-serif"/>
                  <w:b w:val="false"/>
                  <w:color w:val="0000EE"/>
                  <w:sz w:val="20"/>
                  <w:u w:val="single"/>
                </w:rPr>
                <w:t>4</w:t>
              </w:r>
            </w:hyperlink>
          </w:p>
        </w:tc>
      </w:tr>
      <w:tr>
        <w:trPr/>
        <w:tc>
          <w:tcPr>
            <w:tcW w:w="239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64">
              <w:r>
                <w:rPr>
                  <w:rStyle w:val="InternetLink"/>
                  <w:rFonts w:ascii="Times New Roman;sans-serif" w:hAnsi="Times New Roman;sans-serif"/>
                  <w:b w:val="false"/>
                  <w:color w:val="0000FF"/>
                  <w:sz w:val="20"/>
                  <w:u w:val="single"/>
                </w:rPr>
                <w:t>Item 2.</w:t>
              </w:r>
            </w:hyperlink>
          </w:p>
        </w:tc>
        <w:tc>
          <w:tcPr>
            <w:tcW w:w="723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6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right"/>
              <w:rPr/>
            </w:pPr>
            <w:hyperlink w:anchor="i98160bee112a4a388887a6ac3a68652f_64">
              <w:r>
                <w:rPr>
                  <w:rStyle w:val="InternetLink"/>
                  <w:rFonts w:ascii="Times New Roman;sans-serif" w:hAnsi="Times New Roman;sans-serif"/>
                  <w:b w:val="false"/>
                  <w:color w:val="0000EE"/>
                  <w:sz w:val="20"/>
                  <w:u w:val="single"/>
                </w:rPr>
                <w:t>18</w:t>
              </w:r>
            </w:hyperlink>
          </w:p>
        </w:tc>
      </w:tr>
      <w:tr>
        <w:trPr/>
        <w:tc>
          <w:tcPr>
            <w:tcW w:w="239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3.</w:t>
            </w:r>
          </w:p>
        </w:tc>
        <w:tc>
          <w:tcPr>
            <w:tcW w:w="723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94">
              <w:r>
                <w:rPr>
                  <w:rStyle w:val="InternetLink"/>
                  <w:rFonts w:ascii="Times New Roman;sans-serif" w:hAnsi="Times New Roman;sans-serif"/>
                  <w:b w:val="false"/>
                  <w:color w:val="0000FF"/>
                  <w:sz w:val="20"/>
                  <w:u w:val="single"/>
                </w:rPr>
                <w:t>Quantitative and Qualitative Disclosures About Market Risk</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right"/>
              <w:rPr/>
            </w:pPr>
            <w:hyperlink w:anchor="i98160bee112a4a388887a6ac3a68652f_94">
              <w:r>
                <w:rPr>
                  <w:rStyle w:val="InternetLink"/>
                  <w:rFonts w:ascii="Times New Roman;sans-serif" w:hAnsi="Times New Roman;sans-serif"/>
                  <w:b w:val="false"/>
                  <w:color w:val="0000EE"/>
                  <w:sz w:val="20"/>
                  <w:u w:val="single"/>
                </w:rPr>
                <w:t>32</w:t>
              </w:r>
            </w:hyperlink>
          </w:p>
        </w:tc>
      </w:tr>
      <w:tr>
        <w:trPr/>
        <w:tc>
          <w:tcPr>
            <w:tcW w:w="239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97">
              <w:r>
                <w:rPr>
                  <w:rStyle w:val="InternetLink"/>
                  <w:rFonts w:ascii="Times New Roman;sans-serif" w:hAnsi="Times New Roman;sans-serif"/>
                  <w:b w:val="false"/>
                  <w:color w:val="0000FF"/>
                  <w:sz w:val="20"/>
                  <w:u w:val="single"/>
                </w:rPr>
                <w:t>Item 4.</w:t>
              </w:r>
            </w:hyperlink>
          </w:p>
        </w:tc>
        <w:tc>
          <w:tcPr>
            <w:tcW w:w="723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97">
              <w:r>
                <w:rPr>
                  <w:rStyle w:val="InternetLink"/>
                  <w:rFonts w:ascii="Times New Roman;sans-serif" w:hAnsi="Times New Roman;sans-serif"/>
                  <w:b w:val="false"/>
                  <w:color w:val="0000FF"/>
                  <w:sz w:val="20"/>
                  <w:u w:val="single"/>
                </w:rPr>
                <w:t>Controls and Procedures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right"/>
              <w:rPr/>
            </w:pPr>
            <w:hyperlink w:anchor="i98160bee112a4a388887a6ac3a68652f_97">
              <w:r>
                <w:rPr>
                  <w:rStyle w:val="InternetLink"/>
                  <w:rFonts w:ascii="Times New Roman;sans-serif" w:hAnsi="Times New Roman;sans-serif"/>
                  <w:b w:val="false"/>
                  <w:color w:val="0000EE"/>
                  <w:sz w:val="20"/>
                  <w:u w:val="single"/>
                </w:rPr>
                <w:t>32</w:t>
              </w:r>
            </w:hyperlink>
          </w:p>
        </w:tc>
      </w:tr>
      <w:tr>
        <w:trPr/>
        <w:tc>
          <w:tcPr>
            <w:tcW w:w="2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100">
              <w:r>
                <w:rPr>
                  <w:rStyle w:val="InternetLink"/>
                  <w:rFonts w:ascii="Times New Roman;sans-serif" w:hAnsi="Times New Roman;sans-serif"/>
                  <w:b w:val="false"/>
                  <w:color w:val="0000FF"/>
                  <w:sz w:val="20"/>
                  <w:u w:val="single"/>
                </w:rPr>
                <w:t>Part II. Other Information</w:t>
              </w:r>
            </w:hyperlink>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103">
              <w:r>
                <w:rPr>
                  <w:rStyle w:val="InternetLink"/>
                  <w:rFonts w:ascii="Times New Roman;sans-serif" w:hAnsi="Times New Roman;sans-serif"/>
                  <w:b w:val="false"/>
                  <w:color w:val="0000FF"/>
                  <w:sz w:val="20"/>
                  <w:u w:val="single"/>
                </w:rPr>
                <w:t>Item 1.</w:t>
              </w:r>
            </w:hyperlink>
          </w:p>
        </w:tc>
        <w:tc>
          <w:tcPr>
            <w:tcW w:w="723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103">
              <w:r>
                <w:rPr>
                  <w:rStyle w:val="InternetLink"/>
                  <w:rFonts w:ascii="Times New Roman;sans-serif" w:hAnsi="Times New Roman;sans-serif"/>
                  <w:b w:val="false"/>
                  <w:color w:val="0000FF"/>
                  <w:sz w:val="20"/>
                  <w:u w:val="single"/>
                </w:rPr>
                <w:t>Legal Proceedings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right"/>
              <w:rPr/>
            </w:pPr>
            <w:hyperlink w:anchor="i98160bee112a4a388887a6ac3a68652f_103">
              <w:r>
                <w:rPr>
                  <w:rStyle w:val="InternetLink"/>
                  <w:rFonts w:ascii="Times New Roman;sans-serif" w:hAnsi="Times New Roman;sans-serif"/>
                  <w:b w:val="false"/>
                  <w:color w:val="0000EE"/>
                  <w:sz w:val="20"/>
                  <w:u w:val="single"/>
                </w:rPr>
                <w:t>34</w:t>
              </w:r>
            </w:hyperlink>
          </w:p>
        </w:tc>
      </w:tr>
      <w:tr>
        <w:trPr/>
        <w:tc>
          <w:tcPr>
            <w:tcW w:w="239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106">
              <w:r>
                <w:rPr>
                  <w:rStyle w:val="InternetLink"/>
                  <w:rFonts w:ascii="Times New Roman;sans-serif" w:hAnsi="Times New Roman;sans-serif"/>
                  <w:b w:val="false"/>
                  <w:color w:val="0000FF"/>
                  <w:sz w:val="20"/>
                  <w:u w:val="single"/>
                </w:rPr>
                <w:t>Item 1A.</w:t>
              </w:r>
            </w:hyperlink>
          </w:p>
        </w:tc>
        <w:tc>
          <w:tcPr>
            <w:tcW w:w="723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106">
              <w:r>
                <w:rPr>
                  <w:rStyle w:val="InternetLink"/>
                  <w:rFonts w:ascii="Times New Roman;sans-serif" w:hAnsi="Times New Roman;sans-serif"/>
                  <w:b w:val="false"/>
                  <w:color w:val="0000FF"/>
                  <w:sz w:val="20"/>
                  <w:u w:val="single"/>
                </w:rPr>
                <w:t>Risk Factors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right"/>
              <w:rPr/>
            </w:pPr>
            <w:hyperlink w:anchor="i98160bee112a4a388887a6ac3a68652f_106">
              <w:r>
                <w:rPr>
                  <w:rStyle w:val="InternetLink"/>
                  <w:rFonts w:ascii="Times New Roman;sans-serif" w:hAnsi="Times New Roman;sans-serif"/>
                  <w:b w:val="false"/>
                  <w:color w:val="0000EE"/>
                  <w:sz w:val="20"/>
                  <w:u w:val="single"/>
                </w:rPr>
                <w:t>34</w:t>
              </w:r>
            </w:hyperlink>
          </w:p>
        </w:tc>
      </w:tr>
      <w:tr>
        <w:trPr/>
        <w:tc>
          <w:tcPr>
            <w:tcW w:w="239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109">
              <w:r>
                <w:rPr>
                  <w:rStyle w:val="InternetLink"/>
                  <w:rFonts w:ascii="Times New Roman;sans-serif" w:hAnsi="Times New Roman;sans-serif"/>
                  <w:b w:val="false"/>
                  <w:color w:val="0000FF"/>
                  <w:sz w:val="20"/>
                  <w:u w:val="single"/>
                </w:rPr>
                <w:t>Item 2.</w:t>
              </w:r>
            </w:hyperlink>
          </w:p>
        </w:tc>
        <w:tc>
          <w:tcPr>
            <w:tcW w:w="723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109">
              <w:r>
                <w:rPr>
                  <w:rStyle w:val="InternetLink"/>
                  <w:rFonts w:ascii="Times New Roman;sans-serif" w:hAnsi="Times New Roman;sans-serif"/>
                  <w:b w:val="false"/>
                  <w:color w:val="0000FF"/>
                  <w:sz w:val="20"/>
                  <w:u w:val="single"/>
                </w:rPr>
                <w:t>Unregistered Sales of Equity Securities and Use of Proceeds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right"/>
              <w:rPr/>
            </w:pPr>
            <w:hyperlink w:anchor="i98160bee112a4a388887a6ac3a68652f_109">
              <w:r>
                <w:rPr>
                  <w:rStyle w:val="InternetLink"/>
                  <w:rFonts w:ascii="Times New Roman;sans-serif" w:hAnsi="Times New Roman;sans-serif"/>
                  <w:b w:val="false"/>
                  <w:color w:val="0000EE"/>
                  <w:sz w:val="20"/>
                  <w:u w:val="single"/>
                </w:rPr>
                <w:t>34</w:t>
              </w:r>
            </w:hyperlink>
          </w:p>
        </w:tc>
      </w:tr>
      <w:tr>
        <w:trPr/>
        <w:tc>
          <w:tcPr>
            <w:tcW w:w="239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112">
              <w:r>
                <w:rPr>
                  <w:rStyle w:val="InternetLink"/>
                  <w:rFonts w:ascii="Times New Roman;sans-serif" w:hAnsi="Times New Roman;sans-serif"/>
                  <w:b w:val="false"/>
                  <w:color w:val="0000FF"/>
                  <w:sz w:val="20"/>
                  <w:u w:val="single"/>
                </w:rPr>
                <w:t>Item 3.</w:t>
              </w:r>
            </w:hyperlink>
          </w:p>
        </w:tc>
        <w:tc>
          <w:tcPr>
            <w:tcW w:w="723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112">
              <w:r>
                <w:rPr>
                  <w:rStyle w:val="InternetLink"/>
                  <w:rFonts w:ascii="Times New Roman;sans-serif" w:hAnsi="Times New Roman;sans-serif"/>
                  <w:b w:val="false"/>
                  <w:color w:val="0000FF"/>
                  <w:sz w:val="20"/>
                  <w:u w:val="single"/>
                </w:rPr>
                <w:t>Defaults Upon Senior Securities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right"/>
              <w:rPr/>
            </w:pPr>
            <w:hyperlink w:anchor="i98160bee112a4a388887a6ac3a68652f_112">
              <w:r>
                <w:rPr>
                  <w:rStyle w:val="InternetLink"/>
                  <w:rFonts w:ascii="Times New Roman;sans-serif" w:hAnsi="Times New Roman;sans-serif"/>
                  <w:b w:val="false"/>
                  <w:color w:val="0000EE"/>
                  <w:sz w:val="20"/>
                  <w:u w:val="single"/>
                </w:rPr>
                <w:t>34</w:t>
              </w:r>
            </w:hyperlink>
          </w:p>
        </w:tc>
      </w:tr>
      <w:tr>
        <w:trPr/>
        <w:tc>
          <w:tcPr>
            <w:tcW w:w="239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115">
              <w:r>
                <w:rPr>
                  <w:rStyle w:val="InternetLink"/>
                  <w:rFonts w:ascii="Times New Roman;sans-serif" w:hAnsi="Times New Roman;sans-serif"/>
                  <w:b w:val="false"/>
                  <w:color w:val="0000FF"/>
                  <w:sz w:val="20"/>
                  <w:u w:val="single"/>
                </w:rPr>
                <w:t>Item 4.</w:t>
              </w:r>
            </w:hyperlink>
          </w:p>
        </w:tc>
        <w:tc>
          <w:tcPr>
            <w:tcW w:w="723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115">
              <w:r>
                <w:rPr>
                  <w:rStyle w:val="InternetLink"/>
                  <w:rFonts w:ascii="Times New Roman;sans-serif" w:hAnsi="Times New Roman;sans-serif"/>
                  <w:b w:val="false"/>
                  <w:color w:val="0000FF"/>
                  <w:sz w:val="20"/>
                  <w:u w:val="single"/>
                </w:rPr>
                <w:t>Mine Safety Disclosures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right"/>
              <w:rPr/>
            </w:pPr>
            <w:hyperlink w:anchor="i98160bee112a4a388887a6ac3a68652f_115">
              <w:r>
                <w:rPr>
                  <w:rStyle w:val="InternetLink"/>
                  <w:rFonts w:ascii="Times New Roman;sans-serif" w:hAnsi="Times New Roman;sans-serif"/>
                  <w:b w:val="false"/>
                  <w:color w:val="0000EE"/>
                  <w:sz w:val="20"/>
                  <w:u w:val="single"/>
                </w:rPr>
                <w:t>34</w:t>
              </w:r>
            </w:hyperlink>
          </w:p>
        </w:tc>
      </w:tr>
      <w:tr>
        <w:trPr/>
        <w:tc>
          <w:tcPr>
            <w:tcW w:w="239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118">
              <w:r>
                <w:rPr>
                  <w:rStyle w:val="InternetLink"/>
                  <w:rFonts w:ascii="Times New Roman;sans-serif" w:hAnsi="Times New Roman;sans-serif"/>
                  <w:b w:val="false"/>
                  <w:color w:val="0000FF"/>
                  <w:sz w:val="20"/>
                  <w:u w:val="single"/>
                </w:rPr>
                <w:t>Item 5.</w:t>
              </w:r>
            </w:hyperlink>
          </w:p>
        </w:tc>
        <w:tc>
          <w:tcPr>
            <w:tcW w:w="723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118">
              <w:r>
                <w:rPr>
                  <w:rStyle w:val="InternetLink"/>
                  <w:rFonts w:ascii="Times New Roman;sans-serif" w:hAnsi="Times New Roman;sans-serif"/>
                  <w:b w:val="false"/>
                  <w:color w:val="0000FF"/>
                  <w:sz w:val="20"/>
                  <w:u w:val="single"/>
                </w:rPr>
                <w:t>Other Information</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right"/>
              <w:rPr/>
            </w:pPr>
            <w:hyperlink w:anchor="i98160bee112a4a388887a6ac3a68652f_118">
              <w:r>
                <w:rPr>
                  <w:rStyle w:val="InternetLink"/>
                  <w:rFonts w:ascii="Times New Roman;sans-serif" w:hAnsi="Times New Roman;sans-serif"/>
                  <w:b w:val="false"/>
                  <w:color w:val="0000EE"/>
                  <w:sz w:val="20"/>
                  <w:u w:val="single"/>
                </w:rPr>
                <w:t>34</w:t>
              </w:r>
            </w:hyperlink>
          </w:p>
        </w:tc>
      </w:tr>
      <w:tr>
        <w:trPr/>
        <w:tc>
          <w:tcPr>
            <w:tcW w:w="239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121">
              <w:r>
                <w:rPr>
                  <w:rStyle w:val="InternetLink"/>
                  <w:rFonts w:ascii="Times New Roman;sans-serif" w:hAnsi="Times New Roman;sans-serif"/>
                  <w:b w:val="false"/>
                  <w:color w:val="0000FF"/>
                  <w:sz w:val="20"/>
                  <w:u w:val="single"/>
                </w:rPr>
                <w:t>Item 6.</w:t>
              </w:r>
            </w:hyperlink>
          </w:p>
        </w:tc>
        <w:tc>
          <w:tcPr>
            <w:tcW w:w="723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121">
              <w:r>
                <w:rPr>
                  <w:rStyle w:val="InternetLink"/>
                  <w:rFonts w:ascii="Times New Roman;sans-serif" w:hAnsi="Times New Roman;sans-serif"/>
                  <w:b w:val="false"/>
                  <w:color w:val="0000FF"/>
                  <w:sz w:val="20"/>
                  <w:u w:val="single"/>
                </w:rPr>
                <w:t>Exhibits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right"/>
              <w:rPr/>
            </w:pPr>
            <w:hyperlink w:anchor="i98160bee112a4a388887a6ac3a68652f_121">
              <w:r>
                <w:rPr>
                  <w:rStyle w:val="InternetLink"/>
                  <w:rFonts w:ascii="Times New Roman;sans-serif" w:hAnsi="Times New Roman;sans-serif"/>
                  <w:b w:val="false"/>
                  <w:color w:val="0000EE"/>
                  <w:sz w:val="20"/>
                  <w:u w:val="single"/>
                </w:rPr>
                <w:t>35</w:t>
              </w:r>
            </w:hyperlink>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pPr>
            <w:hyperlink w:anchor="i98160bee112a4a388887a6ac3a68652f_124">
              <w:r>
                <w:rPr>
                  <w:rStyle w:val="InternetLink"/>
                  <w:rFonts w:ascii="Times New Roman;sans-serif" w:hAnsi="Times New Roman;sans-serif"/>
                  <w:b w:val="false"/>
                  <w:color w:val="0000FF"/>
                  <w:sz w:val="20"/>
                  <w:u w:val="single"/>
                </w:rPr>
                <w:t>Signatures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right"/>
              <w:rPr/>
            </w:pPr>
            <w:hyperlink w:anchor="i98160bee112a4a388887a6ac3a68652f_124">
              <w:r>
                <w:rPr>
                  <w:rStyle w:val="InternetLink"/>
                  <w:rFonts w:ascii="Times New Roman;sans-serif" w:hAnsi="Times New Roman;sans-serif"/>
                  <w:b w:val="false"/>
                  <w:color w:val="0000EE"/>
                  <w:sz w:val="20"/>
                  <w:u w:val="single"/>
                </w:rPr>
                <w:t>35</w:t>
              </w:r>
            </w:hyperlink>
          </w:p>
        </w:tc>
      </w:tr>
    </w:tbl>
    <w:p>
      <w:pPr>
        <w:pStyle w:val="TextBody"/>
        <w:spacing w:before="240" w:after="283"/>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Cautionary Note Regarding Forward-Looking Statements </w:t>
      </w:r>
    </w:p>
    <w:p>
      <w:pPr>
        <w:pStyle w:val="TextBody"/>
        <w:spacing w:before="0" w:after="0"/>
        <w:rPr/>
      </w:pPr>
      <w:r>
        <w:rPr/>
      </w:r>
    </w:p>
    <w:p>
      <w:pPr>
        <w:pStyle w:val="TextBody"/>
        <w:spacing w:lineRule="auto" w:line="276" w:before="0" w:after="0"/>
        <w:jc w:val="both"/>
        <w:rPr/>
      </w:pPr>
      <w:r>
        <w:rPr>
          <w:rFonts w:ascii="Times New Roman;sans-serif" w:hAnsi="Times New Roman;sans-serif"/>
          <w:b w:val="false"/>
          <w:i/>
          <w:color w:val="000000"/>
          <w:sz w:val="20"/>
        </w:rPr>
        <w:t>This Quarterly Report on Form 10-Q (“Form 10-Q”) contains forward-looking statements within the meaning of the Private Securities Litigation Reform Act of 1995 (</w:t>
      </w:r>
      <w:r>
        <w:rPr>
          <w:color w:val="000000"/>
          <w:highlight w:val="white"/>
        </w:rPr>
        <w:t>“</w:t>
      </w:r>
      <w:r>
        <w:rPr>
          <w:rFonts w:ascii="Times New Roman;sans-serif" w:hAnsi="Times New Roman;sans-serif"/>
          <w:b w:val="false"/>
          <w:i/>
          <w:color w:val="000000"/>
          <w:sz w:val="20"/>
        </w:rPr>
        <w:t>PSLRA</w:t>
      </w:r>
      <w:r>
        <w:rPr>
          <w:color w:val="000000"/>
          <w:highlight w:val="white"/>
        </w:rPr>
        <w:t>”</w:t>
      </w:r>
      <w:r>
        <w:rPr>
          <w:rFonts w:ascii="Times New Roman;sans-serif" w:hAnsi="Times New Roman;sans-serif"/>
          <w:b w:val="false"/>
          <w:i/>
          <w:color w:val="000000"/>
          <w:sz w:val="20"/>
        </w:rPr>
        <w:t>),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any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You should evaluate all forward-looking statements made in this Form 10-Q in the context of the risks and uncertainties disclosed herein, including under Part I. Item 2. “Management’s Discussion and Analysis of Financial Condition and Results of Operations” and Part II. Item 1A. “Risk Factors”, and in our Annual Report on Form 10-K as of and for the year ended December 25, 2022 (“2022 Form 10-K”), including under Part I. Item 1A. “Risk Factors” and Part II. Item 7. “Management’s Discussion and Analysis of Financial Condition and Results of Operations.” Important factors that could cause actual results to differ materially from those in the forward-looking statements include the following: uncertainty regarding ongoing hostility between Russia and Ukraine and the related impact on macroeconomic conditions, including inflation, as a result of such conflict or other related events; our vulnerability to changes in economic conditions and consumer preferences; our inability to successfully open new restaurants or establish new markets; our inability to effectively manage our growth; adverse effects of the COVID-19 pandemic or other infectious diseases; potential negative impacts on sales at our and our franchisees’ restaurants as a result of our opening new restaurants; a decline in visitors to any of the retail centers, lifestyle centers, or entertainment centers where our restaurants are located; lower than expected same-restaurant sales growth; unsuccessful marketing programs and limited time new offerings; changes in the cost of food; unprofitability or closure of new restaurants or lower than previously experienced performance in existing restaurants; our inability to compete effectively for customers; unsuccessful financial performance of our franchisees; our limited control over our franchisees’ operations; our inability to maintain good relationships with our franchisees; conflicts of interest with our franchisees; the geographic concentration of our system-wide restaurant base in the southeast portion of the United States; damage to our reputation and negative publicity; our inability or failure to recognize, respond to and effectively manage the accelerated impact of social media; our limited number of suppliers and distributors for several of our frequently used ingredients and shortages or disruptions in the supply or delivery of such ingredients; information technology system failures or breaches of our network security; our failure to comply with federal and state laws and regulations relating to privacy, data protection, advertising and consumer protection, or the expansion of current or the enactment of new laws or regulations relating to privacy, data protection, advertising and consumer protection; our potential liability with our gift cards under the property laws of some states; our failure to enforce and maintain our trademarks and protect our other intellectual property; litigation with respect to intellectual property assets; our dependence on our executive officers and certain other key employees; our inability to identify, hire, train and retain qualified individuals for our workforce; our failure to obtain or to properly verify the employment eligibility of our employees; our failure to maintain our corporate culture as we grow; unionization activities among our employees; employment and labor law proceedings; labor shortages or increased labor costs or health care costs; risks associated with leasing property subject to long-term and non-cancelable leases; risks related to our sale of alcoholic beverages; costly and complex compliance with federal, state and local laws; changes in accounting principles applicable to us; our vulnerability to natural disasters, unusual weather conditions, pandemic outbreaks, political events, war and terrorism; our inability to secure additional capital to support business growth; our level of indebtedness; failure to comply with covenants under our credit facility; and the interests of our majority stockholder may differ from those of public stockholders.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forward-looking statements included in this Form 10-Q are made only as of the date hereof and are expressly qualified in their entirety by these cautionary statements. We undertake no obligation to publicly update or revise any forward-looking statement as a result of new information, future events or otherwise, except as otherwise required by law. All information presented herein is based on our fiscal calendar. Unless otherwise stated, references to particular years, quarters, months or periods refer to our fiscal years and the associated quarters, months and periods of those fiscal years.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FIRST WATCH RESTAURANT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center"/>
        <w:tblInd w:w="0" w:type="dxa"/>
        <w:tblCellMar>
          <w:top w:w="28" w:type="dxa"/>
          <w:left w:w="28" w:type="dxa"/>
          <w:bottom w:w="28" w:type="dxa"/>
          <w:right w:w="28" w:type="dxa"/>
        </w:tblCellMar>
      </w:tblPr>
      <w:tblGrid>
        <w:gridCol w:w="2640"/>
        <w:gridCol w:w="2188"/>
        <w:gridCol w:w="2171"/>
        <w:gridCol w:w="221"/>
        <w:gridCol w:w="985"/>
        <w:gridCol w:w="123"/>
        <w:gridCol w:w="109"/>
        <w:gridCol w:w="109"/>
        <w:gridCol w:w="109"/>
        <w:gridCol w:w="248"/>
        <w:gridCol w:w="1104"/>
        <w:gridCol w:w="198"/>
      </w:tblGrid>
      <w:tr>
        <w:trPr/>
        <w:tc>
          <w:tcPr>
            <w:tcW w:w="2640" w:type="dxa"/>
            <w:tcBorders/>
            <w:shd w:fill="auto" w:val="clear"/>
            <w:vAlign w:val="center"/>
          </w:tcPr>
          <w:p>
            <w:pPr>
              <w:pStyle w:val="TableContents"/>
              <w:spacing w:before="0" w:after="283"/>
              <w:rPr>
                <w:sz w:val="4"/>
                <w:szCs w:val="4"/>
              </w:rPr>
            </w:pPr>
            <w:r>
              <w:rPr>
                <w:sz w:val="4"/>
                <w:szCs w:val="4"/>
              </w:rPr>
            </w:r>
          </w:p>
        </w:tc>
        <w:tc>
          <w:tcPr>
            <w:tcW w:w="2188" w:type="dxa"/>
            <w:tcBorders/>
            <w:shd w:fill="auto" w:val="clear"/>
            <w:vAlign w:val="center"/>
          </w:tcPr>
          <w:p>
            <w:pPr>
              <w:pStyle w:val="TableContents"/>
              <w:spacing w:before="0" w:after="283"/>
              <w:rPr>
                <w:sz w:val="4"/>
                <w:szCs w:val="4"/>
              </w:rPr>
            </w:pPr>
            <w:r>
              <w:rPr>
                <w:sz w:val="4"/>
                <w:szCs w:val="4"/>
              </w:rPr>
            </w:r>
          </w:p>
        </w:tc>
        <w:tc>
          <w:tcPr>
            <w:tcW w:w="217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6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25, 2022</w:t>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3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54,416 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49,672 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2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2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3,828 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6,164 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2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4,406 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5,028 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2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6,673 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5,800 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2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70,159 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67,288 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2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345,219 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345,219 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2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143,025 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143,151 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2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355,500 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352,373 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fixtures and equipment, net of accumulated depreciation of $154,303 and $145,720, respectively</w:t>
            </w:r>
          </w:p>
        </w:tc>
        <w:tc>
          <w:tcPr>
            <w:tcW w:w="12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199,889 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195,117 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2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1,115,052 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1,104,446 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32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3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5,223 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7,590 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12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24,874 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22,729 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deferred payroll taxes</w:t>
            </w:r>
          </w:p>
        </w:tc>
        <w:tc>
          <w:tcPr>
            <w:tcW w:w="12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11,378 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17,899 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revenues</w:t>
            </w:r>
          </w:p>
        </w:tc>
        <w:tc>
          <w:tcPr>
            <w:tcW w:w="12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3,225 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5,193 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12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40,474 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38,936 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2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5,627 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6,257 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payable</w:t>
            </w:r>
          </w:p>
        </w:tc>
        <w:tc>
          <w:tcPr>
            <w:tcW w:w="12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91,661 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99,980 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2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370,728 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366,113 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2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93,410 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94,668 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2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21,395 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17,166 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2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3,301 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3,384 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580,495 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581,311 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10)</w:t>
            </w:r>
          </w:p>
        </w:tc>
        <w:tc>
          <w:tcPr>
            <w:tcW w:w="13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13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10,000,000 shares authorized; none issued and outstanding</w:t>
            </w:r>
          </w:p>
        </w:tc>
        <w:tc>
          <w:tcPr>
            <w:tcW w:w="12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300,000,000 shares authorized; 59,284,590 and 59,211,019 shares issued and outstanding at March 26, 2023 and December 25, 2022, respectively</w:t>
            </w:r>
          </w:p>
        </w:tc>
        <w:tc>
          <w:tcPr>
            <w:tcW w:w="12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2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622,736 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620,675 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2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(88,772)</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(98,132)</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534,557 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523,135 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1,115,052 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1,104,446 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FIRST WATCH RESTAURANT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AND COMPREHENSIVE INCOME </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DATA)</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CellMar>
          <w:top w:w="28" w:type="dxa"/>
          <w:left w:w="28" w:type="dxa"/>
          <w:bottom w:w="28" w:type="dxa"/>
          <w:right w:w="28" w:type="dxa"/>
        </w:tblCellMar>
      </w:tblPr>
      <w:tblGrid>
        <w:gridCol w:w="2328"/>
        <w:gridCol w:w="2042"/>
        <w:gridCol w:w="2056"/>
        <w:gridCol w:w="278"/>
        <w:gridCol w:w="1048"/>
        <w:gridCol w:w="154"/>
        <w:gridCol w:w="110"/>
        <w:gridCol w:w="110"/>
        <w:gridCol w:w="110"/>
        <w:gridCol w:w="278"/>
        <w:gridCol w:w="1048"/>
        <w:gridCol w:w="154"/>
        <w:gridCol w:w="109"/>
        <w:gridCol w:w="109"/>
        <w:gridCol w:w="109"/>
        <w:gridCol w:w="162"/>
      </w:tblGrid>
      <w:tr>
        <w:trPr/>
        <w:tc>
          <w:tcPr>
            <w:tcW w:w="2328" w:type="dxa"/>
            <w:tcBorders/>
            <w:shd w:fill="auto" w:val="clear"/>
            <w:vAlign w:val="center"/>
          </w:tcPr>
          <w:p>
            <w:pPr>
              <w:pStyle w:val="TableContents"/>
              <w:spacing w:before="0" w:after="283"/>
              <w:rPr>
                <w:sz w:val="4"/>
                <w:szCs w:val="4"/>
              </w:rPr>
            </w:pPr>
            <w:r>
              <w:rPr>
                <w:sz w:val="4"/>
                <w:szCs w:val="4"/>
              </w:rPr>
            </w:r>
          </w:p>
        </w:tc>
        <w:tc>
          <w:tcPr>
            <w:tcW w:w="2042" w:type="dxa"/>
            <w:tcBorders/>
            <w:shd w:fill="auto" w:val="clear"/>
            <w:vAlign w:val="center"/>
          </w:tcPr>
          <w:p>
            <w:pPr>
              <w:pStyle w:val="TableContents"/>
              <w:spacing w:before="0" w:after="283"/>
              <w:rPr>
                <w:sz w:val="4"/>
                <w:szCs w:val="4"/>
              </w:rPr>
            </w:pPr>
            <w:r>
              <w:rPr>
                <w:sz w:val="4"/>
                <w:szCs w:val="4"/>
              </w:rPr>
            </w:r>
          </w:p>
        </w:tc>
        <w:tc>
          <w:tcPr>
            <w:tcW w:w="205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gridSpan w:val="2"/>
            <w:tcBorders/>
            <w:shd w:fill="auto" w:val="clear"/>
          </w:tcPr>
          <w:p>
            <w:pPr>
              <w:pStyle w:val="TableContents"/>
              <w:spacing w:before="0" w:after="283"/>
              <w:rPr>
                <w:sz w:val="4"/>
                <w:szCs w:val="4"/>
              </w:rPr>
            </w:pPr>
            <w:r>
              <w:rPr>
                <w:sz w:val="4"/>
                <w:szCs w:val="4"/>
              </w:rPr>
            </w:r>
          </w:p>
        </w:tc>
      </w:tr>
      <w:tr>
        <w:trPr/>
        <w:tc>
          <w:tcPr>
            <w:tcW w:w="6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207,968 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revenues</w:t>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costs and expenses:</w:t>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operating expenses (exclusive of depreciation and amortization shown below):</w:t>
            </w:r>
          </w:p>
        </w:tc>
        <w:tc>
          <w:tcPr>
            <w:tcW w:w="1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 costs</w:t>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 expenses</w:t>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 expenses</w:t>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 expenses</w:t>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Pre-opening expenses</w:t>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Impairments and loss on disposal of assets</w:t>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expenses, net</w:t>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costs and expenses</w:t>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196,075 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and total comprehensive income</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common share - basic</w:t>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common share - diluted</w:t>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common shares outstanding - basic</w:t>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59,243,430 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59,048,446 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common shares outstanding - diluted</w:t>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60,597,729 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59,983,150 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p>
      <w:pPr>
        <w:pStyle w:val="TextBody"/>
        <w:spacing w:before="240" w:after="283"/>
        <w:jc w:val="center"/>
        <w:rPr/>
      </w:pPr>
      <w:r>
        <w:rPr/>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FIRST WATCH RESTAURANT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AMOUNTS)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CellMar>
          <w:top w:w="28" w:type="dxa"/>
          <w:left w:w="28" w:type="dxa"/>
          <w:bottom w:w="28" w:type="dxa"/>
          <w:right w:w="28" w:type="dxa"/>
        </w:tblCellMar>
      </w:tblPr>
      <w:tblGrid>
        <w:gridCol w:w="1230"/>
        <w:gridCol w:w="1080"/>
        <w:gridCol w:w="1083"/>
        <w:gridCol w:w="109"/>
        <w:gridCol w:w="109"/>
        <w:gridCol w:w="109"/>
        <w:gridCol w:w="480"/>
        <w:gridCol w:w="481"/>
        <w:gridCol w:w="211"/>
        <w:gridCol w:w="109"/>
        <w:gridCol w:w="109"/>
        <w:gridCol w:w="109"/>
        <w:gridCol w:w="202"/>
        <w:gridCol w:w="435"/>
        <w:gridCol w:w="114"/>
        <w:gridCol w:w="109"/>
        <w:gridCol w:w="109"/>
        <w:gridCol w:w="109"/>
        <w:gridCol w:w="196"/>
        <w:gridCol w:w="736"/>
        <w:gridCol w:w="109"/>
        <w:gridCol w:w="109"/>
        <w:gridCol w:w="109"/>
        <w:gridCol w:w="109"/>
        <w:gridCol w:w="228"/>
        <w:gridCol w:w="770"/>
        <w:gridCol w:w="128"/>
        <w:gridCol w:w="109"/>
        <w:gridCol w:w="109"/>
        <w:gridCol w:w="109"/>
        <w:gridCol w:w="196"/>
        <w:gridCol w:w="736"/>
        <w:gridCol w:w="155"/>
      </w:tblGrid>
      <w:tr>
        <w:trPr/>
        <w:tc>
          <w:tcPr>
            <w:tcW w:w="1230"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Equity</w:t>
            </w:r>
          </w:p>
        </w:tc>
      </w:tr>
      <w:tr>
        <w:trPr/>
        <w:tc>
          <w:tcPr>
            <w:tcW w:w="3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2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87"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39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December 25,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59,211,019 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(98,132)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523,135 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9,360 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stock-based compensation plans,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73,571 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26,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59,284,590 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622,736 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(88,772)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534,557 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895" w:type="dxa"/>
        <w:jc w:val="left"/>
        <w:tblInd w:w="0" w:type="dxa"/>
        <w:tblCellMar>
          <w:top w:w="28" w:type="dxa"/>
          <w:left w:w="28" w:type="dxa"/>
          <w:bottom w:w="28" w:type="dxa"/>
          <w:right w:w="28" w:type="dxa"/>
        </w:tblCellMar>
      </w:tblPr>
      <w:tblGrid>
        <w:gridCol w:w="870"/>
        <w:gridCol w:w="764"/>
        <w:gridCol w:w="766"/>
        <w:gridCol w:w="480"/>
        <w:gridCol w:w="481"/>
        <w:gridCol w:w="211"/>
        <w:gridCol w:w="109"/>
        <w:gridCol w:w="109"/>
        <w:gridCol w:w="109"/>
        <w:gridCol w:w="202"/>
        <w:gridCol w:w="435"/>
        <w:gridCol w:w="114"/>
        <w:gridCol w:w="109"/>
        <w:gridCol w:w="109"/>
        <w:gridCol w:w="109"/>
        <w:gridCol w:w="196"/>
        <w:gridCol w:w="736"/>
        <w:gridCol w:w="109"/>
        <w:gridCol w:w="109"/>
        <w:gridCol w:w="109"/>
        <w:gridCol w:w="109"/>
        <w:gridCol w:w="208"/>
        <w:gridCol w:w="811"/>
        <w:gridCol w:w="118"/>
        <w:gridCol w:w="109"/>
        <w:gridCol w:w="109"/>
        <w:gridCol w:w="109"/>
        <w:gridCol w:w="196"/>
        <w:gridCol w:w="736"/>
        <w:gridCol w:w="154"/>
      </w:tblGrid>
      <w:tr>
        <w:trPr/>
        <w:tc>
          <w:tcPr>
            <w:tcW w:w="870"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Equity</w:t>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3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December 26, 2021</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59,048,446 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(105,039)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27, 2022</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59,048,446 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(100,399)</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511,363 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jc w:val="center"/>
        <w:rPr/>
      </w:pPr>
      <w:r>
        <w:rPr/>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FIRST WATCH RESTAURANT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9164" w:type="dxa"/>
        <w:jc w:val="center"/>
        <w:tblInd w:w="0" w:type="dxa"/>
        <w:tblCellMar>
          <w:top w:w="28" w:type="dxa"/>
          <w:left w:w="28" w:type="dxa"/>
          <w:bottom w:w="28" w:type="dxa"/>
          <w:right w:w="28" w:type="dxa"/>
        </w:tblCellMar>
      </w:tblPr>
      <w:tblGrid>
        <w:gridCol w:w="2097"/>
        <w:gridCol w:w="1839"/>
        <w:gridCol w:w="1853"/>
        <w:gridCol w:w="305"/>
        <w:gridCol w:w="1010"/>
        <w:gridCol w:w="170"/>
        <w:gridCol w:w="120"/>
        <w:gridCol w:w="120"/>
        <w:gridCol w:w="120"/>
        <w:gridCol w:w="300"/>
        <w:gridCol w:w="994"/>
        <w:gridCol w:w="236"/>
      </w:tblGrid>
      <w:tr>
        <w:trPr/>
        <w:tc>
          <w:tcPr>
            <w:tcW w:w="2097" w:type="dxa"/>
            <w:tcBorders/>
            <w:shd w:fill="auto" w:val="clear"/>
            <w:vAlign w:val="center"/>
          </w:tcPr>
          <w:p>
            <w:pPr>
              <w:pStyle w:val="TableContents"/>
              <w:spacing w:before="0" w:after="283"/>
              <w:rPr>
                <w:sz w:val="4"/>
                <w:szCs w:val="4"/>
              </w:rPr>
            </w:pPr>
            <w:r>
              <w:rPr>
                <w:sz w:val="4"/>
                <w:szCs w:val="4"/>
              </w:rPr>
            </w:r>
          </w:p>
        </w:tc>
        <w:tc>
          <w:tcPr>
            <w:tcW w:w="1839" w:type="dxa"/>
            <w:tcBorders/>
            <w:shd w:fill="auto" w:val="clear"/>
            <w:vAlign w:val="center"/>
          </w:tcPr>
          <w:p>
            <w:pPr>
              <w:pStyle w:val="TableContents"/>
              <w:spacing w:before="0" w:after="283"/>
              <w:rPr>
                <w:sz w:val="4"/>
                <w:szCs w:val="4"/>
              </w:rPr>
            </w:pPr>
            <w:r>
              <w:rPr>
                <w:sz w:val="4"/>
                <w:szCs w:val="4"/>
              </w:rPr>
            </w:r>
          </w:p>
        </w:tc>
        <w:tc>
          <w:tcPr>
            <w:tcW w:w="1853"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5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9,360 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9,117 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8,223 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costs</w:t>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4,357 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3,898 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4,229 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2,046 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portion of gain on lease modifications</w:t>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 and deferred issuance costs</w:t>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Impairments and loss on disposal of assets</w:t>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insurance proceeds</w:t>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w:t>
            </w:r>
          </w:p>
        </w:tc>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2,336 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current and long-term</w:t>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(3,095)</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2,832 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2,074 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deferred payroll taxes, current and long-term</w:t>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(6,521)</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(9,230)</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revenues, current and long-term</w:t>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(2,031)</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(2,482)</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7,989 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 proceeds</w:t>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(14,519)</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(11,357)</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intangible assets</w:t>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(14,441)</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(11,458)</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note payable</w:t>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 net of employee taxes paid</w:t>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 including finance lease liabilities</w:t>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payment</w:t>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 and restricted cash</w:t>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4,744 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(5,343)</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and restricted cash:</w:t>
            </w:r>
          </w:p>
        </w:tc>
        <w:tc>
          <w:tcPr>
            <w:tcW w:w="1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49,923 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52,115 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54,667 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46,772 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14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3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 net of refunds</w:t>
            </w:r>
          </w:p>
        </w:tc>
        <w:tc>
          <w:tcPr>
            <w:tcW w:w="3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FIRST WATCH RESTAURANT GROUP, INC.</w:t>
      </w:r>
    </w:p>
    <w:p>
      <w:pPr>
        <w:pStyle w:val="TextBody"/>
        <w:spacing w:lineRule="auto" w:line="288" w:before="0" w:after="0"/>
        <w:jc w:val="center"/>
        <w:rPr/>
      </w:pPr>
      <w:r>
        <w:rPr>
          <w:rFonts w:ascii="Times New Roman;sans-serif" w:hAnsi="Times New Roman;sans-serif"/>
          <w:b/>
          <w:color w:val="000000"/>
          <w:sz w:val="20"/>
        </w:rPr>
        <w:t>CONSOLIDATED STATEMENTS OF CASH FLOWS -</w:t>
      </w:r>
      <w:r>
        <w:rPr>
          <w:color w:val="000000"/>
        </w:rPr>
        <w:t xml:space="preserve"> </w:t>
      </w:r>
      <w:r>
        <w:rPr>
          <w:rFonts w:ascii="Times New Roman;sans-serif" w:hAnsi="Times New Roman;sans-serif"/>
          <w:b/>
          <w:i/>
          <w:color w:val="000000"/>
          <w:sz w:val="20"/>
        </w:rPr>
        <w:t>continued</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9045" w:type="dxa"/>
        <w:jc w:val="center"/>
        <w:tblInd w:w="0" w:type="dxa"/>
        <w:tblCellMar>
          <w:top w:w="28" w:type="dxa"/>
          <w:left w:w="28" w:type="dxa"/>
          <w:bottom w:w="28" w:type="dxa"/>
          <w:right w:w="28" w:type="dxa"/>
        </w:tblCellMar>
      </w:tblPr>
      <w:tblGrid>
        <w:gridCol w:w="2050"/>
        <w:gridCol w:w="1798"/>
        <w:gridCol w:w="1807"/>
        <w:gridCol w:w="337"/>
        <w:gridCol w:w="960"/>
        <w:gridCol w:w="188"/>
        <w:gridCol w:w="125"/>
        <w:gridCol w:w="125"/>
        <w:gridCol w:w="125"/>
        <w:gridCol w:w="300"/>
        <w:gridCol w:w="994"/>
        <w:gridCol w:w="236"/>
      </w:tblGrid>
      <w:tr>
        <w:trPr/>
        <w:tc>
          <w:tcPr>
            <w:tcW w:w="2050" w:type="dxa"/>
            <w:tcBorders/>
            <w:shd w:fill="auto" w:val="clear"/>
            <w:vAlign w:val="center"/>
          </w:tcPr>
          <w:p>
            <w:pPr>
              <w:pStyle w:val="TableContents"/>
              <w:spacing w:before="0" w:after="283"/>
              <w:rPr>
                <w:sz w:val="4"/>
                <w:szCs w:val="4"/>
              </w:rPr>
            </w:pPr>
            <w:r>
              <w:rPr>
                <w:sz w:val="4"/>
                <w:szCs w:val="4"/>
              </w:rPr>
            </w:r>
          </w:p>
        </w:tc>
        <w:tc>
          <w:tcPr>
            <w:tcW w:w="1798" w:type="dxa"/>
            <w:tcBorders/>
            <w:shd w:fill="auto" w:val="clear"/>
            <w:vAlign w:val="center"/>
          </w:tcPr>
          <w:p>
            <w:pPr>
              <w:pStyle w:val="TableContents"/>
              <w:spacing w:before="0" w:after="283"/>
              <w:rPr>
                <w:sz w:val="4"/>
                <w:szCs w:val="4"/>
              </w:rPr>
            </w:pPr>
            <w:r>
              <w:rPr>
                <w:sz w:val="4"/>
                <w:szCs w:val="4"/>
              </w:rPr>
            </w:r>
          </w:p>
        </w:tc>
        <w:tc>
          <w:tcPr>
            <w:tcW w:w="180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r>
      <w:tr>
        <w:trPr/>
        <w:tc>
          <w:tcPr>
            <w:tcW w:w="5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non-cash investing and financing activities:</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assets obtained in exchange for new operating lease liabilities</w:t>
            </w:r>
          </w:p>
        </w:tc>
        <w:tc>
          <w:tcPr>
            <w:tcW w:w="3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8,323 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10,330 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assets obtained in exchange for new finance lease liabilities</w:t>
            </w:r>
          </w:p>
        </w:tc>
        <w:tc>
          <w:tcPr>
            <w:tcW w:w="3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Remeasurements and terminations of operating lease assets and lease liabilities</w:t>
            </w:r>
          </w:p>
        </w:tc>
        <w:tc>
          <w:tcPr>
            <w:tcW w:w="3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Remeasurements and terminations of finance lease assets and lease liabilities</w:t>
            </w:r>
          </w:p>
        </w:tc>
        <w:tc>
          <w:tcPr>
            <w:tcW w:w="3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liabilities from acquisition of property, fixtures and equipment</w:t>
            </w:r>
          </w:p>
        </w:tc>
        <w:tc>
          <w:tcPr>
            <w:tcW w:w="3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FIRST WATCH RESTAURANT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1.    Nature of Business and Organization</w:t>
      </w:r>
    </w:p>
    <w:p>
      <w:pPr>
        <w:pStyle w:val="TextBody"/>
        <w:spacing w:lineRule="auto" w:line="288" w:before="120" w:after="283"/>
        <w:jc w:val="both"/>
        <w:rPr/>
      </w:pPr>
      <w:r>
        <w:rPr>
          <w:rFonts w:ascii="Times New Roman;sans-serif" w:hAnsi="Times New Roman;sans-serif"/>
          <w:b w:val="false"/>
          <w:color w:val="000000"/>
          <w:sz w:val="20"/>
        </w:rPr>
        <w:t>First Watch Restaurant Group, Inc. (collectively with its wholly-owned subsidiaries, “the Company,” or “Management”) is a Delaware holding company. The Company operates and franchises restaurants</w:t>
      </w:r>
      <w:r>
        <w:rPr>
          <w:color w:val="000000"/>
          <w:highlight w:val="white"/>
        </w:rPr>
        <w:t xml:space="preserve"> </w:t>
      </w:r>
      <w:r>
        <w:rPr>
          <w:rFonts w:ascii="Times New Roman;sans-serif" w:hAnsi="Times New Roman;sans-serif"/>
          <w:b w:val="false"/>
          <w:color w:val="000000"/>
          <w:sz w:val="20"/>
          <w:highlight w:val="white"/>
        </w:rPr>
        <w:t xml:space="preserve">in </w:t>
      </w:r>
      <w:r>
        <w:rPr>
          <w:rFonts w:ascii="Times New Roman;sans-serif" w:hAnsi="Times New Roman;sans-serif"/>
          <w:b w:val="false"/>
          <w:color w:val="000000"/>
          <w:sz w:val="20"/>
        </w:rPr>
        <w:t>29</w:t>
      </w:r>
      <w:r>
        <w:rPr>
          <w:color w:val="000000"/>
          <w:highlight w:val="white"/>
        </w:rPr>
        <w:t xml:space="preserve"> </w:t>
      </w:r>
      <w:r>
        <w:rPr>
          <w:rFonts w:ascii="Times New Roman;sans-serif" w:hAnsi="Times New Roman;sans-serif"/>
          <w:b w:val="false"/>
          <w:color w:val="000000"/>
          <w:sz w:val="20"/>
          <w:highlight w:val="white"/>
        </w:rPr>
        <w:t>sta</w:t>
      </w:r>
      <w:r>
        <w:rPr>
          <w:rFonts w:ascii="Times New Roman;sans-serif" w:hAnsi="Times New Roman;sans-serif"/>
          <w:b w:val="false"/>
          <w:color w:val="000000"/>
          <w:sz w:val="20"/>
        </w:rPr>
        <w:t>tes operating under the “First Watch” trade name, which are focused on made-to-order breakfast, brunch and lunch. The Company’s operations and assets are in the United States. As of March 26, 2023, the Company operated 370 company-owned restaurants and had 114 franchise-owned restaurants.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reports financial information on a 52- or 53-week fiscal year ending on the last Sunday of each calendar year. The quarters ended March 26, 2023 and March 27, 2022 were 13-week periods. These unaudited interim consolidated financial statements should be read in conjunction with the audited consolidated financial statements and notes thereto included in the Company's Annual Report on Form 10-K as of and for the year ended December 25, 2022 (“2022 Form 10-K”).</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interim consolidated financial statements have been prepared by the Company in accordance with generally accepted accounting principles in the United States of America (“GAAP”) and pursuant to the rules and regulations of the Securities and Exchange Commission (“SEC”). Accordingly, they do not include all the information and notes required by GAAP for complete financial statements. The unaudited interim consolidated financial statements have been prepared on the same basis as the audited consolidated financial statements included in the 2022 Form 10-K and include all adjustments necessary for the fair statement of the consolidated financial statements for the quarterly periods presented. The results of operations for quarterly periods are not necessarily indicative of the results to be expected for other quarterly periods or the entire fiscal year.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unaudited interim consolidated financial statements in accordance with GAAP requires Management to make estimates and assumptions that affect the reported amounts of assets and liabilities and disclosure of contingent assets and liabilities at the date of the unaudited interim consolidated financial statements and the reported amounts of revenues and expenses during the reporting period. Actual results could differ from the estimates and such differences could be material.</w:t>
      </w:r>
    </w:p>
    <w:p>
      <w:pPr>
        <w:pStyle w:val="TextBody"/>
        <w:spacing w:lineRule="auto" w:line="268" w:before="200" w:after="283"/>
        <w:jc w:val="both"/>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spacing w:lineRule="auto" w:line="288" w:before="120" w:after="283"/>
        <w:jc w:val="both"/>
        <w:rPr/>
      </w:pPr>
      <w:r>
        <w:rPr>
          <w:rFonts w:ascii="Times New Roman;sans-serif" w:hAnsi="Times New Roman;sans-serif"/>
          <w:b w:val="false"/>
          <w:color w:val="000000"/>
          <w:sz w:val="20"/>
        </w:rPr>
        <w:t>Certain assets and liabilities are carried at fair value. Fair value is the exchange price that would be received for an asset or paid to transfer a liability (an exit price) in the principal or most advantageous market for the asset or liability in an orderly transaction between market participants on the measurement date. The carrying amounts of the Company</w:t>
      </w:r>
      <w:r>
        <w:rPr>
          <w:color w:val="000000"/>
          <w:highlight w:val="white"/>
        </w:rPr>
        <w:t>’</w:t>
      </w:r>
      <w:r>
        <w:rPr>
          <w:rFonts w:ascii="Times New Roman;sans-serif" w:hAnsi="Times New Roman;sans-serif"/>
          <w:b w:val="false"/>
          <w:color w:val="000000"/>
          <w:sz w:val="20"/>
        </w:rPr>
        <w:t xml:space="preserve">s financial instruments, including cash equivalents, accounts receivable, accounts payable, accrued expenses, note payable and other current liabilities approximate their fair values due to their short-term maturities.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Summary of Recently Issued Accounting Pronouncements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Recent accounting guidance not discussed herein is not applicable, did not have, or is not expected to have a material impact to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WATCH RESTAURANT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 (continued)</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3.    Revenues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include a detail of liabilities from contracts with customers:</w:t>
      </w:r>
    </w:p>
    <w:tbl>
      <w:tblPr>
        <w:tblW w:w="6957" w:type="dxa"/>
        <w:jc w:val="left"/>
        <w:tblInd w:w="0" w:type="dxa"/>
        <w:tblCellMar>
          <w:top w:w="28" w:type="dxa"/>
          <w:left w:w="28" w:type="dxa"/>
          <w:bottom w:w="28" w:type="dxa"/>
          <w:right w:w="28" w:type="dxa"/>
        </w:tblCellMar>
      </w:tblPr>
      <w:tblGrid>
        <w:gridCol w:w="1183"/>
        <w:gridCol w:w="1039"/>
        <w:gridCol w:w="1048"/>
        <w:gridCol w:w="338"/>
        <w:gridCol w:w="959"/>
        <w:gridCol w:w="188"/>
        <w:gridCol w:w="109"/>
        <w:gridCol w:w="109"/>
        <w:gridCol w:w="109"/>
        <w:gridCol w:w="404"/>
        <w:gridCol w:w="1151"/>
        <w:gridCol w:w="320"/>
      </w:tblGrid>
      <w:tr>
        <w:trPr/>
        <w:tc>
          <w:tcPr>
            <w:tcW w:w="1183"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25, 2022</w:t>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revenues:</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revenue</w:t>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4,897 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franchise fee revenue - current</w:t>
            </w:r>
          </w:p>
        </w:tc>
        <w:tc>
          <w:tcPr>
            <w:tcW w:w="12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deferred revenues</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3,225 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5,193 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franchise fee revenue - non-current</w:t>
            </w:r>
          </w:p>
        </w:tc>
        <w:tc>
          <w:tcPr>
            <w:tcW w:w="33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2,409 </w:t>
            </w:r>
          </w:p>
        </w:tc>
        <w:tc>
          <w:tcPr>
            <w:tcW w:w="188"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2,472 </w:t>
            </w:r>
          </w:p>
        </w:tc>
        <w:tc>
          <w:tcPr>
            <w:tcW w:w="320"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Changes in deferred gift card contract liabilities were as follows:</w:t>
      </w:r>
    </w:p>
    <w:tbl>
      <w:tblPr>
        <w:tblW w:w="6001" w:type="dxa"/>
        <w:jc w:val="left"/>
        <w:tblInd w:w="0" w:type="dxa"/>
        <w:tblCellMar>
          <w:top w:w="28" w:type="dxa"/>
          <w:left w:w="28" w:type="dxa"/>
          <w:bottom w:w="28" w:type="dxa"/>
          <w:right w:w="28" w:type="dxa"/>
        </w:tblCellMar>
      </w:tblPr>
      <w:tblGrid>
        <w:gridCol w:w="782"/>
        <w:gridCol w:w="686"/>
        <w:gridCol w:w="692"/>
        <w:gridCol w:w="338"/>
        <w:gridCol w:w="960"/>
        <w:gridCol w:w="187"/>
        <w:gridCol w:w="130"/>
        <w:gridCol w:w="130"/>
        <w:gridCol w:w="130"/>
        <w:gridCol w:w="338"/>
        <w:gridCol w:w="960"/>
        <w:gridCol w:w="187"/>
        <w:gridCol w:w="109"/>
        <w:gridCol w:w="109"/>
        <w:gridCol w:w="109"/>
        <w:gridCol w:w="154"/>
      </w:tblGrid>
      <w:tr>
        <w:trPr/>
        <w:tc>
          <w:tcPr>
            <w:tcW w:w="782"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revenue:</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3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4,897 </w:t>
            </w:r>
          </w:p>
        </w:tc>
        <w:tc>
          <w:tcPr>
            <w:tcW w:w="1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4,410 </w:t>
            </w:r>
          </w:p>
        </w:tc>
        <w:tc>
          <w:tcPr>
            <w:tcW w:w="1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Gift card sales</w:t>
            </w:r>
          </w:p>
        </w:tc>
        <w:tc>
          <w:tcPr>
            <w:tcW w:w="12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1,534 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Gift card redemptions</w:t>
            </w:r>
          </w:p>
        </w:tc>
        <w:tc>
          <w:tcPr>
            <w:tcW w:w="12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(3,204)</w:t>
            </w:r>
          </w:p>
        </w:tc>
        <w:tc>
          <w:tcPr>
            <w:tcW w:w="1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(2,590)</w:t>
            </w:r>
          </w:p>
        </w:tc>
        <w:tc>
          <w:tcPr>
            <w:tcW w:w="1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Gift card breakage</w:t>
            </w:r>
          </w:p>
        </w:tc>
        <w:tc>
          <w:tcPr>
            <w:tcW w:w="12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3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2,909 </w:t>
            </w:r>
          </w:p>
        </w:tc>
        <w:tc>
          <w:tcPr>
            <w:tcW w:w="18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2,752 </w:t>
            </w:r>
          </w:p>
        </w:tc>
        <w:tc>
          <w:tcPr>
            <w:tcW w:w="18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Changes in deferred franchise fee contract liabilities were as follows:</w:t>
      </w:r>
    </w:p>
    <w:tbl>
      <w:tblPr>
        <w:tblW w:w="6180" w:type="dxa"/>
        <w:jc w:val="left"/>
        <w:tblInd w:w="0" w:type="dxa"/>
        <w:tblCellMar>
          <w:top w:w="28" w:type="dxa"/>
          <w:left w:w="28" w:type="dxa"/>
          <w:bottom w:w="28" w:type="dxa"/>
          <w:right w:w="28" w:type="dxa"/>
        </w:tblCellMar>
      </w:tblPr>
      <w:tblGrid>
        <w:gridCol w:w="847"/>
        <w:gridCol w:w="743"/>
        <w:gridCol w:w="749"/>
        <w:gridCol w:w="338"/>
        <w:gridCol w:w="960"/>
        <w:gridCol w:w="187"/>
        <w:gridCol w:w="130"/>
        <w:gridCol w:w="130"/>
        <w:gridCol w:w="130"/>
        <w:gridCol w:w="338"/>
        <w:gridCol w:w="960"/>
        <w:gridCol w:w="187"/>
        <w:gridCol w:w="109"/>
        <w:gridCol w:w="109"/>
        <w:gridCol w:w="109"/>
        <w:gridCol w:w="154"/>
      </w:tblGrid>
      <w:tr>
        <w:trPr/>
        <w:tc>
          <w:tcPr>
            <w:tcW w:w="847"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franchise fee revenue:</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3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2,768 </w:t>
            </w:r>
          </w:p>
        </w:tc>
        <w:tc>
          <w:tcPr>
            <w:tcW w:w="1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2,536 </w:t>
            </w:r>
          </w:p>
        </w:tc>
        <w:tc>
          <w:tcPr>
            <w:tcW w:w="1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w:t>
            </w:r>
          </w:p>
        </w:tc>
        <w:tc>
          <w:tcPr>
            <w:tcW w:w="12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revenues recognized</w:t>
            </w:r>
          </w:p>
        </w:tc>
        <w:tc>
          <w:tcPr>
            <w:tcW w:w="12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2,592 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Revenues recognized disaggregated by type were as follows:</w:t>
      </w:r>
    </w:p>
    <w:tbl>
      <w:tblPr>
        <w:tblW w:w="6646" w:type="dxa"/>
        <w:jc w:val="left"/>
        <w:tblInd w:w="0" w:type="dxa"/>
        <w:tblCellMar>
          <w:top w:w="28" w:type="dxa"/>
          <w:left w:w="28" w:type="dxa"/>
          <w:bottom w:w="28" w:type="dxa"/>
          <w:right w:w="28" w:type="dxa"/>
        </w:tblCellMar>
      </w:tblPr>
      <w:tblGrid>
        <w:gridCol w:w="1036"/>
        <w:gridCol w:w="910"/>
        <w:gridCol w:w="918"/>
        <w:gridCol w:w="279"/>
        <w:gridCol w:w="1050"/>
        <w:gridCol w:w="155"/>
        <w:gridCol w:w="111"/>
        <w:gridCol w:w="111"/>
        <w:gridCol w:w="111"/>
        <w:gridCol w:w="279"/>
        <w:gridCol w:w="1050"/>
        <w:gridCol w:w="155"/>
        <w:gridCol w:w="109"/>
        <w:gridCol w:w="109"/>
        <w:gridCol w:w="109"/>
        <w:gridCol w:w="154"/>
      </w:tblGrid>
      <w:tr>
        <w:trPr/>
        <w:tc>
          <w:tcPr>
            <w:tcW w:w="1036"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In-restaurant dining sales</w:t>
            </w:r>
          </w:p>
        </w:tc>
        <w:tc>
          <w:tcPr>
            <w:tcW w:w="27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169,229 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132,892 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Third-party delivery sales</w:t>
            </w:r>
          </w:p>
        </w:tc>
        <w:tc>
          <w:tcPr>
            <w:tcW w:w="13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22,314 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Take-out sales</w:t>
            </w:r>
          </w:p>
        </w:tc>
        <w:tc>
          <w:tcPr>
            <w:tcW w:w="13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16,425 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16,751 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restaurant sales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207,968 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revenues:</w:t>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and system fund contributions</w:t>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Initial fees</w:t>
            </w:r>
          </w:p>
        </w:tc>
        <w:tc>
          <w:tcPr>
            <w:tcW w:w="13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franchise revenues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7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211,406 </w:t>
            </w:r>
          </w:p>
        </w:tc>
        <w:tc>
          <w:tcPr>
            <w:tcW w:w="1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173,112 </w:t>
            </w:r>
          </w:p>
        </w:tc>
        <w:tc>
          <w:tcPr>
            <w:tcW w:w="1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WATCH RESTAURANT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 (continued)</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4.    Accounts Receivable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Accounts receivable consisted of the following:</w:t>
      </w:r>
    </w:p>
    <w:tbl>
      <w:tblPr>
        <w:tblW w:w="7167" w:type="dxa"/>
        <w:jc w:val="left"/>
        <w:tblInd w:w="0" w:type="dxa"/>
        <w:tblCellMar>
          <w:top w:w="28" w:type="dxa"/>
          <w:left w:w="28" w:type="dxa"/>
          <w:bottom w:w="28" w:type="dxa"/>
          <w:right w:w="28" w:type="dxa"/>
        </w:tblCellMar>
      </w:tblPr>
      <w:tblGrid>
        <w:gridCol w:w="1259"/>
        <w:gridCol w:w="1106"/>
        <w:gridCol w:w="1115"/>
        <w:gridCol w:w="338"/>
        <w:gridCol w:w="959"/>
        <w:gridCol w:w="188"/>
        <w:gridCol w:w="109"/>
        <w:gridCol w:w="109"/>
        <w:gridCol w:w="109"/>
        <w:gridCol w:w="404"/>
        <w:gridCol w:w="1151"/>
        <w:gridCol w:w="320"/>
      </w:tblGrid>
      <w:tr>
        <w:trPr/>
        <w:tc>
          <w:tcPr>
            <w:tcW w:w="1259"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25, 2022</w:t>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third-party delivery providers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franchisees</w:t>
            </w:r>
          </w:p>
        </w:tc>
        <w:tc>
          <w:tcPr>
            <w:tcW w:w="12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vendors</w:t>
            </w:r>
          </w:p>
        </w:tc>
        <w:tc>
          <w:tcPr>
            <w:tcW w:w="12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related to gift card sales</w:t>
            </w:r>
          </w:p>
        </w:tc>
        <w:tc>
          <w:tcPr>
            <w:tcW w:w="12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12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accounts receivable</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3,828 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6,164 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5.    Accrued Liabilities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w:t>
      </w:r>
    </w:p>
    <w:tbl>
      <w:tblPr>
        <w:tblW w:w="6881" w:type="dxa"/>
        <w:jc w:val="left"/>
        <w:tblInd w:w="0" w:type="dxa"/>
        <w:tblCellMar>
          <w:top w:w="28" w:type="dxa"/>
          <w:left w:w="28" w:type="dxa"/>
          <w:bottom w:w="28" w:type="dxa"/>
          <w:right w:w="28" w:type="dxa"/>
        </w:tblCellMar>
      </w:tblPr>
      <w:tblGrid>
        <w:gridCol w:w="1156"/>
        <w:gridCol w:w="1014"/>
        <w:gridCol w:w="1024"/>
        <w:gridCol w:w="306"/>
        <w:gridCol w:w="1009"/>
        <w:gridCol w:w="170"/>
        <w:gridCol w:w="109"/>
        <w:gridCol w:w="109"/>
        <w:gridCol w:w="109"/>
        <w:gridCol w:w="368"/>
        <w:gridCol w:w="1215"/>
        <w:gridCol w:w="292"/>
      </w:tblGrid>
      <w:tr>
        <w:trPr/>
        <w:tc>
          <w:tcPr>
            <w:tcW w:w="1156"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25, 2022</w:t>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liabilities</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tax</w:t>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4,675 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3,791 </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Self-insurance and general liability reserves</w:t>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2,413 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1,529 </w:t>
            </w:r>
          </w:p>
        </w:tc>
        <w:tc>
          <w:tcPr>
            <w:tcW w:w="2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Utilities</w:t>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payable</w:t>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1,506 </w:t>
            </w:r>
          </w:p>
        </w:tc>
        <w:tc>
          <w:tcPr>
            <w:tcW w:w="2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card fees</w:t>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1,043 </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tax</w:t>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951 </w:t>
            </w:r>
          </w:p>
        </w:tc>
        <w:tc>
          <w:tcPr>
            <w:tcW w:w="2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rent</w:t>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811 </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area maintenance</w:t>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2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4,781 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4,042 </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accrued liabilities</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22,729 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WATCH RESTAURANT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 (continued)</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360" w:after="283"/>
        <w:ind w:left="0" w:right="0" w:hanging="720"/>
        <w:rPr/>
      </w:pPr>
      <w:r>
        <w:rPr/>
      </w:r>
    </w:p>
    <w:p>
      <w:pPr>
        <w:pStyle w:val="TextBody"/>
        <w:spacing w:lineRule="auto" w:line="288" w:before="60" w:after="283"/>
        <w:ind w:left="0" w:right="0" w:hanging="360"/>
        <w:rPr>
          <w:rFonts w:ascii="Times New Roman;sans-serif" w:hAnsi="Times New Roman;sans-serif"/>
          <w:b/>
          <w:color w:val="000000"/>
          <w:sz w:val="20"/>
        </w:rPr>
      </w:pPr>
      <w:r>
        <w:rPr>
          <w:rFonts w:ascii="Times New Roman;sans-serif" w:hAnsi="Times New Roman;sans-serif"/>
          <w:b/>
          <w:color w:val="000000"/>
          <w:sz w:val="20"/>
        </w:rPr>
        <w:t>6. Debt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Long-term debt, net consisted of the following:</w:t>
      </w:r>
    </w:p>
    <w:tbl>
      <w:tblPr>
        <w:tblW w:w="9830" w:type="dxa"/>
        <w:jc w:val="left"/>
        <w:tblInd w:w="0" w:type="dxa"/>
        <w:tblCellMar>
          <w:top w:w="28" w:type="dxa"/>
          <w:left w:w="28" w:type="dxa"/>
          <w:bottom w:w="28" w:type="dxa"/>
          <w:right w:w="28" w:type="dxa"/>
        </w:tblCellMar>
      </w:tblPr>
      <w:tblGrid>
        <w:gridCol w:w="1602"/>
        <w:gridCol w:w="1406"/>
        <w:gridCol w:w="1416"/>
        <w:gridCol w:w="196"/>
        <w:gridCol w:w="646"/>
        <w:gridCol w:w="109"/>
        <w:gridCol w:w="109"/>
        <w:gridCol w:w="109"/>
        <w:gridCol w:w="109"/>
        <w:gridCol w:w="384"/>
        <w:gridCol w:w="384"/>
        <w:gridCol w:w="386"/>
        <w:gridCol w:w="109"/>
        <w:gridCol w:w="109"/>
        <w:gridCol w:w="109"/>
        <w:gridCol w:w="222"/>
        <w:gridCol w:w="734"/>
        <w:gridCol w:w="123"/>
        <w:gridCol w:w="123"/>
        <w:gridCol w:w="123"/>
        <w:gridCol w:w="123"/>
        <w:gridCol w:w="351"/>
        <w:gridCol w:w="351"/>
        <w:gridCol w:w="497"/>
      </w:tblGrid>
      <w:tr>
        <w:trPr/>
        <w:tc>
          <w:tcPr>
            <w:tcW w:w="1602" w:type="dxa"/>
            <w:tcBorders/>
            <w:shd w:fill="auto" w:val="clear"/>
            <w:vAlign w:val="center"/>
          </w:tcPr>
          <w:p>
            <w:pPr>
              <w:pStyle w:val="TableContents"/>
              <w:spacing w:before="0" w:after="283"/>
              <w:rPr>
                <w:sz w:val="4"/>
                <w:szCs w:val="4"/>
              </w:rPr>
            </w:pPr>
            <w:r>
              <w:rPr>
                <w:sz w:val="4"/>
                <w:szCs w:val="4"/>
              </w:rPr>
            </w:r>
          </w:p>
        </w:tc>
        <w:tc>
          <w:tcPr>
            <w:tcW w:w="1406" w:type="dxa"/>
            <w:tcBorders/>
            <w:shd w:fill="auto" w:val="clear"/>
            <w:vAlign w:val="center"/>
          </w:tcPr>
          <w:p>
            <w:pPr>
              <w:pStyle w:val="TableContents"/>
              <w:spacing w:before="0" w:after="283"/>
              <w:rPr>
                <w:sz w:val="4"/>
                <w:szCs w:val="4"/>
              </w:rPr>
            </w:pPr>
            <w:r>
              <w:rPr>
                <w:sz w:val="4"/>
                <w:szCs w:val="4"/>
              </w:rPr>
            </w:r>
          </w:p>
        </w:tc>
        <w:tc>
          <w:tcPr>
            <w:tcW w:w="141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25, 2022</w:t>
            </w:r>
          </w:p>
        </w:tc>
      </w:tr>
      <w:tr>
        <w:trPr/>
        <w:tc>
          <w:tcPr>
            <w:tcW w:w="4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Interest Rate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Interest Rate </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Facility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98,125 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5.89%</w:t>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w:t>
            </w:r>
          </w:p>
        </w:tc>
        <w:tc>
          <w:tcPr>
            <w:tcW w:w="9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obligation</w:t>
            </w:r>
          </w:p>
        </w:tc>
        <w:tc>
          <w:tcPr>
            <w:tcW w:w="9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3,050</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discount and deferred issuance costs</w:t>
            </w:r>
          </w:p>
        </w:tc>
        <w:tc>
          <w:tcPr>
            <w:tcW w:w="9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Debt, net </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100,925</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 of long-term debt</w:t>
            </w:r>
          </w:p>
        </w:tc>
        <w:tc>
          <w:tcPr>
            <w:tcW w:w="9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(6,257)</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94,668 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Credit Facilities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FWR Holding Corporation (“FWR”), a subsidiary of the Company, is the borrower under the credit agreement dated as of October 6, 2021 (“Credit Agreement”), which provides for (i) a $100.0 million term loan A facility (the “Term Facility”) and (ii) a $75.0 million revolving credit facility (the “Revolving Credit Facility” and, together with the Term Facility, collectively, the “Credit Facilities”). The Revolving Credit Facility was undrawn at March 26, 2023 and December 25, 2022. The Credit Facilities mature on October 6, 2026.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24, 2023, the Company entered into the Amendment No. 1 to the Credit Agreement (the “Amendment”) to replace LIBO Rate (“LIBOR”) with a secured overnight financing rate (“SOFR”). All outstanding borrowings under the Credit Agreement continued to bear interest at LIBOR until March 27, 2023.</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March 27, 2023, borrowings under the Credit Facilities bear interest, at the option of FWR at either (i) the alternate base rate plus a margin of between 125 and 200 basis points depending on the total rent adjusted net leverage ratio of FWR and its restricted subsidiaries on a consolidated basis (the “Total Rent Adjusted Net Leverage Ratio”) or (ii) SOFR plus a credit spread adjustment of 10 basis points plus a margin of between 225 and 300 basis points depending on the Total Rent Adjusted Net Leverage Ratio. </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Fair Value of Debt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outstanding debt, excluding finance lease obligations and financing obligations, is classified as Level 3 in the fair value hierarchy and was estimated using discounted cash flow models, market yield and yield volatility. The estimated fair value of the outstanding debt under the Credit Facilities was $94.8 million and $97.1 million at March 26, 2023 and December 25, 2022, respectively. </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WATCH RESTAURANT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 (continued)</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7.    Leases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a detail of lease assets and liabilities:</w:t>
      </w:r>
    </w:p>
    <w:tbl>
      <w:tblPr>
        <w:tblW w:w="10205" w:type="dxa"/>
        <w:jc w:val="left"/>
        <w:tblInd w:w="0" w:type="dxa"/>
        <w:tblCellMar>
          <w:top w:w="28" w:type="dxa"/>
          <w:left w:w="28" w:type="dxa"/>
          <w:bottom w:w="28" w:type="dxa"/>
          <w:right w:w="28" w:type="dxa"/>
        </w:tblCellMar>
      </w:tblPr>
      <w:tblGrid>
        <w:gridCol w:w="1029"/>
        <w:gridCol w:w="903"/>
        <w:gridCol w:w="910"/>
        <w:gridCol w:w="1120"/>
        <w:gridCol w:w="1120"/>
        <w:gridCol w:w="1123"/>
        <w:gridCol w:w="109"/>
        <w:gridCol w:w="109"/>
        <w:gridCol w:w="109"/>
        <w:gridCol w:w="278"/>
        <w:gridCol w:w="1046"/>
        <w:gridCol w:w="154"/>
        <w:gridCol w:w="109"/>
        <w:gridCol w:w="109"/>
        <w:gridCol w:w="109"/>
        <w:gridCol w:w="335"/>
        <w:gridCol w:w="1263"/>
        <w:gridCol w:w="270"/>
      </w:tblGrid>
      <w:tr>
        <w:trPr/>
        <w:tc>
          <w:tcPr>
            <w:tcW w:w="1029"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263"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r>
      <w:tr>
        <w:trPr/>
        <w:tc>
          <w:tcPr>
            <w:tcW w:w="28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3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Consolidated Balance Sheets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25, 2022</w:t>
            </w:r>
          </w:p>
        </w:tc>
      </w:tr>
      <w:tr>
        <w:trPr/>
        <w:tc>
          <w:tcPr>
            <w:tcW w:w="28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36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352,373 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assets</w:t>
            </w:r>
          </w:p>
        </w:tc>
        <w:tc>
          <w:tcPr>
            <w:tcW w:w="33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fixtures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assets</w:t>
            </w:r>
          </w:p>
        </w:tc>
        <w:tc>
          <w:tcPr>
            <w:tcW w:w="3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356,715 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353,705 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Operating lease liabilities</w:t>
            </w:r>
            <w:r>
              <w:rPr>
                <w:color w:val="000000"/>
              </w:rPr>
              <w:t> </w:t>
            </w: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current</w:t>
            </w:r>
          </w:p>
        </w:tc>
        <w:tc>
          <w:tcPr>
            <w:tcW w:w="33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38,936 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w:t>
            </w:r>
          </w:p>
        </w:tc>
        <w:tc>
          <w:tcPr>
            <w:tcW w:w="33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366,113 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 - current</w:t>
            </w:r>
          </w:p>
        </w:tc>
        <w:tc>
          <w:tcPr>
            <w:tcW w:w="33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 - non-current</w:t>
            </w:r>
          </w:p>
        </w:tc>
        <w:tc>
          <w:tcPr>
            <w:tcW w:w="33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liabilities</w:t>
            </w:r>
          </w:p>
        </w:tc>
        <w:tc>
          <w:tcPr>
            <w:tcW w:w="3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406,482 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(1) Excludes all variable lease expense.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w:t>
      </w:r>
    </w:p>
    <w:tbl>
      <w:tblPr>
        <w:tblW w:w="10205" w:type="dxa"/>
        <w:jc w:val="left"/>
        <w:tblInd w:w="0" w:type="dxa"/>
        <w:tblCellMar>
          <w:top w:w="28" w:type="dxa"/>
          <w:left w:w="28" w:type="dxa"/>
          <w:bottom w:w="28" w:type="dxa"/>
          <w:right w:w="28" w:type="dxa"/>
        </w:tblCellMar>
      </w:tblPr>
      <w:tblGrid>
        <w:gridCol w:w="693"/>
        <w:gridCol w:w="549"/>
        <w:gridCol w:w="554"/>
        <w:gridCol w:w="1548"/>
        <w:gridCol w:w="1548"/>
        <w:gridCol w:w="1552"/>
        <w:gridCol w:w="109"/>
        <w:gridCol w:w="109"/>
        <w:gridCol w:w="109"/>
        <w:gridCol w:w="267"/>
        <w:gridCol w:w="884"/>
        <w:gridCol w:w="148"/>
        <w:gridCol w:w="116"/>
        <w:gridCol w:w="116"/>
        <w:gridCol w:w="116"/>
        <w:gridCol w:w="267"/>
        <w:gridCol w:w="884"/>
        <w:gridCol w:w="148"/>
        <w:gridCol w:w="109"/>
        <w:gridCol w:w="109"/>
        <w:gridCol w:w="109"/>
        <w:gridCol w:w="161"/>
      </w:tblGrid>
      <w:tr>
        <w:trPr/>
        <w:tc>
          <w:tcPr>
            <w:tcW w:w="693"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548" w:type="dxa"/>
            <w:tcBorders/>
            <w:shd w:fill="auto" w:val="clear"/>
            <w:vAlign w:val="center"/>
          </w:tcPr>
          <w:p>
            <w:pPr>
              <w:pStyle w:val="TableContents"/>
              <w:spacing w:before="0" w:after="283"/>
              <w:rPr>
                <w:sz w:val="4"/>
                <w:szCs w:val="4"/>
              </w:rPr>
            </w:pPr>
            <w:r>
              <w:rPr>
                <w:sz w:val="4"/>
                <w:szCs w:val="4"/>
              </w:rPr>
            </w:r>
          </w:p>
        </w:tc>
        <w:tc>
          <w:tcPr>
            <w:tcW w:w="1548" w:type="dxa"/>
            <w:tcBorders/>
            <w:shd w:fill="auto" w:val="clear"/>
            <w:vAlign w:val="center"/>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464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Consolidated Statements of Operations and Comprehensive Income Classification</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gridSpan w:val="2"/>
            <w:tcBorders/>
            <w:shd w:fill="auto" w:val="clear"/>
          </w:tcPr>
          <w:p>
            <w:pPr>
              <w:pStyle w:val="TableContents"/>
              <w:spacing w:before="0" w:after="283"/>
              <w:rPr>
                <w:sz w:val="4"/>
                <w:szCs w:val="4"/>
              </w:rPr>
            </w:pPr>
            <w:r>
              <w:rPr>
                <w:sz w:val="4"/>
                <w:szCs w:val="4"/>
              </w:rPr>
            </w:r>
          </w:p>
        </w:tc>
      </w:tr>
      <w:tr>
        <w:trPr/>
        <w:tc>
          <w:tcPr>
            <w:tcW w:w="1796" w:type="dxa"/>
            <w:gridSpan w:val="3"/>
            <w:vMerge w:val="continue"/>
            <w:tcBorders/>
            <w:shd w:fill="auto" w:val="clear"/>
            <w:tcMar>
              <w:top w:w="0" w:type="dxa"/>
              <w:left w:w="0" w:type="dxa"/>
              <w:bottom w:w="0" w:type="dxa"/>
              <w:right w:w="0" w:type="dxa"/>
            </w:tcMar>
            <w:vAlign w:val="center"/>
          </w:tcPr>
          <w:p>
            <w:pPr>
              <w:pStyle w:val="Normal"/>
              <w:rPr/>
            </w:pPr>
            <w:r>
              <w:rPr/>
            </w:r>
          </w:p>
        </w:tc>
        <w:tc>
          <w:tcPr>
            <w:tcW w:w="464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expense</w:t>
            </w:r>
          </w:p>
        </w:tc>
        <w:tc>
          <w:tcPr>
            <w:tcW w:w="464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 expenses</w:t>
              <w:br/>
              <w:t>Occupancy expenses</w:t>
              <w:br/>
              <w:t>Pre-opening expenses</w:t>
              <w:b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expense</w:t>
            </w:r>
          </w:p>
        </w:tc>
        <w:tc>
          <w:tcPr>
            <w:tcW w:w="46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 costs</w:t>
              <w:br/>
              <w:t>Occupancy expenses</w:t>
              <w:br/>
              <w:t>General and administrative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3,880 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3,399 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expense:</w:t>
            </w:r>
          </w:p>
        </w:tc>
        <w:tc>
          <w:tcPr>
            <w:tcW w:w="4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leased assets</w:t>
            </w:r>
          </w:p>
        </w:tc>
        <w:tc>
          <w:tcPr>
            <w:tcW w:w="46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lease liabilities</w:t>
            </w:r>
          </w:p>
        </w:tc>
        <w:tc>
          <w:tcPr>
            <w:tcW w:w="46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9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Total lease expense </w:t>
            </w:r>
            <w:r>
              <w:rPr>
                <w:rFonts w:ascii="Times New Roman;sans-serif" w:hAnsi="Times New Roman;sans-serif"/>
                <w:b w:val="false"/>
                <w:color w:val="000000"/>
                <w:sz w:val="12"/>
              </w:rPr>
              <w:t>(1)</w:t>
            </w:r>
          </w:p>
        </w:tc>
        <w:tc>
          <w:tcPr>
            <w:tcW w:w="4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17,002 </w:t>
            </w:r>
          </w:p>
        </w:tc>
        <w:tc>
          <w:tcPr>
            <w:tcW w:w="14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15,617 </w:t>
            </w:r>
          </w:p>
        </w:tc>
        <w:tc>
          <w:tcPr>
            <w:tcW w:w="14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(1) Includes contingent rent of $0.5 million and $0.4 million during the thirteen weeks ended March 26, 2023 and March 27, 2022, respectively.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was as follows:</w:t>
      </w:r>
    </w:p>
    <w:tbl>
      <w:tblPr>
        <w:tblW w:w="8475" w:type="dxa"/>
        <w:jc w:val="left"/>
        <w:tblInd w:w="0" w:type="dxa"/>
        <w:tblCellMar>
          <w:top w:w="28" w:type="dxa"/>
          <w:left w:w="28" w:type="dxa"/>
          <w:bottom w:w="28" w:type="dxa"/>
          <w:right w:w="28" w:type="dxa"/>
        </w:tblCellMar>
      </w:tblPr>
      <w:tblGrid>
        <w:gridCol w:w="1840"/>
        <w:gridCol w:w="1616"/>
        <w:gridCol w:w="1629"/>
        <w:gridCol w:w="337"/>
        <w:gridCol w:w="960"/>
        <w:gridCol w:w="188"/>
        <w:gridCol w:w="125"/>
        <w:gridCol w:w="125"/>
        <w:gridCol w:w="125"/>
        <w:gridCol w:w="300"/>
        <w:gridCol w:w="994"/>
        <w:gridCol w:w="236"/>
      </w:tblGrid>
      <w:tr>
        <w:trPr/>
        <w:tc>
          <w:tcPr>
            <w:tcW w:w="1840" w:type="dxa"/>
            <w:tcBorders/>
            <w:shd w:fill="auto" w:val="clear"/>
            <w:vAlign w:val="center"/>
          </w:tcPr>
          <w:p>
            <w:pPr>
              <w:pStyle w:val="TableContents"/>
              <w:spacing w:before="0" w:after="283"/>
              <w:rPr>
                <w:sz w:val="4"/>
                <w:szCs w:val="4"/>
              </w:rPr>
            </w:pPr>
            <w:r>
              <w:rPr>
                <w:sz w:val="4"/>
                <w:szCs w:val="4"/>
              </w:rPr>
            </w:r>
          </w:p>
        </w:tc>
        <w:tc>
          <w:tcPr>
            <w:tcW w:w="1616" w:type="dxa"/>
            <w:tcBorders/>
            <w:shd w:fill="auto" w:val="clear"/>
            <w:vAlign w:val="center"/>
          </w:tcPr>
          <w:p>
            <w:pPr>
              <w:pStyle w:val="TableContents"/>
              <w:spacing w:before="0" w:after="283"/>
              <w:rPr>
                <w:sz w:val="4"/>
                <w:szCs w:val="4"/>
              </w:rPr>
            </w:pPr>
            <w:r>
              <w:rPr>
                <w:sz w:val="4"/>
                <w:szCs w:val="4"/>
              </w:rPr>
            </w:r>
          </w:p>
        </w:tc>
        <w:tc>
          <w:tcPr>
            <w:tcW w:w="162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 operating leases</w:t>
            </w:r>
          </w:p>
        </w:tc>
        <w:tc>
          <w:tcPr>
            <w:tcW w:w="33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9,827 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10,630 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 finance leases</w:t>
            </w:r>
          </w:p>
        </w:tc>
        <w:tc>
          <w:tcPr>
            <w:tcW w:w="3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cash flows - finance leases</w:t>
            </w:r>
          </w:p>
        </w:tc>
        <w:tc>
          <w:tcPr>
            <w:tcW w:w="33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related to leases was as follows:</w:t>
      </w:r>
    </w:p>
    <w:tbl>
      <w:tblPr>
        <w:tblW w:w="7246" w:type="dxa"/>
        <w:jc w:val="left"/>
        <w:tblInd w:w="0" w:type="dxa"/>
        <w:tblCellMar>
          <w:top w:w="28" w:type="dxa"/>
          <w:left w:w="28" w:type="dxa"/>
          <w:bottom w:w="28" w:type="dxa"/>
          <w:right w:w="28" w:type="dxa"/>
        </w:tblCellMar>
      </w:tblPr>
      <w:tblGrid>
        <w:gridCol w:w="1310"/>
        <w:gridCol w:w="1150"/>
        <w:gridCol w:w="1155"/>
        <w:gridCol w:w="340"/>
        <w:gridCol w:w="340"/>
        <w:gridCol w:w="804"/>
        <w:gridCol w:w="206"/>
        <w:gridCol w:w="206"/>
        <w:gridCol w:w="206"/>
        <w:gridCol w:w="320"/>
        <w:gridCol w:w="320"/>
        <w:gridCol w:w="889"/>
      </w:tblGrid>
      <w:tr>
        <w:trPr/>
        <w:tc>
          <w:tcPr>
            <w:tcW w:w="131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3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36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6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(in years)</w:t>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w:t>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r>
      <w:tr>
        <w:trPr/>
        <w:tc>
          <w:tcPr>
            <w:tcW w:w="36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Weighted-average discount rate </w:t>
            </w:r>
            <w:r>
              <w:rPr>
                <w:rFonts w:ascii="Times New Roman;sans-serif" w:hAnsi="Times New Roman;sans-serif"/>
                <w:b w:val="false"/>
                <w:color w:val="000000"/>
                <w:sz w:val="12"/>
              </w:rPr>
              <w:t>(1)</w:t>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8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8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w:t>
            </w:r>
          </w:p>
        </w:tc>
        <w:tc>
          <w:tcPr>
            <w:tcW w:w="6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80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88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(1) Based on the Company’s incremental borrowing rate.</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WATCH RESTAURANT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 (continued)</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March 26, 2023, future minimum lease payments for operating and finance leases consisted of the following:</w:t>
      </w:r>
    </w:p>
    <w:tbl>
      <w:tblPr>
        <w:tblW w:w="6044" w:type="dxa"/>
        <w:jc w:val="left"/>
        <w:tblInd w:w="0" w:type="dxa"/>
        <w:tblCellMar>
          <w:top w:w="28" w:type="dxa"/>
          <w:left w:w="28" w:type="dxa"/>
          <w:bottom w:w="28" w:type="dxa"/>
          <w:right w:w="28" w:type="dxa"/>
        </w:tblCellMar>
      </w:tblPr>
      <w:tblGrid>
        <w:gridCol w:w="1075"/>
        <w:gridCol w:w="944"/>
        <w:gridCol w:w="951"/>
        <w:gridCol w:w="271"/>
        <w:gridCol w:w="1018"/>
        <w:gridCol w:w="152"/>
        <w:gridCol w:w="109"/>
        <w:gridCol w:w="109"/>
        <w:gridCol w:w="109"/>
        <w:gridCol w:w="282"/>
        <w:gridCol w:w="801"/>
        <w:gridCol w:w="223"/>
      </w:tblGrid>
      <w:tr>
        <w:trPr/>
        <w:tc>
          <w:tcPr>
            <w:tcW w:w="1075"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Finance Leases</w:t>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w:t>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31,208 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497 </w:t>
            </w:r>
          </w:p>
        </w:tc>
        <w:tc>
          <w:tcPr>
            <w:tcW w:w="2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48,752 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2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50,834 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2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50,632 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2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50,033 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514,274 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Total future minimum lease payments </w:t>
            </w:r>
            <w:r>
              <w:rPr>
                <w:rFonts w:ascii="Times New Roman;sans-serif" w:hAnsi="Times New Roman;sans-serif"/>
                <w:b w:val="false"/>
                <w:color w:val="000000"/>
                <w:sz w:val="12"/>
              </w:rPr>
              <w:t>(1)</w:t>
            </w:r>
          </w:p>
        </w:tc>
        <w:tc>
          <w:tcPr>
            <w:tcW w:w="128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745,733 </w:t>
            </w:r>
          </w:p>
        </w:tc>
        <w:tc>
          <w:tcPr>
            <w:tcW w:w="15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1,443 </w:t>
            </w:r>
          </w:p>
        </w:tc>
        <w:tc>
          <w:tcPr>
            <w:tcW w:w="2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(334,531)</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present value of lease liabilities</w:t>
            </w:r>
          </w:p>
        </w:tc>
        <w:tc>
          <w:tcPr>
            <w:tcW w:w="2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411,202 </w:t>
            </w:r>
          </w:p>
        </w:tc>
        <w:tc>
          <w:tcPr>
            <w:tcW w:w="15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22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spacing w:lineRule="auto" w:line="288" w:before="0" w:after="0"/>
        <w:rPr/>
      </w:pPr>
      <w:r>
        <w:rPr>
          <w:rFonts w:ascii="Times New Roman;sans-serif" w:hAnsi="Times New Roman;sans-serif"/>
          <w:b w:val="false"/>
          <w:color w:val="000000"/>
          <w:sz w:val="18"/>
        </w:rPr>
        <w:t>(1) Excludes approxim</w:t>
      </w:r>
      <w:r>
        <w:rPr>
          <w:rFonts w:ascii="Times New Roman;sans-serif" w:hAnsi="Times New Roman;sans-serif"/>
          <w:b w:val="false"/>
          <w:color w:val="000000"/>
          <w:sz w:val="18"/>
          <w:highlight w:val="white"/>
        </w:rPr>
        <w:t>ately $52.1 million of exec</w:t>
      </w:r>
      <w:r>
        <w:rPr>
          <w:rFonts w:ascii="Times New Roman;sans-serif" w:hAnsi="Times New Roman;sans-serif"/>
          <w:b w:val="false"/>
          <w:color w:val="000000"/>
          <w:sz w:val="18"/>
        </w:rPr>
        <w:t>uted operating leases that have not commenced as of March 26,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8. Stock-Based Compensation</w:t>
      </w:r>
    </w:p>
    <w:p>
      <w:pPr>
        <w:pStyle w:val="TextBody"/>
        <w:spacing w:lineRule="auto" w:line="288" w:before="20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Stock Option Awards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stock options granted during the thirteen weeks ended March 26, 2023. A summary of stock option activity for the Company’s stock-based compensation plans during the thirteen weeks ended March 26, 2023 is as follows: </w:t>
      </w:r>
    </w:p>
    <w:tbl>
      <w:tblPr>
        <w:tblW w:w="10205" w:type="dxa"/>
        <w:jc w:val="left"/>
        <w:tblInd w:w="0" w:type="dxa"/>
        <w:tblCellMar>
          <w:top w:w="28" w:type="dxa"/>
          <w:left w:w="28" w:type="dxa"/>
          <w:bottom w:w="28" w:type="dxa"/>
          <w:right w:w="28" w:type="dxa"/>
        </w:tblCellMar>
      </w:tblPr>
      <w:tblGrid>
        <w:gridCol w:w="609"/>
        <w:gridCol w:w="536"/>
        <w:gridCol w:w="538"/>
        <w:gridCol w:w="619"/>
        <w:gridCol w:w="475"/>
        <w:gridCol w:w="477"/>
        <w:gridCol w:w="109"/>
        <w:gridCol w:w="109"/>
        <w:gridCol w:w="109"/>
        <w:gridCol w:w="354"/>
        <w:gridCol w:w="1005"/>
        <w:gridCol w:w="197"/>
        <w:gridCol w:w="109"/>
        <w:gridCol w:w="109"/>
        <w:gridCol w:w="109"/>
        <w:gridCol w:w="425"/>
        <w:gridCol w:w="1406"/>
        <w:gridCol w:w="240"/>
        <w:gridCol w:w="109"/>
        <w:gridCol w:w="109"/>
        <w:gridCol w:w="109"/>
        <w:gridCol w:w="685"/>
        <w:gridCol w:w="685"/>
        <w:gridCol w:w="973"/>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40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br/>
              <w:t>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AGGREGATE INTRINSIC VALUE </w:t>
            </w:r>
          </w:p>
          <w:p>
            <w:pPr>
              <w:pStyle w:val="TableContents"/>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WEIGHTED AVERAGE</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REMAINING CONTRACTUAL LIFE </w:t>
            </w:r>
          </w:p>
          <w:p>
            <w:pPr>
              <w:pStyle w:val="TableContents"/>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years)</w:t>
            </w:r>
          </w:p>
        </w:tc>
      </w:tr>
      <w:tr>
        <w:trPr/>
        <w:tc>
          <w:tcPr>
            <w:tcW w:w="168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December 25, 2022</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5,115,674 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20,981 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16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(66,717)</w:t>
            </w:r>
          </w:p>
        </w:tc>
        <w:tc>
          <w:tcPr>
            <w:tcW w:w="4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(49,362)</w:t>
            </w:r>
          </w:p>
        </w:tc>
        <w:tc>
          <w:tcPr>
            <w:tcW w:w="4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March 26, 2023</w:t>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4,999,595 </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26,181 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r>
      <w:tr>
        <w:trPr/>
        <w:tc>
          <w:tcPr>
            <w:tcW w:w="16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March 26, 2023</w:t>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3,076,284 </w:t>
            </w:r>
          </w:p>
        </w:tc>
        <w:tc>
          <w:tcPr>
            <w:tcW w:w="4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17,819 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is based on the difference between the exercise price of the stock option and the closing price of the Company’s common stock on Nasdaq on the last trading day.</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non-vested stock options for the Company’s stock-based compensation plans is as follows: </w:t>
      </w:r>
    </w:p>
    <w:tbl>
      <w:tblPr>
        <w:tblW w:w="9325" w:type="dxa"/>
        <w:jc w:val="left"/>
        <w:tblInd w:w="0" w:type="dxa"/>
        <w:tblCellMar>
          <w:top w:w="28" w:type="dxa"/>
          <w:left w:w="28" w:type="dxa"/>
          <w:bottom w:w="28" w:type="dxa"/>
          <w:right w:w="28" w:type="dxa"/>
        </w:tblCellMar>
      </w:tblPr>
      <w:tblGrid>
        <w:gridCol w:w="858"/>
        <w:gridCol w:w="753"/>
        <w:gridCol w:w="758"/>
        <w:gridCol w:w="684"/>
        <w:gridCol w:w="684"/>
        <w:gridCol w:w="686"/>
        <w:gridCol w:w="109"/>
        <w:gridCol w:w="109"/>
        <w:gridCol w:w="109"/>
        <w:gridCol w:w="1098"/>
        <w:gridCol w:w="2610"/>
        <w:gridCol w:w="867"/>
      </w:tblGrid>
      <w:tr>
        <w:trPr/>
        <w:tc>
          <w:tcPr>
            <w:tcW w:w="858"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2610"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Nonvested, December 25, 2022</w:t>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2,324,316 </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7.31 </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Vested </w:t>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(351,643)</w:t>
            </w:r>
          </w:p>
        </w:tc>
        <w:tc>
          <w:tcPr>
            <w:tcW w:w="6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6.53 </w:t>
            </w:r>
          </w:p>
        </w:tc>
        <w:tc>
          <w:tcPr>
            <w:tcW w:w="8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Forfeited </w:t>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(49,362)</w:t>
            </w:r>
          </w:p>
        </w:tc>
        <w:tc>
          <w:tcPr>
            <w:tcW w:w="6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5.19 </w:t>
            </w:r>
          </w:p>
        </w:tc>
        <w:tc>
          <w:tcPr>
            <w:tcW w:w="8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Nonvested, March 26, 2023</w:t>
            </w:r>
          </w:p>
        </w:tc>
        <w:tc>
          <w:tcPr>
            <w:tcW w:w="13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1,923,311 </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7.51 </w:t>
            </w:r>
          </w:p>
        </w:tc>
        <w:tc>
          <w:tcPr>
            <w:tcW w:w="8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283"/>
        <w:jc w:val="both"/>
        <w:rPr/>
      </w:pPr>
      <w:r>
        <w:rPr/>
      </w:r>
    </w:p>
    <w:p>
      <w:pPr>
        <w:pStyle w:val="TextBody"/>
        <w:spacing w:before="120" w:after="283"/>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WATCH RESTAURANT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 (continued)</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pPr>
      <w:r>
        <w:rPr>
          <w:rFonts w:ascii="Times New Roman;sans-serif" w:hAnsi="Times New Roman;sans-serif"/>
          <w:b/>
          <w:i/>
          <w:color w:val="000000"/>
          <w:sz w:val="20"/>
        </w:rPr>
        <w:t>Restricted Stock Units</w:t>
      </w:r>
      <w:r>
        <w:rPr>
          <w:color w:val="000000"/>
        </w:rPr>
        <w:t xml:space="preserve">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thirteen weeks ended March 26, 2023, a total of 507,702 restricted stock units (“RSU”) were granted, which will vest ratably over a period of three years from grant date. A summary of the Company’s RSU activity during the thirteen weeks ended March 26, 2023 is as follows:</w:t>
      </w:r>
    </w:p>
    <w:tbl>
      <w:tblPr>
        <w:tblW w:w="10205" w:type="dxa"/>
        <w:jc w:val="left"/>
        <w:tblInd w:w="0" w:type="dxa"/>
        <w:tblCellMar>
          <w:top w:w="28" w:type="dxa"/>
          <w:left w:w="28" w:type="dxa"/>
          <w:bottom w:w="28" w:type="dxa"/>
          <w:right w:w="28" w:type="dxa"/>
        </w:tblCellMar>
      </w:tblPr>
      <w:tblGrid>
        <w:gridCol w:w="689"/>
        <w:gridCol w:w="606"/>
        <w:gridCol w:w="608"/>
        <w:gridCol w:w="693"/>
        <w:gridCol w:w="693"/>
        <w:gridCol w:w="695"/>
        <w:gridCol w:w="109"/>
        <w:gridCol w:w="109"/>
        <w:gridCol w:w="109"/>
        <w:gridCol w:w="722"/>
        <w:gridCol w:w="2052"/>
        <w:gridCol w:w="403"/>
        <w:gridCol w:w="109"/>
        <w:gridCol w:w="109"/>
        <w:gridCol w:w="109"/>
        <w:gridCol w:w="513"/>
        <w:gridCol w:w="1498"/>
        <w:gridCol w:w="379"/>
      </w:tblGrid>
      <w:tr>
        <w:trPr/>
        <w:tc>
          <w:tcPr>
            <w:tcW w:w="68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2052"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149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r>
      <w:tr>
        <w:trPr/>
        <w:tc>
          <w:tcPr>
            <w:tcW w:w="1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AGGREGATE INTRINSIC VALUE </w:t>
            </w:r>
          </w:p>
          <w:p>
            <w:pPr>
              <w:pStyle w:val="TableContents"/>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19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December 25, 2022</w:t>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38,311 </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Granted </w:t>
            </w:r>
          </w:p>
        </w:tc>
        <w:tc>
          <w:tcPr>
            <w:tcW w:w="13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507,702 </w:t>
            </w:r>
          </w:p>
        </w:tc>
        <w:tc>
          <w:tcPr>
            <w:tcW w:w="6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15.52 </w:t>
            </w:r>
          </w:p>
        </w:tc>
        <w:tc>
          <w:tcPr>
            <w:tcW w:w="4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Vested </w:t>
            </w:r>
          </w:p>
        </w:tc>
        <w:tc>
          <w:tcPr>
            <w:tcW w:w="13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(6,854)</w:t>
            </w:r>
          </w:p>
        </w:tc>
        <w:tc>
          <w:tcPr>
            <w:tcW w:w="6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14.59 </w:t>
            </w:r>
          </w:p>
        </w:tc>
        <w:tc>
          <w:tcPr>
            <w:tcW w:w="4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March 26, 2023</w:t>
            </w:r>
          </w:p>
        </w:tc>
        <w:tc>
          <w:tcPr>
            <w:tcW w:w="13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539,159 </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15.45 </w:t>
            </w:r>
          </w:p>
        </w:tc>
        <w:tc>
          <w:tcPr>
            <w:tcW w:w="4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8,276 </w:t>
            </w:r>
          </w:p>
        </w:tc>
        <w:tc>
          <w:tcPr>
            <w:tcW w:w="3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is based on the closing price of the Company’s common stock on Nasdaq of $15.35 and $14.21 on March 24, 2023 and December 23, 2022, the last trading days for the periods, respectively.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was $1.5 million and $2.3 million for the thirteen weeks ended March 26, 2023 and March 27, 2022, respectively.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Unrecognized stock-based compensation expense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26, 2023, the amount of stock-based compensation expense not yet recognized for stock option awards was approximately $7.9 million and will be recognized over a weighted-average period of approximately 1.3 years. The amount of stock-based compensation expense not yet recognized for RSUs was approximately $7.8 million and will be recognized over a weighted-average period of approximately 2.8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pPr>
      <w:r>
        <w:rPr>
          <w:rFonts w:ascii="Times New Roman;sans-serif" w:hAnsi="Times New Roman;sans-serif"/>
          <w:b/>
          <w:color w:val="000000"/>
          <w:sz w:val="20"/>
        </w:rPr>
        <w:t>9.</w:t>
      </w:r>
      <w:r>
        <w:rPr>
          <w:color w:val="000000"/>
        </w:rPr>
        <w:t>    </w:t>
      </w:r>
      <w:r>
        <w:rPr>
          <w:rFonts w:ascii="Times New Roman;sans-serif" w:hAnsi="Times New Roman;sans-serif"/>
          <w:b/>
          <w:color w:val="000000"/>
          <w:sz w:val="20"/>
        </w:rPr>
        <w:t xml:space="preserve">Income Taxes </w:t>
      </w:r>
    </w:p>
    <w:tbl>
      <w:tblPr>
        <w:tblW w:w="5877" w:type="dxa"/>
        <w:jc w:val="left"/>
        <w:tblInd w:w="0" w:type="dxa"/>
        <w:tblCellMar>
          <w:top w:w="28" w:type="dxa"/>
          <w:left w:w="28" w:type="dxa"/>
          <w:bottom w:w="28" w:type="dxa"/>
          <w:right w:w="28" w:type="dxa"/>
        </w:tblCellMar>
      </w:tblPr>
      <w:tblGrid>
        <w:gridCol w:w="760"/>
        <w:gridCol w:w="667"/>
        <w:gridCol w:w="673"/>
        <w:gridCol w:w="265"/>
        <w:gridCol w:w="874"/>
        <w:gridCol w:w="346"/>
        <w:gridCol w:w="109"/>
        <w:gridCol w:w="109"/>
        <w:gridCol w:w="109"/>
        <w:gridCol w:w="268"/>
        <w:gridCol w:w="865"/>
        <w:gridCol w:w="351"/>
        <w:gridCol w:w="109"/>
        <w:gridCol w:w="109"/>
        <w:gridCol w:w="109"/>
        <w:gridCol w:w="154"/>
      </w:tblGrid>
      <w:tr>
        <w:trPr/>
        <w:tc>
          <w:tcPr>
            <w:tcW w:w="760"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13,918 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6,917 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(4,558)</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(2,277)</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income tax rate</w:t>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3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 for the thirteen weeks ended March 26, 2023 was 32.7% as compared to 32.9% for the thirteen weeks ended March 27, 2022. The change in the effective income tax rates was primarily due to (i) the change in the valuation allowance for federal and state deferred tax assets and (ii) the benefit of tax credits for FICA taxes on certain employees’ tips.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income tax rates for the thirteen weeks ended March 26, 2023 and March 27, 2022 were different than the blended federal and state statutory rate primarily due to (i) the change in the valuation allowance for federal and state deferred tax assets, (ii) the benefit of tax credits for FICA taxes on certain employees’ tips and (iii) the impacts of executive stock-based compensation.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quarterly whether the resulting deferred tax assets are realizable given the Company’s history of losses. Based on the available evidence, the Company does not meet the more likely than not standard related to the realization of a portion of the deferred tax assets as of March 26, 2023. Accordingly, the Company has established a valuation allowance on the portion of deferred tax assets deemed not realizable, including state charitable contribution carryovers, various state loss carryforwards, and various federal tax credit carryforwards.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monitor and evaluate the rationale for recording a valuation allowance for deferred tax assets. As the Company’s earnings increase and deferred tax assets are utilized, it is possible that a portion of the valuation allowance may no longer be needed. Release of any valuation allowance would result in the recognition of certain deferred tax assets and a decrease to income tax expense in the period any release is recorded. The exact timing and amount of any release is subject to change based on the level of profitability the Company is able to achieve.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WATCH RESTAURANT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 (continued)</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legal proceedings, claims and liabilities that arise in the ordinary course of business. The amount of the ultimate liability with respect to these matters was not material as of March 26, 2023. In the event any litigation losses become probable and estimable, the Company will recognize any anticipated losses for the period during which such determination occurs.</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Unclaimed Property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unclaimed or abandoned property (escheat) laws which require it to turn over to state governmental authorities the property of others held by the Company that has been unclaimed for specified periods of time. Property subject to escheat laws generally relates to uncashed checks, trade accounts receivable credits and unredeemed gift card balances. During the first quarter of 2022, the Company received a letter from the Delaware Secretary of State inviting the Company to participate in the Delaware Secretary of State’s Abandoned or Unclaimed Property Voluntary Disclosure Agreement Program to avoid being sent an audit notice by the Delaware Department of Finance. On August 31, 2022, the Company was accepted into Delaware’s Voluntary Disclosure Agreement Program, entitling it to certain benefits and protections offered to participants in the program. The Company intends to work in good faith to complete a review of its books and records related to unclaimed or abandoned property during the periods required under the program. The Company will continue to examine its options regarding the escheat laws of Delaware including completing Delaware’s Voluntary Disclosure Agreement Program or proceeding to audit. Any potential loss, or range of loss, that may result from this matter is not currently reasonably estimable.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26, 2022, Management believes the Company is not currently required to remit any amounts relating to future unredeemed gift cards to states as the Company’s subsidiary that is the issuer of our gift cards was re-domiciled in Florida, which exempts gift cards from the abandoned and unclaimed property laws.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11.    Net Income Per Common Share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computations of basic and diluted net income per common share:</w:t>
      </w:r>
    </w:p>
    <w:tbl>
      <w:tblPr>
        <w:tblW w:w="10205" w:type="dxa"/>
        <w:jc w:val="left"/>
        <w:tblInd w:w="0" w:type="dxa"/>
        <w:tblCellMar>
          <w:top w:w="28" w:type="dxa"/>
          <w:left w:w="28" w:type="dxa"/>
          <w:bottom w:w="28" w:type="dxa"/>
          <w:right w:w="28" w:type="dxa"/>
        </w:tblCellMar>
      </w:tblPr>
      <w:tblGrid>
        <w:gridCol w:w="2401"/>
        <w:gridCol w:w="2082"/>
        <w:gridCol w:w="2089"/>
        <w:gridCol w:w="338"/>
        <w:gridCol w:w="880"/>
        <w:gridCol w:w="168"/>
        <w:gridCol w:w="125"/>
        <w:gridCol w:w="125"/>
        <w:gridCol w:w="125"/>
        <w:gridCol w:w="338"/>
        <w:gridCol w:w="880"/>
        <w:gridCol w:w="168"/>
        <w:gridCol w:w="109"/>
        <w:gridCol w:w="109"/>
        <w:gridCol w:w="109"/>
        <w:gridCol w:w="159"/>
      </w:tblGrid>
      <w:tr>
        <w:trPr/>
        <w:tc>
          <w:tcPr>
            <w:tcW w:w="2401" w:type="dxa"/>
            <w:tcBorders/>
            <w:shd w:fill="auto" w:val="clear"/>
            <w:vAlign w:val="center"/>
          </w:tcPr>
          <w:p>
            <w:pPr>
              <w:pStyle w:val="TableContents"/>
              <w:spacing w:before="0" w:after="283"/>
              <w:rPr>
                <w:sz w:val="4"/>
                <w:szCs w:val="4"/>
              </w:rPr>
            </w:pPr>
            <w:r>
              <w:rPr>
                <w:sz w:val="4"/>
                <w:szCs w:val="4"/>
              </w:rPr>
            </w:r>
          </w:p>
        </w:tc>
        <w:tc>
          <w:tcPr>
            <w:tcW w:w="2082" w:type="dxa"/>
            <w:tcBorders/>
            <w:shd w:fill="auto" w:val="clear"/>
            <w:vAlign w:val="center"/>
          </w:tcPr>
          <w:p>
            <w:pPr>
              <w:pStyle w:val="TableContents"/>
              <w:spacing w:before="0" w:after="283"/>
              <w:rPr>
                <w:sz w:val="4"/>
                <w:szCs w:val="4"/>
              </w:rPr>
            </w:pPr>
            <w:r>
              <w:rPr>
                <w:sz w:val="4"/>
                <w:szCs w:val="4"/>
              </w:rPr>
            </w:r>
          </w:p>
        </w:tc>
        <w:tc>
          <w:tcPr>
            <w:tcW w:w="208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5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gridSpan w:val="2"/>
            <w:tcBorders/>
            <w:shd w:fill="auto" w:val="clear"/>
          </w:tcPr>
          <w:p>
            <w:pPr>
              <w:pStyle w:val="TableContents"/>
              <w:spacing w:before="0" w:after="283"/>
              <w:rPr>
                <w:sz w:val="4"/>
                <w:szCs w:val="4"/>
              </w:rPr>
            </w:pPr>
            <w:r>
              <w:rPr>
                <w:sz w:val="4"/>
                <w:szCs w:val="4"/>
              </w:rPr>
            </w:r>
          </w:p>
        </w:tc>
      </w:tr>
      <w:tr>
        <w:trPr/>
        <w:tc>
          <w:tcPr>
            <w:tcW w:w="65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data)</w:t>
            </w:r>
          </w:p>
        </w:tc>
        <w:tc>
          <w:tcPr>
            <w:tcW w:w="13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5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Numerator:</w:t>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5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5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Denominator:</w:t>
            </w:r>
          </w:p>
        </w:tc>
        <w:tc>
          <w:tcPr>
            <w:tcW w:w="13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5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basic</w:t>
            </w:r>
          </w:p>
        </w:tc>
        <w:tc>
          <w:tcPr>
            <w:tcW w:w="12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59,243,430 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59,048,446 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5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diluted</w:t>
            </w:r>
          </w:p>
        </w:tc>
        <w:tc>
          <w:tcPr>
            <w:tcW w:w="12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60,597,729 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59,983,150 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5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common share - basic</w:t>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5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common share - diluted</w:t>
            </w:r>
          </w:p>
        </w:tc>
        <w:tc>
          <w:tcPr>
            <w:tcW w:w="3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5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 awards outstanding not included in diluted net income per common share as their effect is anti-dilutive</w:t>
            </w:r>
          </w:p>
        </w:tc>
        <w:tc>
          <w:tcPr>
            <w:tcW w:w="12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1,118,816 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2,150,374 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Diluted net income per common share is calculated by adjusting the weighted average shares outstanding for the theoretical effect of potential common shares that would be issued for stock option awards outstanding and unvested as of the respective periods using the treasury method.</w:t>
      </w:r>
    </w:p>
    <w:p>
      <w:pPr>
        <w:pStyle w:val="TextBody"/>
        <w:spacing w:before="120" w:after="283"/>
        <w:jc w:val="both"/>
        <w:rPr/>
      </w:pPr>
      <w:r>
        <w:rPr/>
      </w:r>
    </w:p>
    <w:p>
      <w:pPr>
        <w:pStyle w:val="TextBody"/>
        <w:spacing w:before="360" w:after="283"/>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WATCH RESTAURANT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 (continued)</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 xml:space="preserve">12.    Subsequent Events </w:t>
      </w:r>
    </w:p>
    <w:p>
      <w:pPr>
        <w:pStyle w:val="TextBody"/>
        <w:spacing w:before="0" w:after="0"/>
        <w:ind w:left="0" w:right="0" w:hanging="36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 2023, the Company acquired six restaurants, including franchise and development rights plus other associated assets from a franchisee for cash of $8.2 million. </w:t>
      </w:r>
    </w:p>
    <w:p>
      <w:pPr>
        <w:pStyle w:val="TextBody"/>
        <w:spacing w:before="360" w:after="283"/>
        <w:ind w:left="0" w:right="0" w:hanging="36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Cautionary Statement</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the unaudited interim consolidated financial statements and notes thereto included in Part I, Item 1 of this Form 10-Q and our audited consolidated financial statements as of and for the fiscal year ended December 25, 2022 and notes included in our 2022 Form 10-K. 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below and those discussed in “Risk Factors” under Part II, Item 1A in this Form 10-Q and in our 2022 Form 10-K, including under “Item 1A. Risk Factors” and “Item 7. 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First Watch is an award-winning Daytime Dining concept serving made-to-order breakfast, brunch and lunch using fresh ingredients. A recipient of hundreds of local “Best Breakfast” and “Best Brunch” accolades, First Watch’s award winning chef-driven menu includes elevated executions of classic favorites for breakfast, brunch and lunch. In 2022, First Watch was recognized with ADP’s coveted Culture at Work Award and named a Top 100 Most Loved Workplace® by Newsweek and the Best Practice Institute. The Company is majority owned by Advent International Corporation, one of the world’s largest private-equity firms. On October 1, 2021, the Company’s common stock began trading on Nasdaq under the ticker symbol “FWRG.”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and franchises restaurants in 29 states under the “First Watch” trade name and as of March 26, 2023, the Company had 370 company-owned restaurants and 114 franchise-owned restaurants.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highlights for the thirteen weeks ended March 26, 2023 (“first quarter of 2023”) as compared to the thirteen weeks ended March 27, 2022 (“first quarter of 2022”) reflected the continued momentum of our strong operating performance and include the following: </w:t>
      </w:r>
    </w:p>
    <w:p>
      <w:pPr>
        <w:pStyle w:val="TextBody"/>
        <w:spacing w:before="0" w:after="0"/>
        <w:rPr/>
      </w:pPr>
      <w:r>
        <w:rPr/>
      </w:r>
    </w:p>
    <w:p>
      <w:pPr>
        <w:pStyle w:val="TextBody"/>
        <w:spacing w:lineRule="auto" w:line="288" w:before="0" w:after="0"/>
        <w:ind w:left="0" w:right="0" w:hanging="450"/>
        <w:jc w:val="both"/>
        <w:rPr/>
      </w:pPr>
      <w:r>
        <w:rPr>
          <w:color w:val="000000"/>
        </w:rPr>
        <w:t>•</w:t>
      </w:r>
      <w:r>
        <w:rPr>
          <w:rFonts w:ascii="Times New Roman;sans-serif" w:hAnsi="Times New Roman;sans-serif"/>
          <w:b w:val="false"/>
          <w:color w:val="000000"/>
          <w:sz w:val="20"/>
        </w:rPr>
        <w:t>Total revenues increased 22.1% to $211.4 million in the first quarter of 2023 from $173.1 million in the first quarter of 2022</w:t>
      </w:r>
    </w:p>
    <w:p>
      <w:pPr>
        <w:pStyle w:val="TextBody"/>
        <w:spacing w:lineRule="auto" w:line="288" w:before="0" w:after="0"/>
        <w:ind w:left="0" w:right="0" w:hanging="450"/>
        <w:jc w:val="both"/>
        <w:rPr/>
      </w:pPr>
      <w:r>
        <w:rPr>
          <w:color w:val="000000"/>
        </w:rPr>
        <w:t>•</w:t>
      </w:r>
      <w:r>
        <w:rPr>
          <w:rFonts w:ascii="Times New Roman;sans-serif" w:hAnsi="Times New Roman;sans-serif"/>
          <w:b w:val="false"/>
          <w:color w:val="000000"/>
          <w:sz w:val="20"/>
        </w:rPr>
        <w:t>System-wide sales increased 23.6% to $264.7 million in the first quarter of 2023 from $214.1 million in the first quarter of 2022</w:t>
      </w:r>
    </w:p>
    <w:p>
      <w:pPr>
        <w:pStyle w:val="TextBody"/>
        <w:spacing w:lineRule="auto" w:line="288" w:before="0" w:after="0"/>
        <w:ind w:left="0" w:right="0" w:hanging="450"/>
        <w:jc w:val="both"/>
        <w:rPr/>
      </w:pPr>
      <w:r>
        <w:rPr>
          <w:color w:val="000000"/>
        </w:rPr>
        <w:t>•</w:t>
      </w:r>
      <w:r>
        <w:rPr>
          <w:rFonts w:ascii="Times New Roman;sans-serif" w:hAnsi="Times New Roman;sans-serif"/>
          <w:b w:val="false"/>
          <w:color w:val="000000"/>
          <w:sz w:val="20"/>
        </w:rPr>
        <w:t>Same-restaurant sales growth of 12.9% (42.0% relative to the first quarter of 2019</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spacing w:lineRule="auto" w:line="288" w:before="0" w:after="0"/>
        <w:ind w:left="0" w:right="0" w:hanging="450"/>
        <w:jc w:val="both"/>
        <w:rPr/>
      </w:pPr>
      <w:r>
        <w:rPr>
          <w:color w:val="000000"/>
        </w:rPr>
        <w:t>•</w:t>
      </w:r>
      <w:r>
        <w:rPr>
          <w:rFonts w:ascii="Times New Roman;sans-serif" w:hAnsi="Times New Roman;sans-serif"/>
          <w:b w:val="false"/>
          <w:color w:val="000000"/>
          <w:sz w:val="20"/>
        </w:rPr>
        <w:t>Same-restaurant traffic growth of 5.1% (11.7% relative to the first quarter of 2019</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spacing w:lineRule="auto" w:line="288" w:before="0" w:after="0"/>
        <w:ind w:left="0" w:right="0" w:hanging="450"/>
        <w:jc w:val="both"/>
        <w:rPr/>
      </w:pPr>
      <w:r>
        <w:rPr>
          <w:color w:val="000000"/>
        </w:rPr>
        <w:t>•</w:t>
      </w:r>
      <w:r>
        <w:rPr>
          <w:rFonts w:ascii="Times New Roman;sans-serif" w:hAnsi="Times New Roman;sans-serif"/>
          <w:b w:val="false"/>
          <w:color w:val="000000"/>
          <w:sz w:val="20"/>
        </w:rPr>
        <w:t>Income from operations margin increased to 7.4% during the first quarter of 2023 from 4.5% in the first quarter of 2022</w:t>
      </w:r>
    </w:p>
    <w:p>
      <w:pPr>
        <w:pStyle w:val="TextBody"/>
        <w:spacing w:lineRule="auto" w:line="288" w:before="0" w:after="0"/>
        <w:ind w:left="0" w:right="0" w:hanging="450"/>
        <w:jc w:val="both"/>
        <w:rPr/>
      </w:pPr>
      <w:r>
        <w:rPr>
          <w:color w:val="000000"/>
        </w:rPr>
        <w:t>•</w:t>
      </w:r>
      <w:r>
        <w:rPr>
          <w:rFonts w:ascii="Times New Roman;sans-serif" w:hAnsi="Times New Roman;sans-serif"/>
          <w:b w:val="false"/>
          <w:color w:val="000000"/>
          <w:sz w:val="20"/>
        </w:rPr>
        <w:t>Restaurant level operating profit margin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increased to 21.2% in the first quarter of 2023 from 19.6% in the first quarter of 2022</w:t>
      </w:r>
    </w:p>
    <w:p>
      <w:pPr>
        <w:pStyle w:val="TextBody"/>
        <w:spacing w:lineRule="auto" w:line="288" w:before="0" w:after="0"/>
        <w:ind w:left="0" w:right="0" w:hanging="450"/>
        <w:jc w:val="both"/>
        <w:rPr/>
      </w:pPr>
      <w:r>
        <w:rPr>
          <w:color w:val="000000"/>
        </w:rPr>
        <w:t>•</w:t>
      </w:r>
      <w:r>
        <w:rPr>
          <w:rFonts w:ascii="Times New Roman;sans-serif" w:hAnsi="Times New Roman;sans-serif"/>
          <w:b w:val="false"/>
          <w:color w:val="000000"/>
          <w:sz w:val="20"/>
        </w:rPr>
        <w:t>Net income increased to $9.4 million, or $0.15 per diluted share, in the first quarter of 2023 from $4.6 million, or $0.08 per diluted share, in the first quarter of 2022</w:t>
      </w:r>
    </w:p>
    <w:p>
      <w:pPr>
        <w:pStyle w:val="TextBody"/>
        <w:spacing w:lineRule="auto" w:line="288" w:before="0" w:after="0"/>
        <w:ind w:left="0" w:right="0" w:hanging="450"/>
        <w:jc w:val="both"/>
        <w:rPr/>
      </w:pPr>
      <w:r>
        <w:rPr>
          <w:color w:val="000000"/>
        </w:rPr>
        <w:t>•</w:t>
      </w:r>
      <w:r>
        <w:rPr>
          <w:rFonts w:ascii="Times New Roman;sans-serif" w:hAnsi="Times New Roman;sans-serif"/>
          <w:b w:val="false"/>
          <w:color w:val="000000"/>
          <w:sz w:val="20"/>
        </w:rPr>
        <w:t>Adjusted EBITDA*</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increased to $27.4 million in the first quarter of 2023 from $19.4 million in the first quarter of 2022</w:t>
      </w:r>
    </w:p>
    <w:p>
      <w:pPr>
        <w:pStyle w:val="TextBody"/>
        <w:spacing w:lineRule="auto" w:line="288" w:before="0" w:after="0"/>
        <w:ind w:left="0" w:right="0" w:hanging="450"/>
        <w:jc w:val="both"/>
        <w:rPr/>
      </w:pPr>
      <w:r>
        <w:rPr>
          <w:color w:val="000000"/>
        </w:rPr>
        <w:t>•</w:t>
      </w:r>
      <w:r>
        <w:rPr>
          <w:rFonts w:ascii="Times New Roman;sans-serif" w:hAnsi="Times New Roman;sans-serif"/>
          <w:b w:val="false"/>
          <w:color w:val="000000"/>
          <w:sz w:val="20"/>
        </w:rPr>
        <w:t>Opened 10 system-wide restaurants in 7 states resulting in a total of 484 system-wide restaurants (370 company-owned and 114 franchise-owned) across 29 states</w:t>
      </w:r>
    </w:p>
    <w:p>
      <w:pPr>
        <w:pStyle w:val="TextBody"/>
        <w:spacing w:lineRule="auto" w:line="288" w:before="0" w:after="0"/>
        <w:jc w:val="both"/>
        <w:rPr>
          <w:rFonts w:ascii="Arial;sans-serif" w:hAnsi="Arial;sans-serif"/>
          <w:b w:val="false"/>
          <w:color w:val="000000"/>
          <w:sz w:val="24"/>
        </w:rPr>
      </w:pPr>
      <w:r>
        <w:rPr>
          <w:rFonts w:ascii="Arial;sans-serif" w:hAnsi="Arial;sans-serif"/>
          <w:b w:val="false"/>
          <w:color w:val="000000"/>
          <w:sz w:val="24"/>
        </w:rPr>
        <w:t>___________________</w:t>
      </w:r>
    </w:p>
    <w:p>
      <w:pPr>
        <w:pStyle w:val="TextBody"/>
        <w:spacing w:lineRule="auto" w:line="300" w:before="0" w:after="0"/>
        <w:jc w:val="both"/>
        <w:rPr/>
      </w:pPr>
      <w:r>
        <w:rPr>
          <w:rFonts w:ascii="Times New Roman;sans-serif" w:hAnsi="Times New Roman;sans-serif"/>
          <w:b w:val="false"/>
          <w:color w:val="000000"/>
          <w:sz w:val="18"/>
        </w:rPr>
        <w:t>*</w:t>
      </w:r>
      <w:r>
        <w:rPr>
          <w:color w:val="000000"/>
        </w:rPr>
        <w:t xml:space="preserve"> </w:t>
      </w:r>
      <w:r>
        <w:rPr>
          <w:rFonts w:ascii="Times New Roman;sans-serif" w:hAnsi="Times New Roman;sans-serif"/>
          <w:b w:val="false"/>
          <w:color w:val="000000"/>
          <w:sz w:val="18"/>
        </w:rPr>
        <w:t>Comparison to the thirteen weeks ended March 31, 2019 (“first quarter of 2019”) is presented for enhanced comparability due to the economic impact of COVID-19.</w:t>
      </w:r>
    </w:p>
    <w:p>
      <w:pPr>
        <w:pStyle w:val="TextBody"/>
        <w:spacing w:lineRule="auto" w:line="300" w:before="0" w:after="0"/>
        <w:jc w:val="both"/>
        <w:rPr/>
      </w:pPr>
      <w:r>
        <w:rPr>
          <w:rFonts w:ascii="Times New Roman;sans-serif" w:hAnsi="Times New Roman;sans-serif"/>
          <w:b w:val="false"/>
          <w:color w:val="000000"/>
          <w:sz w:val="18"/>
        </w:rPr>
        <w:t xml:space="preserve">** See </w:t>
      </w:r>
      <w:r>
        <w:rPr>
          <w:rFonts w:ascii="Times New Roman;sans-serif" w:hAnsi="Times New Roman;sans-serif"/>
          <w:b w:val="false"/>
          <w:i/>
          <w:color w:val="000000"/>
          <w:sz w:val="18"/>
        </w:rPr>
        <w:t>Non-GAAP Financial Measures Reconciliations</w:t>
      </w:r>
      <w:r>
        <w:rPr>
          <w:color w:val="000000"/>
        </w:rPr>
        <w:t xml:space="preserve"> </w:t>
      </w:r>
      <w:r>
        <w:rPr>
          <w:rFonts w:ascii="Times New Roman;sans-serif" w:hAnsi="Times New Roman;sans-serif"/>
          <w:b w:val="false"/>
          <w:color w:val="000000"/>
          <w:sz w:val="18"/>
        </w:rPr>
        <w:t>section below.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68" w:before="360" w:after="283"/>
        <w:jc w:val="both"/>
        <w:rPr>
          <w:rFonts w:ascii="Times New Roman;sans-serif" w:hAnsi="Times New Roman;sans-serif"/>
          <w:b/>
          <w:color w:val="000000"/>
          <w:sz w:val="20"/>
        </w:rPr>
      </w:pPr>
      <w:r>
        <w:rPr>
          <w:rFonts w:ascii="Times New Roman;sans-serif" w:hAnsi="Times New Roman;sans-serif"/>
          <w:b/>
          <w:color w:val="000000"/>
          <w:sz w:val="20"/>
        </w:rPr>
        <w:t>Business Trends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First quarter 2023 same-restaurant sales growth was 12.9%, which was primarily driven by same-restaurant traffic growth of 5.1% and an in-restaurant menu price increase of 4.1% implemented in January 2023. The average price increase over the first quarter of 2022 was approximately 7.0%. Same-restaurant sales growth and same-restaurant traffic growth benefited early in the first quarter from a calendar shift as well as from favorable comparisons to the prior year period which was impacted by the Omicron variant of Covid-19. More formidable traffic comparisons in the last month of the first quarter of 2023 acted as a relative headwind, though absolute average weekly traffic counts were largely consistent throughout the entire first quarter of 2023 and remained significantly higher than pre-pandemic levels. In-restaurant dining room traffic continued to increase in the first quarter of 2023 while, similar to industry-wide trends, off-premises occasions declined.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Commodity inflation continued to decelerate, furthering a trend that began in the third and fourth quarters of 2022, and was 3.0% in the first quarter of 2023. Management estimates of near-term commodity inflation were considered in both the January 2023 menu price increase and the annual contracts that fixed the price for eggs and potatoes, which make up approximately 15.0% of our market basket. Other commodities are purchased based upon negotiated price ranges established with vendors and are subject to fixed prices or fixed formulas for 30-to-90 day periods. In 2023, we currently expect continued cost inflation for our entire market basket in the range of 2.0% to 4.0%.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Labor cost trends as a percentage of restaurant sales improved during the first quarter of 2023 compared to the last two quarters of 2022. During the first quarter of 2023, our operations team improved labor scheduling protocols and deployed analytical tools which align better with the growing traffic in our restaurants. During the first quarter of 2023, our restaurant-level hourly wage inflation approximated 11.0% and overall restaurant-level labor experienced approximately 9.0% inflation. In 2023, we currently expect restaurant-level hourly labor inflation of 9.0% to 11.0% with an overall restaurant-level labor inflation of 8.0% to 10.0%.</w:t>
      </w:r>
    </w:p>
    <w:p>
      <w:pPr>
        <w:pStyle w:val="TextBody"/>
        <w:spacing w:lineRule="auto" w:line="26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Key Performance Indicators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Throughout “Management’s Discussion and Analysis of Financial Condition and Results of Operations” we commonly discuss the following key operating metrics which we believe will drive our financial results and long-term growth model. We believe these metrics are useful to investors because management uses these metrics to evaluate performance and assess the growth of our business as well as the effectiveness of our marketing and operational strategies.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 xml:space="preserve">New Restaurant Openings </w:t>
      </w:r>
      <w:r>
        <w:rPr>
          <w:rFonts w:ascii="Times New Roman;sans-serif" w:hAnsi="Times New Roman;sans-serif"/>
          <w:b w:val="false"/>
          <w:color w:val="000000"/>
          <w:sz w:val="20"/>
        </w:rPr>
        <w:t>(“NROs”): the number of new company-owned First Watch restaurants commencing operations during the period. Management reviews the number of new restaurants to assess new restaurant growth and company-owned restaurant sales.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 xml:space="preserve">Franchise-owned New Restaurant Openings </w:t>
      </w:r>
      <w:r>
        <w:rPr>
          <w:rFonts w:ascii="Times New Roman;sans-serif" w:hAnsi="Times New Roman;sans-serif"/>
          <w:b w:val="false"/>
          <w:color w:val="000000"/>
          <w:sz w:val="20"/>
        </w:rPr>
        <w:t>(“Franchise-owned NROs”): the number of new franchise-owned First Watch restaurants commencing operations during the period.</w:t>
      </w:r>
    </w:p>
    <w:p>
      <w:pPr>
        <w:pStyle w:val="TextBody"/>
        <w:spacing w:before="0" w:after="0"/>
        <w:rPr/>
      </w:pPr>
      <w:r>
        <w:rPr/>
      </w:r>
    </w:p>
    <w:p>
      <w:pPr>
        <w:pStyle w:val="TextBody"/>
        <w:spacing w:lineRule="auto" w:line="288" w:before="0" w:after="0"/>
        <w:jc w:val="both"/>
        <w:rPr/>
      </w:pPr>
      <w:r>
        <w:rPr>
          <w:rFonts w:ascii="Times New Roman;sans-serif" w:hAnsi="Times New Roman;sans-serif"/>
          <w:b/>
          <w:i/>
          <w:color w:val="000000"/>
          <w:sz w:val="20"/>
        </w:rPr>
        <w:t>Same-Restaurant Sales Growth</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 percentage change in year-over-year restaurant sales (excluding gift card breakage) for the comparable restaurant base, which we define as the number of company-owned First Watch branded restaurants open for 18 months or longer as of the beginning of the fiscal year (“Comparable Restaurant Base”). For the thirteen weeks ended March 26, 2023 and March 27, 2022, there were 328 restaurants and 305 restaurants in our Comparable Restaurant Base, respectively.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Same-Restaurant Traffic Growth</w:t>
      </w:r>
      <w:r>
        <w:rPr>
          <w:rFonts w:ascii="Times New Roman;sans-serif" w:hAnsi="Times New Roman;sans-serif"/>
          <w:b w:val="false"/>
          <w:color w:val="000000"/>
          <w:sz w:val="20"/>
        </w:rPr>
        <w:t>: the percentage change in traffic counts as compared to the same period in the prior year using the Comparable Restaurant Base. Measuring our same-restaurant traffic growth allows management to evaluate the performance of our existing restaurant base. We believe this measure is useful for investors because an increase in same-restaurant traffic provides an indicator as to the development of our brand and the effectiveness of our marketing strategy.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System-wide restaurants</w:t>
      </w:r>
      <w:r>
        <w:rPr>
          <w:rFonts w:ascii="Times New Roman;sans-serif" w:hAnsi="Times New Roman;sans-serif"/>
          <w:b w:val="false"/>
          <w:color w:val="000000"/>
          <w:sz w:val="20"/>
        </w:rPr>
        <w:t>: the total number of restaurants, including all company-owned and franchise-owned restaurants.</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0"/>
        </w:rPr>
        <w:t>System-wide sales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consists of restaurant sales from our company-owned restaurants and franchise-owned restaurants. We do not recognize the restaurant sales from our franchise-owned restaurants as revenue.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supplement the consolidated financial statements, which are prepared in accordance with accounting principles generally accepted in the United States of America (“GAAP”), we use the following non-GAAP measures, which present operating results on an adjusted basis: (i) Adjusted EBITDA, (ii) Adjusted EBITDA margin, (iii) Restaurant level operating profit and (iv) Restaurant level operating profit margin. Our presentation of these non-GAAP measures includes isolating the effects of some items that are either nonrecurring in nature or vary from period to period without any correlation to our ongoing core operating performance. These supplemental measures of performance are not required by or presented in accordance with GAAP. Management believes these non-GAAP measures provide investors with additional visibility into our operations, facilitate analysis and comparisons of our ongoing business operations because they exclude items that may not be indicative of our ongoing operating performance, help to identify operational trends and allow for greater transparency with respect to key metrics used by management in our financial and operational decision making. Our non-GAAP measures may not be comparable to similarly titled measures used by other companies and have important limitations as analytical tools. These non-GAAP measures should not be considered in isolation or as substitutes for analysis of our results as reported under GAAP as they may not provide a complete understanding of our performance. These non-GAAP measures should be reviewed in conjunction with our consolidated financial statements prepared in accordance with GAAP.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Adjusted EBITDA and Adjusted EBITDA margin (i) as factors in evaluating management’s performance when determining incentive compensation, (ii) to evaluate our operating results and the effectiveness of our business strategies and (iii) internally as benchmarks to compare our performance to that of our competitors.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Restaurant level operating profit and Restaurant level operating profit margin (i) to evaluate the performance and profitability of each operating restaurant, individually and in the aggregate and (ii) to make decisions regarding future spending and other operational decisions.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Adjusted EBITDA</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represents Net income before depreciation and amortization, interest expense, income taxes, and items that we do not consider in our evaluation of ongoing core operating performance as identified in the reconciliation of Net income, the most directly comparable measure in accordance with GAAP, to Adjusted EBITDA, included in the section </w:t>
      </w:r>
      <w:r>
        <w:rPr>
          <w:rFonts w:ascii="Times New Roman;sans-serif" w:hAnsi="Times New Roman;sans-serif"/>
          <w:b w:val="false"/>
          <w:i/>
          <w:color w:val="000000"/>
          <w:sz w:val="20"/>
        </w:rPr>
        <w:t xml:space="preserve">Non-GAAP Financial Measure Reconciliations </w:t>
      </w:r>
      <w:r>
        <w:rPr>
          <w:rFonts w:ascii="Times New Roman;sans-serif" w:hAnsi="Times New Roman;sans-serif"/>
          <w:b w:val="false"/>
          <w:color w:val="000000"/>
          <w:sz w:val="20"/>
        </w:rPr>
        <w:t>below</w:t>
      </w:r>
      <w:r>
        <w:rPr>
          <w:rFonts w:ascii="Times New Roman;sans-serif" w:hAnsi="Times New Roman;sans-serif"/>
          <w:b w:val="false"/>
          <w:i/>
          <w:color w:val="000000"/>
          <w:sz w:val="20"/>
        </w:rPr>
        <w:t>.</w:t>
      </w:r>
      <w:r>
        <w:rPr>
          <w:color w:val="000000"/>
        </w:rPr>
        <w:t xml:space="preserve">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Adjusted EBITDA Margin</w:t>
      </w:r>
      <w:r>
        <w:rPr>
          <w:rFonts w:ascii="Times New Roman;sans-serif" w:hAnsi="Times New Roman;sans-serif"/>
          <w:b w:val="false"/>
          <w:color w:val="000000"/>
          <w:sz w:val="20"/>
        </w:rPr>
        <w:t>: represents</w:t>
      </w:r>
      <w:r>
        <w:rPr>
          <w:color w:val="000000"/>
        </w:rPr>
        <w:t xml:space="preserve"> </w:t>
      </w:r>
      <w:r>
        <w:rPr>
          <w:rFonts w:ascii="Times New Roman;sans-serif" w:hAnsi="Times New Roman;sans-serif"/>
          <w:b w:val="false"/>
          <w:color w:val="000000"/>
          <w:sz w:val="20"/>
        </w:rPr>
        <w:t>Adjusted EBITDA as a percentage of total revenues. See</w:t>
      </w:r>
      <w:r>
        <w:rPr>
          <w:color w:val="000000"/>
        </w:rPr>
        <w:t xml:space="preserve"> </w:t>
      </w:r>
      <w:r>
        <w:rPr>
          <w:rFonts w:ascii="Times New Roman;sans-serif" w:hAnsi="Times New Roman;sans-serif"/>
          <w:b w:val="false"/>
          <w:i/>
          <w:color w:val="000000"/>
          <w:sz w:val="20"/>
        </w:rPr>
        <w:t>Non-GAAP Financial Measure Reconciliations</w:t>
      </w:r>
      <w:r>
        <w:rPr>
          <w:color w:val="000000"/>
        </w:rPr>
        <w:t xml:space="preserve"> </w:t>
      </w:r>
      <w:r>
        <w:rPr>
          <w:rFonts w:ascii="Times New Roman;sans-serif" w:hAnsi="Times New Roman;sans-serif"/>
          <w:b w:val="false"/>
          <w:color w:val="000000"/>
          <w:sz w:val="20"/>
        </w:rPr>
        <w:t xml:space="preserve">below for a reconciliation to Net income margin, the most directly comparable GAAP measure.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Restaurant Level Operating Profit</w:t>
      </w:r>
      <w:r>
        <w:rPr>
          <w:rFonts w:ascii="Times New Roman;sans-serif" w:hAnsi="Times New Roman;sans-serif"/>
          <w:b w:val="false"/>
          <w:color w:val="000000"/>
          <w:sz w:val="20"/>
        </w:rPr>
        <w:t xml:space="preserve">: represents restaurant sales, less restaurant operating expenses, which include food and beverage costs, labor and other related expenses, other restaurant operating expenses, pre-opening expenses and occupancy expenses. Restaurant level operating profit excludes corporate-level expenses and other items that we do not consider in the evaluation of the ongoing core operating performance of our restaurants as identified in the reconciliation of Income from operations, the most directly comparable GAAP measure, to Restaurant level operating profit, included in the section </w:t>
      </w:r>
      <w:r>
        <w:rPr>
          <w:rFonts w:ascii="Times New Roman;sans-serif" w:hAnsi="Times New Roman;sans-serif"/>
          <w:b w:val="false"/>
          <w:i/>
          <w:color w:val="000000"/>
          <w:sz w:val="20"/>
        </w:rPr>
        <w:t xml:space="preserve">Non-GAAP Financial Measure Reconciliations </w:t>
      </w:r>
      <w:r>
        <w:rPr>
          <w:rFonts w:ascii="Times New Roman;sans-serif" w:hAnsi="Times New Roman;sans-serif"/>
          <w:b w:val="false"/>
          <w:color w:val="000000"/>
          <w:sz w:val="20"/>
        </w:rPr>
        <w:t xml:space="preserve">below.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Restaurant Level Operating Profit Margin</w:t>
      </w:r>
      <w:r>
        <w:rPr>
          <w:rFonts w:ascii="Times New Roman;sans-serif" w:hAnsi="Times New Roman;sans-serif"/>
          <w:b w:val="false"/>
          <w:color w:val="000000"/>
          <w:sz w:val="20"/>
        </w:rPr>
        <w:t>: represents Restaurant level operating profit as a percentage of restaurant sales. See</w:t>
      </w:r>
      <w:r>
        <w:rPr>
          <w:color w:val="000000"/>
        </w:rPr>
        <w:t xml:space="preserve"> </w:t>
      </w:r>
      <w:r>
        <w:rPr>
          <w:rFonts w:ascii="Times New Roman;sans-serif" w:hAnsi="Times New Roman;sans-serif"/>
          <w:b w:val="false"/>
          <w:i/>
          <w:color w:val="000000"/>
          <w:sz w:val="20"/>
        </w:rPr>
        <w:t>Non-GAAP Financial Measure</w:t>
      </w:r>
      <w:r>
        <w:rPr>
          <w:color w:val="000000"/>
        </w:rPr>
        <w:t xml:space="preserve"> </w:t>
      </w:r>
      <w:r>
        <w:rPr>
          <w:rFonts w:ascii="Times New Roman;sans-serif" w:hAnsi="Times New Roman;sans-serif"/>
          <w:b w:val="false"/>
          <w:i/>
          <w:color w:val="000000"/>
          <w:sz w:val="20"/>
        </w:rPr>
        <w:t xml:space="preserve">Reconciliations </w:t>
      </w:r>
      <w:r>
        <w:rPr>
          <w:rFonts w:ascii="Times New Roman;sans-serif" w:hAnsi="Times New Roman;sans-serif"/>
          <w:b w:val="false"/>
          <w:color w:val="000000"/>
          <w:sz w:val="20"/>
        </w:rPr>
        <w:t xml:space="preserve">below for a reconciliation to Income from operations margin, the most directly comparable GAAP measure.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Selected Operating Data</w:t>
      </w:r>
    </w:p>
    <w:tbl>
      <w:tblPr>
        <w:tblW w:w="6985" w:type="dxa"/>
        <w:jc w:val="left"/>
        <w:tblInd w:w="0" w:type="dxa"/>
        <w:tblCellMar>
          <w:top w:w="28" w:type="dxa"/>
          <w:left w:w="28" w:type="dxa"/>
          <w:bottom w:w="28" w:type="dxa"/>
          <w:right w:w="28" w:type="dxa"/>
        </w:tblCellMar>
      </w:tblPr>
      <w:tblGrid>
        <w:gridCol w:w="1321"/>
        <w:gridCol w:w="1158"/>
        <w:gridCol w:w="1165"/>
        <w:gridCol w:w="245"/>
        <w:gridCol w:w="920"/>
        <w:gridCol w:w="320"/>
        <w:gridCol w:w="109"/>
        <w:gridCol w:w="109"/>
        <w:gridCol w:w="109"/>
        <w:gridCol w:w="243"/>
        <w:gridCol w:w="913"/>
        <w:gridCol w:w="373"/>
      </w:tblGrid>
      <w:tr>
        <w:trPr/>
        <w:tc>
          <w:tcPr>
            <w:tcW w:w="1321"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sales (in thousands)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264,719 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214,121 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restaurants</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Franchise-owned</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Same-restaurant sales growth</w:t>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3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Same-restaurant traffic growth</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3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 (in thousands)</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15,331 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7,760 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 margin</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3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Restaurant level operating profit (in thousands) </w:t>
            </w:r>
            <w:r>
              <w:rPr>
                <w:rFonts w:ascii="Times New Roman;sans-serif" w:hAnsi="Times New Roman;sans-serif"/>
                <w:b w:val="false"/>
                <w:color w:val="000000"/>
                <w:sz w:val="12"/>
              </w:rPr>
              <w:t>(1)</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44,102 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33,439 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Restaurant level operating profit margin </w:t>
            </w:r>
            <w:r>
              <w:rPr>
                <w:rFonts w:ascii="Times New Roman;sans-serif" w:hAnsi="Times New Roman;sans-serif"/>
                <w:b w:val="false"/>
                <w:color w:val="000000"/>
                <w:sz w:val="12"/>
              </w:rPr>
              <w:t>(1)</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3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(in thousands)</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9,360 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margin</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3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Adjusted EBITDA (in thousands)</w:t>
            </w:r>
            <w:r>
              <w:rPr>
                <w:color w:val="000000"/>
              </w:rPr>
              <w:t xml:space="preserve"> </w:t>
            </w:r>
            <w:r>
              <w:rPr>
                <w:rFonts w:ascii="Times New Roman;sans-serif" w:hAnsi="Times New Roman;sans-serif"/>
                <w:b w:val="false"/>
                <w:color w:val="000000"/>
                <w:sz w:val="12"/>
              </w:rPr>
              <w:t>(2)</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27,413 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19,364 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Adjusted EBITDA margin</w:t>
            </w:r>
            <w:r>
              <w:rPr>
                <w:color w:val="000000"/>
              </w:rPr>
              <w:t xml:space="preserve"> </w:t>
            </w:r>
            <w:r>
              <w:rPr>
                <w:rFonts w:ascii="Times New Roman;sans-serif" w:hAnsi="Times New Roman;sans-serif"/>
                <w:b w:val="false"/>
                <w:color w:val="000000"/>
                <w:sz w:val="12"/>
              </w:rPr>
              <w:t>(2)</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3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360" w:after="283"/>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spacing w:lineRule="auto" w:line="288" w:before="0" w:after="0"/>
        <w:jc w:val="both"/>
        <w:rPr/>
      </w:pPr>
      <w:r>
        <w:rPr>
          <w:rFonts w:ascii="Times New Roman;sans-serif" w:hAnsi="Times New Roman;sans-serif"/>
          <w:b w:val="false"/>
          <w:color w:val="000000"/>
          <w:sz w:val="18"/>
        </w:rPr>
        <w:t xml:space="preserve">(1) Reconciliations from Income from operations and Income from operations margin, the most comparable GAAP measures, to Restaurant level operating profit and Restaurant level operating profit margin, are set forth in the schedules within the </w:t>
      </w:r>
      <w:r>
        <w:rPr>
          <w:rFonts w:ascii="Times New Roman;sans-serif" w:hAnsi="Times New Roman;sans-serif"/>
          <w:b w:val="false"/>
          <w:i/>
          <w:color w:val="000000"/>
          <w:sz w:val="18"/>
        </w:rPr>
        <w:t>Non-GAAP Financial Measures</w:t>
      </w:r>
      <w:r>
        <w:rPr>
          <w:color w:val="000000"/>
        </w:rPr>
        <w:t xml:space="preserve"> </w:t>
      </w:r>
      <w:r>
        <w:rPr>
          <w:rFonts w:ascii="Times New Roman;sans-serif" w:hAnsi="Times New Roman;sans-serif"/>
          <w:b w:val="false"/>
          <w:i/>
          <w:color w:val="000000"/>
          <w:sz w:val="18"/>
        </w:rPr>
        <w:t>Reconciliations</w:t>
      </w:r>
      <w:r>
        <w:rPr>
          <w:color w:val="000000"/>
        </w:rPr>
        <w:t xml:space="preserve"> </w:t>
      </w:r>
      <w:r>
        <w:rPr>
          <w:rFonts w:ascii="Times New Roman;sans-serif" w:hAnsi="Times New Roman;sans-serif"/>
          <w:b w:val="false"/>
          <w:color w:val="000000"/>
          <w:sz w:val="18"/>
        </w:rPr>
        <w:t>section below.</w:t>
      </w:r>
    </w:p>
    <w:p>
      <w:pPr>
        <w:pStyle w:val="TextBody"/>
        <w:spacing w:lineRule="auto" w:line="288" w:before="0" w:after="0"/>
        <w:jc w:val="both"/>
        <w:rPr/>
      </w:pPr>
      <w:r>
        <w:rPr>
          <w:rFonts w:ascii="Times New Roman;sans-serif" w:hAnsi="Times New Roman;sans-serif"/>
          <w:b w:val="false"/>
          <w:color w:val="000000"/>
          <w:sz w:val="18"/>
        </w:rPr>
        <w:t xml:space="preserve">(2) Reconciliations from Net income and Net income margin, the most comparable GAAP measures, to Adjusted EBITDA and Adjusted EBITDA margin, are set forth in the schedules within the </w:t>
      </w:r>
      <w:r>
        <w:rPr>
          <w:rFonts w:ascii="Times New Roman;sans-serif" w:hAnsi="Times New Roman;sans-serif"/>
          <w:b w:val="false"/>
          <w:i/>
          <w:color w:val="000000"/>
          <w:sz w:val="18"/>
        </w:rPr>
        <w:t>Non-GAAP Financial Measures</w:t>
      </w:r>
      <w:r>
        <w:rPr>
          <w:color w:val="000000"/>
        </w:rPr>
        <w:t xml:space="preserve"> </w:t>
      </w:r>
      <w:r>
        <w:rPr>
          <w:rFonts w:ascii="Times New Roman;sans-serif" w:hAnsi="Times New Roman;sans-serif"/>
          <w:b w:val="false"/>
          <w:i/>
          <w:color w:val="000000"/>
          <w:sz w:val="18"/>
        </w:rPr>
        <w:t>Reconciliations</w:t>
      </w:r>
      <w:r>
        <w:rPr>
          <w:color w:val="000000"/>
        </w:rPr>
        <w:t xml:space="preserve"> </w:t>
      </w:r>
      <w:r>
        <w:rPr>
          <w:rFonts w:ascii="Times New Roman;sans-serif" w:hAnsi="Times New Roman;sans-serif"/>
          <w:b w:val="false"/>
          <w:color w:val="000000"/>
          <w:sz w:val="18"/>
        </w:rPr>
        <w:t>section below.</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Same-Restaurant Sales Growth and Same-Restaurant Traffic Growth</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648"/>
        <w:gridCol w:w="568"/>
        <w:gridCol w:w="572"/>
        <w:gridCol w:w="109"/>
        <w:gridCol w:w="109"/>
        <w:gridCol w:w="109"/>
        <w:gridCol w:w="569"/>
        <w:gridCol w:w="569"/>
        <w:gridCol w:w="1344"/>
        <w:gridCol w:w="109"/>
        <w:gridCol w:w="109"/>
        <w:gridCol w:w="109"/>
        <w:gridCol w:w="599"/>
        <w:gridCol w:w="599"/>
        <w:gridCol w:w="1414"/>
        <w:gridCol w:w="109"/>
        <w:gridCol w:w="109"/>
        <w:gridCol w:w="109"/>
        <w:gridCol w:w="684"/>
        <w:gridCol w:w="684"/>
        <w:gridCol w:w="974"/>
      </w:tblGrid>
      <w:tr>
        <w:trPr/>
        <w:tc>
          <w:tcPr>
            <w:tcW w:w="648"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r>
      <w:tr>
        <w:trPr/>
        <w:tc>
          <w:tcPr>
            <w:tcW w:w="1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Thirteen Weeks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Same-Restaurant Sales Growth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Same-Restaurant Traffic Growth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Comparable Restaurant Base</w:t>
            </w:r>
          </w:p>
        </w:tc>
      </w:tr>
      <w:tr>
        <w:trPr/>
        <w:tc>
          <w:tcPr>
            <w:tcW w:w="178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26,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March 27, 2022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3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9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March 28, 2021</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3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9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spacing w:lineRule="auto" w:line="288" w:before="300" w:after="283"/>
        <w:rPr>
          <w:rFonts w:ascii="Times New Roman;sans-serif" w:hAnsi="Times New Roman;sans-serif"/>
          <w:b/>
          <w:color w:val="000000"/>
          <w:sz w:val="20"/>
          <w:u w:val="single"/>
        </w:rPr>
      </w:pPr>
      <w:r>
        <w:rPr>
          <w:rFonts w:ascii="Times New Roman;sans-serif" w:hAnsi="Times New Roman;sans-serif"/>
          <w:b/>
          <w:color w:val="000000"/>
          <w:sz w:val="20"/>
          <w:u w:val="single"/>
        </w:rPr>
        <w:t>Thirteen Weeks Ended March 26, 2023 Compared to Thirteen Weeks Ended March 27, 2022</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and the percentages of certain items in relation to Total revenues or, where indicated, Restaurant sales for the thirteen weeks ended March 26, 2023 and March 27, 2022:</w:t>
      </w:r>
    </w:p>
    <w:tbl>
      <w:tblPr>
        <w:tblW w:w="10205" w:type="dxa"/>
        <w:jc w:val="left"/>
        <w:tblInd w:w="0" w:type="dxa"/>
        <w:tblCellMar>
          <w:top w:w="28" w:type="dxa"/>
          <w:left w:w="28" w:type="dxa"/>
          <w:bottom w:w="28" w:type="dxa"/>
          <w:right w:w="28" w:type="dxa"/>
        </w:tblCellMar>
      </w:tblPr>
      <w:tblGrid>
        <w:gridCol w:w="2039"/>
        <w:gridCol w:w="1710"/>
        <w:gridCol w:w="1722"/>
        <w:gridCol w:w="196"/>
        <w:gridCol w:w="736"/>
        <w:gridCol w:w="109"/>
        <w:gridCol w:w="109"/>
        <w:gridCol w:w="109"/>
        <w:gridCol w:w="109"/>
        <w:gridCol w:w="278"/>
        <w:gridCol w:w="278"/>
        <w:gridCol w:w="256"/>
        <w:gridCol w:w="109"/>
        <w:gridCol w:w="109"/>
        <w:gridCol w:w="109"/>
        <w:gridCol w:w="196"/>
        <w:gridCol w:w="736"/>
        <w:gridCol w:w="109"/>
        <w:gridCol w:w="109"/>
        <w:gridCol w:w="109"/>
        <w:gridCol w:w="109"/>
        <w:gridCol w:w="278"/>
        <w:gridCol w:w="278"/>
        <w:gridCol w:w="303"/>
      </w:tblGrid>
      <w:tr>
        <w:trPr/>
        <w:tc>
          <w:tcPr>
            <w:tcW w:w="2039" w:type="dxa"/>
            <w:tcBorders/>
            <w:shd w:fill="auto" w:val="clear"/>
            <w:vAlign w:val="center"/>
          </w:tcPr>
          <w:p>
            <w:pPr>
              <w:pStyle w:val="TableContents"/>
              <w:spacing w:before="0" w:after="283"/>
              <w:rPr>
                <w:sz w:val="4"/>
                <w:szCs w:val="4"/>
              </w:rPr>
            </w:pPr>
            <w:r>
              <w:rPr>
                <w:sz w:val="4"/>
                <w:szCs w:val="4"/>
              </w:rPr>
            </w:r>
          </w:p>
        </w:tc>
        <w:tc>
          <w:tcPr>
            <w:tcW w:w="1710" w:type="dxa"/>
            <w:tcBorders/>
            <w:shd w:fill="auto" w:val="clear"/>
            <w:vAlign w:val="center"/>
          </w:tcPr>
          <w:p>
            <w:pPr>
              <w:pStyle w:val="TableContents"/>
              <w:spacing w:before="0" w:after="283"/>
              <w:rPr>
                <w:sz w:val="4"/>
                <w:szCs w:val="4"/>
              </w:rPr>
            </w:pPr>
            <w:r>
              <w:rPr>
                <w:sz w:val="4"/>
                <w:szCs w:val="4"/>
              </w:rPr>
            </w:r>
          </w:p>
        </w:tc>
        <w:tc>
          <w:tcPr>
            <w:tcW w:w="172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r>
      <w:tr>
        <w:trPr/>
        <w:tc>
          <w:tcPr>
            <w:tcW w:w="5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4"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54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218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2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r>
      <w:tr>
        <w:trPr/>
        <w:tc>
          <w:tcPr>
            <w:tcW w:w="5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207,968 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98.6 </w:t>
            </w:r>
          </w:p>
        </w:tc>
        <w:tc>
          <w:tcPr>
            <w:tcW w:w="3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revenues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costs and expenses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Restaurant operating expenses </w:t>
            </w: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(exclusive of depreciation and amortization shown below):</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3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3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3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3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Pre-opening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3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3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3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Impairments and loss on disposal of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expenses,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47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Income from operations </w:t>
            </w:r>
            <w:r>
              <w:rPr>
                <w:rFonts w:ascii="Times New Roman;sans-serif" w:hAnsi="Times New Roman;sans-serif"/>
                <w:b w:val="false"/>
                <w:color w:val="000000"/>
                <w:sz w:val="12"/>
              </w:rPr>
              <w:t>(1)</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3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expense </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Net income and total comprehensive income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(1) As a percentage of restaurant sales.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Restaurant Sales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Restaurant sales represent the aggregate sales of food and beverages, net of discounts, at company-owned restaurants. Restaurant sales in any period are directly influenced by the number of operating weeks in the period, the number of open restaurants, customer traffic and average check. Average check growth is driven by our menu price increases and changes to our menu mix.</w:t>
      </w:r>
    </w:p>
    <w:tbl>
      <w:tblPr>
        <w:tblW w:w="6460" w:type="dxa"/>
        <w:jc w:val="left"/>
        <w:tblInd w:w="0" w:type="dxa"/>
        <w:tblCellMar>
          <w:top w:w="28" w:type="dxa"/>
          <w:left w:w="28" w:type="dxa"/>
          <w:bottom w:w="28" w:type="dxa"/>
          <w:right w:w="28" w:type="dxa"/>
        </w:tblCellMar>
      </w:tblPr>
      <w:tblGrid>
        <w:gridCol w:w="700"/>
        <w:gridCol w:w="615"/>
        <w:gridCol w:w="620"/>
        <w:gridCol w:w="279"/>
        <w:gridCol w:w="1050"/>
        <w:gridCol w:w="155"/>
        <w:gridCol w:w="109"/>
        <w:gridCol w:w="109"/>
        <w:gridCol w:w="109"/>
        <w:gridCol w:w="279"/>
        <w:gridCol w:w="1050"/>
        <w:gridCol w:w="155"/>
        <w:gridCol w:w="109"/>
        <w:gridCol w:w="109"/>
        <w:gridCol w:w="109"/>
        <w:gridCol w:w="233"/>
        <w:gridCol w:w="233"/>
        <w:gridCol w:w="437"/>
      </w:tblGrid>
      <w:tr>
        <w:trPr/>
        <w:tc>
          <w:tcPr>
            <w:tcW w:w="700"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1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19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In-restaurant dining sales</w:t>
            </w:r>
          </w:p>
        </w:tc>
        <w:tc>
          <w:tcPr>
            <w:tcW w:w="27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169,229 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132,892 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43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Third-party delivery sales</w:t>
            </w:r>
          </w:p>
        </w:tc>
        <w:tc>
          <w:tcPr>
            <w:tcW w:w="13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22,314 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4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Take-out sales</w:t>
            </w:r>
          </w:p>
        </w:tc>
        <w:tc>
          <w:tcPr>
            <w:tcW w:w="13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16,425 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16,751 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43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Restaurant sales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207,968 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total restaurant sales during the thirteen weeks ended March 26, 2023 as compared to the same period in the prior year was primarily due to (i) same-restaurant sales growth of 12.9%, driven by same-restaurant traffic growth of 5.1% and the increase in average check per person, mainly due to the increase in menu prices, in addition to (ii) $24.0 million from restaurants not in the Comparable Restaurant Base, which included $14.9 million from our 27 NROs between March 27, 2022 and March 26, 2023.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Franchise Revenues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Franchise revenues are comprised of sales-based royalty fees, system fund contributions and the amortization of upfront initial franchise fees, which are recognized as revenue on a straight-line basis over the term of the franchise agreement. Franchise revenues in any period are directly influenced by the number of open franchise-owned restaurants.</w:t>
      </w:r>
    </w:p>
    <w:tbl>
      <w:tblPr>
        <w:tblW w:w="7391" w:type="dxa"/>
        <w:jc w:val="left"/>
        <w:tblInd w:w="0" w:type="dxa"/>
        <w:tblCellMar>
          <w:top w:w="28" w:type="dxa"/>
          <w:left w:w="28" w:type="dxa"/>
          <w:bottom w:w="28" w:type="dxa"/>
          <w:right w:w="28" w:type="dxa"/>
        </w:tblCellMar>
      </w:tblPr>
      <w:tblGrid>
        <w:gridCol w:w="1037"/>
        <w:gridCol w:w="910"/>
        <w:gridCol w:w="917"/>
        <w:gridCol w:w="338"/>
        <w:gridCol w:w="959"/>
        <w:gridCol w:w="188"/>
        <w:gridCol w:w="109"/>
        <w:gridCol w:w="109"/>
        <w:gridCol w:w="109"/>
        <w:gridCol w:w="338"/>
        <w:gridCol w:w="959"/>
        <w:gridCol w:w="188"/>
        <w:gridCol w:w="109"/>
        <w:gridCol w:w="109"/>
        <w:gridCol w:w="109"/>
        <w:gridCol w:w="233"/>
        <w:gridCol w:w="233"/>
        <w:gridCol w:w="437"/>
      </w:tblGrid>
      <w:tr>
        <w:trPr/>
        <w:tc>
          <w:tcPr>
            <w:tcW w:w="1037"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revenues:</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and system fund contributions</w:t>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3,361 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4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Initial fees</w:t>
            </w:r>
          </w:p>
        </w:tc>
        <w:tc>
          <w:tcPr>
            <w:tcW w:w="12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4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Franchise revenues</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3,438 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franchise revenues during the thirteen weeks ended March 26, 2023 as compared to the same period in the prior year was primarily driven by (i) the increase in sales from franchise-owned restaurants and (ii) $0.4 million from the 19 Franchise-owned NROs between March 27, 2022 and March 26, 2023.</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Food and Beverage Costs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food and beverage costs at company-owned restaurants are variable by nature, change with sales volume, are impacted by product mix and are subject to increases or decreases in commodity costs.</w:t>
      </w:r>
    </w:p>
    <w:tbl>
      <w:tblPr>
        <w:tblW w:w="7092" w:type="dxa"/>
        <w:jc w:val="left"/>
        <w:tblInd w:w="0" w:type="dxa"/>
        <w:tblCellMar>
          <w:top w:w="28" w:type="dxa"/>
          <w:left w:w="28" w:type="dxa"/>
          <w:bottom w:w="28" w:type="dxa"/>
          <w:right w:w="28" w:type="dxa"/>
        </w:tblCellMar>
      </w:tblPr>
      <w:tblGrid>
        <w:gridCol w:w="928"/>
        <w:gridCol w:w="816"/>
        <w:gridCol w:w="821"/>
        <w:gridCol w:w="265"/>
        <w:gridCol w:w="874"/>
        <w:gridCol w:w="346"/>
        <w:gridCol w:w="109"/>
        <w:gridCol w:w="109"/>
        <w:gridCol w:w="109"/>
        <w:gridCol w:w="265"/>
        <w:gridCol w:w="874"/>
        <w:gridCol w:w="346"/>
        <w:gridCol w:w="109"/>
        <w:gridCol w:w="109"/>
        <w:gridCol w:w="109"/>
        <w:gridCol w:w="233"/>
        <w:gridCol w:w="233"/>
        <w:gridCol w:w="437"/>
      </w:tblGrid>
      <w:tr>
        <w:trPr/>
        <w:tc>
          <w:tcPr>
            <w:tcW w:w="928"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 costs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46,627 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39,403 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restaurant sales</w:t>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4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Food and beverage costs as a percent of restaurant sales decreased during the thirteen weeks ended March 26, 2023 as compared to the same period in the prior year primarily due to (i) the decrease in price for pork and avocados and (ii) the increase in menu prices. </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Food and beverage costs increased during the thirteen weeks ended March 26, 2023 as compared to the same period in the prior year primarily as a result of (i) the increase in restaurant sales and (ii) 27 NROs between March 27, 2022 and March 26, 2023. This was partially offset by the decrease in price for pork and avocados.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Labor and Other Related Expenses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Labor and other related expenses are variable by nature and include hourly and management wages, bonuses, payroll taxes, workers’ compensation expense and employee benefits. Factors that influence labor costs include minimum wage and payroll tax legislation, health care costs, the number and performance of our company-owned restaurants and increased competition for qualified staff.</w:t>
      </w:r>
    </w:p>
    <w:tbl>
      <w:tblPr>
        <w:tblW w:w="7091" w:type="dxa"/>
        <w:jc w:val="left"/>
        <w:tblInd w:w="0" w:type="dxa"/>
        <w:tblCellMar>
          <w:top w:w="28" w:type="dxa"/>
          <w:left w:w="28" w:type="dxa"/>
          <w:bottom w:w="28" w:type="dxa"/>
          <w:right w:w="28" w:type="dxa"/>
        </w:tblCellMar>
      </w:tblPr>
      <w:tblGrid>
        <w:gridCol w:w="928"/>
        <w:gridCol w:w="815"/>
        <w:gridCol w:w="821"/>
        <w:gridCol w:w="265"/>
        <w:gridCol w:w="874"/>
        <w:gridCol w:w="346"/>
        <w:gridCol w:w="109"/>
        <w:gridCol w:w="109"/>
        <w:gridCol w:w="109"/>
        <w:gridCol w:w="265"/>
        <w:gridCol w:w="874"/>
        <w:gridCol w:w="346"/>
        <w:gridCol w:w="109"/>
        <w:gridCol w:w="109"/>
        <w:gridCol w:w="109"/>
        <w:gridCol w:w="233"/>
        <w:gridCol w:w="233"/>
        <w:gridCol w:w="437"/>
      </w:tblGrid>
      <w:tr>
        <w:trPr/>
        <w:tc>
          <w:tcPr>
            <w:tcW w:w="928"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 expenses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68,573 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55,142 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restaurant sales</w:t>
            </w:r>
          </w:p>
        </w:tc>
        <w:tc>
          <w:tcPr>
            <w:tcW w:w="11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3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3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43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Labor and other related expenses as a percentage of restaurant sales increased during the thirteen weeks ended March 26, 2023 as compared to the same period in the prior year primarily as a result of investments in labor, including increases in wages and staffing levels. This was partially offset by sales leverage driven by the increase in restaurant sales.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labor and other related expenses during the thirteen weeks ended March 26, 2023 as compared to the same period in the prior year was primarily due to (i) investments in labor, including increases in wages and staffing levels, as well as (ii) 27 NROs between March 27, 2022 and March 26, 2023.</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Restaurant Operating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restaurant operating expenses consist of marketing and advertising expenses, utilities, insurance and other operating variable expenses incidental to operating company-owned restaurants, such as operating supplies (including paper products, menus and to-go supplies), credit card fees, repairs and maintenance, and third-party delivery services fees.</w:t>
      </w:r>
    </w:p>
    <w:tbl>
      <w:tblPr>
        <w:tblW w:w="7227" w:type="dxa"/>
        <w:jc w:val="left"/>
        <w:tblInd w:w="0" w:type="dxa"/>
        <w:tblCellMar>
          <w:top w:w="28" w:type="dxa"/>
          <w:left w:w="28" w:type="dxa"/>
          <w:bottom w:w="28" w:type="dxa"/>
          <w:right w:w="28" w:type="dxa"/>
        </w:tblCellMar>
      </w:tblPr>
      <w:tblGrid>
        <w:gridCol w:w="977"/>
        <w:gridCol w:w="858"/>
        <w:gridCol w:w="865"/>
        <w:gridCol w:w="265"/>
        <w:gridCol w:w="874"/>
        <w:gridCol w:w="346"/>
        <w:gridCol w:w="109"/>
        <w:gridCol w:w="109"/>
        <w:gridCol w:w="109"/>
        <w:gridCol w:w="265"/>
        <w:gridCol w:w="874"/>
        <w:gridCol w:w="346"/>
        <w:gridCol w:w="109"/>
        <w:gridCol w:w="109"/>
        <w:gridCol w:w="109"/>
        <w:gridCol w:w="233"/>
        <w:gridCol w:w="233"/>
        <w:gridCol w:w="437"/>
      </w:tblGrid>
      <w:tr>
        <w:trPr/>
        <w:tc>
          <w:tcPr>
            <w:tcW w:w="97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restaurant operating expenses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31,696 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27,317 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restaurant sales</w:t>
            </w:r>
          </w:p>
        </w:tc>
        <w:tc>
          <w:tcPr>
            <w:tcW w:w="11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3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3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43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restaurant operating expenses as a percentage of restaurant sales during the thirteen weeks ended March 26, 2023 was lower than the same period in the prior year primarily due to (i) leveraging the increase in restaurant sales and (ii) the increase in menu prices.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other restaurant operating expenses during the thirteen weeks ended March 26, 2023 as compared to the same period in the prior year was mainly due to (i) the increase in restaurant sales and (ii) 27 NROs between March 27, 2022 and March 26, 2023.</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Occupancy Expenses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Occupancy expenses primarily consist of rent expense, property insurance, common area expenses and property taxes. </w:t>
      </w:r>
    </w:p>
    <w:tbl>
      <w:tblPr>
        <w:tblW w:w="7091" w:type="dxa"/>
        <w:jc w:val="left"/>
        <w:tblInd w:w="0" w:type="dxa"/>
        <w:tblCellMar>
          <w:top w:w="28" w:type="dxa"/>
          <w:left w:w="28" w:type="dxa"/>
          <w:bottom w:w="28" w:type="dxa"/>
          <w:right w:w="28" w:type="dxa"/>
        </w:tblCellMar>
      </w:tblPr>
      <w:tblGrid>
        <w:gridCol w:w="928"/>
        <w:gridCol w:w="815"/>
        <w:gridCol w:w="821"/>
        <w:gridCol w:w="265"/>
        <w:gridCol w:w="874"/>
        <w:gridCol w:w="346"/>
        <w:gridCol w:w="109"/>
        <w:gridCol w:w="109"/>
        <w:gridCol w:w="109"/>
        <w:gridCol w:w="265"/>
        <w:gridCol w:w="874"/>
        <w:gridCol w:w="346"/>
        <w:gridCol w:w="109"/>
        <w:gridCol w:w="109"/>
        <w:gridCol w:w="109"/>
        <w:gridCol w:w="233"/>
        <w:gridCol w:w="233"/>
        <w:gridCol w:w="437"/>
      </w:tblGrid>
      <w:tr>
        <w:trPr/>
        <w:tc>
          <w:tcPr>
            <w:tcW w:w="928"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 expenses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15,934 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14,383 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restaurant sales</w:t>
            </w:r>
          </w:p>
        </w:tc>
        <w:tc>
          <w:tcPr>
            <w:tcW w:w="11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3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43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percentage of restaurant sales, the decrease in occupancy expenses for the thirteen weeks ended March 26, 2023 as compared to the same period in the prior year was primarily due to leveraging the increase in restaurant sales.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occupancy expenses during the thirteen weeks ended March 26, 2023 as compared to the same period in the prior year was primarily due to the increase in the number of company-owned restaurants.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Pre-opening Expenses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Pre-opening expenses are costs incurred to open new company-owned restaurants. Pre-opening expenses include pre-opening rent expense, which is recognized during the period between the date of possession of the restaurant facility and the restaurant opening date. In addition, pre-opening expenses include manager salaries, recruiting expenses, employee payroll and training costs, which are recognized in the period in which the expense was incurred. Pre-opening expenses can fluctuate from period to period, based on the number and timing of new company-owned restaurant openings.</w:t>
      </w:r>
    </w:p>
    <w:tbl>
      <w:tblPr>
        <w:tblW w:w="6117" w:type="dxa"/>
        <w:jc w:val="left"/>
        <w:tblInd w:w="0" w:type="dxa"/>
        <w:tblCellMar>
          <w:top w:w="28" w:type="dxa"/>
          <w:left w:w="28" w:type="dxa"/>
          <w:bottom w:w="28" w:type="dxa"/>
          <w:right w:w="28" w:type="dxa"/>
        </w:tblCellMar>
      </w:tblPr>
      <w:tblGrid>
        <w:gridCol w:w="608"/>
        <w:gridCol w:w="534"/>
        <w:gridCol w:w="538"/>
        <w:gridCol w:w="338"/>
        <w:gridCol w:w="959"/>
        <w:gridCol w:w="188"/>
        <w:gridCol w:w="109"/>
        <w:gridCol w:w="109"/>
        <w:gridCol w:w="109"/>
        <w:gridCol w:w="399"/>
        <w:gridCol w:w="861"/>
        <w:gridCol w:w="225"/>
        <w:gridCol w:w="109"/>
        <w:gridCol w:w="109"/>
        <w:gridCol w:w="109"/>
        <w:gridCol w:w="188"/>
        <w:gridCol w:w="188"/>
        <w:gridCol w:w="437"/>
      </w:tblGrid>
      <w:tr>
        <w:trPr/>
        <w:tc>
          <w:tcPr>
            <w:tcW w:w="608"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Pre-opening expenses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pre-opening expenses during the thirteen weeks ended March 26, 2023 as compared to the same period in the prior year was primarily due to the increase in wages and pre-opening rent expense.</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primarily consist of costs associated with our corporate and administrative functions that support restaurant development and operations including marketing and advertising costs incurred as well as legal fees, professional fees, stock-based compensation and expenses associated with being a public company, including costs associated with our compliance with the Sarbanes-Oxley Act. General and administrative expenses are impacted by changes in our employee headcount and costs related to strategic and growth initiatives.</w:t>
      </w:r>
    </w:p>
    <w:tbl>
      <w:tblPr>
        <w:tblW w:w="7227" w:type="dxa"/>
        <w:jc w:val="left"/>
        <w:tblInd w:w="0" w:type="dxa"/>
        <w:tblCellMar>
          <w:top w:w="28" w:type="dxa"/>
          <w:left w:w="28" w:type="dxa"/>
          <w:bottom w:w="28" w:type="dxa"/>
          <w:right w:w="28" w:type="dxa"/>
        </w:tblCellMar>
      </w:tblPr>
      <w:tblGrid>
        <w:gridCol w:w="977"/>
        <w:gridCol w:w="858"/>
        <w:gridCol w:w="865"/>
        <w:gridCol w:w="306"/>
        <w:gridCol w:w="1009"/>
        <w:gridCol w:w="170"/>
        <w:gridCol w:w="109"/>
        <w:gridCol w:w="109"/>
        <w:gridCol w:w="109"/>
        <w:gridCol w:w="306"/>
        <w:gridCol w:w="1009"/>
        <w:gridCol w:w="170"/>
        <w:gridCol w:w="109"/>
        <w:gridCol w:w="109"/>
        <w:gridCol w:w="109"/>
        <w:gridCol w:w="233"/>
        <w:gridCol w:w="233"/>
        <w:gridCol w:w="437"/>
      </w:tblGrid>
      <w:tr>
        <w:trPr/>
        <w:tc>
          <w:tcPr>
            <w:tcW w:w="97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general and administrative expenses during the thirteen weeks ended March 26, 2023 as compared to the same period in the prior year was mainly due to (i) $2.8 million in compensation expense from wage increases and additional employee headcount to support growth, (ii) $0.5 million of fees associated with investments in technology initiatives and (iii) $0.4 million of professional service costs incurred in connection with the Delaware Voluntary Disclosure Agreement Program related to unclaimed or abandoned property. This was partially offset by the decrease in stock-based compensation of $0.8 million mainly due to the accelerated recognition method for certain stock option grants, net of the stock-based compensation expense recognized for stock-based awards issued during the thirteen weeks ended March 27, 2022 and March 26, 2023. </w:t>
      </w:r>
    </w:p>
    <w:p>
      <w:pPr>
        <w:pStyle w:val="TextBody"/>
        <w:spacing w:lineRule="auto" w:line="288" w:before="240" w:after="283"/>
        <w:jc w:val="both"/>
        <w:rPr/>
      </w:pPr>
      <w:r>
        <w:rPr>
          <w:rFonts w:ascii="Times New Roman;sans-serif" w:hAnsi="Times New Roman;sans-serif"/>
          <w:b/>
          <w:i/>
          <w:color w:val="000000"/>
          <w:sz w:val="20"/>
          <w:highlight w:val="white"/>
        </w:rPr>
        <w:t>Depreciati</w:t>
      </w:r>
      <w:r>
        <w:rPr>
          <w:rFonts w:ascii="Times New Roman;sans-serif" w:hAnsi="Times New Roman;sans-serif"/>
          <w:b/>
          <w:i/>
          <w:color w:val="000000"/>
          <w:sz w:val="20"/>
        </w:rPr>
        <w:t>on and Amortization</w:t>
      </w:r>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Depreciation and amortization consists of the depreciation of fixed assets, including leasehold improvements, fixtures and equipment and the amortization of definite-lived intangible assets, which are primarily comprised of franchise rights. Franchise rights includes rights which arose from the purchase price allocation in connection with the merger agreement through which the Company was acquired by funds affiliated with or managed by Advent International Corporation in August 2017, as well as reacquired rights from our acquisitions of franchise-owned restaurants.</w:t>
      </w:r>
    </w:p>
    <w:tbl>
      <w:tblPr>
        <w:tblW w:w="6640" w:type="dxa"/>
        <w:jc w:val="left"/>
        <w:tblInd w:w="0" w:type="dxa"/>
        <w:tblCellMar>
          <w:top w:w="28" w:type="dxa"/>
          <w:left w:w="28" w:type="dxa"/>
          <w:bottom w:w="28" w:type="dxa"/>
          <w:right w:w="28" w:type="dxa"/>
        </w:tblCellMar>
      </w:tblPr>
      <w:tblGrid>
        <w:gridCol w:w="809"/>
        <w:gridCol w:w="710"/>
        <w:gridCol w:w="716"/>
        <w:gridCol w:w="324"/>
        <w:gridCol w:w="920"/>
        <w:gridCol w:w="180"/>
        <w:gridCol w:w="109"/>
        <w:gridCol w:w="109"/>
        <w:gridCol w:w="109"/>
        <w:gridCol w:w="324"/>
        <w:gridCol w:w="920"/>
        <w:gridCol w:w="180"/>
        <w:gridCol w:w="109"/>
        <w:gridCol w:w="109"/>
        <w:gridCol w:w="109"/>
        <w:gridCol w:w="233"/>
        <w:gridCol w:w="233"/>
        <w:gridCol w:w="437"/>
      </w:tblGrid>
      <w:tr>
        <w:trPr/>
        <w:tc>
          <w:tcPr>
            <w:tcW w:w="809"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depreciation and amortization during the thirteen weeks ended March 26, 2023 as compared to the same period in the prior year was primarily due to incremental depreciation of capital expenditures associated with NROs.</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Transaction Expenses, Net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expenses, net include (i) revaluations of contingent consideration payable to previous stockholders for tax savings generated through the use of federal and state loss carryforwards and general business credits that had been accumulated from operations prior to August 2017, (ii) gains or losses associated with lease or contract terminations, (iii) costs incurred in connection with the acquisition of franchise-owned restaurants, (iv) costs related to restaurant closures and (v) costs related to certain equity offerings. </w:t>
      </w:r>
    </w:p>
    <w:tbl>
      <w:tblPr>
        <w:tblW w:w="6316" w:type="dxa"/>
        <w:jc w:val="left"/>
        <w:tblInd w:w="0" w:type="dxa"/>
        <w:tblCellMar>
          <w:top w:w="28" w:type="dxa"/>
          <w:left w:w="28" w:type="dxa"/>
          <w:bottom w:w="28" w:type="dxa"/>
          <w:right w:w="28" w:type="dxa"/>
        </w:tblCellMar>
      </w:tblPr>
      <w:tblGrid>
        <w:gridCol w:w="700"/>
        <w:gridCol w:w="615"/>
        <w:gridCol w:w="620"/>
        <w:gridCol w:w="399"/>
        <w:gridCol w:w="861"/>
        <w:gridCol w:w="225"/>
        <w:gridCol w:w="110"/>
        <w:gridCol w:w="110"/>
        <w:gridCol w:w="110"/>
        <w:gridCol w:w="399"/>
        <w:gridCol w:w="861"/>
        <w:gridCol w:w="225"/>
        <w:gridCol w:w="110"/>
        <w:gridCol w:w="110"/>
        <w:gridCol w:w="110"/>
        <w:gridCol w:w="220"/>
        <w:gridCol w:w="220"/>
        <w:gridCol w:w="311"/>
      </w:tblGrid>
      <w:tr>
        <w:trPr/>
        <w:tc>
          <w:tcPr>
            <w:tcW w:w="700"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1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19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expenses, net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 xml:space="preserve">n/m </w:t>
            </w:r>
            <w:r>
              <w:rPr>
                <w:rFonts w:ascii="Times New Roman;sans-serif" w:hAnsi="Times New Roman;sans-serif"/>
                <w:b w:val="false"/>
                <w:color w:val="000000"/>
                <w:sz w:val="12"/>
              </w:rPr>
              <w:t>(1)</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 Not meaningful.</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thirteen weeks ended March 26, 2023, Transaction expenses, net primarily included costs incurred in connection with the acquisition of certain franchise-owned restaurants, which was partially offset by the gain recognized from the lease modification of one company-owned restaurant.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thirteen weeks ended March 27, 2022, Transaction expenses, net included a termination fee in connection with the closure of one company-owned restaurant.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Income from Operations </w:t>
      </w:r>
    </w:p>
    <w:tbl>
      <w:tblPr>
        <w:tblW w:w="7090" w:type="dxa"/>
        <w:jc w:val="left"/>
        <w:tblInd w:w="0" w:type="dxa"/>
        <w:tblCellMar>
          <w:top w:w="28" w:type="dxa"/>
          <w:left w:w="28" w:type="dxa"/>
          <w:bottom w:w="28" w:type="dxa"/>
          <w:right w:w="28" w:type="dxa"/>
        </w:tblCellMar>
      </w:tblPr>
      <w:tblGrid>
        <w:gridCol w:w="928"/>
        <w:gridCol w:w="815"/>
        <w:gridCol w:w="821"/>
        <w:gridCol w:w="265"/>
        <w:gridCol w:w="874"/>
        <w:gridCol w:w="346"/>
        <w:gridCol w:w="109"/>
        <w:gridCol w:w="109"/>
        <w:gridCol w:w="109"/>
        <w:gridCol w:w="288"/>
        <w:gridCol w:w="819"/>
        <w:gridCol w:w="377"/>
        <w:gridCol w:w="109"/>
        <w:gridCol w:w="109"/>
        <w:gridCol w:w="109"/>
        <w:gridCol w:w="233"/>
        <w:gridCol w:w="233"/>
        <w:gridCol w:w="437"/>
      </w:tblGrid>
      <w:tr>
        <w:trPr/>
        <w:tc>
          <w:tcPr>
            <w:tcW w:w="928"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15,331 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7,760 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restaurant sales</w:t>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3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4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from operations margin increased during the thirteen weeks ended March 26, 2023 as compared to the same period in the prior year primarily due to (i) leveraging restaurant sales and (ii) menu price increases. This increase was partially offset by (i) the increase in restaurant-level wages and staffing and (ii) the increase in general and administrative expenses mainly due to wage increases and additional employee headcount to support growth.</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primarily consists of interest and fees on our outstanding debt and the amortization expense for debt discount and deferred issuance costs. </w:t>
      </w:r>
    </w:p>
    <w:tbl>
      <w:tblPr>
        <w:tblW w:w="5637" w:type="dxa"/>
        <w:jc w:val="left"/>
        <w:tblInd w:w="0" w:type="dxa"/>
        <w:tblCellMar>
          <w:top w:w="28" w:type="dxa"/>
          <w:left w:w="28" w:type="dxa"/>
          <w:bottom w:w="28" w:type="dxa"/>
          <w:right w:w="28" w:type="dxa"/>
        </w:tblCellMar>
      </w:tblPr>
      <w:tblGrid>
        <w:gridCol w:w="456"/>
        <w:gridCol w:w="400"/>
        <w:gridCol w:w="403"/>
        <w:gridCol w:w="324"/>
        <w:gridCol w:w="920"/>
        <w:gridCol w:w="180"/>
        <w:gridCol w:w="109"/>
        <w:gridCol w:w="109"/>
        <w:gridCol w:w="109"/>
        <w:gridCol w:w="324"/>
        <w:gridCol w:w="920"/>
        <w:gridCol w:w="180"/>
        <w:gridCol w:w="109"/>
        <w:gridCol w:w="109"/>
        <w:gridCol w:w="109"/>
        <w:gridCol w:w="233"/>
        <w:gridCol w:w="233"/>
        <w:gridCol w:w="410"/>
      </w:tblGrid>
      <w:tr>
        <w:trPr/>
        <w:tc>
          <w:tcPr>
            <w:tcW w:w="456"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26,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27,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during the thirteen weeks ended March 26, 2023 as compared to the same period in the prior year was primarily due to higher interest rates.</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includes items deemed to be non-operating based on management’s assessment of the nature of the item in relation to our core operations.</w:t>
      </w:r>
    </w:p>
    <w:tbl>
      <w:tblPr>
        <w:tblW w:w="5760" w:type="dxa"/>
        <w:jc w:val="left"/>
        <w:tblInd w:w="0" w:type="dxa"/>
        <w:tblCellMar>
          <w:top w:w="28" w:type="dxa"/>
          <w:left w:w="28" w:type="dxa"/>
          <w:bottom w:w="28" w:type="dxa"/>
          <w:right w:w="28" w:type="dxa"/>
        </w:tblCellMar>
      </w:tblPr>
      <w:tblGrid>
        <w:gridCol w:w="499"/>
        <w:gridCol w:w="438"/>
        <w:gridCol w:w="442"/>
        <w:gridCol w:w="399"/>
        <w:gridCol w:w="861"/>
        <w:gridCol w:w="225"/>
        <w:gridCol w:w="110"/>
        <w:gridCol w:w="110"/>
        <w:gridCol w:w="110"/>
        <w:gridCol w:w="399"/>
        <w:gridCol w:w="861"/>
        <w:gridCol w:w="225"/>
        <w:gridCol w:w="110"/>
        <w:gridCol w:w="110"/>
        <w:gridCol w:w="110"/>
        <w:gridCol w:w="220"/>
        <w:gridCol w:w="220"/>
        <w:gridCol w:w="311"/>
      </w:tblGrid>
      <w:tr>
        <w:trPr/>
        <w:tc>
          <w:tcPr>
            <w:tcW w:w="49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 xml:space="preserve">n/m </w:t>
            </w:r>
            <w:r>
              <w:rPr>
                <w:rFonts w:ascii="Times New Roman;sans-serif" w:hAnsi="Times New Roman;sans-serif"/>
                <w:b w:val="false"/>
                <w:color w:val="000000"/>
                <w:sz w:val="12"/>
              </w:rPr>
              <w:t>(1)</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 Not meaningful.</w:t>
      </w:r>
    </w:p>
    <w:p>
      <w:pPr>
        <w:pStyle w:val="TextBody"/>
        <w:spacing w:before="0" w:after="0"/>
        <w:ind w:left="0" w:right="0" w:hanging="36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Other income, net during the thirteen weeks ended March 26, 2023 as compared to the same period in the prior year was primarily due to (i) insurance recoveries, net of costs incurred, in connection with Hurricane Ian and (ii) the increase in interest income. </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Income tax expense primarily consists of various federal and state taxes.</w:t>
      </w:r>
    </w:p>
    <w:tbl>
      <w:tblPr>
        <w:tblW w:w="6131" w:type="dxa"/>
        <w:jc w:val="left"/>
        <w:tblInd w:w="0" w:type="dxa"/>
        <w:tblCellMar>
          <w:top w:w="28" w:type="dxa"/>
          <w:left w:w="28" w:type="dxa"/>
          <w:bottom w:w="28" w:type="dxa"/>
          <w:right w:w="28" w:type="dxa"/>
        </w:tblCellMar>
      </w:tblPr>
      <w:tblGrid>
        <w:gridCol w:w="548"/>
        <w:gridCol w:w="481"/>
        <w:gridCol w:w="485"/>
        <w:gridCol w:w="311"/>
        <w:gridCol w:w="1001"/>
        <w:gridCol w:w="173"/>
        <w:gridCol w:w="109"/>
        <w:gridCol w:w="109"/>
        <w:gridCol w:w="109"/>
        <w:gridCol w:w="311"/>
        <w:gridCol w:w="1001"/>
        <w:gridCol w:w="173"/>
        <w:gridCol w:w="109"/>
        <w:gridCol w:w="109"/>
        <w:gridCol w:w="109"/>
        <w:gridCol w:w="278"/>
        <w:gridCol w:w="278"/>
        <w:gridCol w:w="437"/>
      </w:tblGrid>
      <w:tr>
        <w:trPr/>
        <w:tc>
          <w:tcPr>
            <w:tcW w:w="548"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(4,558)</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(2,277)</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___________</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(1) Not meaningful.</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 for the thirteen weeks ended March 26, 2023 was 32.7% as compared to 32.9% for the thirteen weeks ended March 27, 2022. The change in the effective income tax rates was primarily due to (i) the change in the valuation allowance for federal and state deferred tax assets and (ii) the benefit of tax credits for FICA taxes on certain employees’ tips.</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Income</w:t>
      </w:r>
    </w:p>
    <w:tbl>
      <w:tblPr>
        <w:tblW w:w="7074" w:type="dxa"/>
        <w:jc w:val="left"/>
        <w:tblInd w:w="0" w:type="dxa"/>
        <w:tblCellMar>
          <w:top w:w="28" w:type="dxa"/>
          <w:left w:w="28" w:type="dxa"/>
          <w:bottom w:w="28" w:type="dxa"/>
          <w:right w:w="28" w:type="dxa"/>
        </w:tblCellMar>
      </w:tblPr>
      <w:tblGrid>
        <w:gridCol w:w="890"/>
        <w:gridCol w:w="781"/>
        <w:gridCol w:w="788"/>
        <w:gridCol w:w="288"/>
        <w:gridCol w:w="819"/>
        <w:gridCol w:w="377"/>
        <w:gridCol w:w="109"/>
        <w:gridCol w:w="109"/>
        <w:gridCol w:w="109"/>
        <w:gridCol w:w="288"/>
        <w:gridCol w:w="819"/>
        <w:gridCol w:w="377"/>
        <w:gridCol w:w="109"/>
        <w:gridCol w:w="109"/>
        <w:gridCol w:w="109"/>
        <w:gridCol w:w="278"/>
        <w:gridCol w:w="278"/>
        <w:gridCol w:w="437"/>
      </w:tblGrid>
      <w:tr>
        <w:trPr/>
        <w:tc>
          <w:tcPr>
            <w:tcW w:w="890"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24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9,360 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total revenues</w:t>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3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3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4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(1) Not meaningful.</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 xml:space="preserve">Net income and Net income margin </w:t>
      </w:r>
      <w:r>
        <w:rPr>
          <w:rFonts w:ascii="Times New Roman;sans-serif" w:hAnsi="Times New Roman;sans-serif"/>
          <w:b w:val="false"/>
          <w:color w:val="000000"/>
          <w:sz w:val="20"/>
        </w:rPr>
        <w:t xml:space="preserve">during the thirteen weeks ended March 26, 2023 </w:t>
      </w:r>
      <w:r>
        <w:rPr>
          <w:rFonts w:ascii="Times New Roman;sans-serif" w:hAnsi="Times New Roman;sans-serif"/>
          <w:b w:val="false"/>
          <w:color w:val="000000"/>
          <w:sz w:val="20"/>
          <w:highlight w:val="white"/>
        </w:rPr>
        <w:t xml:space="preserve">increased </w:t>
      </w:r>
      <w:r>
        <w:rPr>
          <w:rFonts w:ascii="Times New Roman;sans-serif" w:hAnsi="Times New Roman;sans-serif"/>
          <w:b w:val="false"/>
          <w:color w:val="000000"/>
          <w:sz w:val="20"/>
        </w:rPr>
        <w:t xml:space="preserve">as compared to the same period in the prior year </w:t>
      </w:r>
      <w:r>
        <w:rPr>
          <w:rFonts w:ascii="Times New Roman;sans-serif" w:hAnsi="Times New Roman;sans-serif"/>
          <w:b w:val="false"/>
          <w:color w:val="000000"/>
          <w:sz w:val="20"/>
          <w:highlight w:val="white"/>
        </w:rPr>
        <w:t>primarily due to the increase in income from operations. This was partially offset b</w:t>
      </w:r>
      <w:r>
        <w:rPr>
          <w:rFonts w:ascii="Times New Roman;sans-serif" w:hAnsi="Times New Roman;sans-serif"/>
          <w:b w:val="false"/>
          <w:color w:val="000000"/>
          <w:sz w:val="20"/>
        </w:rPr>
        <w:t xml:space="preserve">y the increase in interest expense and income tax expense.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Restaurant Level Operating Profit and Restaurant level Operating Profit Margin</w:t>
      </w:r>
    </w:p>
    <w:p>
      <w:pPr>
        <w:pStyle w:val="TextBody"/>
        <w:spacing w:before="0" w:after="0"/>
        <w:jc w:val="both"/>
        <w:rPr/>
      </w:pPr>
      <w:r>
        <w:rPr/>
      </w:r>
    </w:p>
    <w:tbl>
      <w:tblPr>
        <w:tblW w:w="7451" w:type="dxa"/>
        <w:jc w:val="left"/>
        <w:tblInd w:w="0" w:type="dxa"/>
        <w:tblCellMar>
          <w:top w:w="28" w:type="dxa"/>
          <w:left w:w="28" w:type="dxa"/>
          <w:bottom w:w="28" w:type="dxa"/>
          <w:right w:w="28" w:type="dxa"/>
        </w:tblCellMar>
      </w:tblPr>
      <w:tblGrid>
        <w:gridCol w:w="1058"/>
        <w:gridCol w:w="929"/>
        <w:gridCol w:w="937"/>
        <w:gridCol w:w="265"/>
        <w:gridCol w:w="874"/>
        <w:gridCol w:w="346"/>
        <w:gridCol w:w="109"/>
        <w:gridCol w:w="109"/>
        <w:gridCol w:w="109"/>
        <w:gridCol w:w="265"/>
        <w:gridCol w:w="874"/>
        <w:gridCol w:w="346"/>
        <w:gridCol w:w="109"/>
        <w:gridCol w:w="109"/>
        <w:gridCol w:w="109"/>
        <w:gridCol w:w="233"/>
        <w:gridCol w:w="233"/>
        <w:gridCol w:w="437"/>
      </w:tblGrid>
      <w:tr>
        <w:trPr/>
        <w:tc>
          <w:tcPr>
            <w:tcW w:w="1058"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level operating profit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44,102 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33,439 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level operating profit margin</w:t>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4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Restaurant level operating profit margin during the thirteen weeks ended March 26, 2023 increased as compared to the same period in the prior year primarily due to (i) leveraging restaurant sales, (ii) menu price increases and (iii) lower prices for pork and avocados. This was partially offset by the increase in wages and staffing levels.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 xml:space="preserve">Restaurant level operating profit for the thirteen weeks ended March 26, 2023 increased as compared to </w:t>
      </w:r>
      <w:r>
        <w:rPr>
          <w:rFonts w:ascii="Times New Roman;sans-serif" w:hAnsi="Times New Roman;sans-serif"/>
          <w:b w:val="false"/>
          <w:color w:val="000000"/>
          <w:sz w:val="20"/>
        </w:rPr>
        <w:t xml:space="preserve">the same period in the prior year </w:t>
      </w:r>
      <w:r>
        <w:rPr>
          <w:rFonts w:ascii="Times New Roman;sans-serif" w:hAnsi="Times New Roman;sans-serif"/>
          <w:b w:val="false"/>
          <w:color w:val="000000"/>
          <w:sz w:val="20"/>
          <w:highlight w:val="white"/>
        </w:rPr>
        <w:t xml:space="preserve">primarily due to (i) same-restaurant sales growth of </w:t>
      </w:r>
      <w:r>
        <w:rPr>
          <w:rFonts w:ascii="Times New Roman;sans-serif" w:hAnsi="Times New Roman;sans-serif"/>
          <w:b w:val="false"/>
          <w:color w:val="000000"/>
          <w:sz w:val="20"/>
        </w:rPr>
        <w:t>12.9%</w:t>
      </w:r>
      <w:r>
        <w:rPr>
          <w:rFonts w:ascii="Times New Roman;sans-serif" w:hAnsi="Times New Roman;sans-serif"/>
          <w:b w:val="false"/>
          <w:color w:val="000000"/>
          <w:sz w:val="20"/>
          <w:highlight w:val="white"/>
        </w:rPr>
        <w:t xml:space="preserve">, driven by same-restaurant traffic growth of </w:t>
      </w:r>
      <w:r>
        <w:rPr>
          <w:rFonts w:ascii="Times New Roman;sans-serif" w:hAnsi="Times New Roman;sans-serif"/>
          <w:b w:val="false"/>
          <w:color w:val="000000"/>
          <w:sz w:val="20"/>
        </w:rPr>
        <w:t>5.1% and the increase in average check per person, mainly due to the increase in menu prices, as well as (</w:t>
      </w:r>
      <w:r>
        <w:rPr>
          <w:rFonts w:ascii="Times New Roman;sans-serif" w:hAnsi="Times New Roman;sans-serif"/>
          <w:b w:val="false"/>
          <w:color w:val="000000"/>
          <w:sz w:val="20"/>
          <w:highlight w:val="white"/>
        </w:rPr>
        <w:t xml:space="preserve">ii) </w:t>
      </w:r>
      <w:r>
        <w:rPr>
          <w:rFonts w:ascii="Times New Roman;sans-serif" w:hAnsi="Times New Roman;sans-serif"/>
          <w:b w:val="false"/>
          <w:color w:val="000000"/>
          <w:sz w:val="20"/>
        </w:rPr>
        <w:t>27 NROs between March 27, 2022 and March 26, 2023. This was</w:t>
      </w:r>
      <w:r>
        <w:rPr>
          <w:color w:val="000000"/>
          <w:highlight w:val="white"/>
        </w:rPr>
        <w:t xml:space="preserve"> </w:t>
      </w:r>
      <w:r>
        <w:rPr>
          <w:rFonts w:ascii="Times New Roman;sans-serif" w:hAnsi="Times New Roman;sans-serif"/>
          <w:b w:val="false"/>
          <w:color w:val="000000"/>
          <w:sz w:val="20"/>
          <w:highlight w:val="white"/>
        </w:rPr>
        <w:t xml:space="preserve">partially offset by </w:t>
      </w:r>
      <w:r>
        <w:rPr>
          <w:rFonts w:ascii="Times New Roman;sans-serif" w:hAnsi="Times New Roman;sans-serif"/>
          <w:b w:val="false"/>
          <w:color w:val="000000"/>
          <w:sz w:val="20"/>
        </w:rPr>
        <w:t>the increase in wages and staffing levels.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Adjusted EBITDA and Adjusted EBITDA Margin</w:t>
      </w:r>
    </w:p>
    <w:p>
      <w:pPr>
        <w:pStyle w:val="TextBody"/>
        <w:spacing w:before="0" w:after="0"/>
        <w:jc w:val="both"/>
        <w:rPr/>
      </w:pPr>
      <w:r>
        <w:rPr/>
      </w:r>
    </w:p>
    <w:tbl>
      <w:tblPr>
        <w:tblW w:w="6536" w:type="dxa"/>
        <w:jc w:val="left"/>
        <w:tblInd w:w="0" w:type="dxa"/>
        <w:tblCellMar>
          <w:top w:w="28" w:type="dxa"/>
          <w:left w:w="28" w:type="dxa"/>
          <w:bottom w:w="28" w:type="dxa"/>
          <w:right w:w="28" w:type="dxa"/>
        </w:tblCellMar>
      </w:tblPr>
      <w:tblGrid>
        <w:gridCol w:w="727"/>
        <w:gridCol w:w="638"/>
        <w:gridCol w:w="644"/>
        <w:gridCol w:w="265"/>
        <w:gridCol w:w="874"/>
        <w:gridCol w:w="346"/>
        <w:gridCol w:w="109"/>
        <w:gridCol w:w="109"/>
        <w:gridCol w:w="109"/>
        <w:gridCol w:w="265"/>
        <w:gridCol w:w="874"/>
        <w:gridCol w:w="346"/>
        <w:gridCol w:w="109"/>
        <w:gridCol w:w="109"/>
        <w:gridCol w:w="109"/>
        <w:gridCol w:w="233"/>
        <w:gridCol w:w="233"/>
        <w:gridCol w:w="437"/>
      </w:tblGrid>
      <w:tr>
        <w:trPr/>
        <w:tc>
          <w:tcPr>
            <w:tcW w:w="727"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00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65"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27,413 </w:t>
            </w:r>
          </w:p>
        </w:tc>
        <w:tc>
          <w:tcPr>
            <w:tcW w:w="346"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19,364 </w:t>
            </w:r>
          </w:p>
        </w:tc>
        <w:tc>
          <w:tcPr>
            <w:tcW w:w="346"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437"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4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and Adjusted EBITDA margin increased during the thirteen weeks ended March 26, 2023 as compared to the same period in the prior year primarily due to the increase in restaurant level operating profit. This was partially offset by the increase in general and administrative expenses mainly due to wage increases and additional employee headcount to support our growth.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360" w:after="283"/>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Non-GAAP Financial Measures Reconciliations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Adjusted EBITDA and Adjusted EBITDA margin</w:t>
      </w:r>
      <w:r>
        <w:rPr>
          <w:color w:val="000000"/>
        </w:rPr>
        <w:t xml:space="preserve"> </w:t>
      </w:r>
      <w:r>
        <w:rPr>
          <w:rFonts w:ascii="Times New Roman;sans-serif" w:hAnsi="Times New Roman;sans-serif"/>
          <w:b w:val="false"/>
          <w:color w:val="000000"/>
          <w:sz w:val="20"/>
        </w:rPr>
        <w:t>- The following table reconciles Net income and Net income margin, the most directly comparable GAAP measures to Adjusted EBITDA and Adjusted EBITDA margin for the periods indicated:</w:t>
      </w:r>
    </w:p>
    <w:p>
      <w:pPr>
        <w:pStyle w:val="TextBody"/>
        <w:spacing w:before="0" w:after="0"/>
        <w:rPr/>
      </w:pPr>
      <w:r>
        <w:rPr/>
      </w:r>
    </w:p>
    <w:p>
      <w:pPr>
        <w:pStyle w:val="TextBody"/>
        <w:spacing w:lineRule="auto" w:line="288" w:before="0" w:after="0"/>
        <w:ind w:left="0" w:right="0" w:hanging="90"/>
        <w:rPr>
          <w:rFonts w:ascii="Times New Roman;sans-serif" w:hAnsi="Times New Roman;sans-serif"/>
          <w:b w:val="false"/>
          <w:color w:val="000000"/>
          <w:sz w:val="20"/>
        </w:rPr>
      </w:pPr>
      <w:r>
        <w:rPr>
          <w:rFonts w:ascii="Times New Roman;sans-serif" w:hAnsi="Times New Roman;sans-serif"/>
          <w:b w:val="false"/>
          <w:color w:val="000000"/>
          <w:sz w:val="20"/>
        </w:rPr>
        <w:t>.</w:t>
      </w:r>
    </w:p>
    <w:tbl>
      <w:tblPr>
        <w:tblW w:w="7856" w:type="dxa"/>
        <w:jc w:val="left"/>
        <w:tblInd w:w="0" w:type="dxa"/>
        <w:tblCellMar>
          <w:top w:w="28" w:type="dxa"/>
          <w:left w:w="28" w:type="dxa"/>
          <w:bottom w:w="28" w:type="dxa"/>
          <w:right w:w="28" w:type="dxa"/>
        </w:tblCellMar>
      </w:tblPr>
      <w:tblGrid>
        <w:gridCol w:w="1635"/>
        <w:gridCol w:w="1434"/>
        <w:gridCol w:w="1446"/>
        <w:gridCol w:w="245"/>
        <w:gridCol w:w="920"/>
        <w:gridCol w:w="320"/>
        <w:gridCol w:w="109"/>
        <w:gridCol w:w="109"/>
        <w:gridCol w:w="109"/>
        <w:gridCol w:w="243"/>
        <w:gridCol w:w="913"/>
        <w:gridCol w:w="373"/>
      </w:tblGrid>
      <w:tr>
        <w:trPr/>
        <w:tc>
          <w:tcPr>
            <w:tcW w:w="1635"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r>
      <w:tr>
        <w:trPr/>
        <w:tc>
          <w:tcPr>
            <w:tcW w:w="4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4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r>
      <w:tr>
        <w:trPr/>
        <w:tc>
          <w:tcPr>
            <w:tcW w:w="4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9,360 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9,117 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8,223 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taxes </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4,558 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2,277 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24,942 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16,146 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Strategic costs </w:t>
            </w:r>
            <w:r>
              <w:rPr>
                <w:rFonts w:ascii="Times New Roman;sans-serif" w:hAnsi="Times New Roman;sans-serif"/>
                <w:b w:val="false"/>
                <w:color w:val="000000"/>
                <w:sz w:val="12"/>
              </w:rPr>
              <w:t>(1)</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Stock-based compensation </w:t>
            </w:r>
            <w:r>
              <w:rPr>
                <w:rFonts w:ascii="Times New Roman;sans-serif" w:hAnsi="Times New Roman;sans-serif"/>
                <w:b w:val="false"/>
                <w:color w:val="000000"/>
                <w:sz w:val="12"/>
              </w:rPr>
              <w:t>(2)</w:t>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Delaware Voluntary Disclosure Agreement Program </w:t>
            </w:r>
            <w:r>
              <w:rPr>
                <w:rFonts w:ascii="Times New Roman;sans-serif" w:hAnsi="Times New Roman;sans-serif"/>
                <w:b w:val="false"/>
                <w:color w:val="000000"/>
                <w:sz w:val="12"/>
              </w:rPr>
              <w:t>(3)</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Transaction expenses, net </w:t>
            </w:r>
            <w:r>
              <w:rPr>
                <w:rFonts w:ascii="Times New Roman;sans-serif" w:hAnsi="Times New Roman;sans-serif"/>
                <w:b w:val="false"/>
                <w:color w:val="000000"/>
                <w:sz w:val="12"/>
              </w:rPr>
              <w:t>(4)</w:t>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Insurance proceeds in connection with natural disasters, net </w:t>
            </w:r>
            <w:r>
              <w:rPr>
                <w:rFonts w:ascii="Times New Roman;sans-serif" w:hAnsi="Times New Roman;sans-serif"/>
                <w:b w:val="false"/>
                <w:color w:val="000000"/>
                <w:sz w:val="12"/>
              </w:rPr>
              <w:t>(5)</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Impairments and loss on disposal of assets </w:t>
            </w:r>
            <w:r>
              <w:rPr>
                <w:rFonts w:ascii="Times New Roman;sans-serif" w:hAnsi="Times New Roman;sans-serif"/>
                <w:b w:val="false"/>
                <w:color w:val="000000"/>
                <w:sz w:val="12"/>
              </w:rPr>
              <w:t>(6)</w:t>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Recruiting and relocation costs </w:t>
            </w:r>
            <w:r>
              <w:rPr>
                <w:rFonts w:ascii="Times New Roman;sans-serif" w:hAnsi="Times New Roman;sans-serif"/>
                <w:b w:val="false"/>
                <w:color w:val="000000"/>
                <w:sz w:val="12"/>
              </w:rPr>
              <w:t>(7)</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Severance costs </w:t>
            </w:r>
            <w:r>
              <w:rPr>
                <w:rFonts w:ascii="Times New Roman;sans-serif" w:hAnsi="Times New Roman;sans-serif"/>
                <w:b w:val="false"/>
                <w:color w:val="000000"/>
                <w:sz w:val="12"/>
              </w:rPr>
              <w:t>(8)</w:t>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27,413 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19,364 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211,406 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173,112 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margin</w:t>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3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3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Additional information </w:t>
            </w:r>
          </w:p>
        </w:tc>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Deferred rent expense </w:t>
            </w:r>
            <w:r>
              <w:rPr>
                <w:rFonts w:ascii="Times New Roman;sans-serif" w:hAnsi="Times New Roman;sans-serif"/>
                <w:b w:val="false"/>
                <w:color w:val="000000"/>
                <w:sz w:val="12"/>
              </w:rPr>
              <w:t>(9)</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9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(1) Represents costs related to process improvements and strategic initiatives. These costs are recorded within General and administrative expenses on the Consolidated Statements of Operations and Comprehensive Income.</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(2) Represents non-cash, stock-based compensation expense which is recorded within General and administrative expenses on the Consolidated Statements of Operations and Comprehensive Income.</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(3) Represents professional service costs incurred in connection with the Delaware Voluntary Disclosure Agreement Program related to unclaimed or abandoned property. These costs are recorded in General and administrative expenses on the Consolidated Statements of Operations and Comprehensive Income.</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(4) Represents costs incurred in connection with the acquisition of franchise-owned restaurants. In 2022, represents a termination fee in connection with the closure of one company-owned restaurant. </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(5) Represents insurance recoveries, net of costs incurred, in connection with Hurricane Ian, which were recorded in Other income, net on the Consolidated Statements of Operations and Comprehensive Income. </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(6) Represents costs related to the disposal of assets due to retirements, replacements or certain restaurant closures. There were no impairments recognized during the periods presented. </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(7) Represents costs incurred for hiring qualified individuals. These costs are recorded within General and administrative expenses on the Consolidated Statements of Operations and Comprehensive Income.</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(8) Severance costs are recorded in General and administrative expenses on the Consolidated Statements of Operations and Comprehensive Income.</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(9) Represents the non-cash portion of straight-line rent expense recorded within both Occupancy expenses and General and administrative expenses on the Consolidated Statements of Operations and Comprehensive Income.</w:t>
      </w:r>
    </w:p>
    <w:p>
      <w:pPr>
        <w:pStyle w:val="TextBody"/>
        <w:spacing w:before="240" w:after="283"/>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pPr>
      <w:r>
        <w:rPr>
          <w:rFonts w:ascii="Times New Roman;sans-serif" w:hAnsi="Times New Roman;sans-serif"/>
          <w:b w:val="false"/>
          <w:i/>
          <w:color w:val="000000"/>
          <w:sz w:val="20"/>
        </w:rPr>
        <w:t>Restaurant level operating profit and Restaurant level operating profit margin</w:t>
      </w:r>
      <w:r>
        <w:rPr>
          <w:color w:val="000000"/>
        </w:rPr>
        <w:t xml:space="preserve"> </w:t>
      </w:r>
      <w:r>
        <w:rPr>
          <w:rFonts w:ascii="Times New Roman;sans-serif" w:hAnsi="Times New Roman;sans-serif"/>
          <w:b w:val="false"/>
          <w:color w:val="000000"/>
          <w:sz w:val="20"/>
        </w:rPr>
        <w:t>- The following table reconciles Income from operations and Income from operations margin, the most comparable GAAP measures to Restaurant level operating profit and Restaurant level operating profit margin for the periods indicated:</w:t>
      </w:r>
    </w:p>
    <w:tbl>
      <w:tblPr>
        <w:tblW w:w="6685" w:type="dxa"/>
        <w:jc w:val="left"/>
        <w:tblInd w:w="0" w:type="dxa"/>
        <w:tblCellMar>
          <w:top w:w="28" w:type="dxa"/>
          <w:left w:w="28" w:type="dxa"/>
          <w:bottom w:w="28" w:type="dxa"/>
          <w:right w:w="28" w:type="dxa"/>
        </w:tblCellMar>
      </w:tblPr>
      <w:tblGrid>
        <w:gridCol w:w="1210"/>
        <w:gridCol w:w="1063"/>
        <w:gridCol w:w="1071"/>
        <w:gridCol w:w="245"/>
        <w:gridCol w:w="920"/>
        <w:gridCol w:w="320"/>
        <w:gridCol w:w="109"/>
        <w:gridCol w:w="109"/>
        <w:gridCol w:w="109"/>
        <w:gridCol w:w="243"/>
        <w:gridCol w:w="913"/>
        <w:gridCol w:w="373"/>
      </w:tblGrid>
      <w:tr>
        <w:trPr/>
        <w:tc>
          <w:tcPr>
            <w:tcW w:w="1210"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15,331 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7,760 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Franchise revenues</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(3,438)</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w:t>
            </w:r>
          </w:p>
        </w:tc>
        <w:tc>
          <w:tcPr>
            <w:tcW w:w="1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22,705 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19,563 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9,117 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8,223 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Transaction expenses, net </w:t>
            </w:r>
            <w:r>
              <w:rPr>
                <w:rFonts w:ascii="Times New Roman;sans-serif" w:hAnsi="Times New Roman;sans-serif"/>
                <w:b w:val="false"/>
                <w:color w:val="000000"/>
                <w:sz w:val="12"/>
              </w:rPr>
              <w:t>(1)</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Impairments and loss on disposal of assets </w:t>
            </w:r>
            <w:r>
              <w:rPr>
                <w:rFonts w:ascii="Times New Roman;sans-serif" w:hAnsi="Times New Roman;sans-serif"/>
                <w:b w:val="false"/>
                <w:color w:val="000000"/>
                <w:sz w:val="12"/>
              </w:rPr>
              <w:t>(2)</w:t>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level operating profit</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44,102 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33,439 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207,968 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170,669 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 margin</w:t>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3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level operating profit margin</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3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information</w:t>
            </w:r>
          </w:p>
        </w:tc>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Deferred rent expense </w:t>
            </w:r>
            <w:r>
              <w:rPr>
                <w:rFonts w:ascii="Times New Roman;sans-serif" w:hAnsi="Times New Roman;sans-serif"/>
                <w:b w:val="false"/>
                <w:color w:val="000000"/>
                <w:sz w:val="12"/>
              </w:rPr>
              <w:t>(3)</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 Represents costs incurred in connection with the acquisition of certain franchise-owned restaurants. In 2022, represents a termination fee in connection with the closure of one company-owned restaurant. </w:t>
      </w:r>
    </w:p>
    <w:p>
      <w:pPr>
        <w:pStyle w:val="TextBody"/>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 Represents costs related to the disposal of assets due to retirements, replacements or certain restaurant closures. There were no impairments recognized during the periods presented. </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(3) Represents the non-cash portion of straight-line rent expense recorded within Occupancy expenses on the Consolidated Statements of Operations and Comprehensive Income.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As of March 26, 2023, we had cash and cash equivalents of $54.4 million and we had outstanding borrowings, under the term loan A facility of $96.3 million, excluding unamortized debt issuance costs and deferred issuance costs. We had </w:t>
      </w:r>
      <w:r>
        <w:rPr>
          <w:rFonts w:ascii="Times New Roman;sans-serif" w:hAnsi="Times New Roman;sans-serif"/>
          <w:b w:val="false"/>
          <w:color w:val="000000"/>
          <w:sz w:val="20"/>
          <w:highlight w:val="white"/>
        </w:rPr>
        <w:t xml:space="preserve">availability </w:t>
      </w:r>
      <w:r>
        <w:rPr>
          <w:rFonts w:ascii="Times New Roman;sans-serif" w:hAnsi="Times New Roman;sans-serif"/>
          <w:b w:val="false"/>
          <w:color w:val="000000"/>
          <w:sz w:val="20"/>
        </w:rPr>
        <w:t>under our undrawn revolving credit facility of $75.0 million pursuant to our credit agreement dated as of October 6, 2021 (the “Credit Agreement”). Our principal uses of cash include capital expenditures for the development, acquisition or remodeling of restaurants, lease obligations, debt service payments and strategic infrastructure investments. Our working capital requirements are low because our restaurants store very little inventory and our customers pay for their purchases at the time of the sale which frequently precedes our payment terms with suppliers.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flow from operations, availability under our Credit Agreement and available cash and cash equivalents will be sufficient to meet our liquidity needs for at least the next 12 months. We anticipate that to the extent that we require additional liquidity, or should we decide to pursue one or more significant acquisitions, it will be funded first through additional indebtedness and thereafter through the issuance of equity. Although we believe that our current level of total available liquidity is sufficient to meet our short-term and long-term liquidity requirements, we regularly evaluate opportunities to improve our liquidity position in order to enhance financial flexibility. </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estimate that our capital expenditures will total approximately $100.0 million to $110.0 million in 2023, which will be invested primarily in new restaurant projects and planned remodels. We plan to fund the capital expenditures primarily with cash generated from our operating activities as well as with borrowings from our facilities pursuant to our Credit Agreement.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Summary of Cash Flows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our cash provided by (used in) operating, investing and financing activities for the thirteen weeks ended March 26, 2023 and March 27, 2022:</w:t>
      </w:r>
    </w:p>
    <w:tbl>
      <w:tblPr>
        <w:tblW w:w="8519" w:type="dxa"/>
        <w:jc w:val="left"/>
        <w:tblInd w:w="0" w:type="dxa"/>
        <w:tblCellMar>
          <w:top w:w="28" w:type="dxa"/>
          <w:left w:w="28" w:type="dxa"/>
          <w:bottom w:w="28" w:type="dxa"/>
          <w:right w:w="28" w:type="dxa"/>
        </w:tblCellMar>
      </w:tblPr>
      <w:tblGrid>
        <w:gridCol w:w="1862"/>
        <w:gridCol w:w="1635"/>
        <w:gridCol w:w="1648"/>
        <w:gridCol w:w="306"/>
        <w:gridCol w:w="1010"/>
        <w:gridCol w:w="169"/>
        <w:gridCol w:w="120"/>
        <w:gridCol w:w="120"/>
        <w:gridCol w:w="120"/>
        <w:gridCol w:w="305"/>
        <w:gridCol w:w="985"/>
        <w:gridCol w:w="239"/>
      </w:tblGrid>
      <w:tr>
        <w:trPr/>
        <w:tc>
          <w:tcPr>
            <w:tcW w:w="1862"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c>
          <w:tcPr>
            <w:tcW w:w="164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5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THIRTEEN WEEKS ENDED</w:t>
            </w:r>
          </w:p>
        </w:tc>
      </w:tr>
      <w:tr>
        <w:trPr/>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26, 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27, 2022</w:t>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operating activities</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7,989 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investing activities</w:t>
            </w:r>
          </w:p>
        </w:tc>
        <w:tc>
          <w:tcPr>
            <w:tcW w:w="13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(14,441)</w:t>
            </w:r>
          </w:p>
        </w:tc>
        <w:tc>
          <w:tcPr>
            <w:tcW w:w="1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(11,458)</w:t>
            </w:r>
          </w:p>
        </w:tc>
        <w:tc>
          <w:tcPr>
            <w:tcW w:w="2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financing activities</w:t>
            </w:r>
          </w:p>
        </w:tc>
        <w:tc>
          <w:tcPr>
            <w:tcW w:w="13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 and restricted cash</w:t>
            </w:r>
          </w:p>
        </w:tc>
        <w:tc>
          <w:tcPr>
            <w:tcW w:w="3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4,744 </w:t>
            </w:r>
          </w:p>
        </w:tc>
        <w:tc>
          <w:tcPr>
            <w:tcW w:w="16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(5,343)</w:t>
            </w:r>
          </w:p>
        </w:tc>
        <w:tc>
          <w:tcPr>
            <w:tcW w:w="23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during the thirteen weeks ended March 26, 2023 increased to $21.1 million from $8.0 million during the thirteen weeks ended March 27, 2022 primarily due to (i) the increase in net income of $4.7 million, (ii) the impact of non-cash charges of $2.6 million and (iii) the net change in operating assets and liabilities of $5.9 million. The increase in the non-cash charges was primarily driven by the change in deferred income taxes. The net change in operating assets and liabilities of $5.9 million was primarily driven by (i) the payment in December 2022 of payroll taxes deferred in 2020 in connection with the Coronavirus, Aid, Relief and Economic Security Act and (ii) the timing of operational payments.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investing activities increased to $14.4 million during the thirteen weeks ended March 26, 2023 from $11.5 million during the thirteen weeks ended March 27, 2022 primarily as a result of the increase in capital expenditures to support our restaurant growth.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 increased to $2.0 million during the thirteen weeks ended March 26, 2023 from $1.9 million during the thirteen weeks ended March 27, 2022 primarily as a result of higher principal repayments of debt, partially offset by (i) lower repayments on the note payable entered into in October 2022 and (ii) proceeds from the exercise of stock options, net of employee taxes paid.</w:t>
      </w:r>
    </w:p>
    <w:p>
      <w:pPr>
        <w:pStyle w:val="TextBody"/>
        <w:spacing w:before="24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Critical Accounting</w:t>
      </w:r>
      <w:r>
        <w:rPr>
          <w:color w:val="000000"/>
        </w:rPr>
        <w:t xml:space="preserve"> </w:t>
      </w:r>
      <w:r>
        <w:rPr>
          <w:rFonts w:ascii="Times New Roman;sans-serif" w:hAnsi="Times New Roman;sans-serif"/>
          <w:b/>
          <w:color w:val="000000"/>
          <w:sz w:val="20"/>
        </w:rPr>
        <w:t>Estimates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Our discussion and analysis of our financial condition and results of operations is based upon the accompanying unaudited interim consolidated financial statements and notes thereto, which have been prepared in accordance with GAAP. The preparation of these unaudited interim consolidated financial statements and related notes requires us to make estimates and assumptions that affect the reported amounts of assets, liabilities, revenue and expenses.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evaluation of trends in the industry and information available from other outside sources, as appropriate. We evaluate our estimates and judgments on an on-going basis. Our actual results may differ from these estimates. Judgments and uncertainties affecting the application of those policies may result in materially different amounts being reported under different conditions or using different assumptions. There have been no significant changes to our critical accounting policies as disclosed in “</w:t>
      </w:r>
      <w:r>
        <w:rPr>
          <w:rFonts w:ascii="Times New Roman;sans-serif" w:hAnsi="Times New Roman;sans-serif"/>
          <w:b w:val="false"/>
          <w:i/>
          <w:color w:val="000000"/>
          <w:sz w:val="20"/>
        </w:rPr>
        <w:t>Critical Accounting Estimates</w:t>
      </w:r>
      <w:r>
        <w:rPr>
          <w:color w:val="000000"/>
        </w:rPr>
        <w:t xml:space="preserve">” </w:t>
      </w:r>
      <w:r>
        <w:rPr>
          <w:rFonts w:ascii="Times New Roman;sans-serif" w:hAnsi="Times New Roman;sans-serif"/>
          <w:b w:val="false"/>
          <w:color w:val="000000"/>
          <w:sz w:val="20"/>
        </w:rPr>
        <w:t>in the 2022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spacing w:lineRule="auto" w:line="288" w:before="120" w:after="283"/>
        <w:jc w:val="both"/>
        <w:rPr/>
      </w:pPr>
      <w:r>
        <w:rPr>
          <w:rFonts w:ascii="Times New Roman;sans-serif" w:hAnsi="Times New Roman;sans-serif"/>
          <w:b w:val="false"/>
          <w:color w:val="000000"/>
          <w:sz w:val="20"/>
        </w:rPr>
        <w:t>For a discussion of any recently issued accounting pronounceme</w:t>
      </w:r>
      <w:r>
        <w:rPr>
          <w:rFonts w:ascii="Times New Roman;sans-serif" w:hAnsi="Times New Roman;sans-serif"/>
          <w:b w:val="false"/>
          <w:color w:val="000000"/>
          <w:sz w:val="20"/>
          <w:highlight w:val="white"/>
        </w:rPr>
        <w:t xml:space="preserve">nts, see Note 2, </w:t>
      </w:r>
      <w:r>
        <w:rPr>
          <w:rFonts w:ascii="Times New Roman;sans-serif" w:hAnsi="Times New Roman;sans-serif"/>
          <w:b w:val="false"/>
          <w:i/>
          <w:color w:val="000000"/>
          <w:sz w:val="20"/>
          <w:highlight w:val="white"/>
        </w:rPr>
        <w:t>Summary of Significant Accounting Policies</w:t>
      </w:r>
      <w:r>
        <w:rPr>
          <w:rFonts w:ascii="Times New Roman;sans-serif" w:hAnsi="Times New Roman;sans-serif"/>
          <w:b w:val="false"/>
          <w:color w:val="000000"/>
          <w:sz w:val="20"/>
          <w:highlight w:val="white"/>
        </w:rPr>
        <w:t xml:space="preserve">, in the accompanying notes to the unaudited interim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exposure to market risks as disclosed in the 2022 Form 10-K.</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responsible for establishing and maintaining disclosure controls and procedures, as defined in Rules 13a-15(e) and 15d-15(e) under the Securities Exchange Act of 1934, as amended (the “Exchange Act”), that are designed to ensure that information required to be disclosed in our reports filed or submitted under the Exchange Act, such as this Quarterly Report on Form 10-Q, is recorded, processed, summarized and reported within the time periods specified in the SEC’s rules and forms.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also include, without limitation, controls and procedures that are designed to ensure that such information is accumulated and communicated to our management, including our Chief Executive Officer and Chief Financial Officer, as appropriate, to allow timely decisions regarding required disclosure.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has evaluated the effectiveness of our disclosure controls and procedures as of the end of the period covered by this Quarterly Report on Form 10-Q. Due to the material weaknesses in our internal control over financial reporting, which were previously identified and disclosed in connection with our initial public offering and in our periodic reports filed with the SEC, our Chief Executive Officer and Chief Financial Officer concluded that, as of March 26, 2023,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consolidated financial statements for the periods covered by and included in this Quarterly Report on Form 10-Q fairly present, in all material respects, our financial position, results of operations and cash flows for the periods presented in conformity with GAAP.</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Previously Identified Material Weaknesses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annual or interim financial statements would not be prevented or detected on a timely basis.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the management report on internal control over financial reporting in Part II - Item 9A of the 2022 Form 10-K filed with SEC on March 7, 2023 for a discussion of the material weaknesses that continue to exist as of March 26, 2023.</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Remediation Efforts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taken certain measures to remediate the previously identified material weaknesses, including the following: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Hired new and reassigned existing financial reporting, accounting, and information technology leadership with public company experience to enhance public company financial reporting, technical accounting, and information technology services and solutions.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Augmented financial reporting capabilities by staffing professionals with special skills in income tax, internal audit, information technology, and legal.</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Established various policies, including a formal delegation of authority policy defining the protocols for reviewing and authorizing commitments, contracts, invoices, and transactions as well as a comprehensive set of information technology policies to govern the Company’s information technology practices.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Formalized certain roles and review responsibilities, including ensuring appropriate segregation of duties.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Designed and implemented period-end financial reporting controls, such as controls over the preparation and review of account reconciliations, financial statement disclosures, and the consolidated financial statements as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well as establishing a formal management Disclosure Committee to review the draft financial statements and disclosures prior to release, including a sub-certification process from various functional groups.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Designed and implemented controls over the accounting for income taxes to ensure the appropriate recording of deferred income taxes, income taxes and related disclosures.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Designed sufficient user access controls to ensure appropriate segregation of duties and adequately restrict user and privileged access to financial applications, programs and data to appropriate Company personnel.</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Designed and implemented change management controls to ensure that information technology program and data changes affecting financial information technology applications and underlying accounting records are identified, tested, authorized, and implemented appropriately.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Designed and implemented computer operation controls to ensure critical jobs are monitored and privileges are appropriately granted.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Implemented a new backup and recovery platform to monitor data backups for all relevant systems in accordance with the applicable policy as well as manage a test recovery process.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evaluate and work to improve our internal control over financial reporting, we may take additional measures to address control deficiencies, or we may modify certain of the remediation measures described above. The material weaknesses will not be considered remediated until the applicable controls operate for a sufficient period of time and management has concluded, through testing, that these controls are operating effectively.</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in the “Remediation Efforts” section, there were changes during the fiscal quarter ended March 26, 2023 in our internal control over financial reporting that have materially affected, or are reasonably likely to materially affect, our internal control over financial reporting.</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We are involved in various claims and legal actions that arise in the ordinary course of business. We currently do not believe that the ultimate resolution of any of these actions, individually or taken in the aggregate, will have a material adverse effect on our financial position, results of operations, liquidity or capital resources. A significant increase in the number of claims or an increase in amounts owing under successful claims could materially adversely affect our business, financial condition, results of operations and cash flows. See Note 10,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in the accompanying notes to the unaudited interim consolidated financial statements.</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discussed in this report, please consider the factors described in Part I, Item 1A., “Risk Factors,” in our 2022 Form 10-K which could materially affect our business, financial condition or future results. There have not been any material changes to the risk factors described in our 2022 Form 10-K, but these are not the only risks facing our Company. Additional risks and uncertainties not currently known to us or that we currently deem to be immaterial also may adversely affect our business, financial condition or operating results.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98160bee112a4a388887a6ac3a68652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exhibits listed in the Exhibits index to this Form 10-Q are incorporated herein by reference.</w:t>
      </w:r>
    </w:p>
    <w:tbl>
      <w:tblPr>
        <w:tblW w:w="10205" w:type="dxa"/>
        <w:jc w:val="left"/>
        <w:tblInd w:w="0" w:type="dxa"/>
        <w:tblCellMar>
          <w:top w:w="28" w:type="dxa"/>
          <w:left w:w="28" w:type="dxa"/>
          <w:bottom w:w="28" w:type="dxa"/>
          <w:right w:w="28" w:type="dxa"/>
        </w:tblCellMar>
      </w:tblPr>
      <w:tblGrid>
        <w:gridCol w:w="262"/>
        <w:gridCol w:w="230"/>
        <w:gridCol w:w="232"/>
        <w:gridCol w:w="109"/>
        <w:gridCol w:w="109"/>
        <w:gridCol w:w="109"/>
        <w:gridCol w:w="2081"/>
        <w:gridCol w:w="2081"/>
        <w:gridCol w:w="2099"/>
        <w:gridCol w:w="109"/>
        <w:gridCol w:w="109"/>
        <w:gridCol w:w="109"/>
        <w:gridCol w:w="749"/>
        <w:gridCol w:w="749"/>
        <w:gridCol w:w="1068"/>
      </w:tblGrid>
      <w:tr>
        <w:trPr/>
        <w:tc>
          <w:tcPr>
            <w:tcW w:w="262"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1" w:type="dxa"/>
            <w:tcBorders/>
            <w:shd w:fill="auto" w:val="clear"/>
            <w:vAlign w:val="center"/>
          </w:tcPr>
          <w:p>
            <w:pPr>
              <w:pStyle w:val="TableContents"/>
              <w:spacing w:before="0" w:after="283"/>
              <w:rPr>
                <w:sz w:val="4"/>
                <w:szCs w:val="4"/>
              </w:rPr>
            </w:pPr>
            <w:r>
              <w:rPr>
                <w:sz w:val="4"/>
                <w:szCs w:val="4"/>
              </w:rPr>
            </w:r>
          </w:p>
        </w:tc>
        <w:tc>
          <w:tcPr>
            <w:tcW w:w="2081" w:type="dxa"/>
            <w:tcBorders/>
            <w:shd w:fill="auto" w:val="clear"/>
            <w:vAlign w:val="center"/>
          </w:tcPr>
          <w:p>
            <w:pPr>
              <w:pStyle w:val="TableContents"/>
              <w:spacing w:before="0" w:after="283"/>
              <w:rPr>
                <w:sz w:val="4"/>
                <w:szCs w:val="4"/>
              </w:rPr>
            </w:pPr>
            <w:r>
              <w:rPr>
                <w:sz w:val="4"/>
                <w:szCs w:val="4"/>
              </w:rPr>
            </w:r>
          </w:p>
        </w:tc>
        <w:tc>
          <w:tcPr>
            <w:tcW w:w="20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r>
      <w:tr>
        <w:trPr/>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FILINGS REFERENCED FOR INCORPORATION BY REFERENCE</w:t>
            </w:r>
          </w:p>
        </w:tc>
      </w:tr>
      <w:tr>
        <w:trPr/>
        <w:tc>
          <w:tcPr>
            <w:tcW w:w="7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311section302certificatio.htm">
              <w:r>
                <w:rPr>
                  <w:rStyle w:val="InternetLink"/>
                  <w:rFonts w:ascii="Times New Roman;sans-serif" w:hAnsi="Times New Roman;sans-serif"/>
                  <w:b w:val="false"/>
                  <w:color w:val="0000FF"/>
                  <w:sz w:val="20"/>
                  <w:u w:val="single"/>
                </w:rPr>
                <w:t>Certification of the Chief Executive Officer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312section302certificatio.htm">
              <w:r>
                <w:rPr>
                  <w:rStyle w:val="InternetLink"/>
                  <w:rFonts w:ascii="Times New Roman;sans-serif" w:hAnsi="Times New Roman;sans-serif"/>
                  <w:b w:val="false"/>
                  <w:color w:val="0000FF"/>
                  <w:sz w:val="20"/>
                  <w:u w:val="single"/>
                </w:rPr>
                <w:t>Certification of the Chief Financial Officer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321section906certificatio.htm">
              <w:r>
                <w:rPr>
                  <w:rStyle w:val="InternetLink"/>
                </w:rPr>
                <w:t>Certification of Chief Executive Officer and Chief Financial Officer pursuant to 18 U.S.C. Section 1350, as adopted pursuant to Section 906 of the Sarbanes-Oxley Act of 2002</w:t>
              </w:r>
            </w:hyperlink>
            <w:hyperlink w:anchor="a321section906certificatio.htm">
              <w:r>
                <w:rPr>
                  <w:rStyle w:val="InternetLink"/>
                </w:rPr>
                <w:t xml:space="preserve">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1"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0"/>
              </w:rPr>
              <w:t>The financial information from First Watch Restaurant Group, Inc.</w:t>
            </w:r>
            <w:r>
              <w:rPr>
                <w:color w:val="000000"/>
                <w:highlight w:val="white"/>
              </w:rPr>
              <w:t>’</w:t>
            </w:r>
            <w:r>
              <w:rPr>
                <w:rFonts w:ascii="Times New Roman;sans-serif" w:hAnsi="Times New Roman;sans-serif"/>
                <w:b w:val="false"/>
                <w:color w:val="000000"/>
                <w:sz w:val="20"/>
              </w:rPr>
              <w:t>s Quarterly Report on Form 10-Q for the first fiscal quarter ended March 26, 2023, filed on May 2, 2023, formatted in Inline Extensible Business Reporting Language (“iXBRL”)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Date File (formatted as iXBRL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p>
      <w:pPr>
        <w:pStyle w:val="TextBody"/>
        <w:spacing w:lineRule="auto" w:line="288" w:before="360" w:after="283"/>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This certification is not deemed to be “filed” for purposes of Section 18 of the Exchange Act, or otherwise subject to the liability of that section. This certification will not be deemed to be incorporated by reference into any filing under the Securities Act or the Exchange Act, except to the extent that the registrant specifically incorporates them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 on May 2, 2023.</w:t>
      </w:r>
    </w:p>
    <w:p>
      <w:pPr>
        <w:pStyle w:val="TextBody"/>
        <w:spacing w:before="240" w:after="283"/>
        <w:rPr/>
      </w:pPr>
      <w:r>
        <w:rPr/>
      </w:r>
    </w:p>
    <w:tbl>
      <w:tblPr>
        <w:tblW w:w="9302" w:type="dxa"/>
        <w:jc w:val="left"/>
        <w:tblInd w:w="0" w:type="dxa"/>
        <w:tblCellMar>
          <w:top w:w="28" w:type="dxa"/>
          <w:left w:w="28" w:type="dxa"/>
          <w:bottom w:w="28" w:type="dxa"/>
          <w:right w:w="28" w:type="dxa"/>
        </w:tblCellMar>
      </w:tblPr>
      <w:tblGrid>
        <w:gridCol w:w="124"/>
        <w:gridCol w:w="109"/>
        <w:gridCol w:w="109"/>
        <w:gridCol w:w="637"/>
        <w:gridCol w:w="637"/>
        <w:gridCol w:w="637"/>
        <w:gridCol w:w="2058"/>
        <w:gridCol w:w="2058"/>
        <w:gridCol w:w="293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2058" w:type="dxa"/>
            <w:tcBorders/>
            <w:shd w:fill="auto" w:val="clear"/>
            <w:vAlign w:val="center"/>
          </w:tcPr>
          <w:p>
            <w:pPr>
              <w:pStyle w:val="TableContents"/>
              <w:spacing w:before="0" w:after="283"/>
              <w:rPr>
                <w:sz w:val="4"/>
                <w:szCs w:val="4"/>
              </w:rPr>
            </w:pPr>
            <w:r>
              <w:rPr>
                <w:sz w:val="4"/>
                <w:szCs w:val="4"/>
              </w:rPr>
            </w:r>
          </w:p>
        </w:tc>
        <w:tc>
          <w:tcPr>
            <w:tcW w:w="2058" w:type="dxa"/>
            <w:tcBorders/>
            <w:shd w:fill="auto" w:val="clear"/>
            <w:vAlign w:val="center"/>
          </w:tcPr>
          <w:p>
            <w:pPr>
              <w:pStyle w:val="TableContents"/>
              <w:spacing w:before="0" w:after="283"/>
              <w:rPr>
                <w:sz w:val="4"/>
                <w:szCs w:val="4"/>
              </w:rPr>
            </w:pPr>
            <w:r>
              <w:rPr>
                <w:sz w:val="4"/>
                <w:szCs w:val="4"/>
              </w:rPr>
            </w:r>
          </w:p>
        </w:tc>
        <w:tc>
          <w:tcPr>
            <w:tcW w:w="293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FIRST WATCH RESTAURANT GROUP,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A. Tomasso</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70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 Tomasso</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 (Principal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Mel Hope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70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Mel Hope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 and Principal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ind w:left="0" w:right="0" w:firstLine="720"/>
        <w:jc w:val="right"/>
        <w:rPr>
          <w:rFonts w:ascii="Times New Roman;sans-serif" w:hAnsi="Times New Roman;sans-serif"/>
          <w:b/>
          <w:color w:val="000000"/>
          <w:sz w:val="19"/>
        </w:rPr>
      </w:pPr>
      <w:r>
        <w:rPr>
          <w:rFonts w:ascii="Times New Roman;sans-serif" w:hAnsi="Times New Roman;sans-serif"/>
          <w:b/>
          <w:color w:val="000000"/>
          <w:sz w:val="19"/>
        </w:rPr>
        <w:t>Exhibit 31.1</w:t>
      </w:r>
    </w:p>
    <w:p>
      <w:pPr>
        <w:pStyle w:val="TextBody"/>
        <w:spacing w:before="0" w:after="2"/>
        <w:jc w:val="center"/>
        <w:rPr/>
      </w:pPr>
      <w:r>
        <w:rPr/>
      </w:r>
    </w:p>
    <w:p>
      <w:pPr>
        <w:pStyle w:val="TextBody"/>
        <w:spacing w:lineRule="auto" w:line="300" w:before="0" w:after="2"/>
        <w:jc w:val="center"/>
        <w:rPr>
          <w:rFonts w:ascii="Times New Roman;sans-serif" w:hAnsi="Times New Roman;sans-serif"/>
          <w:b/>
          <w:color w:val="000000"/>
          <w:sz w:val="19"/>
        </w:rPr>
      </w:pPr>
      <w:r>
        <w:rPr>
          <w:rFonts w:ascii="Times New Roman;sans-serif" w:hAnsi="Times New Roman;sans-serif"/>
          <w:b/>
          <w:color w:val="000000"/>
          <w:sz w:val="19"/>
        </w:rPr>
        <w:t>Certification of Principal Executive Officer Pursuant to Exchange Act Rule 13a-14(a)/15d-14(a) as Adopted Pursuant to Section 302 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9"/>
        </w:rPr>
      </w:pPr>
      <w:r>
        <w:rPr>
          <w:rFonts w:ascii="Times New Roman;sans-serif" w:hAnsi="Times New Roman;sans-serif"/>
          <w:b w:val="false"/>
          <w:color w:val="000000"/>
          <w:sz w:val="19"/>
        </w:rPr>
        <w:t>I, Christopher A. Tomasso, certify that:</w:t>
      </w:r>
    </w:p>
    <w:p>
      <w:pPr>
        <w:pStyle w:val="TextBody"/>
        <w:spacing w:before="0" w:after="0"/>
        <w:rPr/>
      </w:pPr>
      <w:r>
        <w:rPr/>
      </w:r>
    </w:p>
    <w:p>
      <w:pPr>
        <w:pStyle w:val="TextBody"/>
        <w:spacing w:lineRule="auto" w:line="288" w:before="0" w:after="0"/>
        <w:ind w:left="0" w:right="0" w:hanging="360"/>
        <w:rPr/>
      </w:pPr>
      <w:r>
        <w:rPr>
          <w:rFonts w:ascii="Times New Roman;sans-serif" w:hAnsi="Times New Roman;sans-serif"/>
          <w:b w:val="false"/>
          <w:color w:val="000000"/>
          <w:sz w:val="20"/>
        </w:rPr>
        <w:t>1.</w:t>
      </w:r>
      <w:r>
        <w:rPr>
          <w:rFonts w:ascii="Times New Roman;sans-serif" w:hAnsi="Times New Roman;sans-serif"/>
          <w:b w:val="false"/>
          <w:color w:val="000000"/>
          <w:sz w:val="19"/>
        </w:rPr>
        <w:t>I have reviewed this Quarterly Report on Form 10-Q of First Watch Restaurant Group, Inc.;</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2.</w:t>
      </w:r>
      <w:r>
        <w:rPr>
          <w:rFonts w:ascii="Times New Roman;sans-serif" w:hAnsi="Times New Roman;sans-serif"/>
          <w:b w:val="false"/>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3.</w:t>
      </w:r>
      <w:r>
        <w:rPr>
          <w:rFonts w:ascii="Times New Roman;sans-serif" w:hAnsi="Times New Roman;sans-serif"/>
          <w:b w:val="false"/>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19"/>
        </w:rPr>
      </w:pPr>
      <w:r>
        <w:rPr>
          <w:rFonts w:ascii="Times New Roman;sans-serif" w:hAnsi="Times New Roman;sans-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(a)</w:t>
      </w:r>
      <w:r>
        <w:rPr>
          <w:rFonts w:ascii="Times New Roman;sans-serif" w:hAnsi="Times New Roman;sans-serif"/>
          <w:b w:val="false"/>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19"/>
        </w:rPr>
      </w:pPr>
      <w:r>
        <w:rPr>
          <w:rFonts w:ascii="Times New Roman;sans-serif" w:hAnsi="Times New Roman;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(c)</w:t>
      </w:r>
      <w:r>
        <w:rPr>
          <w:rFonts w:ascii="Times New Roman;sans-serif" w:hAnsi="Times New Roman;sans-serif"/>
          <w:b w:val="false"/>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(d)</w:t>
      </w:r>
      <w:r>
        <w:rPr>
          <w:rFonts w:ascii="Times New Roman;sans-serif" w:hAnsi="Times New Roman;sans-serif"/>
          <w:b w:val="false"/>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5.</w:t>
      </w:r>
      <w:r>
        <w:rPr>
          <w:rFonts w:ascii="Times New Roman;sans-serif" w:hAnsi="Times New Roman;sans-serif"/>
          <w:b w:val="false"/>
          <w:color w:val="000000"/>
          <w:sz w:val="19"/>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(b)Any fraud, whether or not material, that involves management or other employees who have a significant role in the registrant’s internal control over financial reporting. </w:t>
      </w:r>
    </w:p>
    <w:tbl>
      <w:tblPr>
        <w:tblW w:w="2022"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00" w:before="0" w:after="160"/>
        <w:rPr>
          <w:rFonts w:ascii="Times New Roman;sans-serif" w:hAnsi="Times New Roman;sans-serif"/>
          <w:b w:val="false"/>
          <w:color w:val="000000"/>
          <w:sz w:val="19"/>
        </w:rPr>
      </w:pPr>
      <w:r>
        <w:rPr>
          <w:rFonts w:ascii="Times New Roman;sans-serif" w:hAnsi="Times New Roman;sans-serif"/>
          <w:b w:val="false"/>
          <w:color w:val="000000"/>
          <w:sz w:val="19"/>
        </w:rPr>
        <w:t>Date: May 2, 2023</w:t>
      </w:r>
    </w:p>
    <w:p>
      <w:pPr>
        <w:pStyle w:val="TextBody"/>
        <w:spacing w:lineRule="auto" w:line="288" w:before="0" w:after="0"/>
        <w:ind w:left="0" w:right="0" w:firstLine="720"/>
        <w:rPr>
          <w:rFonts w:ascii="Times New Roman;sans-serif" w:hAnsi="Times New Roman;sans-serif"/>
          <w:b w:val="false"/>
          <w:color w:val="000000"/>
          <w:sz w:val="19"/>
          <w:highlight w:val="white"/>
          <w:u w:val="single"/>
        </w:rPr>
      </w:pPr>
      <w:r>
        <w:rPr>
          <w:rFonts w:ascii="Times New Roman;sans-serif" w:hAnsi="Times New Roman;sans-serif"/>
          <w:b w:val="false"/>
          <w:color w:val="000000"/>
          <w:sz w:val="19"/>
          <w:highlight w:val="white"/>
          <w:u w:val="single"/>
        </w:rPr>
        <w:t>/s/ Christopher A. Tomasso</w:t>
      </w:r>
    </w:p>
    <w:p>
      <w:pPr>
        <w:pStyle w:val="TextBody"/>
        <w:spacing w:lineRule="auto" w:line="288"/>
        <w:rPr>
          <w:rFonts w:ascii="Times New Roman;sans-serif" w:hAnsi="Times New Roman;sans-serif"/>
          <w:b w:val="false"/>
          <w:color w:val="000000"/>
          <w:sz w:val="19"/>
          <w:highlight w:val="white"/>
        </w:rPr>
      </w:pPr>
      <w:r>
        <w:rPr>
          <w:rFonts w:ascii="Times New Roman;sans-serif" w:hAnsi="Times New Roman;sans-serif"/>
          <w:b w:val="false"/>
          <w:color w:val="000000"/>
          <w:sz w:val="19"/>
          <w:highlight w:val="white"/>
        </w:rPr>
        <w:t>Christopher A. Tomasso</w:t>
      </w:r>
      <w:r>
        <w:br w:type="page"/>
      </w:r>
    </w:p>
    <w:p>
      <w:pPr>
        <w:pStyle w:val="TextBody"/>
        <w:spacing w:before="0" w:after="2"/>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0"/>
        <w:rPr>
          <w:rFonts w:ascii="Times New Roman;sans-serif" w:hAnsi="Times New Roman;sans-serif"/>
          <w:b w:val="false"/>
          <w:color w:val="000000"/>
          <w:sz w:val="19"/>
          <w:highlight w:val="white"/>
        </w:rPr>
      </w:pPr>
      <w:r>
        <w:rPr>
          <w:rFonts w:ascii="Times New Roman;sans-serif" w:hAnsi="Times New Roman;sans-serif"/>
          <w:b w:val="false"/>
          <w:color w:val="000000"/>
          <w:sz w:val="19"/>
          <w:highlight w:val="white"/>
        </w:rPr>
        <w:t>Chief Executive Officer</w:t>
      </w:r>
    </w:p>
    <w:p>
      <w:pPr>
        <w:pStyle w:val="TextBody"/>
        <w:spacing w:lineRule="auto" w:line="300" w:before="0" w:after="2"/>
        <w:ind w:left="0" w:right="0" w:firstLine="720"/>
        <w:rPr>
          <w:rFonts w:ascii="Times New Roman;sans-serif" w:hAnsi="Times New Roman;sans-serif"/>
          <w:b w:val="false"/>
          <w:color w:val="000000"/>
          <w:sz w:val="19"/>
        </w:rPr>
      </w:pPr>
      <w:r>
        <w:rPr>
          <w:rFonts w:ascii="Times New Roman;sans-serif" w:hAnsi="Times New Roman;sans-serif"/>
          <w:b w:val="false"/>
          <w:color w:val="000000"/>
          <w:sz w:val="19"/>
        </w:rPr>
        <w:t>(Principal Executive Officer)</w:t>
      </w:r>
    </w:p>
    <w:p>
      <w:pPr>
        <w:pStyle w:val="TextBody"/>
        <w:spacing w:lineRule="auto" w:line="300" w:before="0" w:after="160"/>
        <w:rPr>
          <w:color w:val="000000"/>
        </w:rPr>
      </w:pPr>
      <w:r>
        <w:rPr>
          <w:color w:val="000000"/>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0"/>
        <w:ind w:left="0" w:right="0" w:hanging="360"/>
        <w:jc w:val="right"/>
        <w:rPr>
          <w:rFonts w:ascii="Times New Roman;sans-serif" w:hAnsi="Times New Roman;sans-serif"/>
          <w:b/>
          <w:color w:val="000000"/>
          <w:sz w:val="19"/>
        </w:rPr>
      </w:pPr>
      <w:r>
        <w:rPr>
          <w:rFonts w:ascii="Times New Roman;sans-serif" w:hAnsi="Times New Roman;sans-serif"/>
          <w:b/>
          <w:color w:val="000000"/>
          <w:sz w:val="19"/>
        </w:rPr>
        <w:t>Exhibit 31.2</w:t>
      </w:r>
    </w:p>
    <w:p>
      <w:pPr>
        <w:pStyle w:val="TextBody"/>
        <w:spacing w:before="0" w:after="2"/>
        <w:jc w:val="center"/>
        <w:rPr/>
      </w:pPr>
      <w:r>
        <w:rPr/>
      </w:r>
    </w:p>
    <w:p>
      <w:pPr>
        <w:pStyle w:val="TextBody"/>
        <w:spacing w:lineRule="auto" w:line="300" w:before="0" w:after="2"/>
        <w:jc w:val="center"/>
        <w:rPr>
          <w:rFonts w:ascii="Times New Roman;sans-serif" w:hAnsi="Times New Roman;sans-serif"/>
          <w:b/>
          <w:color w:val="000000"/>
          <w:sz w:val="19"/>
        </w:rPr>
      </w:pPr>
      <w:r>
        <w:rPr>
          <w:rFonts w:ascii="Times New Roman;sans-serif" w:hAnsi="Times New Roman;sans-serif"/>
          <w:b/>
          <w:color w:val="000000"/>
          <w:sz w:val="19"/>
        </w:rPr>
        <w:t>Certification of Principal Financial Officer Pursuant to Exchange Act Rule 13a-14(a)/15d-14(a) as Adopted</w:t>
      </w:r>
    </w:p>
    <w:p>
      <w:pPr>
        <w:pStyle w:val="TextBody"/>
        <w:spacing w:lineRule="auto" w:line="300" w:before="0" w:after="2"/>
        <w:jc w:val="center"/>
        <w:rPr>
          <w:rFonts w:ascii="Times New Roman;sans-serif" w:hAnsi="Times New Roman;sans-serif"/>
          <w:b/>
          <w:color w:val="000000"/>
          <w:sz w:val="19"/>
        </w:rPr>
      </w:pPr>
      <w:r>
        <w:rPr>
          <w:rFonts w:ascii="Times New Roman;sans-serif" w:hAnsi="Times New Roman;sans-serif"/>
          <w:b/>
          <w:color w:val="000000"/>
          <w:sz w:val="19"/>
        </w:rPr>
        <w:t>Pursuant to Section 302 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9"/>
        </w:rPr>
      </w:pPr>
      <w:r>
        <w:rPr>
          <w:rFonts w:ascii="Times New Roman;sans-serif" w:hAnsi="Times New Roman;sans-serif"/>
          <w:b w:val="false"/>
          <w:color w:val="000000"/>
          <w:sz w:val="19"/>
        </w:rPr>
        <w:t>I, Mel Hope, certify that:</w:t>
      </w:r>
    </w:p>
    <w:p>
      <w:pPr>
        <w:pStyle w:val="TextBody"/>
        <w:spacing w:before="0" w:after="0"/>
        <w:rPr/>
      </w:pPr>
      <w:r>
        <w:rPr/>
      </w:r>
    </w:p>
    <w:p>
      <w:pPr>
        <w:pStyle w:val="TextBody"/>
        <w:spacing w:lineRule="auto" w:line="288" w:before="0" w:after="0"/>
        <w:ind w:left="0" w:right="0" w:hanging="360"/>
        <w:rPr/>
      </w:pPr>
      <w:r>
        <w:rPr>
          <w:rFonts w:ascii="Arial Narrow;sans-serif" w:hAnsi="Arial Narrow;sans-serif"/>
          <w:b w:val="false"/>
          <w:color w:val="000000"/>
          <w:sz w:val="20"/>
        </w:rPr>
        <w:t>1.</w:t>
      </w:r>
      <w:r>
        <w:rPr>
          <w:rFonts w:ascii="Times New Roman;sans-serif" w:hAnsi="Times New Roman;sans-serif"/>
          <w:b w:val="false"/>
          <w:color w:val="000000"/>
          <w:sz w:val="19"/>
        </w:rPr>
        <w:t>I have reviewed this Quarterly Report on Form 10-Q of First Watch Restaurant Group, Inc.;</w:t>
      </w:r>
    </w:p>
    <w:p>
      <w:pPr>
        <w:pStyle w:val="TextBody"/>
        <w:spacing w:before="0" w:after="0"/>
        <w:jc w:val="both"/>
        <w:rPr/>
      </w:pPr>
      <w:r>
        <w:rPr/>
      </w:r>
    </w:p>
    <w:p>
      <w:pPr>
        <w:pStyle w:val="TextBody"/>
        <w:spacing w:lineRule="auto" w:line="288" w:before="0" w:after="0"/>
        <w:ind w:left="0" w:right="0" w:hanging="360"/>
        <w:jc w:val="both"/>
        <w:rPr/>
      </w:pPr>
      <w:r>
        <w:rPr>
          <w:rFonts w:ascii="Arial Narrow;sans-serif" w:hAnsi="Arial Narrow;sans-serif"/>
          <w:b w:val="false"/>
          <w:color w:val="000000"/>
          <w:sz w:val="20"/>
        </w:rPr>
        <w:t>2.</w:t>
      </w:r>
      <w:r>
        <w:rPr>
          <w:rFonts w:ascii="Times New Roman;sans-serif" w:hAnsi="Times New Roman;sans-serif"/>
          <w:b w:val="false"/>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jc w:val="both"/>
        <w:rPr/>
      </w:pPr>
      <w:r>
        <w:rPr>
          <w:rFonts w:ascii="Arial Narrow;sans-serif" w:hAnsi="Arial Narrow;sans-serif"/>
          <w:b w:val="false"/>
          <w:color w:val="000000"/>
          <w:sz w:val="20"/>
        </w:rPr>
        <w:t>3.</w:t>
      </w:r>
      <w:r>
        <w:rPr>
          <w:rFonts w:ascii="Times New Roman;sans-serif" w:hAnsi="Times New Roman;sans-serif"/>
          <w:b w:val="false"/>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19"/>
        </w:rPr>
      </w:pPr>
      <w:r>
        <w:rPr>
          <w:rFonts w:ascii="Times New Roman;sans-serif" w:hAnsi="Times New Roman;sans-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360"/>
        <w:jc w:val="both"/>
        <w:rPr/>
      </w:pPr>
      <w:r>
        <w:rPr>
          <w:rFonts w:ascii="Arial Narrow;sans-serif" w:hAnsi="Arial Narrow;sans-serif"/>
          <w:b w:val="false"/>
          <w:color w:val="000000"/>
          <w:sz w:val="20"/>
        </w:rPr>
        <w:t>(a)</w:t>
      </w:r>
      <w:r>
        <w:rPr>
          <w:rFonts w:ascii="Times New Roman;sans-serif" w:hAnsi="Times New Roman;sans-serif"/>
          <w:b w:val="false"/>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19"/>
        </w:rPr>
      </w:pPr>
      <w:r>
        <w:rPr>
          <w:rFonts w:ascii="Times New Roman;sans-serif" w:hAnsi="Times New Roman;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r>
    </w:p>
    <w:p>
      <w:pPr>
        <w:pStyle w:val="TextBody"/>
        <w:spacing w:lineRule="auto" w:line="288" w:before="0" w:after="0"/>
        <w:ind w:left="0" w:right="0" w:hanging="360"/>
        <w:jc w:val="both"/>
        <w:rPr/>
      </w:pPr>
      <w:r>
        <w:rPr>
          <w:rFonts w:ascii="Arial Narrow;sans-serif" w:hAnsi="Arial Narrow;sans-serif"/>
          <w:b w:val="false"/>
          <w:color w:val="000000"/>
          <w:sz w:val="20"/>
        </w:rPr>
        <w:t>(c)</w:t>
      </w:r>
      <w:r>
        <w:rPr>
          <w:rFonts w:ascii="Times New Roman;sans-serif" w:hAnsi="Times New Roman;sans-serif"/>
          <w:b w:val="false"/>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360"/>
        <w:jc w:val="both"/>
        <w:rPr/>
      </w:pPr>
      <w:r>
        <w:rPr>
          <w:rFonts w:ascii="Arial Narrow;sans-serif" w:hAnsi="Arial Narrow;sans-serif"/>
          <w:b w:val="false"/>
          <w:color w:val="000000"/>
          <w:sz w:val="20"/>
        </w:rPr>
        <w:t>(d)</w:t>
      </w:r>
      <w:r>
        <w:rPr>
          <w:rFonts w:ascii="Times New Roman;sans-serif" w:hAnsi="Times New Roman;sans-serif"/>
          <w:b w:val="false"/>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hanging="360"/>
        <w:jc w:val="both"/>
        <w:rPr/>
      </w:pPr>
      <w:r>
        <w:rPr>
          <w:rFonts w:ascii="Arial Narrow;sans-serif" w:hAnsi="Arial Narrow;sans-serif"/>
          <w:b w:val="false"/>
          <w:color w:val="000000"/>
          <w:sz w:val="20"/>
        </w:rPr>
        <w:t>5.</w:t>
      </w:r>
      <w:r>
        <w:rPr>
          <w:rFonts w:ascii="Times New Roman;sans-serif" w:hAnsi="Times New Roman;sans-serif"/>
          <w:b w:val="false"/>
          <w:color w:val="000000"/>
          <w:sz w:val="19"/>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(b)Any fraud, whether or not material, that involves management or other employees who have a significant role in the registrant’s internal control over financial reporting. </w:t>
      </w:r>
    </w:p>
    <w:tbl>
      <w:tblPr>
        <w:tblW w:w="2022"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00" w:before="0" w:after="160"/>
        <w:rPr>
          <w:rFonts w:ascii="Times New Roman;sans-serif" w:hAnsi="Times New Roman;sans-serif"/>
          <w:b w:val="false"/>
          <w:color w:val="000000"/>
          <w:sz w:val="19"/>
        </w:rPr>
      </w:pPr>
      <w:r>
        <w:rPr>
          <w:rFonts w:ascii="Times New Roman;sans-serif" w:hAnsi="Times New Roman;sans-serif"/>
          <w:b w:val="false"/>
          <w:color w:val="000000"/>
          <w:sz w:val="19"/>
        </w:rPr>
        <w:t>Date: May 2, 2023</w:t>
      </w:r>
    </w:p>
    <w:p>
      <w:pPr>
        <w:pStyle w:val="TextBody"/>
        <w:spacing w:lineRule="auto" w:line="288" w:before="0" w:after="0"/>
        <w:ind w:left="0" w:right="0" w:firstLine="720"/>
        <w:rPr>
          <w:rFonts w:ascii="Times New Roman;sans-serif" w:hAnsi="Times New Roman;sans-serif"/>
          <w:b w:val="false"/>
          <w:color w:val="000000"/>
          <w:sz w:val="19"/>
          <w:highlight w:val="white"/>
          <w:u w:val="single"/>
        </w:rPr>
      </w:pPr>
      <w:r>
        <w:rPr>
          <w:rFonts w:ascii="Times New Roman;sans-serif" w:hAnsi="Times New Roman;sans-serif"/>
          <w:b w:val="false"/>
          <w:color w:val="000000"/>
          <w:sz w:val="19"/>
          <w:highlight w:val="white"/>
          <w:u w:val="single"/>
        </w:rPr>
        <w:t>/s/ Mel Hope</w:t>
      </w:r>
    </w:p>
    <w:p>
      <w:pPr>
        <w:pStyle w:val="TextBody"/>
        <w:spacing w:lineRule="auto" w:line="288"/>
        <w:rPr>
          <w:rFonts w:ascii="Times New Roman;sans-serif" w:hAnsi="Times New Roman;sans-serif"/>
          <w:b w:val="false"/>
          <w:color w:val="000000"/>
          <w:sz w:val="19"/>
          <w:highlight w:val="white"/>
        </w:rPr>
      </w:pPr>
      <w:r>
        <w:rPr>
          <w:rFonts w:ascii="Times New Roman;sans-serif" w:hAnsi="Times New Roman;sans-serif"/>
          <w:b w:val="false"/>
          <w:color w:val="000000"/>
          <w:sz w:val="19"/>
          <w:highlight w:val="white"/>
        </w:rPr>
        <w:t>Mel Hope</w:t>
      </w:r>
      <w:r>
        <w:br w:type="page"/>
      </w:r>
    </w:p>
    <w:p>
      <w:pPr>
        <w:pStyle w:val="TextBody"/>
        <w:spacing w:before="0" w:after="2"/>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0"/>
        <w:rPr>
          <w:rFonts w:ascii="Times New Roman;sans-serif" w:hAnsi="Times New Roman;sans-serif"/>
          <w:b w:val="false"/>
          <w:color w:val="000000"/>
          <w:sz w:val="19"/>
          <w:highlight w:val="white"/>
        </w:rPr>
      </w:pPr>
      <w:r>
        <w:rPr>
          <w:rFonts w:ascii="Times New Roman;sans-serif" w:hAnsi="Times New Roman;sans-serif"/>
          <w:b w:val="false"/>
          <w:color w:val="000000"/>
          <w:sz w:val="19"/>
          <w:highlight w:val="white"/>
        </w:rPr>
        <w:t>Chief Financial Officer</w:t>
      </w:r>
    </w:p>
    <w:p>
      <w:pPr>
        <w:pStyle w:val="TextBody"/>
        <w:spacing w:lineRule="auto" w:line="288" w:before="0" w:after="0"/>
        <w:rPr>
          <w:rFonts w:ascii="Times New Roman;sans-serif" w:hAnsi="Times New Roman;sans-serif"/>
          <w:b w:val="false"/>
          <w:color w:val="000000"/>
          <w:sz w:val="19"/>
          <w:highlight w:val="white"/>
        </w:rPr>
      </w:pPr>
      <w:r>
        <w:rPr>
          <w:rFonts w:ascii="Times New Roman;sans-serif" w:hAnsi="Times New Roman;sans-serif"/>
          <w:b w:val="false"/>
          <w:color w:val="000000"/>
          <w:sz w:val="19"/>
          <w:highlight w:val="white"/>
        </w:rPr>
        <w:t>(Principal Financial Officer)</w:t>
      </w:r>
    </w:p>
    <w:p>
      <w:pPr>
        <w:pStyle w:val="TextBody"/>
        <w:spacing w:lineRule="auto" w:line="288"/>
        <w:rPr/>
      </w:pPr>
      <w:r>
        <w:rPr>
          <w:color w:val="000000"/>
          <w:highlight w:val="white"/>
        </w:rPr>
        <w:t>                                </w:t>
      </w:r>
      <w:r>
        <w:rPr>
          <w:color w:val="000000"/>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2"/>
        <w:jc w:val="center"/>
        <w:rPr/>
      </w:pPr>
      <w:r>
        <w:rPr/>
      </w:r>
    </w:p>
    <w:p>
      <w:pPr>
        <w:pStyle w:val="TextBody"/>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AND PRINCIPAL FINANCIAL OFFICER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spacing w:before="0" w:after="160"/>
        <w:rPr/>
      </w:pPr>
      <w:r>
        <w:rPr/>
      </w:r>
    </w:p>
    <w:p>
      <w:pPr>
        <w:pStyle w:val="TextBody"/>
        <w:spacing w:lineRule="auto" w:line="300"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First Watch Restaurant Group, Inc. (the “Company”) for the period ended March 26, 2023, as filed with the Securities and Exchange Commission on the date hereof (the “Report”), Christopher A. Tomasso, Chief Executive Officer of the Company, and Mel Hope, Chief Financial Officer of the Company, hereby certify, pursuant to 18 U.S.C. Section 1350, as adopted pursuant to Section 906 of the Sarbanes-Oxley Act of 2002, that, to their knowledge:</w:t>
      </w:r>
    </w:p>
    <w:p>
      <w:pPr>
        <w:pStyle w:val="TextBody"/>
        <w:spacing w:lineRule="auto" w:line="300"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and</w:t>
      </w:r>
    </w:p>
    <w:p>
      <w:pPr>
        <w:pStyle w:val="TextBody"/>
        <w:spacing w:before="0" w:after="0"/>
        <w:rPr/>
      </w:pPr>
      <w:r>
        <w:rPr/>
      </w:r>
    </w:p>
    <w:p>
      <w:pPr>
        <w:pStyle w:val="TextBody"/>
        <w:spacing w:lineRule="auto" w:line="300"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1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 May 2, 2023        </w:t>
      </w:r>
    </w:p>
    <w:p>
      <w:pPr>
        <w:pStyle w:val="TextBody"/>
        <w:spacing w:lineRule="auto" w:line="288" w:before="0" w:after="0"/>
        <w:rPr/>
      </w:pPr>
      <w:r>
        <w:rPr>
          <w:color w:val="000000"/>
        </w:rPr>
        <w:t>                        </w:t>
      </w:r>
      <w:r>
        <w:rPr>
          <w:rFonts w:ascii="Times New Roman;sans-serif" w:hAnsi="Times New Roman;sans-serif"/>
          <w:b w:val="false"/>
          <w:color w:val="000000"/>
          <w:sz w:val="19"/>
          <w:highlight w:val="white"/>
          <w:u w:val="single"/>
        </w:rPr>
        <w:t>/s/ Christopher A. Tomasso</w:t>
      </w:r>
    </w:p>
    <w:p>
      <w:pPr>
        <w:pStyle w:val="TextBody"/>
        <w:spacing w:lineRule="auto" w:line="288" w:before="0" w:after="0"/>
        <w:ind w:left="0" w:right="0" w:firstLine="720"/>
        <w:rPr>
          <w:rFonts w:ascii="Times New Roman;sans-serif" w:hAnsi="Times New Roman;sans-serif"/>
          <w:b w:val="false"/>
          <w:color w:val="000000"/>
          <w:sz w:val="19"/>
          <w:highlight w:val="white"/>
        </w:rPr>
      </w:pPr>
      <w:r>
        <w:rPr>
          <w:rFonts w:ascii="Times New Roman;sans-serif" w:hAnsi="Times New Roman;sans-serif"/>
          <w:b w:val="false"/>
          <w:color w:val="000000"/>
          <w:sz w:val="19"/>
          <w:highlight w:val="white"/>
        </w:rPr>
        <w:t>Christopher A. Tomasso</w:t>
      </w:r>
    </w:p>
    <w:p>
      <w:pPr>
        <w:pStyle w:val="TextBody"/>
        <w:spacing w:lineRule="auto" w:line="288" w:before="0" w:after="0"/>
        <w:ind w:left="0" w:right="0" w:firstLine="720"/>
        <w:rPr>
          <w:rFonts w:ascii="Times New Roman;sans-serif" w:hAnsi="Times New Roman;sans-serif"/>
          <w:b w:val="false"/>
          <w:color w:val="000000"/>
          <w:sz w:val="19"/>
          <w:highlight w:val="white"/>
        </w:rPr>
      </w:pPr>
      <w:r>
        <w:rPr>
          <w:rFonts w:ascii="Times New Roman;sans-serif" w:hAnsi="Times New Roman;sans-serif"/>
          <w:b w:val="false"/>
          <w:color w:val="000000"/>
          <w:sz w:val="19"/>
          <w:highlight w:val="white"/>
        </w:rPr>
        <w:t>Chief Executive Officer</w:t>
      </w:r>
    </w:p>
    <w:p>
      <w:pPr>
        <w:pStyle w:val="TextBody"/>
        <w:spacing w:lineRule="auto" w:line="300" w:before="0" w:after="2"/>
        <w:ind w:left="0" w:right="0" w:firstLine="720"/>
        <w:rPr>
          <w:rFonts w:ascii="Times New Roman;sans-serif" w:hAnsi="Times New Roman;sans-serif"/>
          <w:b w:val="false"/>
          <w:color w:val="000000"/>
          <w:sz w:val="19"/>
          <w:highlight w:val="white"/>
        </w:rPr>
      </w:pPr>
      <w:r>
        <w:rPr>
          <w:rFonts w:ascii="Times New Roman;sans-serif" w:hAnsi="Times New Roman;sans-serif"/>
          <w:b w:val="false"/>
          <w:color w:val="000000"/>
          <w:sz w:val="19"/>
          <w:highlight w:val="white"/>
        </w:rPr>
        <w:t>(Principal Executive Officer)</w:t>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rPr/>
      </w:pPr>
      <w:r>
        <w:rPr/>
      </w:r>
    </w:p>
    <w:p>
      <w:pPr>
        <w:pStyle w:val="TextBody"/>
        <w:spacing w:lineRule="auto" w:line="288" w:before="0" w:after="0"/>
        <w:rPr/>
      </w:pPr>
      <w:r>
        <w:rPr>
          <w:color w:val="000000"/>
          <w:highlight w:val="white"/>
        </w:rPr>
        <w:t>                        </w:t>
      </w:r>
      <w:r>
        <w:rPr>
          <w:rFonts w:ascii="Times New Roman;sans-serif" w:hAnsi="Times New Roman;sans-serif"/>
          <w:b w:val="false"/>
          <w:color w:val="000000"/>
          <w:sz w:val="19"/>
          <w:highlight w:val="white"/>
          <w:u w:val="single"/>
        </w:rPr>
        <w:t>/s/ Mel Hope</w:t>
      </w:r>
    </w:p>
    <w:p>
      <w:pPr>
        <w:pStyle w:val="TextBody"/>
        <w:spacing w:lineRule="auto" w:line="288" w:before="0" w:after="0"/>
        <w:ind w:left="0" w:right="0" w:firstLine="720"/>
        <w:rPr>
          <w:rFonts w:ascii="Times New Roman;sans-serif" w:hAnsi="Times New Roman;sans-serif"/>
          <w:b w:val="false"/>
          <w:color w:val="000000"/>
          <w:sz w:val="19"/>
          <w:highlight w:val="white"/>
        </w:rPr>
      </w:pPr>
      <w:r>
        <w:rPr>
          <w:rFonts w:ascii="Times New Roman;sans-serif" w:hAnsi="Times New Roman;sans-serif"/>
          <w:b w:val="false"/>
          <w:color w:val="000000"/>
          <w:sz w:val="19"/>
          <w:highlight w:val="white"/>
        </w:rPr>
        <w:t>Mel Hope</w:t>
      </w:r>
    </w:p>
    <w:p>
      <w:pPr>
        <w:pStyle w:val="TextBody"/>
        <w:spacing w:lineRule="auto" w:line="288" w:before="0" w:after="0"/>
        <w:ind w:left="0" w:right="0" w:firstLine="720"/>
        <w:rPr>
          <w:rFonts w:ascii="Times New Roman;sans-serif" w:hAnsi="Times New Roman;sans-serif"/>
          <w:b w:val="false"/>
          <w:color w:val="000000"/>
          <w:sz w:val="19"/>
          <w:highlight w:val="white"/>
        </w:rPr>
      </w:pPr>
      <w:r>
        <w:rPr>
          <w:rFonts w:ascii="Times New Roman;sans-serif" w:hAnsi="Times New Roman;sans-serif"/>
          <w:b w:val="false"/>
          <w:color w:val="000000"/>
          <w:sz w:val="19"/>
          <w:highlight w:val="white"/>
        </w:rPr>
        <w:t>Chief Financial Officer</w:t>
      </w:r>
    </w:p>
    <w:p>
      <w:pPr>
        <w:pStyle w:val="TextBody"/>
        <w:spacing w:lineRule="auto" w:line="300" w:before="0" w:after="2"/>
        <w:ind w:left="0" w:right="0" w:firstLine="720"/>
        <w:rPr>
          <w:rFonts w:ascii="Times New Roman;sans-serif" w:hAnsi="Times New Roman;sans-serif"/>
          <w:b w:val="false"/>
          <w:color w:val="000000"/>
          <w:sz w:val="19"/>
          <w:highlight w:val="white"/>
        </w:rPr>
      </w:pPr>
      <w:r>
        <w:rPr>
          <w:rFonts w:ascii="Times New Roman;sans-serif" w:hAnsi="Times New Roman;sans-serif"/>
          <w:b w:val="false"/>
          <w:color w:val="000000"/>
          <w:sz w:val="19"/>
          <w:highlight w:val="white"/>
        </w:rPr>
        <w:t>(Principal Financial Officer)</w:t>
      </w:r>
    </w:p>
    <w:p>
      <w:pPr>
        <w:pStyle w:val="TextBody"/>
        <w:spacing w:before="0" w:after="0"/>
        <w:rPr/>
      </w:pPr>
      <w:r>
        <w:rPr/>
      </w:r>
    </w:p>
    <w:p>
      <w:pPr>
        <w:pStyle w:val="TextBody"/>
        <w:spacing w:before="0" w:after="160"/>
        <w:jc w:val="both"/>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 w:name="Arial Narrow">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14275</Words>
  <CharactersWithSpaces>93822</CharactersWithSpaces>
  <Paragraphs>2137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