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28, 2025</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394335</wp:posOffset>
            </wp:positionV>
            <wp:extent cx="209994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994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First Watch Restaurant Group,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32" w:right="339" w:bottom="1440" w:gutter="0" w:footer="0" w:header="0"/>
        </w:sectPr>
      </w:pPr>
    </w:p>
    <w:p>
      <w:pPr>
        <w:spacing w:after="0" w:line="8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82-4271369</w:t>
      </w:r>
    </w:p>
    <w:p>
      <w:pPr>
        <w:spacing w:after="0" w:line="65" w:lineRule="exact"/>
        <w:rPr>
          <w:sz w:val="24"/>
          <w:szCs w:val="24"/>
          <w:color w:val="auto"/>
        </w:rPr>
      </w:pPr>
    </w:p>
    <w:p>
      <w:pPr>
        <w:sectPr>
          <w:pgSz w:w="11900" w:h="16838" w:orient="portrait"/>
          <w:cols w:equalWidth="0" w:num="2">
            <w:col w:w="8460" w:space="720"/>
            <w:col w:w="2060"/>
          </w:cols>
          <w:pgMar w:left="320" w:top="932"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1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47" w:lineRule="exact"/>
        <w:rPr>
          <w:sz w:val="24"/>
          <w:szCs w:val="24"/>
          <w:color w:val="auto"/>
        </w:rPr>
      </w:pPr>
    </w:p>
    <w:p>
      <w:pPr>
        <w:sectPr>
          <w:pgSz w:w="11900" w:h="16838" w:orient="portrait"/>
          <w:cols w:equalWidth="0" w:num="2">
            <w:col w:w="7600" w:space="720"/>
            <w:col w:w="2920"/>
          </w:cols>
          <w:pgMar w:left="320" w:top="932" w:right="339" w:bottom="1440" w:gutter="0" w:footer="0" w:header="0"/>
          <w:type w:val="continuous"/>
        </w:sect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8725 Pendery Place, Suite 201, Bradenton, FL 34201</w:t>
      </w:r>
    </w:p>
    <w:p>
      <w:pPr>
        <w:spacing w:after="0" w:line="65"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32" w:right="339" w:bottom="1440" w:gutter="0" w:footer="0" w:header="0"/>
          <w:type w:val="continuous"/>
        </w:sectPr>
      </w:pP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(941) 907-9800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33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9"/>
        </w:trPr>
        <w:tc>
          <w:tcPr>
            <w:tcW w:w="3360" w:type="dxa"/>
            <w:vAlign w:val="bottom"/>
            <w:vMerge w:val="restart"/>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8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FWRG</w:t>
            </w:r>
          </w:p>
        </w:tc>
        <w:tc>
          <w:tcPr>
            <w:tcW w:w="376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360" w:type="dxa"/>
            <w:vAlign w:val="bottom"/>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37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1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64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61,032,105 shares of common stock as of 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4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3240" w:type="dxa"/>
            <w:vAlign w:val="bottom"/>
            <w:gridSpan w:val="2"/>
          </w:tcPr>
          <w:p>
            <w:pPr>
              <w:spacing w:after="0"/>
              <w:rPr>
                <w:sz w:val="18"/>
                <w:szCs w:val="18"/>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37"/>
        </w:trPr>
        <w:tc>
          <w:tcPr>
            <w:tcW w:w="41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3240" w:type="dxa"/>
            <w:vAlign w:val="bottom"/>
            <w:gridSpan w:val="2"/>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07"/>
        </w:trPr>
        <w:tc>
          <w:tcPr>
            <w:tcW w:w="7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3" w:right="359" w:bottom="1440" w:gutter="0" w:footer="0" w:header="0"/>
        </w:sectPr>
      </w:pPr>
    </w:p>
    <w:bookmarkStart w:id="2" w:name="page3"/>
    <w:bookmarkEnd w:id="2"/>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This Quarterly Report on Form 10-Q (“Form 10-Q”) contains forward-looking statements within the meaning of the Private Securities Litigation Reform Act of 1995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PSLRA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Form 10-Q in the context of the risks and uncertainties disclosed herein, including under Part I. Item 2. “Management’s Discussion and Analysis of Financial Condition and Results of Operations” and Part II. Item 1A. “Risk Factors”, and in our Annual Report on Form 10-K as of and for the year ended December 29, 2024 (“2024 Form 10-K”), including under Part I. Item 1A. “Risk Factors” and Part II. Item 7. “Management’s Discussion and Analysis of Financial Condition and Results of Operations.” Important factors that could cause actual results to differ materially from those in the forward-looking statements include the following: our vulnerability to changes in consumer preferences and economic conditions such as inflation and recession; uncertainty regarding the Russia and Ukraine war; war and unrest in the Middle East and the related impact on macroeconomic conditions, including inflation, as a result of such conflicts or other related events; our vulnerability to changes in economic conditions and consumer preferences; our inability to successfully open new restaurants or establish new markets; our inability to effectively manage our growth; potential negative impacts on sales at our and our franchisees’ restaurants as a result of our opening new restaurants;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unsuccessful financial performance of our franchisees; our limited control over our franchisees’ operations; our inability to maintain good relationships with our franchisees;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our limited number of suppliers and distributors for several of our frequently used ingredients and shortages or disruptions in the supply or delivery of such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hire, train and retain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including trade and tax policies;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the interests of our largest stockholder may differ from those of public stockholders.</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Form 10-Q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00" w:type="dxa"/>
            <w:vAlign w:val="bottom"/>
          </w:tcPr>
          <w:p>
            <w:pPr>
              <w:spacing w:after="0"/>
              <w:rPr>
                <w:sz w:val="18"/>
                <w:szCs w:val="18"/>
                <w:color w:val="auto"/>
              </w:rPr>
            </w:pPr>
          </w:p>
        </w:tc>
        <w:tc>
          <w:tcPr>
            <w:tcW w:w="1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29, 2024</w:t>
            </w:r>
          </w:p>
        </w:tc>
        <w:tc>
          <w:tcPr>
            <w:tcW w:w="0" w:type="dxa"/>
            <w:vAlign w:val="bottom"/>
          </w:tcPr>
          <w:p>
            <w:pPr>
              <w:spacing w:after="0"/>
              <w:rPr>
                <w:sz w:val="1"/>
                <w:szCs w:val="1"/>
                <w:color w:val="auto"/>
              </w:rPr>
            </w:pPr>
          </w:p>
        </w:tc>
      </w:tr>
      <w:tr>
        <w:trPr>
          <w:trHeight w:val="19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 assets, current</w:t>
            </w:r>
          </w:p>
        </w:tc>
        <w:tc>
          <w:tcPr>
            <w:tcW w:w="1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43,716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55,876</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398,565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167,596</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609,820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527,674</w:t>
            </w:r>
          </w:p>
        </w:tc>
        <w:tc>
          <w:tcPr>
            <w:tcW w:w="0" w:type="dxa"/>
            <w:vAlign w:val="bottom"/>
          </w:tcPr>
          <w:p>
            <w:pPr>
              <w:spacing w:after="0"/>
              <w:rPr>
                <w:sz w:val="1"/>
                <w:szCs w:val="1"/>
                <w:color w:val="auto"/>
              </w:rPr>
            </w:pPr>
          </w:p>
        </w:tc>
      </w:tr>
      <w:tr>
        <w:trPr>
          <w:trHeight w:val="165"/>
        </w:trPr>
        <w:tc>
          <w:tcPr>
            <w:tcW w:w="6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Property, fixtures and equipment, net of accumulated depreciation of $268,698 and $229,227,</w:t>
            </w:r>
          </w:p>
        </w:tc>
        <w:tc>
          <w:tcPr>
            <w:tcW w:w="18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361,394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1,720,229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1,514,356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6,961</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39,607</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9,228</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Derivative liabilities, current</w:t>
            </w: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138,472</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555,576</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189,043</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1,112,918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918,967</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180" w:type="dxa"/>
            <w:vAlign w:val="bottom"/>
          </w:tcPr>
          <w:p>
            <w:pPr>
              <w:spacing w:after="0"/>
              <w:rPr>
                <w:sz w:val="18"/>
                <w:szCs w:val="18"/>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6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$0.01 par value; 300,000,000 shares authorized; 61,032,105 and 60,700,090 shares</w:t>
            </w:r>
          </w:p>
        </w:tc>
        <w:tc>
          <w:tcPr>
            <w:tcW w:w="18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outstanding at September 28, 2025 and December 29, 2024, respectively</w:t>
            </w:r>
          </w:p>
        </w:tc>
        <w:tc>
          <w:tcPr>
            <w:tcW w:w="180" w:type="dxa"/>
            <w:vAlign w:val="bottom"/>
            <w:shd w:val="clear" w:color="auto" w:fill="CCEEFF"/>
          </w:tcPr>
          <w:p>
            <w:pPr>
              <w:spacing w:after="0"/>
              <w:rPr>
                <w:sz w:val="18"/>
                <w:szCs w:val="18"/>
                <w:color w:val="auto"/>
              </w:rPr>
            </w:pPr>
          </w:p>
        </w:tc>
        <w:tc>
          <w:tcPr>
            <w:tcW w:w="1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649,045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(53,822)</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607,311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595,389</w:t>
            </w:r>
          </w:p>
        </w:tc>
        <w:tc>
          <w:tcPr>
            <w:tcW w:w="0" w:type="dxa"/>
            <w:vAlign w:val="bottom"/>
          </w:tcPr>
          <w:p>
            <w:pPr>
              <w:spacing w:after="0"/>
              <w:rPr>
                <w:sz w:val="1"/>
                <w:szCs w:val="1"/>
                <w:color w:val="auto"/>
              </w:rPr>
            </w:pPr>
          </w:p>
        </w:tc>
      </w:tr>
      <w:tr>
        <w:trPr>
          <w:trHeight w:val="212"/>
        </w:trPr>
        <w:tc>
          <w:tcPr>
            <w:tcW w:w="6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1,720,229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1,514,356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6"/>
                <w:szCs w:val="16"/>
                <w:color w:val="auto"/>
              </w:rPr>
            </w:pPr>
          </w:p>
        </w:tc>
        <w:tc>
          <w:tcPr>
            <w:tcW w:w="27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5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95"/>
        </w:trPr>
        <w:tc>
          <w:tcPr>
            <w:tcW w:w="55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898,210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743,730</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w:t>
            </w:r>
          </w:p>
        </w:tc>
      </w:tr>
      <w:tr>
        <w:trPr>
          <w:trHeight w:val="207"/>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251,609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906,149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752,619</w:t>
            </w: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62"/>
        </w:trPr>
        <w:tc>
          <w:tcPr>
            <w:tcW w:w="55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Restaurant operating expenses (exclusive of depreciation and amortization shown</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below):</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163,852</w:t>
            </w:r>
          </w:p>
        </w:tc>
      </w:tr>
      <w:tr>
        <w:trPr>
          <w:trHeight w:val="213"/>
        </w:trPr>
        <w:tc>
          <w:tcPr>
            <w:tcW w:w="5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247,332</w:t>
            </w:r>
          </w:p>
        </w:tc>
      </w:tr>
      <w:tr>
        <w:trPr>
          <w:trHeight w:val="21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113,232</w:t>
            </w:r>
          </w:p>
        </w:tc>
      </w:tr>
      <w:tr>
        <w:trPr>
          <w:trHeight w:val="213"/>
        </w:trPr>
        <w:tc>
          <w:tcPr>
            <w:tcW w:w="5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60,733</w:t>
            </w:r>
          </w:p>
        </w:tc>
      </w:tr>
      <w:tr>
        <w:trPr>
          <w:trHeight w:val="21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82,527</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41,960</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207"/>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305,972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245,296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887,673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717,573</w:t>
            </w: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35,046</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(9,421)</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r>
      <w:tr>
        <w:trPr>
          <w:trHeight w:val="207"/>
        </w:trPr>
        <w:tc>
          <w:tcPr>
            <w:tcW w:w="5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27,288</w:t>
            </w: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w:t>
            </w:r>
          </w:p>
        </w:tc>
      </w:tr>
      <w:tr>
        <w:trPr>
          <w:trHeight w:val="212"/>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18,226</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5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4"/>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18,226</w:t>
            </w:r>
          </w:p>
        </w:tc>
      </w:tr>
      <w:tr>
        <w:trPr>
          <w:trHeight w:val="21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5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gain (loss) on derivatives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related to other 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12"/>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16,409</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5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61,027,278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60,428,016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60,933,443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60,275,167</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62,834,080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61,851,127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62,798,962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62,343,751</w:t>
            </w: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spacing w:after="0"/>
              <w:rPr>
                <w:sz w:val="18"/>
                <w:szCs w:val="18"/>
                <w:color w:val="auto"/>
              </w:rPr>
            </w:pPr>
          </w:p>
        </w:tc>
        <w:tc>
          <w:tcPr>
            <w:tcW w:w="21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20" w:type="dxa"/>
            <w:vAlign w:val="bottom"/>
          </w:tcPr>
          <w:p>
            <w:pPr>
              <w:spacing w:after="0"/>
              <w:rPr>
                <w:sz w:val="12"/>
                <w:szCs w:val="12"/>
                <w:color w:val="auto"/>
              </w:rPr>
            </w:pPr>
          </w:p>
        </w:tc>
        <w:tc>
          <w:tcPr>
            <w:tcW w:w="90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59,891,705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0" w:type="dxa"/>
            <w:vAlign w:val="bottom"/>
          </w:tcPr>
          <w:p>
            <w:pPr>
              <w:spacing w:after="0"/>
              <w:rPr>
                <w:sz w:val="1"/>
                <w:szCs w:val="1"/>
                <w:color w:val="auto"/>
              </w:rPr>
            </w:pPr>
          </w:p>
        </w:tc>
      </w:tr>
      <w:tr>
        <w:trPr>
          <w:trHeight w:val="162"/>
        </w:trPr>
        <w:tc>
          <w:tcPr>
            <w:tcW w:w="3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480,826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07"/>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60,372,531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639,107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574,440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60,402,838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641,625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585,784</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0" w:type="dxa"/>
            <w:vAlign w:val="bottom"/>
          </w:tcPr>
          <w:p>
            <w:pPr>
              <w:spacing w:after="0"/>
              <w:rPr>
                <w:sz w:val="1"/>
                <w:szCs w:val="1"/>
                <w:color w:val="auto"/>
              </w:rPr>
            </w:pPr>
          </w:p>
        </w:tc>
      </w:tr>
      <w:tr>
        <w:trPr>
          <w:trHeight w:val="162"/>
        </w:trPr>
        <w:tc>
          <w:tcPr>
            <w:tcW w:w="3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149,255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0" w:type="dxa"/>
            <w:vAlign w:val="bottom"/>
          </w:tcPr>
          <w:p>
            <w:pPr>
              <w:spacing w:after="0"/>
              <w:rPr>
                <w:sz w:val="1"/>
                <w:szCs w:val="1"/>
                <w:color w:val="auto"/>
              </w:rPr>
            </w:pPr>
          </w:p>
        </w:tc>
      </w:tr>
      <w:tr>
        <w:trPr>
          <w:trHeight w:val="212"/>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29,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60,552,093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645,530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589,131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21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440" w:type="dxa"/>
            <w:vAlign w:val="bottom"/>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 Income</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2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29,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60,700,090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595,389</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0" w:type="dxa"/>
            <w:vAlign w:val="bottom"/>
          </w:tcPr>
          <w:p>
            <w:pPr>
              <w:spacing w:after="0"/>
              <w:rPr>
                <w:sz w:val="1"/>
                <w:szCs w:val="1"/>
                <w:color w:val="auto"/>
              </w:rPr>
            </w:pPr>
          </w:p>
        </w:tc>
      </w:tr>
      <w:tr>
        <w:trPr>
          <w:trHeight w:val="162"/>
        </w:trPr>
        <w:tc>
          <w:tcPr>
            <w:tcW w:w="34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274,453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64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07"/>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30, 2025</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60,974,543</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651,434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(54,651)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596,289</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0" w:type="dxa"/>
            <w:vAlign w:val="bottom"/>
          </w:tcPr>
          <w:p>
            <w:pPr>
              <w:spacing w:after="0"/>
              <w:rPr>
                <w:sz w:val="1"/>
                <w:szCs w:val="1"/>
                <w:color w:val="auto"/>
              </w:rPr>
            </w:pPr>
          </w:p>
        </w:tc>
      </w:tr>
      <w:tr>
        <w:trPr>
          <w:trHeight w:val="165"/>
        </w:trPr>
        <w:tc>
          <w:tcPr>
            <w:tcW w:w="34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2"/>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29,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61,023,971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654,446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601,313</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0" w:type="dxa"/>
            <w:vAlign w:val="bottom"/>
          </w:tcPr>
          <w:p>
            <w:pPr>
              <w:spacing w:after="0"/>
              <w:rPr>
                <w:sz w:val="1"/>
                <w:szCs w:val="1"/>
                <w:color w:val="auto"/>
              </w:rPr>
            </w:pPr>
          </w:p>
        </w:tc>
      </w:tr>
      <w:tr>
        <w:trPr>
          <w:trHeight w:val="162"/>
        </w:trPr>
        <w:tc>
          <w:tcPr>
            <w:tcW w:w="34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64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2"/>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28,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61,032,105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657,387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(49,554)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607,311</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660" w:type="dxa"/>
            <w:vAlign w:val="bottom"/>
            <w:tcBorders>
              <w:bottom w:val="single" w:sz="8" w:color="auto"/>
            </w:tcBorders>
          </w:tcPr>
          <w:p>
            <w:pPr>
              <w:spacing w:after="0"/>
              <w:rPr>
                <w:sz w:val="18"/>
                <w:szCs w:val="18"/>
                <w:color w:val="auto"/>
              </w:rPr>
            </w:pPr>
          </w:p>
        </w:tc>
      </w:tr>
      <w:tr>
        <w:trPr>
          <w:trHeight w:val="211"/>
        </w:trPr>
        <w:tc>
          <w:tcPr>
            <w:tcW w:w="7440" w:type="dxa"/>
            <w:vAlign w:val="bottom"/>
          </w:tcPr>
          <w:p>
            <w:pPr>
              <w:spacing w:after="0"/>
              <w:rPr>
                <w:sz w:val="18"/>
                <w:szCs w:val="18"/>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198"/>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Pr>
          <w:p>
            <w:pPr>
              <w:spacing w:after="0"/>
              <w:rPr>
                <w:sz w:val="18"/>
                <w:szCs w:val="18"/>
                <w:color w:val="auto"/>
              </w:rPr>
            </w:pPr>
          </w:p>
        </w:tc>
        <w:tc>
          <w:tcPr>
            <w:tcW w:w="112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18,226</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54,355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41,960</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net of amounts capitalized</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19,241</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loss on extinguishments and modifications of debt</w:t>
            </w:r>
          </w:p>
        </w:tc>
        <w:tc>
          <w:tcPr>
            <w:tcW w:w="4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deferred issuance costs</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effects of business combinations:</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Inventory</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assets, current and long-term</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w:t>
            </w: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w:t>
            </w: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compensation and deferred payroll taxes</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revenues, current and long-term</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w:t>
            </w: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liabilities</w:t>
            </w:r>
          </w:p>
        </w:tc>
        <w:tc>
          <w:tcPr>
            <w:tcW w:w="4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(7,674)</w:t>
            </w:r>
          </w:p>
        </w:tc>
      </w:tr>
      <w:tr>
        <w:trPr>
          <w:trHeight w:val="207"/>
        </w:trPr>
        <w:tc>
          <w:tcPr>
            <w:tcW w:w="74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107,452</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92,749</w:t>
            </w: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(120,108)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(87,272)</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(54,833)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(78,547)</w:t>
            </w:r>
          </w:p>
        </w:tc>
      </w:tr>
      <w:tr>
        <w:trPr>
          <w:trHeight w:val="21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7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(175,771)</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(165,919)</w:t>
            </w:r>
          </w:p>
        </w:tc>
      </w:tr>
      <w:tr>
        <w:trPr>
          <w:trHeight w:val="19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borrowings on revolving credit facility</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197,500</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long-term debt, including finance lease liabilities</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(95,401)</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discount and deferred issuance costs</w:t>
            </w:r>
          </w:p>
        </w:tc>
        <w:tc>
          <w:tcPr>
            <w:tcW w:w="4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 net of employee taxes paid</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w:t>
            </w:r>
          </w:p>
        </w:tc>
        <w:tc>
          <w:tcPr>
            <w:tcW w:w="4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07"/>
        </w:trPr>
        <w:tc>
          <w:tcPr>
            <w:tcW w:w="74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4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55,721</w:t>
            </w:r>
          </w:p>
        </w:tc>
        <w:tc>
          <w:tcPr>
            <w:tcW w:w="10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74,338</w:t>
            </w:r>
          </w:p>
        </w:tc>
      </w:tr>
      <w:tr>
        <w:trPr>
          <w:trHeight w:val="212"/>
        </w:trPr>
        <w:tc>
          <w:tcPr>
            <w:tcW w:w="7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5"/>
        </w:trPr>
        <w:tc>
          <w:tcPr>
            <w:tcW w:w="7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49,961</w:t>
            </w:r>
          </w:p>
        </w:tc>
      </w:tr>
      <w:tr>
        <w:trPr>
          <w:trHeight w:val="212"/>
        </w:trPr>
        <w:tc>
          <w:tcPr>
            <w:tcW w:w="74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End of period</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51,129</w:t>
            </w:r>
          </w:p>
        </w:tc>
      </w:tr>
      <w:tr>
        <w:trPr>
          <w:trHeight w:val="21"/>
        </w:trPr>
        <w:tc>
          <w:tcPr>
            <w:tcW w:w="7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 </w:t>
      </w:r>
      <w:r>
        <w:rPr>
          <w:rFonts w:ascii="Times New Roman" w:cs="Times New Roman" w:eastAsia="Times New Roman" w:hAnsi="Times New Roman"/>
          <w:sz w:val="18"/>
          <w:szCs w:val="18"/>
          <w:b w:val="1"/>
          <w:bCs w:val="1"/>
          <w:i w:val="1"/>
          <w:i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211"/>
        </w:trPr>
        <w:tc>
          <w:tcPr>
            <w:tcW w:w="7680" w:type="dxa"/>
            <w:vAlign w:val="bottom"/>
          </w:tcPr>
          <w:p>
            <w:pPr>
              <w:spacing w:after="0"/>
              <w:rPr>
                <w:sz w:val="18"/>
                <w:szCs w:val="18"/>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19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6,918</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5,943</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r>
      <w:tr>
        <w:trPr>
          <w:trHeight w:val="216"/>
        </w:trPr>
        <w:tc>
          <w:tcPr>
            <w:tcW w:w="7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Leased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104,097</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104,433</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operating lease assets and lease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3,084</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finance lease assets and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Increase in liabilities from acquisition of property, fixtures and equipment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3,044</w:t>
            </w:r>
          </w:p>
        </w:tc>
      </w:tr>
    </w:tbl>
    <w:p>
      <w:pPr>
        <w:spacing w:after="0" w:line="298" w:lineRule="exact"/>
        <w:rPr>
          <w:sz w:val="20"/>
          <w:szCs w:val="20"/>
          <w:color w:val="auto"/>
        </w:rPr>
      </w:pPr>
    </w:p>
    <w:p>
      <w:pPr>
        <w:ind w:right="300" w:firstLine="8"/>
        <w:spacing w:after="0" w:line="307" w:lineRule="auto"/>
        <w:tabs>
          <w:tab w:leader="none" w:pos="22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Leased assets and liabilities obtained during the thirty-nine weeks ended September 28, 2025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September 29, 2024 include $23.6 million and $28.1 million from business acquisitions, respectively.</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(collectively with its wholly-owned subsidiaries, “the Company,” or “Management”) is a Delaware holding company. The Company operates and franchises restaurants in 32 states operating under the “First Watch” trade name, which are focused on made-to-order breakfast, brunch and lunch. The Company does not operate outside of the United States and all of its assets are located in the United States. As of September 28, 2025, the Company operated 548 company-owned restaurants and had 72 franchise-owned restaurants.</w:t>
      </w:r>
    </w:p>
    <w:p>
      <w:pPr>
        <w:spacing w:after="0" w:line="284" w:lineRule="exact"/>
        <w:rPr>
          <w:sz w:val="20"/>
          <w:szCs w:val="20"/>
          <w:color w:val="auto"/>
        </w:rPr>
      </w:pPr>
    </w:p>
    <w:p>
      <w:pPr>
        <w:ind w:right="7540" w:firstLine="8"/>
        <w:spacing w:after="0" w:line="377"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financial information on a 52- or 53-week fiscal year ending on the last Sunday of each calendar year. The quarters ended September 28, 2025 and September 29, 2024 were 13-week periods. These unaudited interim consolidated financial statements should be read in conjunction with the audited consolidated financial statements and notes thereto included in the Company’s Annual Report on Form 10-K as of and for the year ended December 29, 2024 (“2024 Form 10-K”).</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included in the 2024 Form 10-K and include all adjustments necessary for the fair statement of the consolidated financial statements for the quarterly periods presented. The results of operations for quarterly periods are not necessarily indicative of the results to be expected for other quarterly periods or the entire fiscal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and other current assets and liabilities approximate their fair values due to their short-term maturities.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element of the Company’s interest rate risk management strategy, Management uses interest rate swaps. The intent of these instruments is to reduce cash flow exposure to variability in future interest rates on the Company’s debt. Management has elected to designate and qualify the interest rate swaps as cash flow hedges. As such, the instruments are recorded on the balance sheet at fair value. Thereafter, gains or losses on the instruments are recognized in equity as changes to Other Comprehensive Income (Loss) and subsequently reclassified into earnings at the time of the Company’s debt interest payments.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Recently Issued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establishes new income tax disclosure requirements including disaggregated information about a reporting entity’s effective tax rate reconciliation as well as disaggregated information on income taxes paid. The amendments are effective for fiscal years beginning after December 15, 2024 and should be applied on a prospective basis, however, retrospective application is permitted. Management is currently evaluating the impact of this new standard and anticipates an expansion in the Company’s annual income tax disclosures.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which establishes new disclosure requirements related to purchases of inventory, employee compensation, selling expenses, depreciation and intangible amortization. The new guidance is effective for fiscal years beginning after December 15, 2026, and interim periods beginning after December 15, 2027 and should be applied on a prospective basis with the option to apply the standard retrospectively. Early adoption is permitted. Management is currently evaluating the impact of this new standard.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which updates the accounting for internal-use software by replacing stage-based rules with a principles-based framework, clarifying the criteria for capitalization and merging website development cost guidance. The amendments in this update are effective for annual periods beginning after December 15, 2027, and interim reporting periods within those annual reporting periods. The update may be applied prospectively, retrospectively, or on a modified transition basis based on the status of the project and whether software costs were capitalized before the date of adoption. Management is currently evaluating the impact of this new standard.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guidance not discussed herein is not applicable, did not have, or is not expected to have a material impact to the Company.</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Business Acquisitions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2025, the Company acquired, in two separate transactions, substantially all the assets associated with 19 franchise-operated First Watch restaurants. For both transactions, the purchase price was allocated to the fair value of the assets acquired and the liabilities assumed. The allocations were based on preliminary valuations and are subject to adjustment as additional information is available. The Company expects to finalize the valuations of these assets no later than one year from the respective acquisition dates.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4"/>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DATE OF ACQUISITION</w:t>
            </w:r>
          </w:p>
        </w:tc>
      </w:tr>
      <w:tr>
        <w:trPr>
          <w:trHeight w:val="21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number of acquired restaurants)</w:t>
            </w:r>
          </w:p>
        </w:tc>
        <w:tc>
          <w:tcPr>
            <w:tcW w:w="30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APRIL 14, 2025</w:t>
            </w:r>
          </w:p>
        </w:tc>
        <w:tc>
          <w:tcPr>
            <w:tcW w:w="300" w:type="dxa"/>
            <w:vAlign w:val="bottom"/>
          </w:tcPr>
          <w:p>
            <w:pPr>
              <w:spacing w:after="0"/>
              <w:rPr>
                <w:sz w:val="18"/>
                <w:szCs w:val="18"/>
                <w:color w:val="auto"/>
              </w:rPr>
            </w:pPr>
          </w:p>
        </w:tc>
        <w:tc>
          <w:tcPr>
            <w:tcW w:w="18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APRIL 28, 2025</w:t>
            </w:r>
          </w:p>
        </w:tc>
      </w:tr>
      <w:tr>
        <w:trPr>
          <w:trHeight w:val="211"/>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acquired restaurants</w:t>
            </w:r>
          </w:p>
        </w:tc>
        <w:tc>
          <w:tcPr>
            <w:tcW w:w="3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 (cash)</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49,247</w:t>
            </w: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costs incurred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franchise fees recognized as a result of termination of pre-existing franchise agreement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3"/>
        </w:trPr>
        <w:tc>
          <w:tcPr>
            <w:tcW w:w="6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Cash</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3"/>
        </w:trPr>
        <w:tc>
          <w:tcPr>
            <w:tcW w:w="6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Property, fixtures and equipment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r>
      <w:tr>
        <w:trPr>
          <w:trHeight w:val="213"/>
        </w:trPr>
        <w:tc>
          <w:tcPr>
            <w:tcW w:w="6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Reacquired rights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13,060</w:t>
            </w:r>
          </w:p>
        </w:tc>
      </w:tr>
      <w:tr>
        <w:trPr>
          <w:trHeight w:val="219"/>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18,767</w:t>
            </w:r>
          </w:p>
        </w:tc>
      </w:tr>
      <w:tr>
        <w:trPr>
          <w:trHeight w:val="213"/>
        </w:trPr>
        <w:tc>
          <w:tcPr>
            <w:tcW w:w="6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Operating right-of-use assets, net of lease positions and prepaid rent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17,305</w:t>
            </w:r>
          </w:p>
        </w:tc>
      </w:tr>
      <w:tr>
        <w:trPr>
          <w:trHeight w:val="219"/>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(19,896)</w:t>
            </w:r>
          </w:p>
        </w:tc>
      </w:tr>
      <w:tr>
        <w:trPr>
          <w:trHeight w:val="213"/>
        </w:trPr>
        <w:tc>
          <w:tcPr>
            <w:tcW w:w="6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revenues - gift card liabilities assumed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reflects the value of expected synergies and assembled workforce, and was assigned to the Company’s single reporting unit. The Company will treat the transactions as asset acquisitions for income tax purposes, which allows for any goodwill recognized to be tax deductible and amortized over a 15-year statutory life.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estimated useful life of the reacquired rights is 6.1 years.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Pro-forma financial information of the acquired restaurants for periods prior to the acquisition dates is not presented due to the immaterial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Revenues</w:t>
            </w: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recognized disaggregated by type were as follows: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5"/>
        </w:trPr>
        <w:tc>
          <w:tcPr>
            <w:tcW w:w="40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19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5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254,155</w:t>
            </w:r>
          </w:p>
        </w:tc>
        <w:tc>
          <w:tcPr>
            <w:tcW w:w="1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207,047</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728,282</w:t>
            </w:r>
          </w:p>
        </w:tc>
        <w:tc>
          <w:tcPr>
            <w:tcW w:w="10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613,422</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72,682</w:t>
            </w:r>
          </w:p>
        </w:tc>
      </w:tr>
      <w:tr>
        <w:trPr>
          <w:trHeight w:val="213"/>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66,295</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57,626</w:t>
            </w: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313,636</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898,210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743,730</w:t>
            </w:r>
          </w:p>
        </w:tc>
      </w:tr>
      <w:tr>
        <w:trPr>
          <w:trHeight w:val="239"/>
        </w:trPr>
        <w:tc>
          <w:tcPr>
            <w:tcW w:w="4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8,257</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Business combinations - revenues recognized</w:t>
            </w:r>
          </w:p>
        </w:tc>
        <w:tc>
          <w:tcPr>
            <w:tcW w:w="5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0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w:t>
            </w:r>
          </w:p>
        </w:tc>
      </w:tr>
      <w:tr>
        <w:trPr>
          <w:trHeight w:val="212"/>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316,022</w:t>
            </w:r>
          </w:p>
        </w:tc>
        <w:tc>
          <w:tcPr>
            <w:tcW w:w="100" w:type="dxa"/>
            <w:vAlign w:val="bottom"/>
          </w:tcPr>
          <w:p>
            <w:pPr>
              <w:spacing w:after="0"/>
              <w:rPr>
                <w:sz w:val="18"/>
                <w:szCs w:val="18"/>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251,609</w:t>
            </w:r>
          </w:p>
        </w:tc>
        <w:tc>
          <w:tcPr>
            <w:tcW w:w="10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906,149</w:t>
            </w:r>
          </w:p>
        </w:tc>
        <w:tc>
          <w:tcPr>
            <w:tcW w:w="100" w:type="dxa"/>
            <w:vAlign w:val="bottom"/>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752,619</w:t>
            </w:r>
          </w:p>
        </w:tc>
      </w:tr>
      <w:tr>
        <w:trPr>
          <w:trHeight w:val="21"/>
        </w:trPr>
        <w:tc>
          <w:tcPr>
            <w:tcW w:w="4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include a detail of liabilities from contracts with customers: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00" w:type="dxa"/>
            <w:vAlign w:val="bottom"/>
          </w:tcPr>
          <w:p>
            <w:pPr>
              <w:spacing w:after="0"/>
              <w:rPr>
                <w:sz w:val="18"/>
                <w:szCs w:val="18"/>
                <w:color w:val="auto"/>
              </w:rPr>
            </w:pPr>
          </w:p>
        </w:tc>
        <w:tc>
          <w:tcPr>
            <w:tcW w:w="1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19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current</w:t>
            </w: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deferred revenues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5,623</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non-current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gift card contract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540" w:type="dxa"/>
            <w:vAlign w:val="bottom"/>
            <w:tcBorders>
              <w:bottom w:val="single" w:sz="8" w:color="auto"/>
            </w:tcBorders>
          </w:tcPr>
          <w:p>
            <w:pPr>
              <w:spacing w:after="0"/>
              <w:rPr>
                <w:sz w:val="18"/>
                <w:szCs w:val="18"/>
                <w:color w:val="auto"/>
              </w:rPr>
            </w:pP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19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4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8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10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sales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5,518</w:t>
            </w: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redemptions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(7,766)</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breakage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liabilities assumed through acquisitions</w:t>
            </w:r>
          </w:p>
        </w:tc>
        <w:tc>
          <w:tcPr>
            <w:tcW w:w="4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37"/>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franchise fee contract liabilities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520" w:type="dxa"/>
            <w:vAlign w:val="bottom"/>
            <w:tcBorders>
              <w:bottom w:val="single" w:sz="8" w:color="auto"/>
            </w:tcBorders>
          </w:tcPr>
          <w:p>
            <w:pPr>
              <w:spacing w:after="0"/>
              <w:rPr>
                <w:sz w:val="18"/>
                <w:szCs w:val="18"/>
                <w:color w:val="auto"/>
              </w:rPr>
            </w:pP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19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fee revenue:</w:t>
            </w:r>
          </w:p>
        </w:tc>
        <w:tc>
          <w:tcPr>
            <w:tcW w:w="4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8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received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 revenues recognized</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Business combinations - franchise revenues recognized</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1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w:t>
            </w:r>
          </w:p>
        </w:tc>
      </w:tr>
      <w:tr>
        <w:trPr>
          <w:trHeight w:val="20"/>
        </w:trPr>
        <w:tc>
          <w:tcPr>
            <w:tcW w:w="4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 rebates from vendors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third-party delivery providers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franchisees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related to gift card sales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r>
      <w:tr>
        <w:trPr>
          <w:trHeight w:val="212"/>
        </w:trPr>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7,235</w:t>
            </w:r>
          </w:p>
        </w:tc>
      </w:tr>
      <w:tr>
        <w:trPr>
          <w:trHeight w:val="21"/>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ectPr>
          <w:pgSz w:w="11900" w:h="16838" w:orient="portrait"/>
          <w:cols w:equalWidth="0" w:num="1">
            <w:col w:w="11240"/>
          </w:cols>
          <w:pgMar w:left="320" w:top="121" w:right="339" w:bottom="326"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5"/>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2"/>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16,769</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tax</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payable</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liabilities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Utilities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fees</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tax</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rent</w:t>
            </w:r>
          </w:p>
        </w:tc>
        <w:tc>
          <w:tcPr>
            <w:tcW w:w="1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6,114</w:t>
            </w:r>
          </w:p>
        </w:tc>
      </w:tr>
      <w:tr>
        <w:trPr>
          <w:trHeight w:val="212"/>
        </w:trPr>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49,831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39,607</w:t>
            </w:r>
          </w:p>
        </w:tc>
      </w:tr>
      <w:tr>
        <w:trPr>
          <w:trHeight w:val="21"/>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2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4"/>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21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214,438</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193,797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6.93%</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7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deferred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07"/>
        </w:trPr>
        <w:tc>
          <w:tcPr>
            <w:tcW w:w="5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debt, net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264,111</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198,271</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(9,228)</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2"/>
        </w:trPr>
        <w:tc>
          <w:tcPr>
            <w:tcW w:w="5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250,988</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189,043</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FWR Holding Corporation (“FWR”), a subsidiary of the Company, is the borrower under the credit agreement dated October 6, 2021, the terms of which were amended on February 24, 2023 and January 5, 2025, which provides for (i) a $225.0 million term loan A facility and delayed draw facility (the “Term Facilities”) and (ii) a $125.0 million revolving credit facility, (“the Revolving Credit Facility”), and together with the Term Facilities, (the “Credit Facility”). The Credit Facility matures on January 5, 2029.</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second quarter of 2025, the Company drew $27.5 million on the delayed draw facility and $32.5 million on the Revolving Credit Facility, primarily to fund the business acquisitions referenced in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As of September 28, 2025, the delayed draw facility was fully drawn with the same servicing and repayment terms as the term loan A facility.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28, 2025, borrowings under the Credit Facility bear interest at the option of FWR at either (i) the alternate base rate plus a margin of between 150 and 225 basis points depending on the total rent adjusted net leverage ratio of FWR and its restricted subsidiaries on a consolidated basis (the “Total Rent Adjusted Net Leverage Ratio”) or (ii) SOFR plus a credit spread adjustment of 10 basis points plus a margin of between 250 and 325 basis points depending on the Total Rent Adjusted Net Leverage Ratio. Refer to Note 8,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for information about the Company’s variable-to-fixed interest rate swap agreements.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outstanding debt, excluding finance lease obligations and financing obligations, is classified as Level 3 in the fair value hierarchy and was estimated using discounted cash flow models, market yield and yield volatility. The following table includes the carrying value and fair value of the Company’s debt as of the dates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60" w:type="dxa"/>
            <w:vAlign w:val="bottom"/>
          </w:tcPr>
          <w:p>
            <w:pPr>
              <w:spacing w:after="0"/>
              <w:rPr>
                <w:sz w:val="18"/>
                <w:szCs w:val="18"/>
                <w:color w:val="auto"/>
              </w:rPr>
            </w:pPr>
          </w:p>
        </w:tc>
        <w:tc>
          <w:tcPr>
            <w:tcW w:w="284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Facilities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214,438</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214,322</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193,797</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193,417</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is guaranteed by all of FWR’s wholly-owned subsidiaries and by AI Fresh Parent, Inc., a Delaware corporation and the direct parent company of FWR (“Holdings”), and is secured by associated collateral agreements that pledge a lien on substantially all of FWR’s and each guarantor’s assets, including fixed assets and intangibles, in each case, subject to customary exceptions.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FWR (and in certain circumstances, Holdings) and its subsidiaries are subject to affirmative, negative and financial covenants, maintenance of certain ratios, restrictions on additional indebtedness and events of default for facilities of this type (with customary grace periods, as applicable, and lender remedies). FWR was in compliance with its covenants under the credit agreement as of September 28,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Interest Rate Swaps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swaps are utilized to hedge a portion of the cash flows of the Company’s variable rate debt.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23, 2023, Management entered into two variable-to-fixed interest rate swaps. These interest rate swaps have an aggregate notional amount of $90.0 million and mature on October 6, 2026. Under the terms of the interest rate swaps, the Company will pay a weighted average fixed rate of 4.16% on the notional amount and will receive payments from, or make payments to, the counterparties based on the three-month SOFR rate.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2024, Management entered into two additional variable-to-fixed interest rate swaps. These interest rate swaps have an aggregate notional amount of $60.0 million and mature on June 30, 2027. Under the terms of the interest rate swaps, the Company will pay a weighted average fixed rate of 4.42% on the notional amount and will receive payments from, or make payments to, the counterparties based on the three-month SOFR rate.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measurement of the interest rate swaps was based on the contractual terms and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impact of the credit valuation adjustments was not determined to be significant to the overall valuation. As a result, the derivative was classified as Level 2 in the fair value hierarchy.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reported in Other comprehensive income (loss) related to the interest rate swaps are reclassified to interest expense as interest payments are made on the Company’s variable-rate debt. During the thirty-nine weeks ended September 28, 2025, a total of $0.1 million was reclassified from Other comprehensive income (loss) as a reduction to Interest expense. Over the next 12 months, Management estimates that $0.9 million will be reclassified as an increase to interest expense.</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detail of lease assets and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 Classification</w:t>
            </w: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 - current</w:t>
            </w:r>
          </w:p>
        </w:tc>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609,820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527,674</w:t>
            </w: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w:t>
            </w:r>
          </w:p>
        </w:tc>
      </w:tr>
      <w:tr>
        <w:trPr>
          <w:trHeight w:val="207"/>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lease assets</w:t>
            </w: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622,147</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530,398</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6"/>
        </w:trPr>
        <w:tc>
          <w:tcPr>
            <w:tcW w:w="378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6"/>
        </w:trPr>
        <w:tc>
          <w:tcPr>
            <w:tcW w:w="37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Operating lease liabilities - current</w:t>
            </w:r>
            <w:r>
              <w:rPr>
                <w:rFonts w:ascii="Times New Roman" w:cs="Times New Roman" w:eastAsia="Times New Roman" w:hAnsi="Times New Roman"/>
                <w:sz w:val="21"/>
                <w:szCs w:val="21"/>
                <w:color w:val="auto"/>
                <w:vertAlign w:val="superscript"/>
              </w:rPr>
              <w:t>(1)</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72,785</w:t>
            </w:r>
          </w:p>
        </w:tc>
        <w:tc>
          <w:tcPr>
            <w:tcW w:w="8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55,704</w:t>
            </w: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645,455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555,576</w:t>
            </w:r>
          </w:p>
        </w:tc>
      </w:tr>
      <w:tr>
        <w:trPr>
          <w:trHeight w:val="216"/>
        </w:trPr>
        <w:tc>
          <w:tcPr>
            <w:tcW w:w="37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Finance lease liabilities - current</w:t>
            </w:r>
            <w:r>
              <w:rPr>
                <w:rFonts w:ascii="Times New Roman" w:cs="Times New Roman" w:eastAsia="Times New Roman" w:hAnsi="Times New Roman"/>
                <w:sz w:val="21"/>
                <w:szCs w:val="21"/>
                <w:color w:val="auto"/>
                <w:vertAlign w:val="superscript"/>
              </w:rPr>
              <w:t>(1)</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1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11,051</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2"/>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lease liabilities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731,164</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614,046</w:t>
            </w:r>
          </w:p>
        </w:tc>
      </w:tr>
      <w:tr>
        <w:trPr>
          <w:trHeight w:val="20"/>
        </w:trPr>
        <w:tc>
          <w:tcPr>
            <w:tcW w:w="37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all variable lease expense for real estate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w:t>
            </w: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0" w:type="dxa"/>
            <w:vAlign w:val="bottom"/>
          </w:tcPr>
          <w:p>
            <w:pPr>
              <w:spacing w:after="0"/>
              <w:rPr>
                <w:sz w:val="1"/>
                <w:szCs w:val="1"/>
                <w:color w:val="auto"/>
              </w:rPr>
            </w:pPr>
          </w:p>
        </w:tc>
      </w:tr>
      <w:tr>
        <w:trPr>
          <w:trHeight w:val="155"/>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8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Operations and Comprehensive</w:t>
            </w:r>
          </w:p>
        </w:tc>
        <w:tc>
          <w:tcPr>
            <w:tcW w:w="140" w:type="dxa"/>
            <w:vAlign w:val="bottom"/>
          </w:tcPr>
          <w:p>
            <w:pPr>
              <w:spacing w:after="0"/>
              <w:rPr>
                <w:sz w:val="13"/>
                <w:szCs w:val="13"/>
                <w:color w:val="auto"/>
              </w:rPr>
            </w:pPr>
          </w:p>
        </w:tc>
        <w:tc>
          <w:tcPr>
            <w:tcW w:w="15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52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4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0" w:type="dxa"/>
            <w:vAlign w:val="bottom"/>
          </w:tcPr>
          <w:p>
            <w:pPr>
              <w:spacing w:after="0"/>
              <w:rPr>
                <w:sz w:val="1"/>
                <w:szCs w:val="1"/>
                <w:color w:val="auto"/>
              </w:rPr>
            </w:pPr>
          </w:p>
        </w:tc>
      </w:tr>
      <w:tr>
        <w:trPr>
          <w:trHeight w:val="214"/>
        </w:trPr>
        <w:tc>
          <w:tcPr>
            <w:tcW w:w="2420" w:type="dxa"/>
            <w:vAlign w:val="bottom"/>
            <w:vMerge w:val="continue"/>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(Loss) Classification</w:t>
            </w:r>
          </w:p>
        </w:tc>
        <w:tc>
          <w:tcPr>
            <w:tcW w:w="14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57"/>
        </w:trPr>
        <w:tc>
          <w:tcPr>
            <w:tcW w:w="2420" w:type="dxa"/>
            <w:vAlign w:val="bottom"/>
            <w:tcBorders>
              <w:top w:val="single" w:sz="8" w:color="CCEEFF"/>
            </w:tcBorders>
            <w:shd w:val="clear" w:color="auto" w:fill="CCEEFF"/>
          </w:tcPr>
          <w:p>
            <w:pPr>
              <w:spacing w:after="0"/>
              <w:rPr>
                <w:sz w:val="13"/>
                <w:szCs w:val="13"/>
                <w:color w:val="auto"/>
              </w:rPr>
            </w:pPr>
          </w:p>
        </w:tc>
        <w:tc>
          <w:tcPr>
            <w:tcW w:w="2480" w:type="dxa"/>
            <w:vAlign w:val="bottom"/>
            <w:tcBorders>
              <w:top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Other restaurant operating expenses</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spacing w:after="0"/>
              <w:rPr>
                <w:sz w:val="14"/>
                <w:szCs w:val="14"/>
                <w:color w:val="auto"/>
              </w:rPr>
            </w:pPr>
          </w:p>
        </w:tc>
        <w:tc>
          <w:tcPr>
            <w:tcW w:w="25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25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Pre-opening expenses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18,269</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62,449</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51,021</w:t>
            </w:r>
          </w:p>
        </w:tc>
        <w:tc>
          <w:tcPr>
            <w:tcW w:w="0" w:type="dxa"/>
            <w:vAlign w:val="bottom"/>
          </w:tcPr>
          <w:p>
            <w:pPr>
              <w:spacing w:after="0"/>
              <w:rPr>
                <w:sz w:val="1"/>
                <w:szCs w:val="1"/>
                <w:color w:val="auto"/>
              </w:rPr>
            </w:pPr>
          </w:p>
        </w:tc>
      </w:tr>
      <w:tr>
        <w:trPr>
          <w:trHeight w:val="216"/>
        </w:trPr>
        <w:tc>
          <w:tcPr>
            <w:tcW w:w="2420" w:type="dxa"/>
            <w:vAlign w:val="bottom"/>
            <w:vMerge w:val="continue"/>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5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Food and beverage costs</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Variable lease expense</w:t>
            </w:r>
          </w:p>
        </w:tc>
        <w:tc>
          <w:tcPr>
            <w:tcW w:w="25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14,242</w:t>
            </w:r>
          </w:p>
        </w:tc>
        <w:tc>
          <w:tcPr>
            <w:tcW w:w="0" w:type="dxa"/>
            <w:vAlign w:val="bottom"/>
          </w:tcPr>
          <w:p>
            <w:pPr>
              <w:spacing w:after="0"/>
              <w:rPr>
                <w:sz w:val="1"/>
                <w:szCs w:val="1"/>
                <w:color w:val="auto"/>
              </w:rPr>
            </w:pPr>
          </w:p>
        </w:tc>
      </w:tr>
      <w:tr>
        <w:trPr>
          <w:trHeight w:val="213"/>
        </w:trPr>
        <w:tc>
          <w:tcPr>
            <w:tcW w:w="2420" w:type="dxa"/>
            <w:vAlign w:val="bottom"/>
            <w:vMerge w:val="continue"/>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expense:</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2"/>
        </w:trPr>
        <w:tc>
          <w:tcPr>
            <w:tcW w:w="2420" w:type="dxa"/>
            <w:vAlign w:val="bottom"/>
          </w:tcPr>
          <w:p>
            <w:pPr>
              <w:ind w:left="360"/>
              <w:spacing w:after="0" w:line="213" w:lineRule="exact"/>
              <w:rPr>
                <w:sz w:val="20"/>
                <w:szCs w:val="20"/>
                <w:color w:val="auto"/>
              </w:rPr>
            </w:pPr>
            <w:r>
              <w:rPr>
                <w:rFonts w:ascii="Times New Roman" w:cs="Times New Roman" w:eastAsia="Times New Roman" w:hAnsi="Times New Roman"/>
                <w:sz w:val="16"/>
                <w:szCs w:val="16"/>
                <w:color w:val="auto"/>
              </w:rPr>
              <w:t xml:space="preserve">Total lease expense </w:t>
            </w:r>
            <w:r>
              <w:rPr>
                <w:rFonts w:ascii="Times New Roman" w:cs="Times New Roman" w:eastAsia="Times New Roman" w:hAnsi="Times New Roman"/>
                <w:sz w:val="21"/>
                <w:szCs w:val="21"/>
                <w:color w:val="auto"/>
                <w:vertAlign w:val="superscript"/>
              </w:rPr>
              <w:t>(1)</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80,492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65,709</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ind w:right="20" w:firstLine="8"/>
        <w:spacing w:after="0" w:line="288" w:lineRule="auto"/>
        <w:tabs>
          <w:tab w:leader="none" w:pos="23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contingent rent expense of $0.5 million and $0.4 million during the thirteen weeks ended September 28, 2025 and September 29, 2024, respectively, and $1.5 million and $1.3 million for the thirty-nine weeks ended September 28, 2025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September 29, 2024,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80" w:type="dxa"/>
            <w:vAlign w:val="bottom"/>
          </w:tcPr>
          <w:p>
            <w:pPr>
              <w:spacing w:after="0"/>
              <w:rPr>
                <w:sz w:val="18"/>
                <w:szCs w:val="18"/>
                <w:color w:val="auto"/>
              </w:rPr>
            </w:pPr>
          </w:p>
        </w:tc>
        <w:tc>
          <w:tcPr>
            <w:tcW w:w="19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198"/>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cash flows - operating leases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39,450</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cash flows - finance leases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0"/>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cash flows - finance leases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4620" w:type="dxa"/>
            <w:vAlign w:val="bottom"/>
            <w:tcBorders>
              <w:bottom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211"/>
        </w:trPr>
        <w:tc>
          <w:tcPr>
            <w:tcW w:w="66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22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198"/>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2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r>
      <w:tr>
        <w:trPr>
          <w:trHeight w:val="213"/>
        </w:trPr>
        <w:tc>
          <w:tcPr>
            <w:tcW w:w="6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6"/>
        </w:trPr>
        <w:tc>
          <w:tcPr>
            <w:tcW w:w="66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(1)</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0"/>
        </w:trPr>
        <w:tc>
          <w:tcPr>
            <w:tcW w:w="6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the Company’s incremental borrowing 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Deferred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Watch Deferred Compensation Plan was adopted by the Company effective January 1, 2025. The First Watch Deferred Compensation Plan allows officers and other key employees to defer their compensation within designated annual limits. Discretionary matching and other credits may be made to the accounts of active participants, which vest based on an employee’s years of service or vest in full upon an active participant’s death, disability or a Company change in control event, as defined in the plan. Participants’ earnings on contributions fluctuate with the actual earnings and losses of available investment choices selected by the participants.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First Watch Deferred Compensation Plan is unsecured, Management has elected to fund certain of these obligations through a rabbi trust, the assets of which consist of Company-owned life insurance policies. The assets held in the rabbi trust are not available for general corporate purposes and are subject to creditor claims in the event of insolvency.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cash surrender value of the life insurance policies held in the rabbi trust is recorded in other long-term assets. As of September 28, 2025, rabbi trust assets totaled $1.4 million. Changes to the cash surrender value and any increases or decreases to deferred compensation liabilities incurred under the First Watch Deferred Compensation Plan are recorded as general and administrative expenses. As of September 28, 2025, the deferred compensation obligation included in other long-term liabilities totaled $1.5 million.</w:t>
      </w:r>
    </w:p>
    <w:p>
      <w:pPr>
        <w:spacing w:after="0" w:line="284" w:lineRule="exact"/>
        <w:rPr>
          <w:sz w:val="20"/>
          <w:szCs w:val="20"/>
          <w:color w:val="auto"/>
        </w:rPr>
      </w:pPr>
    </w:p>
    <w:p>
      <w:pPr>
        <w:ind w:right="7780" w:firstLine="8"/>
        <w:spacing w:after="0" w:line="377" w:lineRule="auto"/>
        <w:tabs>
          <w:tab w:leader="none" w:pos="4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Stock-Based Compensation Stock option awards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stock option awards granted during the thirty-nine weeks ended September 28, 2025. A summary of stock option activity during the thirty-nine weeks ended September 28, 2025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0" w:type="dxa"/>
            <w:vAlign w:val="bottom"/>
          </w:tcPr>
          <w:p>
            <w:pPr>
              <w:spacing w:after="0"/>
              <w:rPr>
                <w:sz w:val="16"/>
                <w:szCs w:val="16"/>
                <w:color w:val="auto"/>
              </w:rPr>
            </w:pPr>
          </w:p>
        </w:tc>
        <w:tc>
          <w:tcPr>
            <w:tcW w:w="1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1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PER</w:t>
            </w:r>
          </w:p>
        </w:tc>
        <w:tc>
          <w:tcPr>
            <w:tcW w:w="140" w:type="dxa"/>
            <w:vAlign w:val="bottom"/>
          </w:tcPr>
          <w:p>
            <w:pPr>
              <w:spacing w:after="0"/>
              <w:rPr>
                <w:sz w:val="14"/>
                <w:szCs w:val="14"/>
                <w:color w:val="auto"/>
              </w:rPr>
            </w:pPr>
          </w:p>
        </w:tc>
        <w:tc>
          <w:tcPr>
            <w:tcW w:w="17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29, 2024</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3,701,017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31,676</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September 28, 2025</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3,669,094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21,512</w:t>
            </w:r>
          </w:p>
        </w:tc>
        <w:tc>
          <w:tcPr>
            <w:tcW w:w="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September 28, 2025</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3,659,622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21,480</w:t>
            </w:r>
          </w:p>
        </w:tc>
        <w:tc>
          <w:tcPr>
            <w:tcW w:w="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difference between the exercise price of the stock option and the closing price of the Company’s common stock on Nasdaq on the last trading day of the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during the thirty-nine weeks ended September 28, 2025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24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DATE FAIR VALUE PER</w:t>
            </w:r>
          </w:p>
        </w:tc>
        <w:tc>
          <w:tcPr>
            <w:tcW w:w="0" w:type="dxa"/>
            <w:vAlign w:val="bottom"/>
          </w:tcPr>
          <w:p>
            <w:pPr>
              <w:spacing w:after="0"/>
              <w:rPr>
                <w:sz w:val="1"/>
                <w:szCs w:val="1"/>
                <w:color w:val="auto"/>
              </w:rPr>
            </w:pPr>
          </w:p>
        </w:tc>
      </w:tr>
      <w:tr>
        <w:trPr>
          <w:trHeight w:val="214"/>
        </w:trPr>
        <w:tc>
          <w:tcPr>
            <w:tcW w:w="624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29, 2024</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213"/>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Vested</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(313,810)</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0" w:type="dxa"/>
            <w:vAlign w:val="bottom"/>
          </w:tcPr>
          <w:p>
            <w:pPr>
              <w:spacing w:after="0"/>
              <w:rPr>
                <w:sz w:val="1"/>
                <w:szCs w:val="1"/>
                <w:color w:val="auto"/>
              </w:rPr>
            </w:pPr>
          </w:p>
        </w:tc>
      </w:tr>
      <w:tr>
        <w:trPr>
          <w:trHeight w:val="212"/>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September 28, 2025</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thirty-nine weeks ended September 28, 2025, a total of 1,028,509 restricted stock units (“RSUs”) were granted. Of the total RSUs granted, 597,737 will vest ratably over a period of three years from grant date, 65,364 will vest one year from the grant date, and the remaining 365,408 will vest four years from the grant date. A summary of the Company’s RSU activity during the thirty-nine weeks ended September 28, 2025 is as follows: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200" w:type="dxa"/>
            <w:vAlign w:val="bottom"/>
          </w:tcPr>
          <w:p>
            <w:pPr>
              <w:spacing w:after="0"/>
              <w:rPr>
                <w:sz w:val="16"/>
                <w:szCs w:val="16"/>
                <w:color w:val="auto"/>
              </w:rPr>
            </w:pPr>
          </w:p>
        </w:tc>
        <w:tc>
          <w:tcPr>
            <w:tcW w:w="23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25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0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w w:val="96"/>
              </w:rPr>
              <w:t>VALUE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200" w:type="dxa"/>
            <w:vAlign w:val="bottom"/>
          </w:tcPr>
          <w:p>
            <w:pPr>
              <w:spacing w:after="0"/>
              <w:rPr>
                <w:sz w:val="18"/>
                <w:szCs w:val="18"/>
                <w:color w:val="auto"/>
              </w:rPr>
            </w:pPr>
          </w:p>
        </w:tc>
        <w:tc>
          <w:tcPr>
            <w:tcW w:w="23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1"/>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29, 2024</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759,721</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0" w:type="dxa"/>
            <w:vAlign w:val="bottom"/>
          </w:tcPr>
          <w:p>
            <w:pPr>
              <w:spacing w:after="0"/>
              <w:rPr>
                <w:sz w:val="1"/>
                <w:szCs w:val="1"/>
                <w:color w:val="auto"/>
              </w:rPr>
            </w:pPr>
          </w:p>
        </w:tc>
      </w:tr>
      <w:tr>
        <w:trPr>
          <w:trHeight w:val="213"/>
        </w:trPr>
        <w:tc>
          <w:tcPr>
            <w:tcW w:w="3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1,028,509</w:t>
            </w:r>
          </w:p>
        </w:tc>
        <w:tc>
          <w:tcPr>
            <w:tcW w:w="1180" w:type="dxa"/>
            <w:vAlign w:val="bottom"/>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(8,846)</w:t>
            </w:r>
          </w:p>
        </w:tc>
        <w:tc>
          <w:tcPr>
            <w:tcW w:w="118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Vested</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(301,056)</w:t>
            </w:r>
          </w:p>
        </w:tc>
        <w:tc>
          <w:tcPr>
            <w:tcW w:w="1180" w:type="dxa"/>
            <w:vAlign w:val="bottom"/>
            <w:tcBorders>
              <w:bottom w:val="single" w:sz="8" w:color="CCEEFF"/>
            </w:tcBorders>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28, 2025</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1,478,328</w:t>
            </w:r>
          </w:p>
        </w:tc>
        <w:tc>
          <w:tcPr>
            <w:tcW w:w="1180" w:type="dxa"/>
            <w:vAlign w:val="bottom"/>
            <w:tcBorders>
              <w:bottom w:val="single" w:sz="8" w:color="CCEEFF"/>
            </w:tcBorders>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closing price of the Company’s common stock on Nasdaq of $16.00 and $18.70 on September 26, 2025 and December 27, 2024, the last trading days of the periods, respectively.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compensation expense, net of amounts capitalized, was $2.9 million and $2.1 million during the thirteen weeks ended September 28, 2025 and September 29, 2024, respectively, and $7.9 million and $6.4 million during the thirty-nine weeks ended September 28, 2025 and September 29, 2024, respectively. Capitalized stock-based compensation included in property, fixtures and equipment totaled $0.1 million for the thirty-nine weeks ended September 28, 2025. The total related income tax benefit for stock-based compensation expense was $0.1 million during the thirteen weeks ended September 28, 2025 and September 29, 2024, respectively, and $1.3 million and $1.6 million during the thirty-nine weeks ended September 28, 2025 and September 29, 2024,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unrecognized stock-based compensation expense and the remaining weighted average vesting period as of September 28,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5040" w:type="dxa"/>
            <w:vAlign w:val="bottom"/>
            <w:gridSpan w:val="2"/>
            <w:vMerge w:val="restart"/>
          </w:tcPr>
          <w:p>
            <w:pPr>
              <w:jc w:val="center"/>
              <w:ind w:left="1899"/>
              <w:spacing w:after="0"/>
              <w:rPr>
                <w:sz w:val="20"/>
                <w:szCs w:val="20"/>
                <w:color w:val="auto"/>
              </w:rPr>
            </w:pPr>
            <w:r>
              <w:rPr>
                <w:rFonts w:ascii="Times New Roman" w:cs="Times New Roman" w:eastAsia="Times New Roman" w:hAnsi="Times New Roman"/>
                <w:sz w:val="16"/>
                <w:szCs w:val="16"/>
                <w:b w:val="1"/>
                <w:bCs w:val="1"/>
                <w:color w:val="auto"/>
              </w:rPr>
              <w:t>UNRECOGNIZED STOCK-BASED</w:t>
            </w:r>
          </w:p>
        </w:tc>
        <w:tc>
          <w:tcPr>
            <w:tcW w:w="25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REMAINING WEIGHTED</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5040" w:type="dxa"/>
            <w:vAlign w:val="bottom"/>
            <w:gridSpan w:val="2"/>
            <w:vMerge w:val="continue"/>
          </w:tcPr>
          <w:p>
            <w:pPr>
              <w:spacing w:after="0"/>
              <w:rPr>
                <w:sz w:val="14"/>
                <w:szCs w:val="14"/>
                <w:color w:val="auto"/>
              </w:rPr>
            </w:pPr>
          </w:p>
        </w:tc>
        <w:tc>
          <w:tcPr>
            <w:tcW w:w="25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60" w:type="dxa"/>
            <w:vAlign w:val="bottom"/>
          </w:tcPr>
          <w:p>
            <w:pPr>
              <w:jc w:val="center"/>
              <w:ind w:right="299"/>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EXPENSE</w:t>
            </w:r>
          </w:p>
        </w:tc>
        <w:tc>
          <w:tcPr>
            <w:tcW w:w="2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VESTING PERIOD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60" w:type="dxa"/>
            <w:vAlign w:val="bottom"/>
          </w:tcPr>
          <w:p>
            <w:pPr>
              <w:jc w:val="center"/>
              <w:ind w:right="29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560" w:type="dxa"/>
            <w:vAlign w:val="bottom"/>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0" w:type="dxa"/>
            <w:vAlign w:val="bottom"/>
          </w:tcPr>
          <w:p>
            <w:pPr>
              <w:spacing w:after="0"/>
              <w:rPr>
                <w:sz w:val="1"/>
                <w:szCs w:val="1"/>
                <w:color w:val="auto"/>
              </w:rPr>
            </w:pPr>
          </w:p>
        </w:tc>
      </w:tr>
      <w:tr>
        <w:trPr>
          <w:trHeight w:val="21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2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2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20,160</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12.</w:t>
        <w:tab/>
        <w:t>Income Taxes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660" w:type="dxa"/>
            <w:vAlign w:val="bottom"/>
            <w:tcBorders>
              <w:bottom w:val="single" w:sz="8" w:color="auto"/>
            </w:tcBorders>
          </w:tcPr>
          <w:p>
            <w:pPr>
              <w:spacing w:after="0"/>
              <w:rPr>
                <w:sz w:val="18"/>
                <w:szCs w:val="18"/>
                <w:color w:val="auto"/>
              </w:rPr>
            </w:pPr>
          </w:p>
        </w:tc>
      </w:tr>
      <w:tr>
        <w:trPr>
          <w:trHeight w:val="21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11"/>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5,674</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3,496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7,713</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27,288</w:t>
            </w:r>
          </w:p>
        </w:tc>
      </w:tr>
      <w:tr>
        <w:trPr>
          <w:trHeight w:val="21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(2,683)</w:t>
            </w:r>
          </w:p>
        </w:tc>
        <w:tc>
          <w:tcPr>
            <w:tcW w:w="8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(3,445)</w:t>
            </w:r>
          </w:p>
        </w:tc>
        <w:tc>
          <w:tcPr>
            <w:tcW w:w="10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(9,062)</w:t>
            </w:r>
          </w:p>
        </w:tc>
      </w:tr>
      <w:tr>
        <w:trPr>
          <w:trHeight w:val="21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33.2 %</w:t>
            </w:r>
          </w:p>
        </w:tc>
      </w:tr>
    </w:tbl>
    <w:p>
      <w:pPr>
        <w:spacing w:after="0" w:line="3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income tax expense for interim periods is determined using an estimate of its annual effective tax rate, adjusted for discrete items arising during interim periods. For both the thirteen and thirty-nine weeks ended September 28, 2025, and the thirteen and thirty-nine weeks ended September 29, 2024, there were no significant discrete items recorded.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a restaurant company employer may claim a credit against its federal income taxes for FICA taxes paid on certain tipped wages (the “FICA tax credit”). The amount of FICA tax credits generated is primarily driven by restaurant sales.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income tax rates for the thirteen and thirty-nine weeks ended September 28, 2025 increased as compared to the same periods in the prior year primarily due to the changes in income before income taxes, the increase in FICA tax credits and the corresponding change in the valuation allowance, and the impact of executive compensation.</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thirteen and thirty-nine weeks ended September 28, 2025 and September 29, 2024, the income tax expense includes the impact of changes to the estimate of forecasted annual income before taxes relative to the prior period in each respective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Management applied the relevant provisions of H.R. 1 – </w:t>
      </w:r>
      <w:r>
        <w:rPr>
          <w:rFonts w:ascii="Times New Roman" w:cs="Times New Roman" w:eastAsia="Times New Roman" w:hAnsi="Times New Roman"/>
          <w:sz w:val="18"/>
          <w:szCs w:val="18"/>
          <w:i w:val="1"/>
          <w:iCs w:val="1"/>
          <w:color w:val="auto"/>
        </w:rPr>
        <w:t>One Big Beautiful Bill</w:t>
      </w:r>
      <w:r>
        <w:rPr>
          <w:rFonts w:ascii="Times New Roman" w:cs="Times New Roman" w:eastAsia="Times New Roman" w:hAnsi="Times New Roman"/>
          <w:sz w:val="18"/>
          <w:szCs w:val="18"/>
          <w:color w:val="auto"/>
        </w:rPr>
        <w:t xml:space="preserve"> in the third quarter of 2025 following its enactment on July 4, 2025, including provisions related to research and development. The impact on our consolidated financial statements was immaterial.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quarterly whether the resulting deferred tax assets are realizable given the Company’s earnings history. Based on the available evidence, the Company does not meet the more likely than not standard related to the realization of a portion of the deferred tax assets as of September 28, 2025. Accordingly, the Company has established a valuation allowance on the portion of deferred tax assets deemed not realizable, including state charitable contribution carryovers, various state loss carryforwards and various federal tax credit carryforwards.</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Management continues to assess the rationale for recording a valuation allowance for deferred tax assets. As the Company’s future taxable earnings increase and deferred tax assets are utilized, it is possible that a portion of the valuation allowance will no longer be needed. Release of any valuation allowance would result in the recognition of certain deferred tax assets and a decrease to income tax expense in the period of the release. The timing and amount of any release related to future taxable income is currently indeterminable.</w:t>
      </w:r>
    </w:p>
    <w:p>
      <w:pPr>
        <w:spacing w:after="0" w:line="284" w:lineRule="exact"/>
        <w:rPr>
          <w:sz w:val="20"/>
          <w:szCs w:val="20"/>
          <w:color w:val="auto"/>
        </w:rPr>
      </w:pPr>
    </w:p>
    <w:p>
      <w:pPr>
        <w:ind w:right="8280" w:firstLine="8"/>
        <w:spacing w:after="0" w:line="378" w:lineRule="auto"/>
        <w:tabs>
          <w:tab w:leader="none" w:pos="40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claims and liabilities that arise in the ordinary course of business. The amount of the anticipated liability with respect to these matters was not material as of September 28, 2025. In the event any litigation losses become probable and estimable, the Company will recognize anticipated losses.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determined the Company’s single operating segment on the basis that the Company’s Chief Operating Decision Maker (the “CODM”), the Chief Executive Officer, assesses performance and allocates resources at the Company’s consolidated level. The Company’s CODM uses consolidated net income to evaluate performance and make key operating decisions, such as investments in our long-term growth strategy. This measure is also used to monitor budget against actual results.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derived from sales of food and beverage, net of discounts, by Company-owned restaurants as well as franchise royalty, system fund and initial franchise fees. The measure of total assets for the reporting segment is reported on the consolidated balance sheets. The measure of capital expenditures for the reporting segment is reported on the consolidated statements of cash flows.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consolidated net income for the segment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316,022</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251,609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906,149</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752,619</w:t>
            </w: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69,730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208,355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163,852</w:t>
            </w: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102,387</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300,451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247,332</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113,232</w:t>
            </w: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25,891</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73,849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60,733</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amounts capitalized</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6,394</w:t>
            </w:r>
          </w:p>
        </w:tc>
      </w:tr>
      <w:tr>
        <w:trPr>
          <w:trHeight w:val="219"/>
        </w:trPr>
        <w:tc>
          <w:tcPr>
            <w:tcW w:w="4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General and administrative expenses </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76,133</w:t>
            </w: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19,662</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54,355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41,960</w:t>
            </w:r>
          </w:p>
        </w:tc>
      </w:tr>
      <w:tr>
        <w:trPr>
          <w:trHeight w:val="219"/>
        </w:trPr>
        <w:tc>
          <w:tcPr>
            <w:tcW w:w="4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(2)</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9,421</w:t>
            </w: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9,062</w:t>
            </w:r>
          </w:p>
        </w:tc>
      </w:tr>
      <w:tr>
        <w:trPr>
          <w:trHeight w:val="237"/>
        </w:trPr>
        <w:tc>
          <w:tcPr>
            <w:tcW w:w="4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expenses excludes stock-based compensation, net of amounts capitalized presented separately.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included in segment net income are primarily transaction expenses, and impairments and loss on disposal of assets.</w:t>
      </w:r>
    </w:p>
    <w:p>
      <w:pPr>
        <w:spacing w:after="0" w:line="3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net income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Pr>
          <w:p>
            <w:pPr>
              <w:spacing w:after="0"/>
              <w:rPr>
                <w:sz w:val="18"/>
                <w:szCs w:val="18"/>
                <w:color w:val="auto"/>
              </w:rPr>
            </w:pPr>
          </w:p>
        </w:tc>
        <w:tc>
          <w:tcPr>
            <w:tcW w:w="296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0" w:type="dxa"/>
            <w:vAlign w:val="bottom"/>
          </w:tcPr>
          <w:p>
            <w:pPr>
              <w:spacing w:after="0"/>
              <w:rPr>
                <w:sz w:val="1"/>
                <w:szCs w:val="1"/>
                <w:color w:val="auto"/>
              </w:rPr>
            </w:pPr>
          </w:p>
        </w:tc>
      </w:tr>
      <w:tr>
        <w:trPr>
          <w:trHeight w:val="15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61,027,278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60,428,016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60,933,443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60,275,167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62,834,080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61,851,127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62,798,962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62,343,751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162"/>
        </w:trPr>
        <w:tc>
          <w:tcPr>
            <w:tcW w:w="5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 options outstanding not included in diluted net income per common</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as their effect is anti-dilutive</w:t>
            </w: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0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units outstanding not included in diluted net income per</w:t>
            </w: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222,055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317,530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as their effect is anti-dilutive</w:t>
            </w: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income per common share is calculated by adjusting the weighted average shares outstanding for the theoretical effect of potential common shares that would be issued for stock awards outstanding and unvested as of the respective periods using the treasury method.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7" w:lineRule="exact"/>
        <w:rPr>
          <w:sz w:val="20"/>
          <w:szCs w:val="20"/>
          <w:color w:val="auto"/>
        </w:rPr>
      </w:pPr>
    </w:p>
    <w:p>
      <w:pPr>
        <w:jc w:val="both"/>
        <w:ind w:left="8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and notes included in our 2024 Form 10-K. As discussed in the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in our 2024 Form 10-K, including under “Item 1A. Risk Factors” and “Item 7. Management’s Discussion and Analysis of Financial Condition and Results of Operations” and in “Part II, Item 1A. Risk Factors” of this Form 10-Q.</w:t>
      </w: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First Watch is an award-winning Daytime Dining concept serving made-to-order breakfast, brunch and lunch using fresh ingredients. The Company’s common stock trades on Nasdaq under the ticker symbol “FWRG”. A recipient of hundreds of local “Best Breakfast” and “Best Brunch” accolades, First Watch’s award-winning chef-driven menu includes elevated executions of classic favorites for breakfast, brunch and lunch. For four consecutive years, First Watch was named a Top 100 Most Loved Workplace® by Newsweek and the Best Practice Institute, and in 2025, was named the #1 Most Loved Workplace for the second year in a row.</w:t>
      </w:r>
    </w:p>
    <w:p>
      <w:pPr>
        <w:spacing w:after="0" w:line="183"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 Company operates and franchises restaurants in 32 states under the “First Watch” trade name and as of September 28, 2025, the Company had 548 company-owned restaurants and 72 franchise-owned restaurants.</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Financial highlights for the thirteen weeks ended September 28, 2025 (“third quarter of 2025”) as compared, unless otherwise indicated below, to the thirteen weeks ended September 29, 2024 (“third quarter of 2024”), reflected the continued momentum of our operating performance and include the following:</w:t>
      </w:r>
    </w:p>
    <w:p>
      <w:pPr>
        <w:spacing w:after="0" w:line="176" w:lineRule="exact"/>
        <w:rPr>
          <w:sz w:val="20"/>
          <w:szCs w:val="20"/>
          <w:color w:val="auto"/>
        </w:rPr>
      </w:pPr>
    </w:p>
    <w:p>
      <w:pPr>
        <w:ind w:left="660" w:right="20" w:hanging="410"/>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21 system-wide restaurants in 14 states, with 1 planned closure, resulting in a total of 620 system-wide restaurants (548 company-owned and 72 franchise-owned) across 32 states</w:t>
      </w:r>
    </w:p>
    <w:p>
      <w:pPr>
        <w:ind w:left="660" w:hanging="410"/>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revenues increased 25.6% to $316.0 million in the third quarter of 2025 from $251.6 million in the third quarter of 2024</w:t>
      </w:r>
    </w:p>
    <w:p>
      <w:pPr>
        <w:spacing w:after="0" w:line="9" w:lineRule="exact"/>
        <w:rPr>
          <w:rFonts w:ascii="Times New Roman" w:cs="Times New Roman" w:eastAsia="Times New Roman" w:hAnsi="Times New Roman"/>
          <w:sz w:val="18"/>
          <w:szCs w:val="18"/>
          <w:b w:val="1"/>
          <w:bCs w:val="1"/>
          <w:color w:val="auto"/>
        </w:rPr>
      </w:pPr>
    </w:p>
    <w:p>
      <w:pPr>
        <w:ind w:left="660" w:hanging="410"/>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System-wide sales increased 20.9% to $352.7 million in the third quarter of 2025 from $291.8 million in the third quarter of 2024</w:t>
      </w:r>
    </w:p>
    <w:p>
      <w:pPr>
        <w:spacing w:after="0" w:line="9" w:lineRule="exact"/>
        <w:rPr>
          <w:rFonts w:ascii="Times New Roman" w:cs="Times New Roman" w:eastAsia="Times New Roman" w:hAnsi="Times New Roman"/>
          <w:sz w:val="18"/>
          <w:szCs w:val="18"/>
          <w:b w:val="1"/>
          <w:bCs w:val="1"/>
          <w:color w:val="auto"/>
        </w:rPr>
      </w:pPr>
    </w:p>
    <w:p>
      <w:pPr>
        <w:ind w:left="660" w:hanging="41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7.1%</w:t>
      </w:r>
    </w:p>
    <w:p>
      <w:pPr>
        <w:spacing w:after="0" w:line="9" w:lineRule="exact"/>
        <w:rPr>
          <w:rFonts w:ascii="Times New Roman" w:cs="Times New Roman" w:eastAsia="Times New Roman" w:hAnsi="Times New Roman"/>
          <w:sz w:val="18"/>
          <w:szCs w:val="18"/>
          <w:color w:val="auto"/>
        </w:rPr>
      </w:pPr>
    </w:p>
    <w:p>
      <w:pPr>
        <w:ind w:left="660" w:hanging="41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traffic growth of 2.6%</w:t>
      </w:r>
    </w:p>
    <w:p>
      <w:pPr>
        <w:spacing w:after="0" w:line="9" w:lineRule="exact"/>
        <w:rPr>
          <w:rFonts w:ascii="Times New Roman" w:cs="Times New Roman" w:eastAsia="Times New Roman" w:hAnsi="Times New Roman"/>
          <w:sz w:val="18"/>
          <w:szCs w:val="18"/>
          <w:color w:val="auto"/>
        </w:rPr>
      </w:pPr>
    </w:p>
    <w:p>
      <w:pPr>
        <w:ind w:left="660" w:hanging="41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margin increased to 3.2% during the third quarter of 2025 from 2.5% in the third quarter of 2024</w:t>
      </w:r>
    </w:p>
    <w:p>
      <w:pPr>
        <w:spacing w:after="0" w:line="9" w:lineRule="exact"/>
        <w:rPr>
          <w:rFonts w:ascii="Times New Roman" w:cs="Times New Roman" w:eastAsia="Times New Roman" w:hAnsi="Times New Roman"/>
          <w:sz w:val="18"/>
          <w:szCs w:val="18"/>
          <w:color w:val="auto"/>
        </w:rPr>
      </w:pPr>
    </w:p>
    <w:p>
      <w:pPr>
        <w:ind w:left="660" w:hanging="41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margin* increased to 19.7% in the third quarter of 2025 from 18.9% in the third quarter of 2024</w:t>
      </w:r>
    </w:p>
    <w:p>
      <w:pPr>
        <w:spacing w:after="0" w:line="9" w:lineRule="exact"/>
        <w:rPr>
          <w:rFonts w:ascii="Times New Roman" w:cs="Times New Roman" w:eastAsia="Times New Roman" w:hAnsi="Times New Roman"/>
          <w:sz w:val="18"/>
          <w:szCs w:val="18"/>
          <w:color w:val="auto"/>
        </w:rPr>
      </w:pPr>
    </w:p>
    <w:p>
      <w:pPr>
        <w:ind w:left="660" w:hanging="410"/>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to $3.0 million, or $0.05 per diluted share, in the third quarter of 2025 from net income of $2.1 million, or $0.03 per diluted share, in the third quarter of 2024</w:t>
      </w:r>
    </w:p>
    <w:p>
      <w:pPr>
        <w:ind w:left="660" w:hanging="41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to $34.1 million in the third quarter of 2025 from $25.6 million in the third quarter of 2024</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ind w:left="200" w:hanging="112"/>
        <w:spacing w:after="0"/>
        <w:tabs>
          <w:tab w:leader="none" w:pos="2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2025, the Company’s same-restaurant traffic grew 2.6%, marking two consecutive quarters of positive traffic growth. We expect positive traffic trends to continue through the end of the year.</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Commodity inflation was 3.0% in the third quarter of 2025, driven by coffee and bacon. We project our full year commodity inflation to be approximately 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Restaurant-level wage inflation during the third quarter was 3.6% and full year inflation is expected to be approximately 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Throughout “Management’s Discussion and Analysis of Financial Condition and Results of Operations,” we commonly discuss the following key operating metrics that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Restaurant Openings </w:t>
      </w:r>
      <w:r>
        <w:rPr>
          <w:rFonts w:ascii="Times New Roman" w:cs="Times New Roman" w:eastAsia="Times New Roman" w:hAnsi="Times New Roman"/>
          <w:sz w:val="18"/>
          <w:szCs w:val="18"/>
          <w:color w:val="auto"/>
        </w:rPr>
        <w:t>(“NROs”): the number of new company-owned First Watch restaurants commencing operations during the period.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the number of new restaurants to assess new restaurant growth and company-owned restaurant sales.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Franchise-owned New Restaurant Openings </w:t>
      </w:r>
      <w:r>
        <w:rPr>
          <w:rFonts w:ascii="Times New Roman" w:cs="Times New Roman" w:eastAsia="Times New Roman" w:hAnsi="Times New Roman"/>
          <w:sz w:val="18"/>
          <w:szCs w:val="18"/>
          <w:color w:val="auto"/>
        </w:rPr>
        <w:t>(“Franchise-owned NROs”): the number of new franchise-owned First Watch restaurants commencing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during the period.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Same-Restaurant Sales Growth</w:t>
      </w:r>
      <w:r>
        <w:rPr>
          <w:rFonts w:ascii="Times New Roman" w:cs="Times New Roman" w:eastAsia="Times New Roman" w:hAnsi="Times New Roman"/>
          <w:sz w:val="18"/>
          <w:szCs w:val="18"/>
          <w:color w:val="auto"/>
        </w:rPr>
        <w:t>: the percentage change in year-over-year restaurant sales (excluding gift card breakage) for the comparable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which we define as the number of company-owned First Watch branded restaurants open for 18 months or longer as of the beginning of the fiscal year (“Comparable Restaurant Base”). For the thirteen and thirty-nine weeks ended September 28, 2025 and September 29, 2024, there were 381 restaurants and 344 restaurants, respectively,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Same-Restaurant Traffic Growth</w:t>
      </w:r>
      <w:r>
        <w:rPr>
          <w:rFonts w:ascii="Times New Roman" w:cs="Times New Roman" w:eastAsia="Times New Roman" w:hAnsi="Times New Roman"/>
          <w:sz w:val="18"/>
          <w:szCs w:val="18"/>
          <w:color w:val="auto"/>
        </w:rPr>
        <w:t>: the percentage change in traffic counts as compared to the same period in the prior year using the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System-wide restaurants</w:t>
      </w:r>
      <w:r>
        <w:rPr>
          <w:rFonts w:ascii="Times New Roman" w:cs="Times New Roman" w:eastAsia="Times New Roman" w:hAnsi="Times New Roman"/>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System-wide sales</w:t>
      </w:r>
      <w:r>
        <w:rPr>
          <w:rFonts w:ascii="Times New Roman" w:cs="Times New Roman" w:eastAsia="Times New Roman" w:hAnsi="Times New Roman"/>
          <w:sz w:val="18"/>
          <w:szCs w:val="18"/>
          <w:color w:val="auto"/>
        </w:rPr>
        <w:t>: consists of restaurant sales from our company-owned restaurants and franchise-owned restaurants. We do not recognize the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from our franchise-owned restaurants as revenue.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have no meaningful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Restaurant level operating profit and Restaurant level operating profit margin (i) to evaluate the performance and profitability of each operating restaurant, individually and in the aggregate, and (ii) to make decisions regarding future spending and other operational decisions.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represents Net income before depreciation and amortization, interest expense, income taxes, and items that we do not consider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evaluation of ongoing core operating performance as identified in the reconciliation of Net income, the most directly comparable measure in accordance with GAAP, to Adjusted EBITDA, included in the section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Margin</w:t>
      </w:r>
      <w:r>
        <w:rPr>
          <w:rFonts w:ascii="Times New Roman" w:cs="Times New Roman" w:eastAsia="Times New Roman" w:hAnsi="Times New Roman"/>
          <w:sz w:val="18"/>
          <w:szCs w:val="18"/>
          <w:color w:val="auto"/>
        </w:rPr>
        <w:t>: represents Adjusted EBITDA as a percentage of total revenues.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reconciliation to Net income margin, the most directly comparable GAAP measure.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w:t>
      </w:r>
      <w:r>
        <w:rPr>
          <w:rFonts w:ascii="Times New Roman" w:cs="Times New Roman" w:eastAsia="Times New Roman" w:hAnsi="Times New Roman"/>
          <w:sz w:val="18"/>
          <w:szCs w:val="18"/>
          <w:color w:val="auto"/>
        </w:rPr>
        <w:t>: represents restaurant sales, less restaurant operating expenses, which include food and beverage costs, labor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Times New Roman" w:cs="Times New Roman" w:eastAsia="Times New Roman" w:hAnsi="Times New Roman"/>
          <w:sz w:val="18"/>
          <w:szCs w:val="18"/>
          <w:i w:val="1"/>
          <w:iCs w:val="1"/>
          <w:color w:val="auto"/>
        </w:rPr>
        <w:t xml:space="preserve">Non-GAAP Financial Measure Reconciliations </w:t>
      </w:r>
      <w:r>
        <w:rPr>
          <w:rFonts w:ascii="Times New Roman" w:cs="Times New Roman" w:eastAsia="Times New Roman" w:hAnsi="Times New Roman"/>
          <w:sz w:val="18"/>
          <w:szCs w:val="18"/>
          <w:color w:val="auto"/>
        </w:rPr>
        <w:t>below.</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Margin</w:t>
      </w:r>
      <w:r>
        <w:rPr>
          <w:rFonts w:ascii="Times New Roman" w:cs="Times New Roman" w:eastAsia="Times New Roman" w:hAnsi="Times New Roman"/>
          <w:sz w:val="18"/>
          <w:szCs w:val="18"/>
          <w:color w:val="auto"/>
        </w:rPr>
        <w:t>: represents Restaurant level operating profit as a percentage of restaurant sales.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 Reconciliations </w:t>
      </w:r>
      <w:r>
        <w:rPr>
          <w:rFonts w:ascii="Times New Roman" w:cs="Times New Roman" w:eastAsia="Times New Roman" w:hAnsi="Times New Roman"/>
          <w:sz w:val="18"/>
          <w:szCs w:val="18"/>
          <w:color w:val="auto"/>
        </w:rPr>
        <w:t>below for a reconciliation to Income from operations margin, the most directly comparable GAAP measure.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5560" w:type="dxa"/>
            <w:vAlign w:val="bottom"/>
            <w:tcBorders>
              <w:bottom w:val="single" w:sz="8" w:color="auto"/>
            </w:tcBorders>
            <w:gridSpan w:val="6"/>
          </w:tcPr>
          <w:p>
            <w:pPr>
              <w:ind w:left="1640"/>
              <w:spacing w:after="0"/>
              <w:rPr>
                <w:sz w:val="20"/>
                <w:szCs w:val="20"/>
                <w:color w:val="auto"/>
              </w:rPr>
            </w:pPr>
            <w:r>
              <w:rPr>
                <w:rFonts w:ascii="Times New Roman" w:cs="Times New Roman" w:eastAsia="Times New Roman" w:hAnsi="Times New Roman"/>
                <w:sz w:val="16"/>
                <w:szCs w:val="16"/>
                <w:b w:val="1"/>
                <w:bCs w:val="1"/>
                <w:color w:val="auto"/>
              </w:rPr>
              <w:t>THIRTEEN WEEKS ENDED SEPTEMBER 28, 2025</w:t>
            </w:r>
          </w:p>
        </w:tc>
        <w:tc>
          <w:tcPr>
            <w:tcW w:w="1480" w:type="dxa"/>
            <w:vAlign w:val="bottom"/>
            <w:tcBorders>
              <w:bottom w:val="single" w:sz="8" w:color="auto"/>
            </w:tcBorders>
          </w:tcPr>
          <w:p>
            <w:pPr>
              <w:spacing w:after="0"/>
              <w:rPr>
                <w:sz w:val="18"/>
                <w:szCs w:val="18"/>
                <w:color w:val="auto"/>
              </w:rPr>
            </w:pPr>
          </w:p>
        </w:tc>
      </w:tr>
      <w:tr>
        <w:trPr>
          <w:trHeight w:val="211"/>
        </w:trPr>
        <w:tc>
          <w:tcPr>
            <w:tcW w:w="4200" w:type="dxa"/>
            <w:vAlign w:val="bottom"/>
          </w:tcPr>
          <w:p>
            <w:pPr>
              <w:spacing w:after="0"/>
              <w:rPr>
                <w:sz w:val="18"/>
                <w:szCs w:val="18"/>
                <w:color w:val="auto"/>
              </w:rPr>
            </w:pPr>
          </w:p>
        </w:tc>
        <w:tc>
          <w:tcPr>
            <w:tcW w:w="20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COMPANY-OWNED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FRANCHISE-OWNED</w:t>
            </w: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531</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New restaurant openings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6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franchise-owned restaurants</w:t>
            </w:r>
          </w:p>
        </w:tc>
        <w:tc>
          <w:tcPr>
            <w:tcW w:w="4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30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Closures</w:t>
            </w:r>
          </w:p>
        </w:tc>
        <w:tc>
          <w:tcPr>
            <w:tcW w:w="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8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4"/>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0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5620" w:type="dxa"/>
            <w:vAlign w:val="bottom"/>
            <w:tcBorders>
              <w:bottom w:val="single" w:sz="8" w:color="auto"/>
            </w:tcBorders>
            <w:gridSpan w:val="6"/>
          </w:tcPr>
          <w:p>
            <w:pPr>
              <w:ind w:left="1540"/>
              <w:spacing w:after="0"/>
              <w:rPr>
                <w:sz w:val="20"/>
                <w:szCs w:val="20"/>
                <w:color w:val="auto"/>
              </w:rPr>
            </w:pPr>
            <w:r>
              <w:rPr>
                <w:rFonts w:ascii="Times New Roman" w:cs="Times New Roman" w:eastAsia="Times New Roman" w:hAnsi="Times New Roman"/>
                <w:sz w:val="16"/>
                <w:szCs w:val="16"/>
                <w:b w:val="1"/>
                <w:bCs w:val="1"/>
                <w:color w:val="auto"/>
              </w:rPr>
              <w:t>THIRTY-NINE WEEKS ENDED SEPTEMBER 28, 2025</w:t>
            </w:r>
          </w:p>
        </w:tc>
        <w:tc>
          <w:tcPr>
            <w:tcW w:w="1420" w:type="dxa"/>
            <w:vAlign w:val="bottom"/>
            <w:tcBorders>
              <w:bottom w:val="single" w:sz="8" w:color="auto"/>
            </w:tcBorders>
          </w:tcPr>
          <w:p>
            <w:pPr>
              <w:spacing w:after="0"/>
              <w:rPr>
                <w:sz w:val="18"/>
                <w:szCs w:val="18"/>
                <w:color w:val="auto"/>
              </w:rPr>
            </w:pPr>
          </w:p>
        </w:tc>
      </w:tr>
      <w:tr>
        <w:trPr>
          <w:trHeight w:val="211"/>
        </w:trPr>
        <w:tc>
          <w:tcPr>
            <w:tcW w:w="4200" w:type="dxa"/>
            <w:vAlign w:val="bottom"/>
          </w:tcPr>
          <w:p>
            <w:pPr>
              <w:spacing w:after="0"/>
              <w:rPr>
                <w:sz w:val="18"/>
                <w:szCs w:val="18"/>
                <w:color w:val="auto"/>
              </w:rPr>
            </w:pPr>
          </w:p>
        </w:tc>
        <w:tc>
          <w:tcPr>
            <w:tcW w:w="20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COMPANY-OWNED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FRANCHISE-OWNED</w:t>
            </w:r>
          </w:p>
        </w:tc>
        <w:tc>
          <w:tcPr>
            <w:tcW w:w="142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489</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3"/>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New restaurant openings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6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franchise-owned restaurants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Closures</w:t>
            </w:r>
          </w:p>
        </w:tc>
        <w:tc>
          <w:tcPr>
            <w:tcW w:w="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14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5"/>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0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211"/>
        </w:trPr>
        <w:tc>
          <w:tcPr>
            <w:tcW w:w="3860" w:type="dxa"/>
            <w:vAlign w:val="bottom"/>
          </w:tcPr>
          <w:p>
            <w:pPr>
              <w:spacing w:after="0"/>
              <w:rPr>
                <w:sz w:val="18"/>
                <w:szCs w:val="18"/>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sales (in thousands)</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352,688</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291,806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1,021,896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880,364</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Same-restaurant sales growth</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Same-restaurant traffic growth</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 (in thousands)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10,050</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18,476</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35,046</w:t>
            </w:r>
          </w:p>
        </w:tc>
      </w:tr>
      <w:tr>
        <w:trPr>
          <w:trHeight w:val="219"/>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6"/>
        </w:trPr>
        <w:tc>
          <w:tcPr>
            <w:tcW w:w="3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(in thousands) </w:t>
            </w:r>
            <w:r>
              <w:rPr>
                <w:rFonts w:ascii="Times New Roman" w:cs="Times New Roman" w:eastAsia="Times New Roman" w:hAnsi="Times New Roman"/>
                <w:sz w:val="21"/>
                <w:szCs w:val="21"/>
                <w:color w:val="auto"/>
                <w:vertAlign w:val="superscript"/>
              </w:rPr>
              <w:t>(1)</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61,675</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46,991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164,573</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152,799</w:t>
            </w:r>
          </w:p>
        </w:tc>
      </w:tr>
      <w:tr>
        <w:trPr>
          <w:trHeight w:val="216"/>
        </w:trPr>
        <w:tc>
          <w:tcPr>
            <w:tcW w:w="38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margin </w:t>
            </w:r>
            <w:r>
              <w:rPr>
                <w:rFonts w:ascii="Times New Roman" w:cs="Times New Roman" w:eastAsia="Times New Roman" w:hAnsi="Times New Roman"/>
                <w:sz w:val="21"/>
                <w:szCs w:val="21"/>
                <w:color w:val="auto"/>
                <w:vertAlign w:val="superscript"/>
              </w:rPr>
              <w:t>(1)</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(in thousands)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18,226</w:t>
            </w:r>
          </w:p>
        </w:tc>
      </w:tr>
      <w:tr>
        <w:trPr>
          <w:trHeight w:val="219"/>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margin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16"/>
        </w:trPr>
        <w:tc>
          <w:tcPr>
            <w:tcW w:w="3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(in thousands) </w:t>
            </w:r>
            <w:r>
              <w:rPr>
                <w:rFonts w:ascii="Times New Roman" w:cs="Times New Roman" w:eastAsia="Times New Roman" w:hAnsi="Times New Roman"/>
                <w:sz w:val="21"/>
                <w:szCs w:val="21"/>
                <w:color w:val="auto"/>
                <w:vertAlign w:val="superscript"/>
              </w:rPr>
              <w:t>(2)</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34,099</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25,624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87,231</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89,539</w:t>
            </w:r>
          </w:p>
        </w:tc>
      </w:tr>
      <w:tr>
        <w:trPr>
          <w:trHeight w:val="216"/>
        </w:trPr>
        <w:tc>
          <w:tcPr>
            <w:tcW w:w="38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1"/>
                <w:szCs w:val="21"/>
                <w:color w:val="auto"/>
                <w:vertAlign w:val="superscript"/>
              </w:rPr>
              <w:t>(2)</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right="20" w:firstLine="8"/>
        <w:spacing w:after="0" w:line="253" w:lineRule="auto"/>
        <w:tabs>
          <w:tab w:leader="none" w:pos="25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ind w:right="20" w:firstLine="8"/>
        <w:spacing w:after="0" w:line="275" w:lineRule="auto"/>
        <w:tabs>
          <w:tab w:leader="none" w:pos="2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Net income and Net income margin, the most comparable GAAP measures to Adjusted EBITDA and Adjusted EBITDA margin,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percentages of certain items in relation to Total revenues or, where indicated, Restaurant sales for the thirteen and thirty-nine weeks ended September 28, 2025 and September 29, 2024,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680" w:type="dxa"/>
            <w:vAlign w:val="bottom"/>
            <w:tcBorders>
              <w:bottom w:val="single" w:sz="8" w:color="auto"/>
            </w:tcBorders>
          </w:tcPr>
          <w:p>
            <w:pPr>
              <w:spacing w:after="0"/>
              <w:rPr>
                <w:sz w:val="18"/>
                <w:szCs w:val="18"/>
                <w:color w:val="auto"/>
              </w:rPr>
            </w:pPr>
          </w:p>
        </w:tc>
      </w:tr>
      <w:tr>
        <w:trPr>
          <w:trHeight w:val="214"/>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8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20" w:type="dxa"/>
            <w:vAlign w:val="bottom"/>
          </w:tcPr>
          <w:p>
            <w:pPr>
              <w:spacing w:after="0"/>
              <w:rPr>
                <w:sz w:val="18"/>
                <w:szCs w:val="18"/>
                <w:color w:val="auto"/>
              </w:rPr>
            </w:pPr>
          </w:p>
        </w:tc>
        <w:tc>
          <w:tcPr>
            <w:tcW w:w="17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20" w:type="dxa"/>
            <w:vAlign w:val="bottom"/>
          </w:tcPr>
          <w:p>
            <w:pPr>
              <w:spacing w:after="0"/>
              <w:rPr>
                <w:sz w:val="18"/>
                <w:szCs w:val="18"/>
                <w:color w:val="auto"/>
              </w:rPr>
            </w:pPr>
          </w:p>
        </w:tc>
        <w:tc>
          <w:tcPr>
            <w:tcW w:w="17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198"/>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99.2 %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98.9 %</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898,210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98.8 %</w:t>
            </w: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7"/>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316,022</w:t>
            </w:r>
          </w:p>
        </w:tc>
        <w:tc>
          <w:tcPr>
            <w:tcW w:w="1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251,609</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906,149</w:t>
            </w:r>
          </w:p>
        </w:tc>
        <w:tc>
          <w:tcPr>
            <w:tcW w:w="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752,619</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19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62"/>
        </w:trPr>
        <w:tc>
          <w:tcPr>
            <w:tcW w:w="3240" w:type="dxa"/>
            <w:vAlign w:val="bottom"/>
          </w:tcPr>
          <w:p>
            <w:pPr>
              <w:ind w:left="20"/>
              <w:spacing w:after="0" w:line="162" w:lineRule="exact"/>
              <w:rPr>
                <w:sz w:val="20"/>
                <w:szCs w:val="20"/>
                <w:color w:val="auto"/>
              </w:rPr>
            </w:pPr>
            <w:r>
              <w:rPr>
                <w:rFonts w:ascii="Times New Roman" w:cs="Times New Roman" w:eastAsia="Times New Roman" w:hAnsi="Times New Roman"/>
                <w:sz w:val="14"/>
                <w:szCs w:val="14"/>
                <w:color w:val="auto"/>
              </w:rPr>
              <w:t xml:space="preserve">Restaurant operating expenses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(exclusive of</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shown below):</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69,730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208,355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r>
      <w:tr>
        <w:trPr>
          <w:trHeight w:val="213"/>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300,451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r>
      <w:tr>
        <w:trPr>
          <w:trHeight w:val="219"/>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141,002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r>
      <w:tr>
        <w:trPr>
          <w:trHeight w:val="213"/>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73,849</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r>
      <w:tr>
        <w:trPr>
          <w:trHeight w:val="219"/>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97,150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07"/>
        </w:trPr>
        <w:tc>
          <w:tcPr>
            <w:tcW w:w="3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305,972</w:t>
            </w:r>
          </w:p>
        </w:tc>
        <w:tc>
          <w:tcPr>
            <w:tcW w:w="1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96.8 %</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245,296</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97.5 %</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887,673</w:t>
            </w:r>
          </w:p>
        </w:tc>
        <w:tc>
          <w:tcPr>
            <w:tcW w:w="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98.0 %</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717,573</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95.3 %</w:t>
            </w:r>
          </w:p>
        </w:tc>
      </w:tr>
      <w:tr>
        <w:trPr>
          <w:trHeight w:val="212"/>
        </w:trPr>
        <w:tc>
          <w:tcPr>
            <w:tcW w:w="324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Income from operations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0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5,674</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7,713</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27,288</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18,226</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3"/>
        </w:trPr>
        <w:tc>
          <w:tcPr>
            <w:tcW w:w="3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As a percentage of restaurant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4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4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14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6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254,155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207,047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728,282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42.6 %</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19,546</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66,295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57,626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248,965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898,210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743,730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total restaurant sales as compared to the same periods in the prior year was due principally to (i) the increase in number of restaurants due to NROs, (ii) restaurants acquired from franchisees, (iii) menu price increases and (iv) an increase in same-restaurant traffic, partially offset by increased promotional usage.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4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00" w:type="dxa"/>
            <w:vAlign w:val="bottom"/>
          </w:tcPr>
          <w:p>
            <w:pPr>
              <w:spacing w:after="0"/>
              <w:rPr>
                <w:sz w:val="13"/>
                <w:szCs w:val="13"/>
                <w:color w:val="auto"/>
              </w:rPr>
            </w:pPr>
          </w:p>
        </w:tc>
        <w:tc>
          <w:tcPr>
            <w:tcW w:w="14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14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8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162"/>
        </w:trPr>
        <w:tc>
          <w:tcPr>
            <w:tcW w:w="300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Business acquisitions - franchise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revenues recognized</w:t>
            </w:r>
          </w:p>
        </w:tc>
        <w:tc>
          <w:tcPr>
            <w:tcW w:w="100" w:type="dxa"/>
            <w:vAlign w:val="bottom"/>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decrease in franchise revenues during the thirteen and thirty-nine weeks ended September 28, 2025 as compared to the same periods in the prior year was primarily driven by the Company’s acquisitions of franchise-owned restaurants, partially offset by franchise revenues from the franchise-owned NROs.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Beverage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Food and beverage costs at company-owned restaurants vary with sales volume and are subject to increases and declines in commodity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2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9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69,730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55,865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208,355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163,852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Food and beverage costs as a percent of restaurant sales decreased during the thirteen weeks ended September 28, 2025 compared to the same period in the prior year primarily as a result of leverage associated with menu price increases, partially offset by commodity inflation experienced in bacon and coffee.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Food and beverage costs as a percent of restaurant sales increased during the thirty-nine weeks ended September 28, 2025 as compared to the same period in the prior year primarily due to (i) commodity inflation experienced in eggs, coffee, bacon and avocados, and (ii) increased portion size in certain menu items, partially offset by the leverage associated with menu price increases.</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Food and beverage costs increased during the thirteen and thirty-nine weeks ended September 28, 2025 as compared to the same periods in the prior year primarily as a result of (i) the increase in the number of company-owned restaurants, (ii) commodity inflation and (iii) increased portion size of meat in certain menu items.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Other 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2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9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102,387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83,756</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300,451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247,332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decreased during the thirteen weeks ended September 28, 2025 compared to the same period in the prior year primarily as a result of (i) the leverage associated with menu price increases and (ii) hourly labor efficiency. These decreases were partially offset by an increase in health insurance costs.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increased during the thirty-nine weeks ended September 28, 2025 as compared to the same period in the prior year primarily as a result of increases in (i) wage rates and (ii) health insurance costs, partially offset by the leverage associated with menu price increases.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labor and other related expenses during the thirteen and thirty-nine weeks ended September 28, 2025 as compared to the same periods in the prior year was primarily due to (i) the increase in the number of restaurants and related headcount, (ii) wage increases and (iii) increased health insurance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2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9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50,140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38,891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141,002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113,232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percentage of restaurant sales, the increase in other restaurant operating expenses for the thirteen and thirty-nine weeks ended September 28, 2025 as compared to the same periods in the prior year was primarily due to increases in (i) operating supply costs, in particular, menus and to-go supplies and (ii) third-party delivery fees.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the thirteen weeks ended September 28, 2025 as compared to the same period in the prior year was primarily due to the increase in the number of company-owned restaurants driving increased expenses, including (i) $3.6 million in operating supplies,</w:t>
      </w:r>
    </w:p>
    <w:p>
      <w:pPr>
        <w:ind w:firstLine="8"/>
        <w:spacing w:after="0" w:line="260" w:lineRule="auto"/>
        <w:tabs>
          <w:tab w:leader="none" w:pos="2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related to utilities and repair and maintenance expenses, (iii) $3.2 million in third-party delivery fees and (iv) $1.4 million in credit card fees.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the thirty-nine weeks ended September 28, 2025 as compared to the same period in the prior year was primarily due to the increase in the number of company-owned restaurants driving increased expenses, including (i) $8.8 million in operating supplies, (ii) $7.7 million related to utilities, repair and maintenance expenses, (iii) $6.3 million in third-party delivery fees, (iv) $3.0 million in credit card fees, (v) $1.0 million in insurance expenses and (vi) $0.7 million in legal, accounting and licensing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primarily consist of rent expense, property insurance, common area expenses and property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2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9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25,891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21,075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73,849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60,733</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percentage of restaurant sales, the decrease in occupancy expenses for the thirteen weeks ended September 28, 2025 as compared to the same period in the prior year was primarily due to leveraging increased restaurant sales.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occupancy expenses during the thirteen and thirty-nine weeks ended September 28, 2025 as compared to the same periods in the prior year was primarily due to the increase in the number of company-owned restaurants.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rent expense,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4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60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pre-opening expenses during the thirteen and thirty-nine weeks ended September 28, 2025 as compared to the same periods in the prior year was primarily from (i) increases in pre-opening rent and (ii) the higher number of new restaurants opened and under construction.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4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60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33,746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27,680</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thirteen weeks ended September 28, 2025 as compared to the same period in the prior year was mainly due to (i) a $2.9 million increase in marketing expenses, (ii) a $2.4 million increase in compensation expense from wage increases and additional employee headcount to support growth and (iii) a $0.5 million increase in licenses and fees including information technology related expenses for an increased number of restaurants.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thirty-nine weeks ended September 28, 2025 as compared to the same period in the prior year was mainly due to, (i) a $7.4 million increase in marketing expenses, (ii) a $4.4 million increase in compensation expense from wage increases and additional employee headcount to support growth, (iii) a $1.5 million increase in licenses and fees including information technology related expenses for an increased number of restaurants and (iv) a $0.8 million increase in consulting and other professional services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4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00" w:type="dxa"/>
            <w:vAlign w:val="bottom"/>
          </w:tcPr>
          <w:p>
            <w:pPr>
              <w:spacing w:after="0"/>
              <w:rPr>
                <w:sz w:val="13"/>
                <w:szCs w:val="13"/>
                <w:color w:val="auto"/>
              </w:rPr>
            </w:pPr>
          </w:p>
        </w:tc>
        <w:tc>
          <w:tcPr>
            <w:tcW w:w="14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4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4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36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41,960</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during the thirteen and thirty-nine weeks ended September 28, 2025 as compared to the same periods in the prior year is primarily related to depreciating and amortizing the assets of NROs and of acquired restaurants, including reacquired rights from franchisees.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expenses, net include (i) costs incurred in connection with the acquisition of franchise-owned restaurants, (ii) costs related to certain equity offerings, (iii) costs related to restaurant closures, (iv) gains or losses associated with lease or contract terminations and (v) revaluations of contingent consideration payable to previous stockholders for tax savings generated through the use of federal and state loss carryforwards and general business credits that had been accumulated from operations prior to August 2017.</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4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60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Transaction expenses, net during the thirteen weeks ended September 28, 2025 as compared to the same period in the prior year was primarily due to $0.3 million on costs incurred in connection with a secondary equity offering. This increase was partially offset by $(0.2) million decrease in costs in connection with the acquisitions of restaurants from our franchisees.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Transaction expenses, net during the thirty-nine weeks ended September 28, 2025 as compared to the same period in the prior year was primarily due to a $0.6 million reduction to contingent consideration liability in the first quarter of 2024 partially offset by $0.3 million of debt modification costs incurred in the first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2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9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35,046</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from operations and income from operations margin increased during the thirteen weeks ended September 28, 2025 compared to the same period in the prior year due to leveraging revenue against certain costs including (i) labor and other related expenses, (ii) food and beverage costs, (iii) occupancy expense and (iv) general and administrative expenses.</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Income from operations and income from operations margin decreased during the thirty-nine weeks ended September 28, 2025 as revenue increases were exceeded by increases in various other costs compared to the same period in the prior year including (i) food and beverage costs, (ii) labor and related expenses, (iii) other restaurant operating expenses, (iv) preopening expenses and (v) depreciation and amortization expense, partially offset by leveraging of general and administrative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and fees on our outstanding debt and the amortization expense for debt discount and deferred issuance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4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60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during the thirteen and thirty-nine weeks ended September 28, 2025 as compared to the same periods in the prior year was primarily due to increased borrowings associated with franchise acquisitions.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includes items deemed to be non-operating based on management’s assessment of the nature of the item in relation to our core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4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00" w:type="dxa"/>
            <w:vAlign w:val="bottom"/>
          </w:tcPr>
          <w:p>
            <w:pPr>
              <w:spacing w:after="0"/>
              <w:rPr>
                <w:sz w:val="13"/>
                <w:szCs w:val="13"/>
                <w:color w:val="auto"/>
              </w:rPr>
            </w:pPr>
          </w:p>
        </w:tc>
        <w:tc>
          <w:tcPr>
            <w:tcW w:w="14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2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8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decreased during the thirteen and thirty-nine weeks ended September 28, 2025 as compared to the same periods in the prior year primarily due to a reduction in interest income partially offset by insurance recoveries.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primarily consists of various federal and state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520" w:type="dxa"/>
            <w:vAlign w:val="bottom"/>
            <w:gridSpan w:val="2"/>
          </w:tcPr>
          <w:p>
            <w:pPr>
              <w:jc w:val="right"/>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40" w:type="dxa"/>
            <w:vAlign w:val="bottom"/>
          </w:tcPr>
          <w:p>
            <w:pPr>
              <w:spacing w:after="0"/>
              <w:rPr>
                <w:sz w:val="13"/>
                <w:szCs w:val="13"/>
                <w:color w:val="auto"/>
              </w:rPr>
            </w:pPr>
          </w:p>
        </w:tc>
        <w:tc>
          <w:tcPr>
            <w:tcW w:w="1520" w:type="dxa"/>
            <w:vAlign w:val="bottom"/>
            <w:gridSpan w:val="2"/>
          </w:tcPr>
          <w:p>
            <w:pPr>
              <w:jc w:val="right"/>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4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gridSpan w:val="2"/>
          </w:tcPr>
          <w:p>
            <w:pPr>
              <w:jc w:val="right"/>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40" w:type="dxa"/>
            <w:vAlign w:val="bottom"/>
          </w:tcPr>
          <w:p>
            <w:pPr>
              <w:spacing w:after="0"/>
              <w:rPr>
                <w:sz w:val="13"/>
                <w:szCs w:val="13"/>
                <w:color w:val="auto"/>
              </w:rPr>
            </w:pPr>
          </w:p>
        </w:tc>
        <w:tc>
          <w:tcPr>
            <w:tcW w:w="15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9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4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(9,062)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thirteen and thirty-nine weeks ended September 28, 2025 and September 29, 2024, the income tax expense includes the impact of changes to the estimate of forecasted annual income before taxes relative to the prior period in each respective year.</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effective income tax rates during the thirteen and thirty-nine weeks ended September 28, 2025 increased as compared to the same periods in the prior year primarily due to (i) the changes in income before income taxes, (ii) the increase in FICA tax credits and the corresponding change in valuation allowance and (iii) the impact of executive compensation.</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applied the relevant provisions of H.R. 1 – </w:t>
      </w:r>
      <w:r>
        <w:rPr>
          <w:rFonts w:ascii="Times New Roman" w:cs="Times New Roman" w:eastAsia="Times New Roman" w:hAnsi="Times New Roman"/>
          <w:sz w:val="18"/>
          <w:szCs w:val="18"/>
          <w:i w:val="1"/>
          <w:iCs w:val="1"/>
          <w:color w:val="auto"/>
        </w:rPr>
        <w:t>One Big Beautiful Bill</w:t>
      </w:r>
      <w:r>
        <w:rPr>
          <w:rFonts w:ascii="Times New Roman" w:cs="Times New Roman" w:eastAsia="Times New Roman" w:hAnsi="Times New Roman"/>
          <w:sz w:val="18"/>
          <w:szCs w:val="18"/>
          <w:color w:val="auto"/>
        </w:rPr>
        <w:t xml:space="preserve"> in the third quarter of 2025 following its enactment on July 4, 2025, including provisions related to research and development. The impact on our consolidated financial statements was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2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9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18,226</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total revenues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and net income margin during the thirteen weeks ended September 28, 2025 increased as compared to the same period in the prior year primarily due to the increase in income from operations, partially offset by (i) the increase in interest expense and (ii) the increase in income tax expense.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income and net income margin during the thirty-nine weeks ended September 28, 2025 decreased as compared to the same period in the prior year primarily due to the (i) decrease in income from operations as expenses increased at a higher rate than revenue and (ii) increase in interest expense associated with increased borrowings to fund acquisitions, offset partially by the impact of income taxes.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and Restaurant Level Operating Profit Margin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2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9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61,675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46,991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164,573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152,799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margin during the thirteen weeks ended September 28, 2025 increased as compared to the same period in the prior year primarily due to (i) favorable labor and other related expenses as a percent of sales, (ii) favorable food and beverage costs as a percent of sales and (iii) favorable occupancy expenses as a percent of sales. This was partially offset by the deleverage of other restaurant operating expenses.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margin during the thirty-nine weeks ended September 28, 2025 decreased as compared to the same period in the prior year primarily due to (i) inflation across commodities, (ii) increases in restaurant-level wages and (iii) increases in preopening expenses. This was partially offset by the leverage associated with menu price increases.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for the thirteen and thirty-nine weeks ended September 28, 2025 increased as compared to the same periods in the prior year due to sales growth driven by the increase in (i) restaurant locations, (ii) traffic and (iii) menu prices. This was partially offset by an increase in (i) labor costs, (ii) food and beverage expenses, (iii) other restaurant operating expenses, (iv) occupancy expense and (v) preopening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12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20" w:type="dxa"/>
            <w:vAlign w:val="bottom"/>
          </w:tcPr>
          <w:p>
            <w:pPr>
              <w:spacing w:after="0"/>
              <w:rPr>
                <w:sz w:val="13"/>
                <w:szCs w:val="13"/>
                <w:color w:val="auto"/>
              </w:rPr>
            </w:pPr>
          </w:p>
        </w:tc>
        <w:tc>
          <w:tcPr>
            <w:tcW w:w="15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9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2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34,099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25,624</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87,231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89,539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EBITDA increased during the thirteen weeks ended September 28, 2025 compared to the same period in the prior year primarily due to an increase in restaurant level operating profit partially offset by an increase in general and administrative expenses.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margin increased during the thirteen weeks ended September 28, 2025 compared to the same period in the prior year primarily due to (i) an increase in restaurant level operating profit margin and (ii) a decrease in general and administrative expenses as a percentage of revenues.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decreased during the thirty-nine weeks ended September 28, 2025 as compared to the same period in the prior year primarily due to the increase in general and administrative expenses partially offset by the increase in restaurant level operating profit.</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margin decreased during the thirty-nine weeks ended September 28, 2025 as compared to the same period in the prior year primarily due to the decrease in restaurant level operating profit margin partially offset by the decrease in general and administrative expenses as a percentage of revenues.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Non-GAAP Financial Measures Reconciliations</w:t>
      </w:r>
    </w:p>
    <w:p>
      <w:pPr>
        <w:spacing w:after="0" w:line="254" w:lineRule="exact"/>
        <w:rPr>
          <w:sz w:val="20"/>
          <w:szCs w:val="20"/>
          <w:color w:val="auto"/>
        </w:rPr>
      </w:pPr>
    </w:p>
    <w:p>
      <w:pPr>
        <w:ind w:lef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The following table reconciles Net income and Net income margin, the most directly comparable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to Adjusted EBITDA and Adjusted EBITDA margin,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c>
          <w:tcPr>
            <w:tcW w:w="0" w:type="dxa"/>
            <w:vAlign w:val="bottom"/>
          </w:tcPr>
          <w:p>
            <w:pPr>
              <w:spacing w:after="0"/>
              <w:rPr>
                <w:sz w:val="1"/>
                <w:szCs w:val="1"/>
                <w:color w:val="auto"/>
              </w:rPr>
            </w:pPr>
          </w:p>
        </w:tc>
      </w:tr>
      <w:tr>
        <w:trPr>
          <w:trHeight w:val="214"/>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100" w:type="dxa"/>
            <w:vAlign w:val="bottom"/>
          </w:tcPr>
          <w:p>
            <w:pPr>
              <w:spacing w:after="0"/>
              <w:rPr>
                <w:sz w:val="18"/>
                <w:szCs w:val="18"/>
                <w:color w:val="auto"/>
              </w:rPr>
            </w:pPr>
          </w:p>
        </w:tc>
        <w:tc>
          <w:tcPr>
            <w:tcW w:w="18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0" w:type="dxa"/>
            <w:vAlign w:val="bottom"/>
          </w:tcPr>
          <w:p>
            <w:pPr>
              <w:spacing w:after="0"/>
              <w:rPr>
                <w:sz w:val="1"/>
                <w:szCs w:val="1"/>
                <w:color w:val="auto"/>
              </w:rPr>
            </w:pPr>
          </w:p>
        </w:tc>
      </w:tr>
      <w:tr>
        <w:trPr>
          <w:trHeight w:val="211"/>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2,991</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4,268</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18,226</w:t>
            </w:r>
          </w:p>
        </w:tc>
        <w:tc>
          <w:tcPr>
            <w:tcW w:w="0" w:type="dxa"/>
            <w:vAlign w:val="bottom"/>
          </w:tcPr>
          <w:p>
            <w:pPr>
              <w:spacing w:after="0"/>
              <w:rPr>
                <w:sz w:val="1"/>
                <w:szCs w:val="1"/>
                <w:color w:val="auto"/>
              </w:rPr>
            </w:pPr>
          </w:p>
        </w:tc>
      </w:tr>
      <w:tr>
        <w:trPr>
          <w:trHeight w:val="213"/>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19,662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54,355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41,960</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4,567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9,421</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expense</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2,683</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3,445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9,062</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29,903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73,972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78,669</w:t>
            </w: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Strategic costs </w:t>
            </w:r>
            <w:r>
              <w:rPr>
                <w:rFonts w:ascii="Times New Roman" w:cs="Times New Roman" w:eastAsia="Times New Roman" w:hAnsi="Times New Roman"/>
                <w:sz w:val="21"/>
                <w:szCs w:val="21"/>
                <w:color w:val="auto"/>
                <w:vertAlign w:val="superscript"/>
              </w:rPr>
              <w:t>(1)</w:t>
            </w:r>
          </w:p>
        </w:tc>
        <w:tc>
          <w:tcPr>
            <w:tcW w:w="44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extinguishment and modification of debt</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162"/>
        </w:trPr>
        <w:tc>
          <w:tcPr>
            <w:tcW w:w="39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Stock-based compensation, net of amounts capitalized</w:t>
            </w:r>
          </w:p>
        </w:tc>
        <w:tc>
          <w:tcPr>
            <w:tcW w:w="440" w:type="dxa"/>
            <w:vAlign w:val="bottom"/>
          </w:tcPr>
          <w:p>
            <w:pPr>
              <w:spacing w:after="0"/>
              <w:rPr>
                <w:sz w:val="14"/>
                <w:szCs w:val="14"/>
                <w:color w:val="auto"/>
              </w:rPr>
            </w:pPr>
          </w:p>
        </w:tc>
        <w:tc>
          <w:tcPr>
            <w:tcW w:w="1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2,877</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2,076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7,926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6,394</w:t>
            </w:r>
          </w:p>
        </w:tc>
        <w:tc>
          <w:tcPr>
            <w:tcW w:w="0" w:type="dxa"/>
            <w:vAlign w:val="bottom"/>
          </w:tcPr>
          <w:p>
            <w:pPr>
              <w:spacing w:after="0"/>
              <w:rPr>
                <w:sz w:val="1"/>
                <w:szCs w:val="1"/>
                <w:color w:val="auto"/>
              </w:rPr>
            </w:pPr>
          </w:p>
        </w:tc>
      </w:tr>
      <w:tr>
        <w:trPr>
          <w:trHeight w:val="108"/>
        </w:trPr>
        <w:tc>
          <w:tcPr>
            <w:tcW w:w="3980" w:type="dxa"/>
            <w:vAlign w:val="bottom"/>
          </w:tcPr>
          <w:p>
            <w:pPr>
              <w:ind w:left="340"/>
              <w:spacing w:after="0" w:line="108" w:lineRule="exact"/>
              <w:rPr>
                <w:sz w:val="20"/>
                <w:szCs w:val="20"/>
                <w:color w:val="auto"/>
              </w:rPr>
            </w:pPr>
            <w:r>
              <w:rPr>
                <w:rFonts w:ascii="Times New Roman" w:cs="Times New Roman" w:eastAsia="Times New Roman" w:hAnsi="Times New Roman"/>
                <w:sz w:val="11"/>
                <w:szCs w:val="11"/>
                <w:color w:val="auto"/>
              </w:rPr>
              <w:t>(2)</w:t>
            </w:r>
          </w:p>
        </w:tc>
        <w:tc>
          <w:tcPr>
            <w:tcW w:w="4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340"/>
              <w:spacing w:after="0" w:line="219" w:lineRule="exact"/>
              <w:rPr>
                <w:sz w:val="20"/>
                <w:szCs w:val="20"/>
                <w:color w:val="auto"/>
              </w:rPr>
            </w:pPr>
            <w:r>
              <w:rPr>
                <w:rFonts w:ascii="Times New Roman" w:cs="Times New Roman" w:eastAsia="Times New Roman" w:hAnsi="Times New Roman"/>
                <w:sz w:val="16"/>
                <w:szCs w:val="16"/>
                <w:color w:val="auto"/>
              </w:rPr>
              <w:t xml:space="preserve">Delaware Voluntary Disclosure Agreement Program </w:t>
            </w:r>
            <w:r>
              <w:rPr>
                <w:rFonts w:ascii="Times New Roman" w:cs="Times New Roman" w:eastAsia="Times New Roman" w:hAnsi="Times New Roman"/>
                <w:sz w:val="21"/>
                <w:szCs w:val="21"/>
                <w:color w:val="auto"/>
                <w:vertAlign w:val="superscript"/>
              </w:rPr>
              <w:t>(3)</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(4)</w:t>
            </w:r>
          </w:p>
        </w:tc>
        <w:tc>
          <w:tcPr>
            <w:tcW w:w="44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1,769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(5)</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Recruiting and relocation costs </w:t>
            </w:r>
            <w:r>
              <w:rPr>
                <w:rFonts w:ascii="Times New Roman" w:cs="Times New Roman" w:eastAsia="Times New Roman" w:hAnsi="Times New Roman"/>
                <w:sz w:val="21"/>
                <w:szCs w:val="21"/>
                <w:color w:val="auto"/>
                <w:vertAlign w:val="superscript"/>
              </w:rPr>
              <w:t>(6)</w:t>
            </w:r>
          </w:p>
        </w:tc>
        <w:tc>
          <w:tcPr>
            <w:tcW w:w="4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Severance costs </w:t>
            </w:r>
            <w:r>
              <w:rPr>
                <w:rFonts w:ascii="Times New Roman" w:cs="Times New Roman" w:eastAsia="Times New Roman" w:hAnsi="Times New Roman"/>
                <w:sz w:val="21"/>
                <w:szCs w:val="21"/>
                <w:color w:val="auto"/>
                <w:vertAlign w:val="superscript"/>
              </w:rPr>
              <w:t>(7)</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0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34,099</w:t>
            </w: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25,624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87,231</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89,539</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316,022</w:t>
            </w:r>
          </w:p>
        </w:tc>
        <w:tc>
          <w:tcPr>
            <w:tcW w:w="8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6"/>
              </w:rPr>
              <w:t>251,609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906,149</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752,619</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margin</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3"/>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Adjusted EBITDA margin</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340"/>
              <w:spacing w:after="0" w:line="219" w:lineRule="exact"/>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(8)</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left="80" w:firstLine="8"/>
        <w:spacing w:after="0" w:line="249" w:lineRule="auto"/>
        <w:tabs>
          <w:tab w:leader="none" w:pos="32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process improvements and strategic initiatives. These costs are recorded within General and administrative expenses on the Consolidated Statements of Operations and Comprehensive Income (Loss).</w:t>
      </w:r>
    </w:p>
    <w:p>
      <w:pPr>
        <w:ind w:left="80" w:firstLine="8"/>
        <w:spacing w:after="0" w:line="255" w:lineRule="auto"/>
        <w:tabs>
          <w:tab w:leader="none" w:pos="31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net of amounts capitalized, which is recorded within General and administrative expenses on the Consolidated Statements of Operations and Comprehensive Income (Loss).</w:t>
      </w:r>
    </w:p>
    <w:p>
      <w:pPr>
        <w:ind w:left="80" w:right="20" w:firstLine="8"/>
        <w:spacing w:after="0" w:line="255" w:lineRule="auto"/>
        <w:tabs>
          <w:tab w:leader="none" w:pos="31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 (Loss).</w:t>
      </w:r>
    </w:p>
    <w:p>
      <w:pPr>
        <w:ind w:left="80" w:firstLine="8"/>
        <w:spacing w:after="0" w:line="248" w:lineRule="auto"/>
        <w:tabs>
          <w:tab w:leader="none" w:pos="33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secondary offering costs and, in 2024, an offsetting gain on release of contingent consideration liability and expenses related to debt.</w:t>
      </w:r>
    </w:p>
    <w:p>
      <w:pPr>
        <w:spacing w:after="0" w:line="1" w:lineRule="exact"/>
        <w:rPr>
          <w:rFonts w:ascii="Times New Roman" w:cs="Times New Roman" w:eastAsia="Times New Roman" w:hAnsi="Times New Roman"/>
          <w:sz w:val="16"/>
          <w:szCs w:val="16"/>
          <w:color w:val="auto"/>
        </w:rPr>
      </w:pPr>
    </w:p>
    <w:p>
      <w:pPr>
        <w:ind w:left="80" w:firstLine="8"/>
        <w:spacing w:after="0" w:line="255" w:lineRule="auto"/>
        <w:tabs>
          <w:tab w:leader="none" w:pos="3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left="80" w:right="20" w:firstLine="8"/>
        <w:spacing w:after="0" w:line="253" w:lineRule="auto"/>
        <w:tabs>
          <w:tab w:leader="none" w:pos="33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hiring qualified individuals. These costs are recorded within General and administrative expenses on the Consolidated Statements of Operations and Comprehensive Income (Loss).</w:t>
      </w:r>
    </w:p>
    <w:p>
      <w:pPr>
        <w:ind w:left="320" w:hanging="232"/>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are recorded in General and administrative expenses on the Consolidated Statements of Operations and Comprehensive Income (Loss).</w:t>
      </w:r>
    </w:p>
    <w:p>
      <w:pPr>
        <w:spacing w:after="0" w:line="8" w:lineRule="exact"/>
        <w:rPr>
          <w:rFonts w:ascii="Times New Roman" w:cs="Times New Roman" w:eastAsia="Times New Roman" w:hAnsi="Times New Roman"/>
          <w:sz w:val="16"/>
          <w:szCs w:val="16"/>
          <w:color w:val="auto"/>
        </w:rPr>
      </w:pPr>
    </w:p>
    <w:p>
      <w:pPr>
        <w:ind w:left="80" w:firstLine="8"/>
        <w:spacing w:after="0" w:line="270" w:lineRule="auto"/>
        <w:tabs>
          <w:tab w:leader="none" w:pos="32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both Occupancy expenses and General and administrative expenses on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level operating profit and Restaurant level operating profit margin </w:t>
      </w:r>
      <w:r>
        <w:rPr>
          <w:rFonts w:ascii="Times New Roman" w:cs="Times New Roman" w:eastAsia="Times New Roman" w:hAnsi="Times New Roman"/>
          <w:sz w:val="18"/>
          <w:szCs w:val="18"/>
          <w:color w:val="auto"/>
        </w:rPr>
        <w:t>- The following table reconciles Income from operations and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margin, the most comparable GAAP measures to Restaurant level operating profit and Restaurant level operating profit margin,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80" w:type="dxa"/>
            <w:vAlign w:val="bottom"/>
          </w:tcPr>
          <w:p>
            <w:pPr>
              <w:spacing w:after="0"/>
              <w:rPr>
                <w:sz w:val="18"/>
                <w:szCs w:val="18"/>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10,050</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6,313</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18,476</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35,046</w:t>
            </w: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Franchise revenues</w:t>
            </w:r>
          </w:p>
        </w:tc>
        <w:tc>
          <w:tcPr>
            <w:tcW w:w="44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(2,386)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(7,939)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(8,889)</w:t>
            </w: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33,746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27,680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97,150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82,527</w:t>
            </w:r>
          </w:p>
        </w:tc>
      </w:tr>
      <w:tr>
        <w:trPr>
          <w:trHeight w:val="21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19,662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54,355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41,960</w:t>
            </w:r>
          </w:p>
        </w:tc>
      </w:tr>
      <w:tr>
        <w:trPr>
          <w:trHeight w:val="216"/>
        </w:trPr>
        <w:tc>
          <w:tcPr>
            <w:tcW w:w="39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(1)</w:t>
            </w:r>
          </w:p>
        </w:tc>
        <w:tc>
          <w:tcPr>
            <w:tcW w:w="4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1,769</w:t>
            </w:r>
          </w:p>
        </w:tc>
      </w:tr>
      <w:tr>
        <w:trPr>
          <w:trHeight w:val="216"/>
        </w:trPr>
        <w:tc>
          <w:tcPr>
            <w:tcW w:w="39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(2)</w:t>
            </w:r>
          </w:p>
        </w:tc>
        <w:tc>
          <w:tcPr>
            <w:tcW w:w="4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386</w:t>
            </w:r>
          </w:p>
        </w:tc>
      </w:tr>
      <w:tr>
        <w:trPr>
          <w:trHeight w:val="207"/>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61,675</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46,991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164,573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152,799</w:t>
            </w:r>
          </w:p>
        </w:tc>
      </w:tr>
      <w:tr>
        <w:trPr>
          <w:trHeight w:val="199"/>
        </w:trPr>
        <w:tc>
          <w:tcPr>
            <w:tcW w:w="3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313,636</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248,965</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898,210</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743,730</w:t>
            </w:r>
          </w:p>
        </w:tc>
      </w:tr>
      <w:tr>
        <w:trPr>
          <w:trHeight w:val="21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20.5 %</w:t>
            </w:r>
          </w:p>
        </w:tc>
      </w:tr>
      <w:tr>
        <w:trPr>
          <w:trHeight w:val="219"/>
        </w:trPr>
        <w:tc>
          <w:tcPr>
            <w:tcW w:w="3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9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(3)</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927</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firstLine="8"/>
        <w:spacing w:after="0" w:line="249" w:lineRule="auto"/>
        <w:tabs>
          <w:tab w:leader="none" w:pos="24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secondary offering costs and, in 2024, an offsetting gain on release of contingent consideration liability and expenses related to debt.</w:t>
      </w:r>
    </w:p>
    <w:p>
      <w:pPr>
        <w:ind w:firstLine="8"/>
        <w:spacing w:after="0" w:line="255" w:lineRule="auto"/>
        <w:tabs>
          <w:tab w:leader="none" w:pos="25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firstLine="8"/>
        <w:spacing w:after="0" w:line="275" w:lineRule="auto"/>
        <w:tabs>
          <w:tab w:leader="none" w:pos="24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Occupancy expenses on the Consolidated Statements of Operations and Comprehensive Income (Loss).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28, 2025, we had cash and cash equivalents of $20.7 million and outstanding borrowings under the Credit Facility of $249.4 million, excluding unamortized debt discount and deferred issuance costs. We had availability of $87.9 million under our revolving credit facility of $125.0 million, of which $2.1 million is reserved under letters of credit pursuant to our credit agreement, dated as of October 6, 2021 as amended (“Credit Agreement”). Our principal uses of cash include capital expenditures for the development, acquisition or remodeling of restaurants, lease obligations, debt service payments and strategic infrastructure investments. Our working capital requirements are low due to our restaurants storing minimal inventory and customers pay for their purchases at the time of the sale, which frequently precedes our payment terms with suppliers.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flow from operations combined with our availability under the Credit Facility and our cash and cash equivalents will be sufficient to meet the Company’s liquidity needs for at least the next 12 months. We anticipate that to the extent that we require additional liquidity, or should we decide to pursue one or more significant acquisitions, the funds would be furnished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our capital expenditures will total approximately $150.0 million in 2025, not including the capital allocated to franchise acquisitions. This capital is invested primarily in new restaurant projects and planned remodels. We plan to fund the capital expenditures primarily with cash generated from our operating activities as well as with borrowings pursuant to our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cash provided by (used in) operating, investing and financing activities for the thirty-nine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2025 and September 29,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THIRTY-NINE WEEKS ENDED</w:t>
            </w:r>
          </w:p>
        </w:tc>
      </w:tr>
      <w:tr>
        <w:trPr>
          <w:trHeight w:val="214"/>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80" w:type="dxa"/>
            <w:vAlign w:val="bottom"/>
          </w:tcPr>
          <w:p>
            <w:pPr>
              <w:spacing w:after="0"/>
              <w:rPr>
                <w:sz w:val="18"/>
                <w:szCs w:val="18"/>
                <w:color w:val="auto"/>
              </w:rPr>
            </w:pPr>
          </w:p>
        </w:tc>
        <w:tc>
          <w:tcPr>
            <w:tcW w:w="1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29, 2024</w:t>
            </w:r>
          </w:p>
        </w:tc>
      </w:tr>
      <w:tr>
        <w:trPr>
          <w:trHeight w:val="211"/>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107,452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92,749</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(165,919)</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74,338</w:t>
            </w:r>
          </w:p>
        </w:tc>
      </w:tr>
      <w:tr>
        <w:trPr>
          <w:trHeight w:val="209"/>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(decrease) increase in cash and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(12,598)</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w:t>
            </w:r>
          </w:p>
        </w:tc>
      </w:tr>
      <w:tr>
        <w:trPr>
          <w:trHeight w:val="21"/>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operations is our typical source of liquidity used (i) to fund capital expenditures for new restaurants, (ii) to maintain and remodel existing restaurants and (iii) for debt service. Cash provided by operations increased during the thirty-nine week period ended September 28, 2025 as compared to the thirty-nine week period ended September 29, 2024 primarily due to the increase from (i) the timing of operational payments and (ii) the impact of non-cash charges, offset by the decrease to income from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during the thirty-nine weeks ended September 28, 2025 from the thirty-nine weeks ended September 29, 2024 due principally to increases in the number of new restaurants and capital projects into which the Company is investing, offset by amounts paid to acquire franchise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financing activities includes borrowings from the Company’s Credit Facility to fund capital projects and related debt issuance costs.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the accompanying unaudited interim consolidated financial statements and notes thereto, which have been prepared in accordance with GAAP. The preparation of these unaudited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in the 2024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and Food Price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project our full year commodity inflation to be approximately 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there have been no material changes to our exposure to market risks as disclosed in the 2024 Form 10-K.</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Quarterly Report on Form 10-Q, is recorded, processed, summarized and reported within the time periods specified in the SEC’s rules and forms.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Due to the material weaknesses in our internal control over financial reporting discussed below, our Chief Executive Officer and Chief Financial Officer concluded that, as of September 28, 2025,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Weaknesses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annual or interim financial statements would not be prevented or detected on a timely basis.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 to the management report on internal control over financial reporting in Part II - Item 9A of the 2024 Form 10-K filed with SEC on March 11, 2025 for a discussion of the material weaknesses, which continue to exist as of September 28,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material weaknesses, management has taken the following remedial actions:</w:t>
      </w:r>
    </w:p>
    <w:p>
      <w:pPr>
        <w:spacing w:after="0" w:line="252" w:lineRule="exact"/>
        <w:rPr>
          <w:sz w:val="20"/>
          <w:szCs w:val="20"/>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new and reassigned existing financial reporting, accounting, and information technology leadership with public company experience to enhance public company financial reporting, technical accounting, and information technology services and solutions.</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Augmented financial reporting capabilities by staffing professionals with knowledge and experience in income tax, internal audit, information technology, and legal.</w:t>
      </w: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various policies, including a formal delegation of authority policy defining the protocols for reviewing and authorizing commitments, contracts, invoices, and transactions as well as account reconciliation and journal entry policies that provide the framework to ensure the performance of consistent procedures in reconciling general ledger balances to supporting documentation and set the standards for the preparation and review of journal entries.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certain roles and reviewed responsibilities, including ensuring appropriate segregation of duties. Implemented preventive and detective controls designed to segregate certain duties to reduce the risk of fraud and errors.</w:t>
      </w: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period-end financial reporting controls, such as controls over the preparation and review of account reconciliations, financial statement disclosures, and the consolidated financial statements, including controls around classification of cash flows and disclosure of noncash items, as well as establishing a formal management Disclosure Committee to review the draft financial statements and disclosures prior to release, including a sub-certification process from various functional groups.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access restrictions for certain users over general ledger journal entries and designed new processes to further automate journal entries and segregate journal entry creation from journal entry approval authority.</w:t>
      </w: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 comprehensive risk assessment process during second quarter of 2025 to identify risks of material misstatement and ensure our internal control framework has the appropriate business process controls to meet the objectives and address the risks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management believes that these actions will remediate the material weaknesses, the material weaknesses will not be considered remediated until the applicable controls have operated for a sufficient period of time, and management has concluded, through testing, that these controls are designed and operating effectively. As management continues to evaluate and improve the Company’s internal control over financial reporting, additional improvements may be implemented, or management may further modify the remediation plan described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fiscal quarter ended September 28,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discussed in this report, please consider the factors described in Part I, Item 1A., “Risk Factors” in our 2024 Form 10-K, which could materially affect our business, financial condition or future results. There have been no material changes to the risk factors disclosed in our 2024 Form 10-K, but these are not the only risks facing our Company. Additional risks and uncertainties not currently known to us or that we currently deem to be immaterial also may adversely affect our business, financial condition or results of operations.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quarter ended September 28, 2025, none of our directors or officers adopted or terminated a “Rule 10b5-1 trading arrangement” or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10b5-1 trading arrangement,” as those terms are defined in Regulation S-K, Item 408, except as described in the table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Character of Trading</w:t>
            </w:r>
          </w:p>
        </w:tc>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Aggregate Number of Shares of</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&amp; Title</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1640" w:type="dxa"/>
            <w:vAlign w:val="bottom"/>
            <w:gridSpan w:val="2"/>
            <w:vMerge w:val="continue"/>
          </w:tcPr>
          <w:p>
            <w:pPr>
              <w:spacing w:after="0"/>
              <w:rPr>
                <w:sz w:val="12"/>
                <w:szCs w:val="12"/>
                <w:color w:val="auto"/>
              </w:rPr>
            </w:pPr>
          </w:p>
        </w:tc>
        <w:tc>
          <w:tcPr>
            <w:tcW w:w="25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 to be Sold Pursuant to</w:t>
            </w:r>
          </w:p>
        </w:tc>
        <w:tc>
          <w:tcPr>
            <w:tcW w:w="17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Duration (2)</w:t>
            </w:r>
          </w:p>
        </w:tc>
        <w:tc>
          <w:tcPr>
            <w:tcW w:w="0" w:type="dxa"/>
            <w:vAlign w:val="bottom"/>
          </w:tcPr>
          <w:p>
            <w:pPr>
              <w:spacing w:after="0"/>
              <w:rPr>
                <w:sz w:val="1"/>
                <w:szCs w:val="1"/>
                <w:color w:val="auto"/>
              </w:rPr>
            </w:pPr>
          </w:p>
        </w:tc>
      </w:tr>
      <w:tr>
        <w:trPr>
          <w:trHeight w:val="198"/>
        </w:trPr>
        <w:tc>
          <w:tcPr>
            <w:tcW w:w="3780" w:type="dxa"/>
            <w:vAlign w:val="bottom"/>
            <w:gridSpan w:val="2"/>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Arrangement (1)</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Trading Arrangement</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Eric Hartman, Chief Development Officer</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9/4/2025</w:t>
            </w:r>
          </w:p>
        </w:tc>
        <w:tc>
          <w:tcPr>
            <w:tcW w:w="1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Rule 10b5-1 Trading</w:t>
            </w:r>
          </w:p>
        </w:tc>
        <w:tc>
          <w:tcPr>
            <w:tcW w:w="1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Up to 75,000 shares to be sold</w:t>
            </w:r>
          </w:p>
        </w:tc>
        <w:tc>
          <w:tcPr>
            <w:tcW w:w="16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right"/>
              <w:ind w:right="476"/>
              <w:spacing w:after="0" w:line="174" w:lineRule="exact"/>
              <w:rPr>
                <w:sz w:val="20"/>
                <w:szCs w:val="20"/>
                <w:color w:val="auto"/>
              </w:rPr>
            </w:pPr>
            <w:r>
              <w:rPr>
                <w:rFonts w:ascii="Times New Roman" w:cs="Times New Roman" w:eastAsia="Times New Roman" w:hAnsi="Times New Roman"/>
                <w:sz w:val="18"/>
                <w:szCs w:val="18"/>
                <w:color w:val="auto"/>
              </w:rPr>
              <w:t>5/1/2026</w:t>
            </w: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William Kussell, Director</w:t>
            </w: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9/9/2025</w:t>
            </w:r>
          </w:p>
        </w:tc>
        <w:tc>
          <w:tcPr>
            <w:tcW w:w="100" w:type="dxa"/>
            <w:vAlign w:val="bottom"/>
          </w:tcPr>
          <w:p>
            <w:pPr>
              <w:spacing w:after="0"/>
              <w:rPr>
                <w:sz w:val="15"/>
                <w:szCs w:val="15"/>
                <w:color w:val="auto"/>
              </w:rPr>
            </w:pPr>
          </w:p>
        </w:tc>
        <w:tc>
          <w:tcPr>
            <w:tcW w:w="1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Rule 10b5-1 Trading</w:t>
            </w:r>
          </w:p>
        </w:tc>
        <w:tc>
          <w:tcPr>
            <w:tcW w:w="2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 to 98,650 shares to be sold</w:t>
            </w:r>
          </w:p>
        </w:tc>
        <w:tc>
          <w:tcPr>
            <w:tcW w:w="1760" w:type="dxa"/>
            <w:vAlign w:val="bottom"/>
          </w:tcPr>
          <w:p>
            <w:pPr>
              <w:jc w:val="right"/>
              <w:ind w:right="436"/>
              <w:spacing w:after="0" w:line="176" w:lineRule="exact"/>
              <w:rPr>
                <w:sz w:val="20"/>
                <w:szCs w:val="20"/>
                <w:color w:val="auto"/>
              </w:rPr>
            </w:pPr>
            <w:r>
              <w:rPr>
                <w:rFonts w:ascii="Times New Roman" w:cs="Times New Roman" w:eastAsia="Times New Roman" w:hAnsi="Times New Roman"/>
                <w:sz w:val="18"/>
                <w:szCs w:val="18"/>
                <w:color w:val="auto"/>
              </w:rPr>
              <w:t>8/31/2027</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firstLine="8"/>
        <w:spacing w:after="0" w:line="250"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trading arrangement marked as a “Rule 10b5-1 Trading Arrangement” is intended to satisfy the affirmative defense of Rule 10b5-1(c), as amended (the “Rule”).</w:t>
      </w:r>
    </w:p>
    <w:p>
      <w:pPr>
        <w:ind w:firstLine="8"/>
        <w:spacing w:after="0" w:line="260"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trading arrangement permits transactions through and including the earliest to occur of (i) the completion of all purchases or sales or the expiration of all of the orders relating to such trades, or (ii) the date listed in the table. Trading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arrangements marked as a “Rule 10b5-1 Trading Arrangement” only permits transactions upon the expiration of the applicable mandatory cooling-off period under the Rule.</w:t>
      </w: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Hartman’s trading plan provides for the sale of up to 75,000 shares after the applicable mandatory cooling-off period subject to limit prices.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Kussell’s trading plan provides for the sale of up to 98,650 shares after the applicable mandatory cooling-off period subject to limit prices.</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Exhibits index to this Form 10-Q are incorporated herein by reference.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120" w:type="dxa"/>
            <w:vAlign w:val="bottom"/>
            <w:gridSpan w:val="5"/>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3"/>
                <w:szCs w:val="13"/>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w:t>
            </w:r>
          </w:p>
        </w:tc>
        <w:tc>
          <w:tcPr>
            <w:tcW w:w="0" w:type="dxa"/>
            <w:vAlign w:val="bottom"/>
          </w:tcPr>
          <w:p>
            <w:pPr>
              <w:spacing w:after="0"/>
              <w:rPr>
                <w:sz w:val="1"/>
                <w:szCs w:val="1"/>
                <w:color w:val="auto"/>
              </w:rPr>
            </w:pPr>
          </w:p>
        </w:tc>
      </w:tr>
      <w:tr>
        <w:trPr>
          <w:trHeight w:val="195"/>
        </w:trPr>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7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2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60" w:type="dxa"/>
            <w:vAlign w:val="bottom"/>
            <w:tcBorders>
              <w:top w:val="single" w:sz="8" w:color="0000FF"/>
            </w:tcBorders>
            <w:gridSpan w:val="3"/>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00" w:type="dxa"/>
            <w:vAlign w:val="bottom"/>
            <w:tcBorders>
              <w:top w:val="single" w:sz="8" w:color="0000FF"/>
            </w:tcBorders>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340" w:type="dxa"/>
            <w:vAlign w:val="bottom"/>
            <w:gridSpan w:val="2"/>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U.S.C. Section 1350, as adopted pursuant to Section 906 of the Sarbanes-Oxley Act</w:t>
            </w:r>
          </w:p>
        </w:tc>
        <w:tc>
          <w:tcPr>
            <w:tcW w:w="600" w:type="dxa"/>
            <w:vAlign w:val="bottom"/>
            <w:gridSpan w:val="5"/>
          </w:tcPr>
          <w:p>
            <w:pPr>
              <w:ind w:left="120"/>
              <w:spacing w:after="0" w:line="169" w:lineRule="exact"/>
              <w:rPr>
                <w:sz w:val="20"/>
                <w:szCs w:val="20"/>
                <w:color w:val="auto"/>
              </w:rPr>
            </w:pPr>
            <w:r>
              <w:rPr>
                <w:rFonts w:ascii="Times New Roman" w:cs="Times New Roman" w:eastAsia="Times New Roman" w:hAnsi="Times New Roman"/>
                <w:sz w:val="18"/>
                <w:szCs w:val="18"/>
                <w:color w:val="0000FF"/>
              </w:rPr>
              <w:t>of</w:t>
            </w: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2002</w:t>
            </w:r>
          </w:p>
        </w:tc>
        <w:tc>
          <w:tcPr>
            <w:tcW w:w="1000" w:type="dxa"/>
            <w:vAlign w:val="bottom"/>
            <w:tcBorders>
              <w:top w:val="single" w:sz="8" w:color="0000FF"/>
            </w:tcBorders>
          </w:tcPr>
          <w:p>
            <w:pPr>
              <w:spacing w:after="0"/>
              <w:rPr>
                <w:sz w:val="13"/>
                <w:szCs w:val="13"/>
                <w:color w:val="auto"/>
              </w:rPr>
            </w:pPr>
          </w:p>
        </w:tc>
        <w:tc>
          <w:tcPr>
            <w:tcW w:w="46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auto"/>
              </w:rPr>
              <w:t>The financial information from First Watch Restaurant Group, Inc.’s Quarterly Report on</w:t>
            </w:r>
          </w:p>
        </w:tc>
        <w:tc>
          <w:tcPr>
            <w:tcW w:w="37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Form 10-Q for the third fiscal quarter ended September 28, 2025, filed on November 4,</w:t>
            </w: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2025, formatted in Inline Extensible Business Reporting Language (“iXBRL”)</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as iXBRL and contained in Exhibit 101)</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Denotes a management contract or compensatory plan or arrangement.</w:t>
      </w:r>
    </w:p>
    <w:p>
      <w:pPr>
        <w:spacing w:after="0" w:line="9" w:lineRule="exact"/>
        <w:rPr>
          <w:sz w:val="20"/>
          <w:szCs w:val="20"/>
          <w:color w:val="auto"/>
        </w:rPr>
      </w:pPr>
    </w:p>
    <w:p>
      <w:pPr>
        <w:jc w:val="both"/>
        <w:ind w:right="20" w:firstLine="8"/>
        <w:spacing w:after="0" w:line="260" w:lineRule="auto"/>
        <w:tabs>
          <w:tab w:leader="none" w:pos="21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4,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A. Tomasso</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A. Tomasso</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 (Principal</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 Hope</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 Hope</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38" w:name="page39"/>
    <w:bookmarkEnd w:id="38"/>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ind w:left="340" w:right="200"/>
        <w:spacing w:after="0" w:line="30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Exchange Act Rule 13a-14(a)/15d-14(a)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 Tomasso, certify that:</w:t>
      </w:r>
    </w:p>
    <w:p>
      <w:pPr>
        <w:spacing w:after="0" w:line="18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6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4, 2025</w:t>
      </w:r>
    </w:p>
    <w:p>
      <w:pPr>
        <w:spacing w:after="0" w:line="1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41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 Hope, certify that:</w:t>
      </w:r>
    </w:p>
    <w:p>
      <w:pPr>
        <w:spacing w:after="0" w:line="18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98" w:lineRule="auto"/>
        <w:tabs>
          <w:tab w:leader="none" w:pos="96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4, 2025</w:t>
      </w:r>
    </w:p>
    <w:p>
      <w:pPr>
        <w:spacing w:after="0" w:line="1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Mel Hope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0"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Watch Restaurant Group, Inc. (the “Company”) for the period ended September 28, 2025,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0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Mel Hope</w:t>
      </w:r>
    </w:p>
    <w:p>
      <w:pPr>
        <w:spacing w:after="0" w:line="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3"/>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Roman"/>
      <w:start w:val="2"/>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3"/>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2025-11-04T06:19:55Z</dcterms:created>
  <dcterms:modified xsi:type="dcterms:W3CDTF">2025-11-04T06:19:55Z</dcterms:modified>
</cp:coreProperties>
</file>