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4"/>
        <w:gridCol w:w="2874"/>
        <w:gridCol w:w="408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color w:val="000000"/>
              </w:rPr>
            </w:pPr>
            <w:r>
              <w:rPr>
                <w:color w:val="000000"/>
              </w:rPr>
              <w:t>☒</w:t>
            </w:r>
          </w:p>
        </w:tc>
        <w:tc>
          <w:tcPr>
            <w:tcW w:w="982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28, 2026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6"/>
        <w:gridCol w:w="2876"/>
        <w:gridCol w:w="407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color w:val="000000"/>
              </w:rPr>
            </w:pPr>
            <w:r>
              <w:rPr>
                <w:color w:val="000000"/>
              </w:rPr>
              <w:t>☐</w:t>
            </w:r>
          </w:p>
        </w:tc>
        <w:tc>
          <w:tcPr>
            <w:tcW w:w="982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 to _____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001-40866</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center"/>
        <w:rPr/>
      </w:pPr>
      <w:r>
        <w:rPr/>
        <w:drawing>
          <wp:inline distT="0" distB="0" distL="0" distR="0">
            <wp:extent cx="23336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First Watch Restaurant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940"/>
        <w:gridCol w:w="828"/>
        <w:gridCol w:w="834"/>
        <w:gridCol w:w="1516"/>
        <w:gridCol w:w="1514"/>
        <w:gridCol w:w="1519"/>
        <w:gridCol w:w="889"/>
        <w:gridCol w:w="889"/>
        <w:gridCol w:w="1276"/>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260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Delaware</w:t>
            </w:r>
          </w:p>
        </w:tc>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82-4271369</w:t>
            </w:r>
          </w:p>
        </w:tc>
      </w:tr>
      <w:tr>
        <w:trPr/>
        <w:tc>
          <w:tcPr>
            <w:tcW w:w="260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8725 Pendery Place, Suite 201, Bradenton, FL 34201</w:t>
            </w:r>
          </w:p>
        </w:tc>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(941) 907-9800</w:t>
      </w:r>
    </w:p>
    <w:p>
      <w:pPr>
        <w:pStyle w:val="TextBody"/>
        <w:bidi w:val="0"/>
        <w:spacing w:lineRule="auto" w:line="288" w:before="0" w:after="0"/>
        <w:jc w:val="center"/>
        <w:rPr/>
      </w:pPr>
      <w:r>
        <w:rPr>
          <w:rFonts w:ascii="Times New Roman;serif" w:hAnsi="Times New Roman;serif"/>
          <w:b w:val="false"/>
          <w:color w:val="000000"/>
          <w:sz w:val="20"/>
        </w:rPr>
        <w:t>(Registrant</w:t>
      </w:r>
      <w:r>
        <w:rPr>
          <w:color w:val="000000"/>
          <w:shd w:fill="FFFFFF" w:val="clear"/>
        </w:rPr>
        <w:t>’</w:t>
      </w:r>
      <w:r>
        <w:rPr>
          <w:rFonts w:ascii="Times New Roman;serif" w:hAnsi="Times New Roman;serif"/>
          <w:b w:val="false"/>
          <w:color w:val="000000"/>
          <w:sz w:val="20"/>
        </w:rPr>
        <w: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144" w:type="dxa"/>
        <w:jc w:val="left"/>
        <w:tblInd w:w="0" w:type="dxa"/>
        <w:tblLayout w:type="fixed"/>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FWRG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6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041" w:type="dxa"/>
        <w:jc w:val="center"/>
        <w:tblInd w:w="0" w:type="dxa"/>
        <w:tblLayout w:type="fixed"/>
        <w:tblCellMar>
          <w:top w:w="28" w:type="dxa"/>
          <w:left w:w="28" w:type="dxa"/>
          <w:bottom w:w="28" w:type="dxa"/>
          <w:right w:w="28" w:type="dxa"/>
        </w:tblCellMar>
      </w:tblPr>
      <w:tblGrid>
        <w:gridCol w:w="695"/>
        <w:gridCol w:w="611"/>
        <w:gridCol w:w="613"/>
        <w:gridCol w:w="120"/>
        <w:gridCol w:w="120"/>
        <w:gridCol w:w="121"/>
        <w:gridCol w:w="784"/>
        <w:gridCol w:w="784"/>
        <w:gridCol w:w="787"/>
        <w:gridCol w:w="118"/>
        <w:gridCol w:w="118"/>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had outstanding 61,712,435 shares of common stock as of July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69"/>
        <w:gridCol w:w="763"/>
        <w:gridCol w:w="763"/>
        <w:gridCol w:w="2402"/>
        <w:gridCol w:w="2391"/>
        <w:gridCol w:w="2443"/>
        <w:gridCol w:w="167"/>
        <w:gridCol w:w="167"/>
        <w:gridCol w:w="240"/>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0">
              <w:r>
                <w:rPr>
                  <w:rStyle w:val="InternetLink"/>
                  <w:rFonts w:ascii="Times New Roman;serif" w:hAnsi="Times New Roman;serif"/>
                  <w:b w:val="false"/>
                  <w:color w:val="0000FF"/>
                  <w:sz w:val="20"/>
                  <w:u w:val="single"/>
                </w:rPr>
                <w:t>Cautionary Note Regarding Forward-Looking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0">
              <w:r>
                <w:rPr>
                  <w:rStyle w:val="InternetLink"/>
                  <w:rFonts w:ascii="Times New Roman;serif" w:hAnsi="Times New Roman;serif"/>
                  <w:b w:val="false"/>
                  <w:color w:val="0000EE"/>
                  <w:sz w:val="20"/>
                  <w:u w:val="single"/>
                </w:rPr>
                <w:t>3</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
              <w:r>
                <w:rPr>
                  <w:rStyle w:val="InternetLink"/>
                  <w:rFonts w:ascii="Times New Roman;serif" w:hAnsi="Times New Roman;serif"/>
                  <w:b w:val="false"/>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6">
              <w:r>
                <w:rPr>
                  <w:rStyle w:val="InternetLink"/>
                  <w:rFonts w:ascii="Times New Roman;serif" w:hAnsi="Times New Roman;serif"/>
                  <w:b w:val="false"/>
                  <w:color w:val="0000FF"/>
                  <w:sz w:val="20"/>
                  <w:u w:val="single"/>
                </w:rPr>
                <w:t>Item 1.</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6">
              <w:r>
                <w:rPr>
                  <w:rStyle w:val="InternetLink"/>
                  <w:rFonts w:ascii="Times New Roman;serif" w:hAnsi="Times New Roman;serif"/>
                  <w:b w:val="false"/>
                  <w:color w:val="0000EE"/>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9">
              <w:r>
                <w:rPr>
                  <w:rStyle w:val="InternetLink"/>
                  <w:rFonts w:ascii="Times New Roman;serif" w:hAnsi="Times New Roman;serif"/>
                  <w:b w:val="false"/>
                  <w:color w:val="0000EE"/>
                  <w:sz w:val="20"/>
                  <w:u w:val="single"/>
                </w:rPr>
                <w:t>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85">
              <w:r>
                <w:rPr>
                  <w:rStyle w:val="InternetLink"/>
                  <w:rFonts w:ascii="Times New Roman;serif" w:hAnsi="Times New Roman;serif"/>
                  <w:b w:val="false"/>
                  <w:color w:val="0000FF"/>
                  <w:sz w:val="20"/>
                  <w:u w:val="single"/>
                </w:rPr>
                <w:t>Item 2.</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85">
              <w:r>
                <w:rPr>
                  <w:rStyle w:val="InternetLink"/>
                  <w:rFonts w:ascii="Times New Roman;serif" w:hAnsi="Times New Roman;serif"/>
                  <w:b w:val="false"/>
                  <w:color w:val="0000EE"/>
                  <w:sz w:val="20"/>
                  <w:u w:val="single"/>
                </w:rPr>
                <w:t>20</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18">
              <w:r>
                <w:rPr>
                  <w:rStyle w:val="InternetLink"/>
                  <w:rFonts w:ascii="Times New Roman;serif" w:hAnsi="Times New Roman;serif"/>
                  <w:b w:val="false"/>
                  <w:color w:val="0000FF"/>
                  <w:sz w:val="20"/>
                  <w:u w:val="single"/>
                </w:rPr>
                <w:t>Item 3.</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18">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18">
              <w:r>
                <w:rPr>
                  <w:rStyle w:val="InternetLink"/>
                  <w:rFonts w:ascii="Times New Roman;serif" w:hAnsi="Times New Roman;serif"/>
                  <w:b w:val="false"/>
                  <w:color w:val="0000EE"/>
                  <w:sz w:val="20"/>
                  <w:u w:val="single"/>
                </w:rPr>
                <w:t>33</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21">
              <w:r>
                <w:rPr>
                  <w:rStyle w:val="InternetLink"/>
                  <w:rFonts w:ascii="Times New Roman;serif" w:hAnsi="Times New Roman;serif"/>
                  <w:b w:val="false"/>
                  <w:color w:val="0000FF"/>
                  <w:sz w:val="20"/>
                  <w:u w:val="single"/>
                </w:rPr>
                <w:t>Item 4.</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21">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21">
              <w:r>
                <w:rPr>
                  <w:rStyle w:val="InternetLink"/>
                  <w:rFonts w:ascii="Times New Roman;serif" w:hAnsi="Times New Roman;serif"/>
                  <w:b w:val="false"/>
                  <w:color w:val="0000EE"/>
                  <w:sz w:val="20"/>
                  <w:u w:val="single"/>
                </w:rPr>
                <w:t>34</w:t>
              </w:r>
            </w:hyperlink>
          </w:p>
        </w:tc>
      </w:tr>
      <w:tr>
        <w:trPr/>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24">
              <w:r>
                <w:rPr>
                  <w:rStyle w:val="InternetLink"/>
                  <w:rFonts w:ascii="Times New Roman;serif" w:hAnsi="Times New Roman;serif"/>
                  <w:b w:val="false"/>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27">
              <w:r>
                <w:rPr>
                  <w:rStyle w:val="InternetLink"/>
                  <w:rFonts w:ascii="Times New Roman;serif" w:hAnsi="Times New Roman;serif"/>
                  <w:b w:val="false"/>
                  <w:color w:val="0000FF"/>
                  <w:sz w:val="20"/>
                  <w:u w:val="single"/>
                </w:rPr>
                <w:t>Item 1.</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27">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27">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0">
              <w:r>
                <w:rPr>
                  <w:rStyle w:val="InternetLink"/>
                  <w:rFonts w:ascii="Times New Roman;serif" w:hAnsi="Times New Roman;serif"/>
                  <w:b w:val="false"/>
                  <w:color w:val="0000FF"/>
                  <w:sz w:val="20"/>
                  <w:u w:val="single"/>
                </w:rPr>
                <w:t>Item 1A.</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0">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30">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3">
              <w:r>
                <w:rPr>
                  <w:rStyle w:val="InternetLink"/>
                  <w:rFonts w:ascii="Times New Roman;serif" w:hAnsi="Times New Roman;serif"/>
                  <w:b w:val="false"/>
                  <w:color w:val="0000FF"/>
                  <w:sz w:val="20"/>
                  <w:u w:val="single"/>
                </w:rPr>
                <w:t>Item 2.</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3">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33">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6">
              <w:r>
                <w:rPr>
                  <w:rStyle w:val="InternetLink"/>
                  <w:rFonts w:ascii="Times New Roman;serif" w:hAnsi="Times New Roman;serif"/>
                  <w:b w:val="false"/>
                  <w:color w:val="0000FF"/>
                  <w:sz w:val="20"/>
                  <w:u w:val="single"/>
                </w:rPr>
                <w:t>Item 3.</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6">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36">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9">
              <w:r>
                <w:rPr>
                  <w:rStyle w:val="InternetLink"/>
                  <w:rFonts w:ascii="Times New Roman;serif" w:hAnsi="Times New Roman;serif"/>
                  <w:b w:val="false"/>
                  <w:color w:val="0000FF"/>
                  <w:sz w:val="20"/>
                  <w:u w:val="single"/>
                </w:rPr>
                <w:t>Item 4.</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39">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39">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42">
              <w:r>
                <w:rPr>
                  <w:rStyle w:val="InternetLink"/>
                  <w:rFonts w:ascii="Times New Roman;serif" w:hAnsi="Times New Roman;serif"/>
                  <w:b w:val="false"/>
                  <w:color w:val="0000FF"/>
                  <w:sz w:val="20"/>
                  <w:u w:val="single"/>
                </w:rPr>
                <w:t>Item 5.</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42">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42">
              <w:r>
                <w:rPr>
                  <w:rStyle w:val="InternetLink"/>
                  <w:rFonts w:ascii="Times New Roman;serif" w:hAnsi="Times New Roman;serif"/>
                  <w:b w:val="false"/>
                  <w:color w:val="0000EE"/>
                  <w:sz w:val="20"/>
                  <w:u w:val="single"/>
                </w:rPr>
                <w:t>35</w:t>
              </w:r>
            </w:hyperlink>
          </w:p>
        </w:tc>
      </w:tr>
      <w:tr>
        <w:trPr/>
        <w:tc>
          <w:tcPr>
            <w:tcW w:w="23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48">
              <w:r>
                <w:rPr>
                  <w:rStyle w:val="InternetLink"/>
                  <w:rFonts w:ascii="Times New Roman;serif" w:hAnsi="Times New Roman;serif"/>
                  <w:b w:val="false"/>
                  <w:color w:val="0000FF"/>
                  <w:sz w:val="20"/>
                  <w:u w:val="single"/>
                </w:rPr>
                <w:t>Item 6.</w:t>
              </w:r>
            </w:hyperlink>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48">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48">
              <w:r>
                <w:rPr>
                  <w:rStyle w:val="InternetLink"/>
                  <w:rFonts w:ascii="Times New Roman;serif" w:hAnsi="Times New Roman;serif"/>
                  <w:b w:val="false"/>
                  <w:color w:val="0000EE"/>
                  <w:sz w:val="20"/>
                  <w:u w:val="single"/>
                </w:rPr>
                <w:t>36</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14fedb515fc74380ae060d040b2c7643_151">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14fedb515fc74380ae060d040b2c7643_151">
              <w:r>
                <w:rPr>
                  <w:rStyle w:val="InternetLink"/>
                  <w:rFonts w:ascii="Times New Roman;serif" w:hAnsi="Times New Roman;serif"/>
                  <w:b w:val="false"/>
                  <w:color w:val="0000EE"/>
                  <w:sz w:val="20"/>
                  <w:u w:val="single"/>
                </w:rPr>
                <w:t>37</w:t>
              </w:r>
            </w:hyperlink>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(“Form 10-Q”)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can be identified by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the outlook for our future business and financial performance and statements discussing our current expectations and projections relating to our financial position, results of operations, plans, objectives, future performance and business, such as those contained in Part I. Item 2. “Management’s Discussion and Analysis of Financial Condition and Results of Operations.”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i/>
          <w:color w:val="000000"/>
          <w:sz w:val="20"/>
        </w:rPr>
        <w:t>our vulnerability to changes in consumer preferences and economic conditions such as inflation and recession;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to successfully open new restaurants or establish new markets;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our inability to effectively manage our growth;</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potential negative impacts on sales at our and our franchisees’ restaurants as a result of our opening new restaurants in existing markets;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a decline in visitors to any of the retail centers, lifestyle centers, or entertainment centers where our restaurants are located;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lower than expected same-restaurant sales growth;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unsuccessful marketing programs and limited time new offerings;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changes in the cost of food;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unprofitability or closure of new restaurants or lower than previously experienced performance in existing restaurants;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to compete effectively for customers;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vulnerability to food safety and food-borne illness concerns;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unsuccessful financial performance of our franchisees;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limited control over our franchisees’ operations;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to maintain good relationships with our franchisees and conflicts of interest with our franchisees;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the geographic concentration of our system-wide restaurant base in the southeast portion of the United States;</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damage to our reputation and negative publicity;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or failure to recognize, respond to and effectively manage the accelerated impact of social media and artificial intelligence;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limited number of suppliers and distributors for several of our frequently used ingredients and shortages or disruptions in the supply or delivery of such ingredients;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information technology system failures or breaches of our network security;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potential liability with our gift cards under the property laws of some states;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failure to enforce and maintain our trademarks and protect our other intellectual property;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litigation with respect to intellectual property assets;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dependence on our executive officers and certain other key employees;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to identify, hire, train and retain qualified individuals for our workforce;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failure to obtain or to properly verify the employment eligibility of our employees;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failure to maintain our corporate culture as we grow;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unionization activities among our employees;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employment and labor law proceedings;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labor shortages or increased labor costs or health care costs;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risks associated with leasing property subject to long-term and non-cancelable leases;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risks related to our sale of alcoholic beverages;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costly and complex compliance with federal, state and local laws, including trade and tax policies;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changes in accounting principles applicable to us;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vulnerability to natural disasters, unusual weather conditions, pandemic outbreaks, political events, war and terrorism;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inability to secure additional capital to support business growth;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our level of indebtedness;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 xml:space="preserve">failure to comply with covenants under our credit facility; and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uncertainty regarding the Russia and Ukraine war, war and unrest in the Middle East and the related impact on macroeconomic conditions, including inflation, as a result of such conflicts or other related events.</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See Part I. Item 1A. “Risk Factors” in our Annual Report on Form 10-K as of and for the year ended December 28, 2025 (“2025 Form 10-K”) and Part II. Item 1A. “Risk Factors” in this Form 10-Q for a further description of these and other factors. For the reasons described above, we caution you against relying on any forward-looking statements, which should also be read in conjunction with the other cautionary statements that are included elsewhere in this Form 10</w:t>
        <w:noBreakHyphen/>
        <w:t xml:space="preserve">Q and in our other filings with the Securities and Exchange Commission (the “SEC”). Any forward-looking statement made by us in this Form 10-Q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0"/>
        <w:gridCol w:w="2210"/>
        <w:gridCol w:w="2192"/>
        <w:gridCol w:w="203"/>
        <w:gridCol w:w="902"/>
        <w:gridCol w:w="112"/>
        <w:gridCol w:w="109"/>
        <w:gridCol w:w="109"/>
        <w:gridCol w:w="109"/>
        <w:gridCol w:w="249"/>
        <w:gridCol w:w="1110"/>
        <w:gridCol w:w="200"/>
      </w:tblGrid>
      <w:tr>
        <w:trPr/>
        <w:tc>
          <w:tcPr>
            <w:tcW w:w="270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and other current assets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 of accumulated depreciation of $320,862 and $285,706, respectively</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1,820,839 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1,742,029 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liabilities, current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167,499 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269,071 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1,115,750 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$0.01 par value; 10,000,000 shares authorized; none issued and outstanding</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$0.01 par value; 300,000,000 shares authorized; 61,712,435 and 61,131,978 shares issued and outstanding at June 28, 2026 and December 28, 2025, respectively</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626,279 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1,820,839 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1,742,029 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9"/>
        <w:gridCol w:w="1383"/>
        <w:gridCol w:w="1403"/>
        <w:gridCol w:w="226"/>
        <w:gridCol w:w="813"/>
        <w:gridCol w:w="120"/>
        <w:gridCol w:w="109"/>
        <w:gridCol w:w="109"/>
        <w:gridCol w:w="109"/>
        <w:gridCol w:w="226"/>
        <w:gridCol w:w="813"/>
        <w:gridCol w:w="120"/>
        <w:gridCol w:w="109"/>
        <w:gridCol w:w="109"/>
        <w:gridCol w:w="109"/>
        <w:gridCol w:w="226"/>
        <w:gridCol w:w="813"/>
        <w:gridCol w:w="120"/>
        <w:gridCol w:w="109"/>
        <w:gridCol w:w="109"/>
        <w:gridCol w:w="109"/>
        <w:gridCol w:w="226"/>
        <w:gridCol w:w="810"/>
        <w:gridCol w:w="176"/>
      </w:tblGrid>
      <w:tr>
        <w:trPr/>
        <w:tc>
          <w:tcPr>
            <w:tcW w:w="174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590,127 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operating expenses (exclusive of depreciation and amortization shown below):</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loss on disposal of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Transaction and restructuring expenses,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676,505 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581,701 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related to other comprehensive income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 - basic</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61,669,719 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61,005,648 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61,456,606 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60,886,525 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 - diluted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62,296,801 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62,579,658 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61,456,606 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62,732,072 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81"/>
        <w:gridCol w:w="487"/>
        <w:gridCol w:w="488"/>
        <w:gridCol w:w="109"/>
        <w:gridCol w:w="109"/>
        <w:gridCol w:w="109"/>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228"/>
        <w:gridCol w:w="770"/>
        <w:gridCol w:w="128"/>
        <w:gridCol w:w="109"/>
        <w:gridCol w:w="109"/>
        <w:gridCol w:w="109"/>
        <w:gridCol w:w="337"/>
        <w:gridCol w:w="983"/>
        <w:gridCol w:w="188"/>
        <w:gridCol w:w="109"/>
        <w:gridCol w:w="109"/>
        <w:gridCol w:w="109"/>
        <w:gridCol w:w="196"/>
        <w:gridCol w:w="736"/>
        <w:gridCol w:w="157"/>
      </w:tblGrid>
      <w:tr>
        <w:trPr/>
        <w:tc>
          <w:tcPr>
            <w:tcW w:w="5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60,700,090 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595,389 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60,974,543 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596,289 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stock-based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61,023,971 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601,313 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
        <w:gridCol w:w="487"/>
        <w:gridCol w:w="488"/>
        <w:gridCol w:w="109"/>
        <w:gridCol w:w="109"/>
        <w:gridCol w:w="109"/>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228"/>
        <w:gridCol w:w="770"/>
        <w:gridCol w:w="128"/>
        <w:gridCol w:w="109"/>
        <w:gridCol w:w="109"/>
        <w:gridCol w:w="109"/>
        <w:gridCol w:w="337"/>
        <w:gridCol w:w="983"/>
        <w:gridCol w:w="188"/>
        <w:gridCol w:w="109"/>
        <w:gridCol w:w="109"/>
        <w:gridCol w:w="109"/>
        <w:gridCol w:w="196"/>
        <w:gridCol w:w="736"/>
        <w:gridCol w:w="157"/>
      </w:tblGrid>
      <w:tr>
        <w:trPr/>
        <w:tc>
          <w:tcPr>
            <w:tcW w:w="5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61,131,978 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61,625,155 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627,657 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stock-based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61,712,435 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634,169 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193" w:type="dxa"/>
        <w:jc w:val="center"/>
        <w:tblInd w:w="0" w:type="dxa"/>
        <w:tblLayout w:type="fixed"/>
        <w:tblCellMar>
          <w:top w:w="28" w:type="dxa"/>
          <w:left w:w="28" w:type="dxa"/>
          <w:bottom w:w="28" w:type="dxa"/>
          <w:right w:w="28" w:type="dxa"/>
        </w:tblCellMar>
      </w:tblPr>
      <w:tblGrid>
        <w:gridCol w:w="2260"/>
        <w:gridCol w:w="1982"/>
        <w:gridCol w:w="1997"/>
        <w:gridCol w:w="259"/>
        <w:gridCol w:w="857"/>
        <w:gridCol w:w="143"/>
        <w:gridCol w:w="130"/>
        <w:gridCol w:w="130"/>
        <w:gridCol w:w="130"/>
        <w:gridCol w:w="257"/>
        <w:gridCol w:w="847"/>
        <w:gridCol w:w="201"/>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 of amounts capitalized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deferred issuance costs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loss on disposal of assets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of business combinations: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and other assets, current and long-term</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 long-term liabilities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deferred payroll taxes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current and long-term</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(77,636)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(132,849)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facility</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facility</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including finance lease liabilities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net of employee taxes paid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pPr>
      <w:r>
        <w:rPr>
          <w:rFonts w:ascii="Times New Roman;serif" w:hAnsi="Times New Roman;serif"/>
          <w:b/>
          <w:color w:val="000000"/>
          <w:sz w:val="20"/>
        </w:rPr>
        <w:t>CONSOLIDATED STATEMENTS OF CASH FLOWS -</w:t>
      </w:r>
      <w:r>
        <w:rPr>
          <w:color w:val="000000"/>
        </w:rPr>
        <w:t xml:space="preserve"> </w:t>
      </w:r>
      <w:r>
        <w:rPr>
          <w:rFonts w:ascii="Times New Roman;serif" w:hAnsi="Times New Roman;serif"/>
          <w:b/>
          <w:i/>
          <w:color w:val="000000"/>
          <w:sz w:val="20"/>
        </w:rPr>
        <w:t>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029" w:type="dxa"/>
        <w:jc w:val="center"/>
        <w:tblInd w:w="0" w:type="dxa"/>
        <w:tblLayout w:type="fixed"/>
        <w:tblCellMar>
          <w:top w:w="28" w:type="dxa"/>
          <w:left w:w="28" w:type="dxa"/>
          <w:bottom w:w="28" w:type="dxa"/>
          <w:right w:w="28" w:type="dxa"/>
        </w:tblCellMar>
      </w:tblPr>
      <w:tblGrid>
        <w:gridCol w:w="2203"/>
        <w:gridCol w:w="1931"/>
        <w:gridCol w:w="1941"/>
        <w:gridCol w:w="259"/>
        <w:gridCol w:w="857"/>
        <w:gridCol w:w="143"/>
        <w:gridCol w:w="130"/>
        <w:gridCol w:w="130"/>
        <w:gridCol w:w="130"/>
        <w:gridCol w:w="257"/>
        <w:gridCol w:w="847"/>
        <w:gridCol w:w="201"/>
      </w:tblGrid>
      <w:tr>
        <w:trPr/>
        <w:tc>
          <w:tcPr>
            <w:tcW w:w="220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Leased assets obtained in exchange for new operating lease liabilities </w:t>
            </w:r>
            <w:r>
              <w:rPr>
                <w:rFonts w:ascii="Times New Roman;serif" w:hAnsi="Times New Roman;serif"/>
                <w:b w:val="false"/>
                <w:color w:val="000000"/>
                <w:sz w:val="12"/>
              </w:rPr>
              <w:t>(1)</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Remeasurements and terminations of operating lease assets and lease liabilities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Remeasurements and terminations of finance lease assets and lease liabilities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liabilities from acquisition of property, fixtures and equipment</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rPr>
        <w:t>(1) Leased assets and liabilities obtained during the twenty-six weeks ended June 29, 2025</w:t>
      </w:r>
      <w:r>
        <w:rPr>
          <w:color w:val="000000"/>
        </w:rPr>
        <w:t xml:space="preserve"> </w:t>
      </w:r>
      <w:r>
        <w:rPr>
          <w:rFonts w:ascii="Times New Roman;serif" w:hAnsi="Times New Roman;serif"/>
          <w:b w:val="false"/>
          <w:color w:val="000000"/>
          <w:sz w:val="18"/>
        </w:rPr>
        <w:t>include $23.6 million</w:t>
      </w:r>
      <w:r>
        <w:rPr>
          <w:color w:val="000000"/>
        </w:rPr>
        <w:t xml:space="preserve"> </w:t>
      </w:r>
      <w:r>
        <w:rPr>
          <w:rFonts w:ascii="Times New Roman;serif" w:hAnsi="Times New Roman;serif"/>
          <w:b w:val="false"/>
          <w:color w:val="000000"/>
          <w:sz w:val="18"/>
        </w:rPr>
        <w:t>from business acquisitions.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Nature of Business and Organization</w:t>
      </w:r>
    </w:p>
    <w:p>
      <w:pPr>
        <w:pStyle w:val="TextBody"/>
        <w:bidi w:val="0"/>
        <w:spacing w:lineRule="auto" w:line="288" w:before="120" w:after="283"/>
        <w:jc w:val="both"/>
        <w:rPr/>
      </w:pPr>
      <w:r>
        <w:rPr>
          <w:rFonts w:ascii="Times New Roman;serif" w:hAnsi="Times New Roman;serif"/>
          <w:b w:val="false"/>
          <w:color w:val="000000"/>
          <w:sz w:val="20"/>
        </w:rPr>
        <w:t xml:space="preserve">First Watch Restaurant Group, Inc. (collectively with its wholly-owned subsidiaries, “the Company” or “Management”) is a Delaware holding company. The Company operates and franchises restaurants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 xml:space="preserve">33 </w:t>
      </w:r>
      <w:r>
        <w:rPr>
          <w:rFonts w:ascii="Times New Roman;serif" w:hAnsi="Times New Roman;serif"/>
          <w:b w:val="false"/>
          <w:color w:val="000000"/>
          <w:sz w:val="20"/>
          <w:shd w:fill="FFFFFF" w:val="clear"/>
        </w:rPr>
        <w:t>states operating under the “First Watch” trade name, which are focused on made-to-order breakfast, brunch and lunch. The Company does not operate outsi</w:t>
      </w:r>
      <w:r>
        <w:rPr>
          <w:rFonts w:ascii="Times New Roman;serif" w:hAnsi="Times New Roman;serif"/>
          <w:b w:val="false"/>
          <w:color w:val="000000"/>
          <w:sz w:val="20"/>
        </w:rPr>
        <w:t>de of the United States and all of its assets are located in the United States. As of June 28, 2026, the Company operated 586 company-owned restaurants and had 79 franchise-owned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financial information on a 52- or 53-week fiscal year ending on the last Sunday of each calendar year. The quarters ended June 28, 2026 and June 29, 2025 were 13-week periods. These unaudited interim consolidated financial statements (“these financial statements”) include only the information and notes required for interim financial statements by generally accepted accounting principles in the United States of America (“GAAP”) and the Securities and Exchange Commission (“SEC”) and should be read in conjunction with the audited consolidated financial statements and notes thereto included in the Company’s Annual Report on Form 10-K as of and for the year ended December 28, 2025 (“2025 Form 10</w:t>
        <w:noBreakHyphen/>
        <w:t>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have been prepared on the same basis as those presented in the 2025 Form 10-K and include all adjustments necessary for fair presentation of the quarterly periods presented. The quarterly results of operations are not necessarily indicative of the expected results for other quarters or the entire fiscal year. Preparation of financial statements requires Management to make estimates and assumptions that affect the reported assets and liabilities and disclosure of contingent assets and liabilities at the date of the financial statements and the reported amounts of revenues and expenses for the reporting periods. Actual results could differ materially from the estimates.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deposits and other current assets, and other current liabilities approximate their fair values due to their short-term maturities.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consolidated balance sheets at fair value. Thereafter, gains or losses on the instruments are recognized in equity as changes to Other Comprehensive Income (Loss) and subsequently reclassified into earnings at the time of the Company’s debt interest payments.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Summary of Recently Issued Accounting Pronouncements </w:t>
      </w:r>
    </w:p>
    <w:p>
      <w:pPr>
        <w:pStyle w:val="TextBody"/>
        <w:bidi w:val="0"/>
        <w:spacing w:lineRule="auto" w:line="288" w:before="120" w:after="283"/>
        <w:jc w:val="both"/>
        <w:rPr/>
      </w:pPr>
      <w:r>
        <w:rPr>
          <w:rFonts w:ascii="Times New Roman;serif" w:hAnsi="Times New Roman;serif"/>
          <w:b w:val="false"/>
          <w:color w:val="000000"/>
          <w:sz w:val="20"/>
        </w:rPr>
        <w:t>In November 2024, the Financial Accounting Standards Board (“FASB”) issued Accounting Standards Update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 xml:space="preserve">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 on disclosures. </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 - Use Software</w:t>
      </w:r>
      <w:r>
        <w:rPr>
          <w:rFonts w:ascii="Times New Roman;serif" w:hAnsi="Times New Roman;serif"/>
          <w:b w:val="false"/>
          <w:color w:val="000000"/>
          <w:sz w:val="20"/>
        </w:rPr>
        <w:t xml:space="preserve">, which updates the accounting for internal-use software by replacing stage-based rules with a principles-based framework, clarifying the criteria for capitalization and merging website development cost guidance. The amendments in this update are effective for annual periods beginning after December 15, 2027, and interim reporting periods within those annual reporting periods. The update may be applied prospectively, retrospectively, or on a modified transition basis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status of the project and whether software costs were capitalized before the date of adoption. Management is currently evaluating the impact of this new standard.</w:t>
      </w:r>
    </w:p>
    <w:p>
      <w:pPr>
        <w:pStyle w:val="TextBody"/>
        <w:bidi w:val="0"/>
        <w:spacing w:lineRule="auto" w:line="288" w:before="120" w:after="283"/>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Derivatives and Hedging: Hedge Accounting Improvements</w:t>
      </w:r>
      <w:r>
        <w:rPr>
          <w:rFonts w:ascii="Times New Roman;serif" w:hAnsi="Times New Roman;serif"/>
          <w:b w:val="false"/>
          <w:color w:val="000000"/>
          <w:sz w:val="20"/>
        </w:rPr>
        <w:t>, which includes amendments to more closely align hedge accounting with the economics of the Company’s risk management activities. The amendments in this update are effective for annual periods beginning after December 15, 2026, and interim reporting periods within those annual reporting periods. Early adoption is permitted. Management is currently evaluating the impact of this new standard.</w:t>
      </w:r>
    </w:p>
    <w:p>
      <w:pPr>
        <w:pStyle w:val="TextBody"/>
        <w:bidi w:val="0"/>
        <w:spacing w:lineRule="auto" w:line="288" w:before="12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Narrow-Scope Improvements</w:t>
      </w:r>
      <w:r>
        <w:rPr>
          <w:rFonts w:ascii="Times New Roman;serif" w:hAnsi="Times New Roman;serif"/>
          <w:b w:val="false"/>
          <w:color w:val="000000"/>
          <w:sz w:val="20"/>
        </w:rPr>
        <w:t>, which makes targeted, narrow scope improvements to interim reporting to clarify application and improve consistency in practice. The amendments in this update are effective for interim reporting periods within annual reporting periods beginning after December 15, 2027. Early adoption is permitted. Management is currently evaluating the impact of this new standard.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Recent accounting guidance not discussed herein is not applicable or did not have, or is not expected to have, a material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3.    Business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acquired, in two separate transactions, substantially all the assets associated with 19 franchise-operated First Watch restaurants. For both transactions, the purchase price was allocated to the fair value of the assets acquired and the liabilities assumed. The Company has finalized the purchase price allocations for the acquisitions and there were no adjustments made to the initial preliminary valuations.</w:t>
      </w:r>
    </w:p>
    <w:tbl>
      <w:tblPr>
        <w:tblW w:w="9970" w:type="dxa"/>
        <w:jc w:val="left"/>
        <w:tblInd w:w="0" w:type="dxa"/>
        <w:tblLayout w:type="fixed"/>
        <w:tblCellMar>
          <w:top w:w="28" w:type="dxa"/>
          <w:left w:w="28" w:type="dxa"/>
          <w:bottom w:w="28" w:type="dxa"/>
          <w:right w:w="28" w:type="dxa"/>
        </w:tblCellMar>
      </w:tblPr>
      <w:tblGrid>
        <w:gridCol w:w="2495"/>
        <w:gridCol w:w="2195"/>
        <w:gridCol w:w="2210"/>
        <w:gridCol w:w="282"/>
        <w:gridCol w:w="910"/>
        <w:gridCol w:w="157"/>
        <w:gridCol w:w="109"/>
        <w:gridCol w:w="109"/>
        <w:gridCol w:w="109"/>
        <w:gridCol w:w="255"/>
        <w:gridCol w:w="939"/>
        <w:gridCol w:w="200"/>
      </w:tblGrid>
      <w:tr>
        <w:trPr/>
        <w:tc>
          <w:tcPr>
            <w:tcW w:w="24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ACQUISITION</w:t>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number of acquired restaurants)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14,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28, 2025</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acquired restaurants</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(cash)</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incurred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recognized as a result of termination of pre-existing franchise agreement</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amounts of identifiable assets acquired and liabilities assumed:</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Reacquired rights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 net of lease positions and prepaid rent</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 - gift card liabilities assumed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reflects the value of expected synergies and assembled workforce, and was assigned to the Company’s single reporting unit. The Company treated the transactions as asset acquisitions for income tax purposes, which allows for any goodwill recognized to be tax deductible and amortized over a 15-year statutory life.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estimated useful life of the reacquired rights was 6.1 years on the acquisition dates.</w:t>
      </w:r>
    </w:p>
    <w:p>
      <w:pPr>
        <w:pStyle w:val="TextBody"/>
        <w:bidi w:val="0"/>
        <w:spacing w:before="12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Revenues recognized, disaggregated by type, were as follows:</w:t>
      </w:r>
    </w:p>
    <w:tbl>
      <w:tblPr>
        <w:tblW w:w="9449" w:type="dxa"/>
        <w:jc w:val="left"/>
        <w:tblInd w:w="0" w:type="dxa"/>
        <w:tblLayout w:type="fixed"/>
        <w:tblCellMar>
          <w:top w:w="28" w:type="dxa"/>
          <w:left w:w="28" w:type="dxa"/>
          <w:bottom w:w="28" w:type="dxa"/>
          <w:right w:w="28" w:type="dxa"/>
        </w:tblCellMar>
      </w:tblPr>
      <w:tblGrid>
        <w:gridCol w:w="1210"/>
        <w:gridCol w:w="1063"/>
        <w:gridCol w:w="1072"/>
        <w:gridCol w:w="237"/>
        <w:gridCol w:w="891"/>
        <w:gridCol w:w="131"/>
        <w:gridCol w:w="111"/>
        <w:gridCol w:w="111"/>
        <w:gridCol w:w="111"/>
        <w:gridCol w:w="237"/>
        <w:gridCol w:w="891"/>
        <w:gridCol w:w="131"/>
        <w:gridCol w:w="109"/>
        <w:gridCol w:w="109"/>
        <w:gridCol w:w="109"/>
        <w:gridCol w:w="237"/>
        <w:gridCol w:w="891"/>
        <w:gridCol w:w="131"/>
        <w:gridCol w:w="121"/>
        <w:gridCol w:w="121"/>
        <w:gridCol w:w="121"/>
        <w:gridCol w:w="235"/>
        <w:gridCol w:w="885"/>
        <w:gridCol w:w="18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In-restaurant dining sales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Third-party delivery sales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Take-out sales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 sales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584,574 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system fund contributions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Initial fees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 revenues recognized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revenues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307,887 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685,631 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590,127 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details of liabilities from contracts with customers:</w:t>
      </w:r>
    </w:p>
    <w:tbl>
      <w:tblPr>
        <w:tblW w:w="6732" w:type="dxa"/>
        <w:jc w:val="left"/>
        <w:tblInd w:w="0" w:type="dxa"/>
        <w:tblLayout w:type="fixed"/>
        <w:tblCellMar>
          <w:top w:w="28" w:type="dxa"/>
          <w:left w:w="28" w:type="dxa"/>
          <w:bottom w:w="28" w:type="dxa"/>
          <w:right w:w="28" w:type="dxa"/>
        </w:tblCellMar>
      </w:tblPr>
      <w:tblGrid>
        <w:gridCol w:w="1183"/>
        <w:gridCol w:w="1039"/>
        <w:gridCol w:w="1048"/>
        <w:gridCol w:w="287"/>
        <w:gridCol w:w="814"/>
        <w:gridCol w:w="159"/>
        <w:gridCol w:w="109"/>
        <w:gridCol w:w="109"/>
        <w:gridCol w:w="109"/>
        <w:gridCol w:w="404"/>
        <w:gridCol w:w="1151"/>
        <w:gridCol w:w="320"/>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 revenue - current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deferred revenues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 revenue - non-current</w:t>
            </w:r>
          </w:p>
        </w:tc>
        <w:tc>
          <w:tcPr>
            <w:tcW w:w="2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gift card contract liabilities were as follows:</w:t>
      </w:r>
    </w:p>
    <w:tbl>
      <w:tblPr>
        <w:tblW w:w="9797" w:type="dxa"/>
        <w:jc w:val="left"/>
        <w:tblInd w:w="0" w:type="dxa"/>
        <w:tblLayout w:type="fixed"/>
        <w:tblCellMar>
          <w:top w:w="28" w:type="dxa"/>
          <w:left w:w="28" w:type="dxa"/>
          <w:bottom w:w="28" w:type="dxa"/>
          <w:right w:w="28" w:type="dxa"/>
        </w:tblCellMar>
      </w:tblPr>
      <w:tblGrid>
        <w:gridCol w:w="1292"/>
        <w:gridCol w:w="1134"/>
        <w:gridCol w:w="1144"/>
        <w:gridCol w:w="287"/>
        <w:gridCol w:w="815"/>
        <w:gridCol w:w="158"/>
        <w:gridCol w:w="130"/>
        <w:gridCol w:w="130"/>
        <w:gridCol w:w="130"/>
        <w:gridCol w:w="287"/>
        <w:gridCol w:w="815"/>
        <w:gridCol w:w="158"/>
        <w:gridCol w:w="109"/>
        <w:gridCol w:w="109"/>
        <w:gridCol w:w="109"/>
        <w:gridCol w:w="286"/>
        <w:gridCol w:w="814"/>
        <w:gridCol w:w="159"/>
        <w:gridCol w:w="142"/>
        <w:gridCol w:w="142"/>
        <w:gridCol w:w="142"/>
        <w:gridCol w:w="282"/>
        <w:gridCol w:w="802"/>
        <w:gridCol w:w="221"/>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sales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redemptions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liabilities assumed through acquisitions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in deferred franchise fee contract liabilities were as follows:</w:t>
      </w:r>
    </w:p>
    <w:tbl>
      <w:tblPr>
        <w:tblW w:w="10205" w:type="dxa"/>
        <w:jc w:val="left"/>
        <w:tblInd w:w="0" w:type="dxa"/>
        <w:tblLayout w:type="fixed"/>
        <w:tblCellMar>
          <w:top w:w="28" w:type="dxa"/>
          <w:left w:w="28" w:type="dxa"/>
          <w:bottom w:w="28" w:type="dxa"/>
          <w:right w:w="28" w:type="dxa"/>
        </w:tblCellMar>
      </w:tblPr>
      <w:tblGrid>
        <w:gridCol w:w="1449"/>
        <w:gridCol w:w="1269"/>
        <w:gridCol w:w="1279"/>
        <w:gridCol w:w="285"/>
        <w:gridCol w:w="811"/>
        <w:gridCol w:w="157"/>
        <w:gridCol w:w="129"/>
        <w:gridCol w:w="129"/>
        <w:gridCol w:w="129"/>
        <w:gridCol w:w="285"/>
        <w:gridCol w:w="811"/>
        <w:gridCol w:w="157"/>
        <w:gridCol w:w="109"/>
        <w:gridCol w:w="109"/>
        <w:gridCol w:w="109"/>
        <w:gridCol w:w="284"/>
        <w:gridCol w:w="810"/>
        <w:gridCol w:w="158"/>
        <w:gridCol w:w="141"/>
        <w:gridCol w:w="141"/>
        <w:gridCol w:w="141"/>
        <w:gridCol w:w="280"/>
        <w:gridCol w:w="799"/>
        <w:gridCol w:w="234"/>
      </w:tblGrid>
      <w:tr>
        <w:trPr/>
        <w:tc>
          <w:tcPr>
            <w:tcW w:w="144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 revenue:</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 recognized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 franchise revenues recognized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5.    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w:t>
      </w:r>
    </w:p>
    <w:tbl>
      <w:tblPr>
        <w:tblW w:w="6942" w:type="dxa"/>
        <w:jc w:val="left"/>
        <w:tblInd w:w="0" w:type="dxa"/>
        <w:tblLayout w:type="fixed"/>
        <w:tblCellMar>
          <w:top w:w="28" w:type="dxa"/>
          <w:left w:w="28" w:type="dxa"/>
          <w:bottom w:w="28" w:type="dxa"/>
          <w:right w:w="28" w:type="dxa"/>
        </w:tblCellMar>
      </w:tblPr>
      <w:tblGrid>
        <w:gridCol w:w="1259"/>
        <w:gridCol w:w="1106"/>
        <w:gridCol w:w="1115"/>
        <w:gridCol w:w="287"/>
        <w:gridCol w:w="814"/>
        <w:gridCol w:w="159"/>
        <w:gridCol w:w="109"/>
        <w:gridCol w:w="109"/>
        <w:gridCol w:w="109"/>
        <w:gridCol w:w="404"/>
        <w:gridCol w:w="1151"/>
        <w:gridCol w:w="320"/>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third-party delivery providers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vendors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franchisees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related to gift card sales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6.    Accrued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5200" w:type="dxa"/>
        <w:jc w:val="left"/>
        <w:tblInd w:w="0" w:type="dxa"/>
        <w:tblLayout w:type="fixed"/>
        <w:tblCellMar>
          <w:top w:w="28" w:type="dxa"/>
          <w:left w:w="28" w:type="dxa"/>
          <w:bottom w:w="28" w:type="dxa"/>
          <w:right w:w="28" w:type="dxa"/>
        </w:tblCellMar>
      </w:tblPr>
      <w:tblGrid>
        <w:gridCol w:w="630"/>
        <w:gridCol w:w="552"/>
        <w:gridCol w:w="557"/>
        <w:gridCol w:w="259"/>
        <w:gridCol w:w="856"/>
        <w:gridCol w:w="144"/>
        <w:gridCol w:w="109"/>
        <w:gridCol w:w="109"/>
        <w:gridCol w:w="109"/>
        <w:gridCol w:w="368"/>
        <w:gridCol w:w="1215"/>
        <w:gridCol w:w="292"/>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liabilities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tax</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fees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tax</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rent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consisted of the following:</w:t>
      </w:r>
    </w:p>
    <w:tbl>
      <w:tblPr>
        <w:tblW w:w="9944" w:type="dxa"/>
        <w:jc w:val="left"/>
        <w:tblInd w:w="0" w:type="dxa"/>
        <w:tblLayout w:type="fixed"/>
        <w:tblCellMar>
          <w:top w:w="28" w:type="dxa"/>
          <w:left w:w="28" w:type="dxa"/>
          <w:bottom w:w="28" w:type="dxa"/>
          <w:right w:w="28" w:type="dxa"/>
        </w:tblCellMar>
      </w:tblPr>
      <w:tblGrid>
        <w:gridCol w:w="1600"/>
        <w:gridCol w:w="1407"/>
        <w:gridCol w:w="1417"/>
        <w:gridCol w:w="196"/>
        <w:gridCol w:w="736"/>
        <w:gridCol w:w="109"/>
        <w:gridCol w:w="109"/>
        <w:gridCol w:w="109"/>
        <w:gridCol w:w="109"/>
        <w:gridCol w:w="384"/>
        <w:gridCol w:w="384"/>
        <w:gridCol w:w="386"/>
        <w:gridCol w:w="109"/>
        <w:gridCol w:w="109"/>
        <w:gridCol w:w="109"/>
        <w:gridCol w:w="211"/>
        <w:gridCol w:w="793"/>
        <w:gridCol w:w="117"/>
        <w:gridCol w:w="117"/>
        <w:gridCol w:w="117"/>
        <w:gridCol w:w="117"/>
        <w:gridCol w:w="351"/>
        <w:gridCol w:w="351"/>
        <w:gridCol w:w="497"/>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Interest Rate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Facilities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7.17%</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deferred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debt, net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282,380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Long-term debt,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269,071 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FWR Holding Corporation (“FWR”), a subsidiary of the Company, is the borrower under the credit agreement dated October 6, 2021, the terms of which were amended on February 24, 2023 and January 5, 2024 (as amended, the “Credit Agreement”), which provides for (i) a $225.0 million term loan A facility and delayed draw facility (the “Term Facilities”) and (ii) a $125.0 million revolving credit facility (the “Revolving Credit Facility” and, collectively with the Term Facilities, the “Credit Facility”). The Credit Facility matures on January 5,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As of June 28, 2026,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the secured overnight financing rate (“SOFR”), plus a credit spread adjustment of 10 basis points plus a margin of between 250 and 325 basis points depending on the Total Rent Adjusted Net Leverage Ratio. Additionally, an unused commitment fee of between 37.5 and 50 basis points is paid on the undrawn commitments under the Revolving Credit Facility, also depending on the Total Rent Adjusted Net Leverage Ratio. Refer to Note 8, </w:t>
      </w:r>
      <w:r>
        <w:rPr>
          <w:rFonts w:ascii="Times New Roman;serif" w:hAnsi="Times New Roman;serif"/>
          <w:b w:val="false"/>
          <w:i/>
          <w:color w:val="000000"/>
          <w:sz w:val="20"/>
        </w:rPr>
        <w:t>Interest Rate Swaps</w:t>
      </w:r>
      <w:r>
        <w:rPr>
          <w:rFonts w:ascii="Times New Roman;serif" w:hAnsi="Times New Roman;serif"/>
          <w:b w:val="false"/>
          <w:color w:val="000000"/>
          <w:sz w:val="20"/>
        </w:rPr>
        <w:t>, for information about the Company’s variable-to-fixed interest rate swap agreements.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tbl>
      <w:tblPr>
        <w:tblW w:w="7621" w:type="dxa"/>
        <w:jc w:val="left"/>
        <w:tblInd w:w="0" w:type="dxa"/>
        <w:tblLayout w:type="fixed"/>
        <w:tblCellMar>
          <w:top w:w="28" w:type="dxa"/>
          <w:left w:w="28" w:type="dxa"/>
          <w:bottom w:w="28" w:type="dxa"/>
          <w:right w:w="28" w:type="dxa"/>
        </w:tblCellMar>
      </w:tblPr>
      <w:tblGrid>
        <w:gridCol w:w="689"/>
        <w:gridCol w:w="606"/>
        <w:gridCol w:w="610"/>
        <w:gridCol w:w="245"/>
        <w:gridCol w:w="923"/>
        <w:gridCol w:w="136"/>
        <w:gridCol w:w="109"/>
        <w:gridCol w:w="109"/>
        <w:gridCol w:w="109"/>
        <w:gridCol w:w="196"/>
        <w:gridCol w:w="736"/>
        <w:gridCol w:w="109"/>
        <w:gridCol w:w="109"/>
        <w:gridCol w:w="109"/>
        <w:gridCol w:w="109"/>
        <w:gridCol w:w="245"/>
        <w:gridCol w:w="923"/>
        <w:gridCol w:w="136"/>
        <w:gridCol w:w="109"/>
        <w:gridCol w:w="109"/>
        <w:gridCol w:w="109"/>
        <w:gridCol w:w="196"/>
        <w:gridCol w:w="73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Facilities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Facility is guaranteed by all of FWR’s wholly-owned domestic restricted subsidiaries, subject to customary exceptions, and by AI Fresh Parent, Inc., a Delaware corporation and the direct parent company of FWR (“Holdings”), and is secured by associated collateral agreements that pledge a lien on substantially all of FWR’s and each guarantor’s assets, including fixed assets and intangible assets, in each case, subject to customary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the covenants under the Credit Agreement as of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swaps are utilized to hedge a portion of the cash flows of the Company’s variable rate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23, 2023, the Company entered into two variable-to-fixed interest rate swaps. These interest rate swaps have an aggregate notional amount of $90.0 million and mature on October 6, 2026. Under the terms of these interest rate swaps, the Company will pay a weighted average fixed rate of 4.16% on the notional amount and will receive payments from, or make payments to, the counterparties based on the three-month SOFR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17, 2024, the Company entered into two additional variable-to-fixed interest rate swaps. These interest rate swaps have an aggregate notional amount of $60.0 million and mature on June 30, 2027. Under the terms of these interest rate swaps, the Company will pay a weighted average fixed rate of 4.42% on the notional amount and will receive payments from, or make payments to, the counterparties based on the three-month SOFR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derivatives were classified within Level 2 of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 (loss) related to the interest rate swaps will be reclassified to interest expense as interest payments are made on the Company’s variable-rate debt. During the twenty-six weeks ended June 28, 2026, a total of $0.4 million was reclassified from Other comprehensive income (loss) as an increase to interest expense. Over the next 12 months, Management estimates that $0.4 million will be reclassified as an increase to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detail of lease assets and liabilities:</w:t>
      </w:r>
    </w:p>
    <w:tbl>
      <w:tblPr>
        <w:tblW w:w="9968" w:type="dxa"/>
        <w:jc w:val="left"/>
        <w:tblInd w:w="0" w:type="dxa"/>
        <w:tblLayout w:type="fixed"/>
        <w:tblCellMar>
          <w:top w:w="28" w:type="dxa"/>
          <w:left w:w="28" w:type="dxa"/>
          <w:bottom w:w="28" w:type="dxa"/>
          <w:right w:w="28" w:type="dxa"/>
        </w:tblCellMar>
      </w:tblPr>
      <w:tblGrid>
        <w:gridCol w:w="1037"/>
        <w:gridCol w:w="910"/>
        <w:gridCol w:w="918"/>
        <w:gridCol w:w="1104"/>
        <w:gridCol w:w="1104"/>
        <w:gridCol w:w="1107"/>
        <w:gridCol w:w="109"/>
        <w:gridCol w:w="109"/>
        <w:gridCol w:w="109"/>
        <w:gridCol w:w="237"/>
        <w:gridCol w:w="891"/>
        <w:gridCol w:w="132"/>
        <w:gridCol w:w="109"/>
        <w:gridCol w:w="109"/>
        <w:gridCol w:w="109"/>
        <w:gridCol w:w="337"/>
        <w:gridCol w:w="1269"/>
        <w:gridCol w:w="268"/>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 - current</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614,548 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672,272 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625,398 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liabilities</w:t>
            </w:r>
            <w:r>
              <w:rPr>
                <w:color w:val="000000"/>
              </w:rPr>
              <w:t> </w:t>
            </w:r>
            <w:r>
              <w:rPr>
                <w:rFonts w:ascii="Times New Roman;serif" w:hAnsi="Times New Roman;serif"/>
                <w:b w:val="false"/>
                <w:color w:val="000000"/>
                <w:sz w:val="18"/>
              </w:rPr>
              <w:t>- current</w:t>
            </w:r>
            <w:r>
              <w:rPr>
                <w:rFonts w:ascii="Times New Roman;serif" w:hAnsi="Times New Roman;serif"/>
                <w:b w:val="false"/>
                <w:color w:val="000000"/>
                <w:sz w:val="12"/>
              </w:rPr>
              <w:t>(1)</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lease liabilities - current</w:t>
            </w:r>
            <w:r>
              <w:rPr>
                <w:rFonts w:ascii="Times New Roman;serif" w:hAnsi="Times New Roman;serif"/>
                <w:b w:val="false"/>
                <w:color w:val="000000"/>
                <w:sz w:val="12"/>
              </w:rPr>
              <w:t>(1)</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non-current</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795,408 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739,194 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_____________ </w:t>
      </w:r>
    </w:p>
    <w:p>
      <w:pPr>
        <w:pStyle w:val="TextBody"/>
        <w:bidi w:val="0"/>
        <w:spacing w:lineRule="auto" w:line="288" w:before="12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Excludes all variable lease expense.</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607"/>
        <w:gridCol w:w="422"/>
        <w:gridCol w:w="425"/>
        <w:gridCol w:w="1038"/>
        <w:gridCol w:w="1038"/>
        <w:gridCol w:w="1041"/>
        <w:gridCol w:w="109"/>
        <w:gridCol w:w="109"/>
        <w:gridCol w:w="109"/>
        <w:gridCol w:w="218"/>
        <w:gridCol w:w="721"/>
        <w:gridCol w:w="121"/>
        <w:gridCol w:w="112"/>
        <w:gridCol w:w="112"/>
        <w:gridCol w:w="112"/>
        <w:gridCol w:w="218"/>
        <w:gridCol w:w="721"/>
        <w:gridCol w:w="121"/>
        <w:gridCol w:w="109"/>
        <w:gridCol w:w="109"/>
        <w:gridCol w:w="109"/>
        <w:gridCol w:w="218"/>
        <w:gridCol w:w="721"/>
        <w:gridCol w:w="121"/>
        <w:gridCol w:w="116"/>
        <w:gridCol w:w="116"/>
        <w:gridCol w:w="116"/>
        <w:gridCol w:w="217"/>
        <w:gridCol w:w="717"/>
        <w:gridCol w:w="182"/>
      </w:tblGrid>
      <w:tr>
        <w:trPr/>
        <w:tc>
          <w:tcPr>
            <w:tcW w:w="60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4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11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and Comprehensive Income Classification</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4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1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3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expenses</w:t>
              <w:br/>
              <w:t>Occupancy expenses</w:t>
              <w:br/>
              <w:t>Pre-opening expenses</w:t>
              <w:b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costs</w:t>
              <w:br/>
              <w:t>Occupancy expenses</w:t>
              <w:b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expense:</w:t>
            </w:r>
          </w:p>
        </w:tc>
        <w:tc>
          <w:tcPr>
            <w:tcW w:w="3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lease expense </w:t>
            </w:r>
            <w:r>
              <w:rPr>
                <w:rFonts w:ascii="Times New Roman;serif" w:hAnsi="Times New Roman;serif"/>
                <w:b w:val="false"/>
                <w:color w:val="000000"/>
                <w:sz w:val="12"/>
              </w:rPr>
              <w:t>(1)</w:t>
            </w:r>
          </w:p>
        </w:tc>
        <w:tc>
          <w:tcPr>
            <w:tcW w:w="3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(1) Includes contingent rent expense of $0.5 million and $0.4 million during the thirteen weeks ended June 28, 2026 and June 29, 2025, respectively, and $1.0 million and $0.9 million during the twenty-six weeks ended June 28, 2026 and June 29, 2025, respectively.</w:t>
      </w:r>
    </w:p>
    <w:p>
      <w:pPr>
        <w:pStyle w:val="TextBody"/>
        <w:bidi w:val="0"/>
        <w:spacing w:lineRule="auto" w:line="288" w:before="120" w:after="283"/>
        <w:jc w:val="both"/>
        <w:rPr/>
      </w:pPr>
      <w:r>
        <w:rPr>
          <w:rFonts w:ascii="Times New Roman;serif" w:hAnsi="Times New Roman;serif"/>
          <w:b w:val="false"/>
          <w:color w:val="000000"/>
          <w:sz w:val="20"/>
        </w:rPr>
        <w:t>Supp</w:t>
      </w:r>
      <w:r>
        <w:rPr>
          <w:rFonts w:ascii="Times New Roman;serif" w:hAnsi="Times New Roman;serif"/>
          <w:b w:val="false"/>
          <w:color w:val="000000"/>
          <w:sz w:val="20"/>
          <w:shd w:fill="FFFFFF" w:val="clear"/>
        </w:rPr>
        <w:t>lemental cash flow information related to leases was as follows:</w:t>
      </w:r>
    </w:p>
    <w:tbl>
      <w:tblPr>
        <w:tblW w:w="8039" w:type="dxa"/>
        <w:jc w:val="left"/>
        <w:tblInd w:w="0" w:type="dxa"/>
        <w:tblLayout w:type="fixed"/>
        <w:tblCellMar>
          <w:top w:w="28" w:type="dxa"/>
          <w:left w:w="28" w:type="dxa"/>
          <w:bottom w:w="28" w:type="dxa"/>
          <w:right w:w="28" w:type="dxa"/>
        </w:tblCellMar>
      </w:tblPr>
      <w:tblGrid>
        <w:gridCol w:w="1840"/>
        <w:gridCol w:w="1616"/>
        <w:gridCol w:w="1629"/>
        <w:gridCol w:w="259"/>
        <w:gridCol w:w="857"/>
        <w:gridCol w:w="143"/>
        <w:gridCol w:w="130"/>
        <w:gridCol w:w="130"/>
        <w:gridCol w:w="130"/>
        <w:gridCol w:w="257"/>
        <w:gridCol w:w="847"/>
        <w:gridCol w:w="201"/>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5085"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 operating leases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 finance leases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 finance leases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leases was as follows:</w:t>
      </w:r>
    </w:p>
    <w:tbl>
      <w:tblPr>
        <w:tblW w:w="6852" w:type="dxa"/>
        <w:jc w:val="left"/>
        <w:tblInd w:w="0" w:type="dxa"/>
        <w:tblLayout w:type="fixed"/>
        <w:tblCellMar>
          <w:top w:w="28" w:type="dxa"/>
          <w:left w:w="28" w:type="dxa"/>
          <w:bottom w:w="28" w:type="dxa"/>
          <w:right w:w="28" w:type="dxa"/>
        </w:tblCellMar>
      </w:tblPr>
      <w:tblGrid>
        <w:gridCol w:w="1310"/>
        <w:gridCol w:w="1150"/>
        <w:gridCol w:w="1155"/>
        <w:gridCol w:w="289"/>
        <w:gridCol w:w="289"/>
        <w:gridCol w:w="682"/>
        <w:gridCol w:w="224"/>
        <w:gridCol w:w="224"/>
        <w:gridCol w:w="224"/>
        <w:gridCol w:w="272"/>
        <w:gridCol w:w="272"/>
        <w:gridCol w:w="761"/>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Weighted-average discount rate </w:t>
            </w:r>
            <w:r>
              <w:rPr>
                <w:rFonts w:ascii="Times New Roman;serif" w:hAnsi="Times New Roman;serif"/>
                <w:b w:val="false"/>
                <w:color w:val="000000"/>
                <w:sz w:val="12"/>
              </w:rPr>
              <w:t>(1)</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(1) Based on the Company’s incremental borrowing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10.     Equity and Stock-Based Compensation</w:t>
      </w:r>
    </w:p>
    <w:p>
      <w:pPr>
        <w:pStyle w:val="TextBody"/>
        <w:bidi w:val="0"/>
        <w:spacing w:lineRule="auto" w:line="288" w:before="120" w:after="283"/>
        <w:ind w:left="0" w:right="0" w:hanging="360"/>
        <w:jc w:val="both"/>
        <w:rPr>
          <w:rFonts w:ascii="Times New Roman;serif" w:hAnsi="Times New Roman;serif"/>
          <w:b/>
          <w:color w:val="000000"/>
          <w:sz w:val="20"/>
        </w:rPr>
      </w:pPr>
      <w:r>
        <w:rPr>
          <w:rFonts w:ascii="Times New Roman;serif" w:hAnsi="Times New Roman;serif"/>
          <w:b/>
          <w:color w:val="000000"/>
          <w:sz w:val="20"/>
        </w:rPr>
        <w:t>Stock option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 awards granted during the twenty-six weeks ended June 28, 2026. A summary of stock option activity during the twenty-six weeks ended June 28, 2026 was as follows: </w:t>
      </w:r>
    </w:p>
    <w:tbl>
      <w:tblPr>
        <w:tblW w:w="10205" w:type="dxa"/>
        <w:jc w:val="left"/>
        <w:tblInd w:w="0" w:type="dxa"/>
        <w:tblLayout w:type="fixed"/>
        <w:tblCellMar>
          <w:top w:w="28" w:type="dxa"/>
          <w:left w:w="28" w:type="dxa"/>
          <w:bottom w:w="28" w:type="dxa"/>
          <w:right w:w="28" w:type="dxa"/>
        </w:tblCellMar>
      </w:tblPr>
      <w:tblGrid>
        <w:gridCol w:w="668"/>
        <w:gridCol w:w="587"/>
        <w:gridCol w:w="589"/>
        <w:gridCol w:w="609"/>
        <w:gridCol w:w="446"/>
        <w:gridCol w:w="447"/>
        <w:gridCol w:w="109"/>
        <w:gridCol w:w="109"/>
        <w:gridCol w:w="109"/>
        <w:gridCol w:w="393"/>
        <w:gridCol w:w="1116"/>
        <w:gridCol w:w="219"/>
        <w:gridCol w:w="109"/>
        <w:gridCol w:w="109"/>
        <w:gridCol w:w="109"/>
        <w:gridCol w:w="397"/>
        <w:gridCol w:w="1313"/>
        <w:gridCol w:w="224"/>
        <w:gridCol w:w="109"/>
        <w:gridCol w:w="109"/>
        <w:gridCol w:w="109"/>
        <w:gridCol w:w="647"/>
        <w:gridCol w:w="647"/>
        <w:gridCol w:w="922"/>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AGGREGATE INTRINSIC VALUE </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 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REMAINING CONTRACTUAL LIFE </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years)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December 28, 2025</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3,577,374 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(59,018)</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(28,781)</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and exercisable, June 28, 2026</w:t>
            </w:r>
          </w:p>
        </w:tc>
        <w:tc>
          <w:tcPr>
            <w:tcW w:w="10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3,489,575 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based on the difference between the exercise price of the stock option and the closing price of the Company’s common stock on the Nasdaq Global Select Market (“Nasdaq”) on the last trading day of the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non-vested stock option activity during the twenty-six weeks ended June 28, 2026 is as follows: </w:t>
      </w:r>
    </w:p>
    <w:tbl>
      <w:tblPr>
        <w:tblW w:w="10205" w:type="dxa"/>
        <w:jc w:val="left"/>
        <w:tblInd w:w="0" w:type="dxa"/>
        <w:tblLayout w:type="fixed"/>
        <w:tblCellMar>
          <w:top w:w="28" w:type="dxa"/>
          <w:left w:w="28" w:type="dxa"/>
          <w:bottom w:w="28" w:type="dxa"/>
          <w:right w:w="28" w:type="dxa"/>
        </w:tblCellMar>
      </w:tblPr>
      <w:tblGrid>
        <w:gridCol w:w="843"/>
        <w:gridCol w:w="740"/>
        <w:gridCol w:w="744"/>
        <w:gridCol w:w="673"/>
        <w:gridCol w:w="673"/>
        <w:gridCol w:w="675"/>
        <w:gridCol w:w="109"/>
        <w:gridCol w:w="109"/>
        <w:gridCol w:w="109"/>
        <w:gridCol w:w="1326"/>
        <w:gridCol w:w="3153"/>
        <w:gridCol w:w="1051"/>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December 28, 2025</w:t>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Vested </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June 28, 2026</w:t>
            </w:r>
          </w:p>
        </w:tc>
        <w:tc>
          <w:tcPr>
            <w:tcW w:w="1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Restricted stock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twenty-six weeks ended June 28, 2026, a total of 1,136,227 restricted stock units (“RSUs”) were granted. Of these RSUs, 901,643 will vest over a period of three years; 113,353 will vest in full one year from the grant date; 94,636 will vest in full three years from the grant date; and 26,595 will vest in full four years from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Company’s RSU activity during the twenty-six weeks ended June 28, 2026 is as follows:</w:t>
      </w:r>
    </w:p>
    <w:tbl>
      <w:tblPr>
        <w:tblW w:w="10205" w:type="dxa"/>
        <w:jc w:val="left"/>
        <w:tblInd w:w="0" w:type="dxa"/>
        <w:tblLayout w:type="fixed"/>
        <w:tblCellMar>
          <w:top w:w="28" w:type="dxa"/>
          <w:left w:w="28" w:type="dxa"/>
          <w:bottom w:w="28" w:type="dxa"/>
          <w:right w:w="28" w:type="dxa"/>
        </w:tblCellMar>
      </w:tblPr>
      <w:tblGrid>
        <w:gridCol w:w="651"/>
        <w:gridCol w:w="572"/>
        <w:gridCol w:w="574"/>
        <w:gridCol w:w="662"/>
        <w:gridCol w:w="662"/>
        <w:gridCol w:w="664"/>
        <w:gridCol w:w="109"/>
        <w:gridCol w:w="109"/>
        <w:gridCol w:w="109"/>
        <w:gridCol w:w="796"/>
        <w:gridCol w:w="2262"/>
        <w:gridCol w:w="444"/>
        <w:gridCol w:w="109"/>
        <w:gridCol w:w="109"/>
        <w:gridCol w:w="109"/>
        <w:gridCol w:w="443"/>
        <w:gridCol w:w="1463"/>
        <w:gridCol w:w="358"/>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AGGREGATE INTRINSIC VALUE </w:t>
              <w:br/>
              <w:t>(in thousands)</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December 28, 2025</w:t>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2,010,917 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Granted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1,136,227 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(79,553)</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Vested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(551,676)</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June 28, 2026</w:t>
            </w:r>
          </w:p>
        </w:tc>
        <w:tc>
          <w:tcPr>
            <w:tcW w:w="13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2,515,915 </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based on the closing price of the Company’s common stock on Nasdaq of $12.74 and $15.91 on June 26, 2026 and December 26, 2025, the last trading days of the periods,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amounts capitalized, was $3.7 million and $2.8 million during the thirteen weeks ended June 28, 2026 and June 29, 2025, respectively, and $7.0 million and $5.0 million during the twenty-six weeks ended June 28, 2026 and June 29, 2025, respectively. Capitalized stock-based compensation included in property, fixtures and equipment totaled $0.1 million for both the twenty-six weeks ended June 28, 2026 and June 29,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Unrecognized stock-based compensation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represents unrecognized stock-based compensation expense and the remaining weighted average vesting period as of June 28, 2026:</w:t>
      </w:r>
    </w:p>
    <w:tbl>
      <w:tblPr>
        <w:tblW w:w="10205" w:type="dxa"/>
        <w:jc w:val="left"/>
        <w:tblInd w:w="0" w:type="dxa"/>
        <w:tblLayout w:type="fixed"/>
        <w:tblCellMar>
          <w:top w:w="28" w:type="dxa"/>
          <w:left w:w="28" w:type="dxa"/>
          <w:bottom w:w="28" w:type="dxa"/>
          <w:right w:w="28" w:type="dxa"/>
        </w:tblCellMar>
      </w:tblPr>
      <w:tblGrid>
        <w:gridCol w:w="580"/>
        <w:gridCol w:w="510"/>
        <w:gridCol w:w="512"/>
        <w:gridCol w:w="1052"/>
        <w:gridCol w:w="3468"/>
        <w:gridCol w:w="585"/>
        <w:gridCol w:w="109"/>
        <w:gridCol w:w="109"/>
        <w:gridCol w:w="109"/>
        <w:gridCol w:w="927"/>
        <w:gridCol w:w="927"/>
        <w:gridCol w:w="1317"/>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UNRECOGNIZED STOCK-BASED COMPENSATION EXPENSE </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REMAINING WEIGHTED AVERAGE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RECOGNITION PERIOD </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years)</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stock units </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31,421 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28, 2026, all stock options were fully vested and there were no unvested stock options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 xml:space="preserve">Income Taxes </w:t>
      </w:r>
    </w:p>
    <w:tbl>
      <w:tblPr>
        <w:tblW w:w="8709" w:type="dxa"/>
        <w:jc w:val="left"/>
        <w:tblInd w:w="0" w:type="dxa"/>
        <w:tblLayout w:type="fixed"/>
        <w:tblCellMar>
          <w:top w:w="28" w:type="dxa"/>
          <w:left w:w="28" w:type="dxa"/>
          <w:bottom w:w="28" w:type="dxa"/>
          <w:right w:w="28" w:type="dxa"/>
        </w:tblCellMar>
      </w:tblPr>
      <w:tblGrid>
        <w:gridCol w:w="923"/>
        <w:gridCol w:w="810"/>
        <w:gridCol w:w="817"/>
        <w:gridCol w:w="228"/>
        <w:gridCol w:w="734"/>
        <w:gridCol w:w="298"/>
        <w:gridCol w:w="109"/>
        <w:gridCol w:w="109"/>
        <w:gridCol w:w="109"/>
        <w:gridCol w:w="228"/>
        <w:gridCol w:w="734"/>
        <w:gridCol w:w="298"/>
        <w:gridCol w:w="109"/>
        <w:gridCol w:w="109"/>
        <w:gridCol w:w="109"/>
        <w:gridCol w:w="308"/>
        <w:gridCol w:w="781"/>
        <w:gridCol w:w="171"/>
        <w:gridCol w:w="136"/>
        <w:gridCol w:w="136"/>
        <w:gridCol w:w="136"/>
        <w:gridCol w:w="245"/>
        <w:gridCol w:w="696"/>
        <w:gridCol w:w="376"/>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effective income tax rate for the twenty-six weeks ended June 28, 2026 is not meaningful as a result of the low level of loss before income taxes in the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accounts for income taxes in interim periods using an estimated annual effective tax rate, adjusted for discrete items recognized during the period. For the thirteen and twenty-six weeks ended June 28, 2026, the Company recorded income tax expense. The income tax expense reflects the application of the estimated annual effective income tax rate to the Company’s actual earnings for the periods, partially offset by discrete tax items, which include the impact of stock-based compensation.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thirteen weeks ended June 28, 2026 decreased compared to the prior year period primarily due to changes in (i) the benefit of federal tax credits received by the Company for FICA taxes paid on certain employee tips, (ii) state income taxes and (iii) stock-based compensation tax impacts.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Valuation allowance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routinely assesses the realizability of deferred tax assets, and may record a valuation allowance if, based on all available positive and negative evidence, the determination is reached that some portion of the deferred tax assets may not be realized prior to expiration. If Management determines that the Company may be able to realize the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in the future, the Company would make an adjustment to the deferred tax assets valuation allowance, which would reduce the provision for income taxes during the period in which the determination was made. As of the period ended June 28, 2026 based upon all available evidence, Management has maintained a valuation allowance against a portion of the deferred tax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the Company’s future taxable earnings increase and the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legal proceedings, claims and liabilities that arise in the ordinary course of business. The amount of the anticipated liability with respect to these matters was not material as of June 28, 2026. In the event any litigation losses become probable and estimable, the Company will recognize anticipated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(loss) to evaluate performance and make key operating decisions, such as investments in our long-term growth strategy. This measure is also used to monitor budget against actual results.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derived from sales of food and beverage, net of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 as capital expenditures.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consolidated net income (loss) for the segment for the periods indicated:</w:t>
      </w:r>
    </w:p>
    <w:tbl>
      <w:tblPr>
        <w:tblW w:w="10079" w:type="dxa"/>
        <w:jc w:val="left"/>
        <w:tblInd w:w="0" w:type="dxa"/>
        <w:tblLayout w:type="fixed"/>
        <w:tblCellMar>
          <w:top w:w="28" w:type="dxa"/>
          <w:left w:w="28" w:type="dxa"/>
          <w:bottom w:w="28" w:type="dxa"/>
          <w:right w:w="28" w:type="dxa"/>
        </w:tblCellMar>
      </w:tblPr>
      <w:tblGrid>
        <w:gridCol w:w="1438"/>
        <w:gridCol w:w="1264"/>
        <w:gridCol w:w="1273"/>
        <w:gridCol w:w="237"/>
        <w:gridCol w:w="891"/>
        <w:gridCol w:w="131"/>
        <w:gridCol w:w="111"/>
        <w:gridCol w:w="111"/>
        <w:gridCol w:w="111"/>
        <w:gridCol w:w="237"/>
        <w:gridCol w:w="891"/>
        <w:gridCol w:w="131"/>
        <w:gridCol w:w="109"/>
        <w:gridCol w:w="109"/>
        <w:gridCol w:w="109"/>
        <w:gridCol w:w="237"/>
        <w:gridCol w:w="891"/>
        <w:gridCol w:w="131"/>
        <w:gridCol w:w="121"/>
        <w:gridCol w:w="121"/>
        <w:gridCol w:w="121"/>
        <w:gridCol w:w="235"/>
        <w:gridCol w:w="885"/>
        <w:gridCol w:w="184"/>
      </w:tblGrid>
      <w:tr>
        <w:trPr/>
        <w:tc>
          <w:tcPr>
            <w:tcW w:w="143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590,127 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net of amounts capitalized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(1)</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(2)</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(1) General and administrative expenses excludes stock-based compensation, net of amounts capitalized, which is presented separately.</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Other segment items included in segment net income (loss) include transaction and restructuring expenses, net and impairments and loss on disposal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WATCH RESTAURANT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14.    Net Income (Loss)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computations of basic and diluted net income (loss) per common share:</w:t>
      </w:r>
    </w:p>
    <w:tbl>
      <w:tblPr>
        <w:tblW w:w="10205" w:type="dxa"/>
        <w:jc w:val="left"/>
        <w:tblInd w:w="0" w:type="dxa"/>
        <w:tblLayout w:type="fixed"/>
        <w:tblCellMar>
          <w:top w:w="28" w:type="dxa"/>
          <w:left w:w="28" w:type="dxa"/>
          <w:bottom w:w="28" w:type="dxa"/>
          <w:right w:w="28" w:type="dxa"/>
        </w:tblCellMar>
      </w:tblPr>
      <w:tblGrid>
        <w:gridCol w:w="1664"/>
        <w:gridCol w:w="1395"/>
        <w:gridCol w:w="1400"/>
        <w:gridCol w:w="287"/>
        <w:gridCol w:w="740"/>
        <w:gridCol w:w="132"/>
        <w:gridCol w:w="118"/>
        <w:gridCol w:w="118"/>
        <w:gridCol w:w="118"/>
        <w:gridCol w:w="287"/>
        <w:gridCol w:w="740"/>
        <w:gridCol w:w="132"/>
        <w:gridCol w:w="109"/>
        <w:gridCol w:w="109"/>
        <w:gridCol w:w="109"/>
        <w:gridCol w:w="291"/>
        <w:gridCol w:w="734"/>
        <w:gridCol w:w="134"/>
        <w:gridCol w:w="125"/>
        <w:gridCol w:w="125"/>
        <w:gridCol w:w="125"/>
        <w:gridCol w:w="282"/>
        <w:gridCol w:w="736"/>
        <w:gridCol w:w="195"/>
      </w:tblGrid>
      <w:tr>
        <w:trPr/>
        <w:tc>
          <w:tcPr>
            <w:tcW w:w="166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data)</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61,669,719 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61,005,648 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61,456,606 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60,886,525 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62,296,801 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62,579,658 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61,456,606 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62,732,072 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basic</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outstanding not included in diluted net income (loss) per common share as their effect is anti-dilutive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outstanding not included in diluted net income (loss) per share as their effect is anti-dilutive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914,337 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common share is calculated by adjusting the weighted average shares outstanding for the theoretical effect of potential common shares that would be issued for stock awards outstanding and unvested as of the respective periods using the treasury method. In addition, for the twenty-six weeks ended June 28, 2026 all stock option awards outstanding were excluded from the calculation of diluted net loss per common share because of their anti-dilutive impact.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2025 Form 10-K. As discussed in the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2025 Form 10-K, including under “Item 1A. Risk Factors” and “Item 7. Management’s Discussion and Analysis of Financial Condition and Results of Operations,” and in “Part II, Item 1A. Risk Factors” of this Form 10-Q.</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References to “we,” “us,” “our” and “the Company” in this Management’s Discussion and Analysis of Financial Condition and Results of Operation (“MD&amp;A”) refer to First Watch Restaurant Group, Inc., collectively with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First Watch is an award-winning Daytime Dining concept serving made-to-order breakfast, brunch and lunch using fresh ingredients. Our common stock trades on the Nasdaq under the ticker symbol “FWRG.” A recipient of many local “Best Breakfast” and “Best Brunch” accolades, First Watch’s award-winning chef-driven menu includes elevated executions of classic favorites alongside innovative dishes and fresh juices. For four consecutive years, First Watch has been named a Top 100 Most Loved Workplace® by the Best Practice Institute, and in 2025, was named the #1 Most Loved Workplace for the second year in a row, as featured in </w:t>
      </w:r>
      <w:r>
        <w:rPr>
          <w:rFonts w:ascii="Times New Roman;serif" w:hAnsi="Times New Roman;serif"/>
          <w:b w:val="false"/>
          <w:i/>
          <w:color w:val="000000"/>
          <w:sz w:val="20"/>
        </w:rPr>
        <w:t>The Wall Street Journal</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W</w:t>
      </w:r>
      <w:r>
        <w:rPr>
          <w:rFonts w:ascii="Times New Roman;serif" w:hAnsi="Times New Roman;serif"/>
          <w:b w:val="false"/>
          <w:color w:val="000000"/>
          <w:sz w:val="20"/>
        </w:rPr>
        <w:t>e employ more than 18,000 employees, operate and franchise restaurants in 33 states under the “First Watch” trade name and, as of June 28, 2026, had 586 company-owned restaurants and 79 franchise-owned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highlights for the thirteen weeks ended June 28, 2026 (“second quarter of 2026”) as compared, unless otherwise indicated below, to the thirteen weeks ended June 29, 2025 (“second quarter of 2025”) reflect the continued momentum of our operating performance and include the following:</w:t>
      </w:r>
    </w:p>
    <w:p>
      <w:pPr>
        <w:pStyle w:val="TextBody"/>
        <w:bidi w:val="0"/>
        <w:spacing w:lineRule="auto" w:line="288" w:before="240" w:after="283"/>
        <w:ind w:left="0" w:right="0" w:hanging="450"/>
        <w:jc w:val="both"/>
        <w:rPr/>
      </w:pPr>
      <w:r>
        <w:rPr>
          <w:color w:val="000000"/>
        </w:rPr>
        <w:t>•</w:t>
      </w:r>
      <w:r>
        <w:rPr>
          <w:rFonts w:ascii="Times New Roman;serif" w:hAnsi="Times New Roman;serif"/>
          <w:b w:val="false"/>
          <w:color w:val="000000"/>
          <w:sz w:val="20"/>
        </w:rPr>
        <w:t>Opened 18 system-wide restaurants in 15 states, with 1 planned closure, resulting in a total of 665 system-wide restaurants (586 company-owned and 79 franchise-owned) across 33 states as of June 28, 2026</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Total revenues increased 15.2% to $354.7 million from $307.9 million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System-wide sales increased 14.7% to $397.0 million from $346.2 million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Same-restaurant sales growth of 3.4%</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Same-restaurant traffic growth of negative 0.4%</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Income from operations margin decreased to 2.3% from 2.4%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Restaurant level operating profit margin* increased to 18.8% from 18.6%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Net income increased to $2.3 million, or $0.04 per diluted share, from net income of $2.1 million, or $0.03 per diluted share</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Adjusted EBITDA* increased to $34.5 million from $30.4 million</w:t>
      </w:r>
    </w:p>
    <w:p>
      <w:pPr>
        <w:pStyle w:val="TextBody"/>
        <w:bidi w:val="0"/>
        <w:spacing w:lineRule="auto" w:line="288" w:before="0" w:after="0"/>
        <w:ind w:left="0" w:right="0" w:hanging="90"/>
        <w:jc w:val="both"/>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300" w:before="0" w:after="0"/>
        <w:jc w:val="both"/>
        <w:rPr/>
      </w:pPr>
      <w:r>
        <w:rPr>
          <w:rFonts w:ascii="Times New Roman;serif" w:hAnsi="Times New Roman;serif"/>
          <w:b w:val="false"/>
          <w:color w:val="000000"/>
          <w:sz w:val="18"/>
        </w:rPr>
        <w:t xml:space="preserve">* See </w:t>
      </w:r>
      <w:r>
        <w:rPr>
          <w:rFonts w:ascii="Times New Roman;serif" w:hAnsi="Times New Roman;serif"/>
          <w:b w:val="false"/>
          <w:i/>
          <w:color w:val="000000"/>
          <w:sz w:val="18"/>
        </w:rPr>
        <w:t>Non-GAAP Financial Measures Reconciliations</w:t>
      </w:r>
      <w:r>
        <w:rPr>
          <w:color w:val="000000"/>
        </w:rPr>
        <w:t xml:space="preserve"> </w:t>
      </w:r>
      <w:r>
        <w:rPr>
          <w:rFonts w:ascii="Times New Roman;serif" w:hAnsi="Times New Roman;serif"/>
          <w:b w:val="false"/>
          <w:color w:val="000000"/>
          <w:sz w:val="18"/>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Business Trends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experienced same-restaurant sales growth of 3.4% and same-restaurant traffic growth of negative 0.4%. We expect annual same-restaurant sales growth to be between 1.5% to 3.0%.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second quarter in a row, we experienced commodity deflation of 1.6%, primarily due to lower costs of eggs, avocados, and bacon, mostly offset by the demand for newly introduced higher cost beef offerings and an increase in coffee prices. We expect our full year commodity inflation to be approximately zero to 1.5%.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Restaurant-level wage inflation during the second quarter of 2026 was 4.1% and full year inflation is expected to be approximately 3.5% to 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Key Performance Indicators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Throughout “Management’s Discussion and Analysis of Financial Condition and Results of Operations,” we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New Restaurant Openings </w:t>
      </w:r>
      <w:r>
        <w:rPr>
          <w:rFonts w:ascii="Times New Roman;serif" w:hAnsi="Times New Roman;serif"/>
          <w:b w:val="false"/>
          <w:color w:val="000000"/>
          <w:sz w:val="20"/>
        </w:rPr>
        <w:t>(“NROs”): the number of new company-owned First Watch restaurants commencing operations during the period. Management reviews the number of new restaurants to assess new restaurant growth and company-owned restaurant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Franchise-owned New Restaurant Openings </w:t>
      </w:r>
      <w:r>
        <w:rPr>
          <w:rFonts w:ascii="Times New Roman;serif" w:hAnsi="Times New Roman;serif"/>
          <w:b w:val="false"/>
          <w:color w:val="000000"/>
          <w:sz w:val="20"/>
        </w:rPr>
        <w:t>(“Franchise-owned NROs”): the number of new franchise-owned First Watch restaurants commencing operations during the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Same-Restaurant Sales Growth</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percentage change in year-over-year restaurant sales (excluding gift card breakage) for the comparable restaurant base, which we define as the number of company-owned First Watch branded restaurants open for 18 months or longer as of the beginning of the fiscal year (“Comparable Restaurant Base”). For the thirteen and twenty-six weeks ended June 28, 2026 and June 29, 2025, there were 454 restaurants and 382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Same-Restaurant Traffic Growth</w:t>
      </w:r>
      <w:r>
        <w:rPr>
          <w:rFonts w:ascii="Times New Roman;serif" w:hAnsi="Times New Roman;serif"/>
          <w:b w:val="false"/>
          <w:color w:val="000000"/>
          <w:sz w:val="20"/>
        </w:rPr>
        <w:t>: the percentage change in year-over-year traffic counts using the Comparable Restaurant Base. Measuring our same-restaurant traffic growth allows Management to evaluate the performance of our existing restaurant base. We believe this measure is useful for investors because same-restaurant traffic provides an indicator as to the development of our brand and the effectiveness of our marketing strategy.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System-wide restaurants</w:t>
      </w:r>
      <w:r>
        <w:rPr>
          <w:rFonts w:ascii="Times New Roman;serif" w:hAnsi="Times New Roman;serif"/>
          <w:b w:val="false"/>
          <w:color w:val="000000"/>
          <w:sz w:val="20"/>
        </w:rPr>
        <w:t>: the total number of restaurants, including all company-owned and franchise-owned restaurants.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System-wide sales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consists of restaurant sales from our company-owned restaurants and franchise-owned restaurants. We do not recognize the restaurant sales from our franchise-owned restaurants as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Restaurant level operating profit and Restaurant level operating profit margin (i) to evaluate the performance and profitability of operating restaurants, individually and in the aggregate, and (ii) to make decisions regarding future spending and other operational decisions.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Adjusted EBITDA</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represents Net income (loss) before depreciation and amortization, interest expense, income taxes, and items that we do not consider in our evaluation of ongoing core operating performance as identified in the reconciliation of Net income (loss), the most directly comparable measure in accordance with GAAP, to Adjusted EBITDA, included in the section </w:t>
      </w:r>
      <w:r>
        <w:rPr>
          <w:rFonts w:ascii="Times New Roman;serif" w:hAnsi="Times New Roman;serif"/>
          <w:b w:val="false"/>
          <w:i/>
          <w:color w:val="000000"/>
          <w:sz w:val="20"/>
        </w:rPr>
        <w:t xml:space="preserve">Non-GAAP Financial Measure Reconciliations </w:t>
      </w:r>
      <w:r>
        <w:rPr>
          <w:rFonts w:ascii="Times New Roman;serif" w:hAnsi="Times New Roman;serif"/>
          <w:b w:val="false"/>
          <w:color w:val="000000"/>
          <w:sz w:val="20"/>
        </w:rPr>
        <w:t>below</w:t>
      </w:r>
      <w:r>
        <w:rPr>
          <w:rFonts w:ascii="Times New Roman;serif" w:hAnsi="Times New Roman;serif"/>
          <w:b w:val="false"/>
          <w:i/>
          <w:color w:val="000000"/>
          <w:sz w:val="20"/>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Adjusted EBITDA Margin</w:t>
      </w:r>
      <w:r>
        <w:rPr>
          <w:rFonts w:ascii="Times New Roman;serif" w:hAnsi="Times New Roman;serif"/>
          <w:b w:val="false"/>
          <w:color w:val="000000"/>
          <w:sz w:val="20"/>
        </w:rPr>
        <w:t>: represents</w:t>
      </w:r>
      <w:r>
        <w:rPr>
          <w:color w:val="000000"/>
        </w:rPr>
        <w:t xml:space="preserve"> </w:t>
      </w:r>
      <w:r>
        <w:rPr>
          <w:rFonts w:ascii="Times New Roman;serif" w:hAnsi="Times New Roman;serif"/>
          <w:b w:val="false"/>
          <w:color w:val="000000"/>
          <w:sz w:val="20"/>
        </w:rPr>
        <w:t>Adjusted EBITDA as a percentage of total revenues. See</w:t>
      </w:r>
      <w:r>
        <w:rPr>
          <w:color w:val="000000"/>
        </w:rPr>
        <w:t xml:space="preserve"> </w:t>
      </w:r>
      <w:r>
        <w:rPr>
          <w:rFonts w:ascii="Times New Roman;serif" w:hAnsi="Times New Roman;serif"/>
          <w:b w:val="false"/>
          <w:i/>
          <w:color w:val="000000"/>
          <w:sz w:val="20"/>
        </w:rPr>
        <w:t>Non-GAAP Financial Measure Reconciliations</w:t>
      </w:r>
      <w:r>
        <w:rPr>
          <w:color w:val="000000"/>
        </w:rPr>
        <w:t xml:space="preserve"> </w:t>
      </w:r>
      <w:r>
        <w:rPr>
          <w:rFonts w:ascii="Times New Roman;serif" w:hAnsi="Times New Roman;serif"/>
          <w:b w:val="false"/>
          <w:color w:val="000000"/>
          <w:sz w:val="20"/>
        </w:rPr>
        <w:t xml:space="preserve">below for a reconciliation to Net income (loss) margin, the most directly comparable GAAP measure.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Restaurant Level Operating Profit</w:t>
      </w:r>
      <w:r>
        <w:rPr>
          <w:rFonts w:ascii="Times New Roman;serif" w:hAnsi="Times New Roman;serif"/>
          <w:b w:val="false"/>
          <w:color w:val="000000"/>
          <w:sz w:val="20"/>
        </w:rPr>
        <w:t xml:space="preserve">: represents restaurant sales, less restaurant operating expenses, which include food and beverage costs, labor and other 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serif" w:hAnsi="Times New Roman;serif"/>
          <w:b w:val="false"/>
          <w:i/>
          <w:color w:val="000000"/>
          <w:sz w:val="20"/>
        </w:rPr>
        <w:t xml:space="preserve">Non-GAAP Financial Measure Reconciliations </w:t>
      </w:r>
      <w:r>
        <w:rPr>
          <w:rFonts w:ascii="Times New Roman;serif" w:hAnsi="Times New Roman;serif"/>
          <w:b w:val="false"/>
          <w:color w:val="000000"/>
          <w:sz w:val="20"/>
        </w:rPr>
        <w:t xml:space="preserve">below.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Restaurant Level Operating Profit Margin</w:t>
      </w:r>
      <w:r>
        <w:rPr>
          <w:rFonts w:ascii="Times New Roman;serif" w:hAnsi="Times New Roman;serif"/>
          <w:b w:val="false"/>
          <w:color w:val="000000"/>
          <w:sz w:val="20"/>
        </w:rPr>
        <w:t>: represents Restaurant level operating profit as a percentage of restaurant sales. See</w:t>
      </w:r>
      <w:r>
        <w:rPr>
          <w:color w:val="000000"/>
        </w:rPr>
        <w:t xml:space="preserve"> </w:t>
      </w:r>
      <w:r>
        <w:rPr>
          <w:rFonts w:ascii="Times New Roman;serif" w:hAnsi="Times New Roman;serif"/>
          <w:b w:val="false"/>
          <w:i/>
          <w:color w:val="000000"/>
          <w:sz w:val="20"/>
        </w:rPr>
        <w:t>Non-GAAP Financial Measure</w:t>
      </w:r>
      <w:r>
        <w:rPr>
          <w:color w:val="000000"/>
        </w:rPr>
        <w:t xml:space="preserve"> </w:t>
      </w:r>
      <w:r>
        <w:rPr>
          <w:rFonts w:ascii="Times New Roman;serif" w:hAnsi="Times New Roman;serif"/>
          <w:b w:val="false"/>
          <w:i/>
          <w:color w:val="000000"/>
          <w:sz w:val="20"/>
        </w:rPr>
        <w:t xml:space="preserve">Reconciliations </w:t>
      </w:r>
      <w:r>
        <w:rPr>
          <w:rFonts w:ascii="Times New Roman;serif" w:hAnsi="Times New Roman;serif"/>
          <w:b w:val="false"/>
          <w:color w:val="000000"/>
          <w:sz w:val="20"/>
        </w:rPr>
        <w:t>below for a reconciliation to Income from operations margin, the most directly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Selected Operating Data</w:t>
      </w:r>
    </w:p>
    <w:tbl>
      <w:tblPr>
        <w:tblW w:w="7916" w:type="dxa"/>
        <w:jc w:val="left"/>
        <w:tblInd w:w="0" w:type="dxa"/>
        <w:tblLayout w:type="fixed"/>
        <w:tblCellMar>
          <w:top w:w="28" w:type="dxa"/>
          <w:left w:w="28" w:type="dxa"/>
          <w:bottom w:w="28" w:type="dxa"/>
          <w:right w:w="28" w:type="dxa"/>
        </w:tblCellMar>
      </w:tblPr>
      <w:tblGrid>
        <w:gridCol w:w="684"/>
        <w:gridCol w:w="601"/>
        <w:gridCol w:w="605"/>
        <w:gridCol w:w="605"/>
        <w:gridCol w:w="605"/>
        <w:gridCol w:w="606"/>
        <w:gridCol w:w="240"/>
        <w:gridCol w:w="240"/>
        <w:gridCol w:w="240"/>
        <w:gridCol w:w="650"/>
        <w:gridCol w:w="650"/>
        <w:gridCol w:w="651"/>
        <w:gridCol w:w="240"/>
        <w:gridCol w:w="240"/>
        <w:gridCol w:w="240"/>
        <w:gridCol w:w="240"/>
        <w:gridCol w:w="240"/>
        <w:gridCol w:w="339"/>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 JUNE 28, 2026</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COMPANY-OWNED</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FRANCHISE-OWNED</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restaurant openings</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Closures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8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tbl>
      <w:tblPr>
        <w:tblW w:w="8057" w:type="dxa"/>
        <w:jc w:val="left"/>
        <w:tblInd w:w="0" w:type="dxa"/>
        <w:tblLayout w:type="fixed"/>
        <w:tblCellMar>
          <w:top w:w="28" w:type="dxa"/>
          <w:left w:w="28" w:type="dxa"/>
          <w:bottom w:w="28" w:type="dxa"/>
          <w:right w:w="28" w:type="dxa"/>
        </w:tblCellMar>
      </w:tblPr>
      <w:tblGrid>
        <w:gridCol w:w="684"/>
        <w:gridCol w:w="601"/>
        <w:gridCol w:w="605"/>
        <w:gridCol w:w="605"/>
        <w:gridCol w:w="605"/>
        <w:gridCol w:w="606"/>
        <w:gridCol w:w="255"/>
        <w:gridCol w:w="255"/>
        <w:gridCol w:w="255"/>
        <w:gridCol w:w="650"/>
        <w:gridCol w:w="650"/>
        <w:gridCol w:w="651"/>
        <w:gridCol w:w="255"/>
        <w:gridCol w:w="255"/>
        <w:gridCol w:w="255"/>
        <w:gridCol w:w="255"/>
        <w:gridCol w:w="255"/>
        <w:gridCol w:w="360"/>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 JUNE 28, 2026</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COMPANY-OWNED</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FRANCHISE-OWNED</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restaurant openings</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Closures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8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r>
    </w:tbl>
    <w:tbl>
      <w:tblPr>
        <w:tblW w:w="9709" w:type="dxa"/>
        <w:jc w:val="left"/>
        <w:tblInd w:w="0" w:type="dxa"/>
        <w:tblLayout w:type="fixed"/>
        <w:tblCellMar>
          <w:top w:w="28" w:type="dxa"/>
          <w:left w:w="28" w:type="dxa"/>
          <w:bottom w:w="28" w:type="dxa"/>
          <w:right w:w="28" w:type="dxa"/>
        </w:tblCellMar>
      </w:tblPr>
      <w:tblGrid>
        <w:gridCol w:w="1321"/>
        <w:gridCol w:w="1158"/>
        <w:gridCol w:w="1165"/>
        <w:gridCol w:w="208"/>
        <w:gridCol w:w="781"/>
        <w:gridCol w:w="271"/>
        <w:gridCol w:w="109"/>
        <w:gridCol w:w="109"/>
        <w:gridCol w:w="109"/>
        <w:gridCol w:w="208"/>
        <w:gridCol w:w="781"/>
        <w:gridCol w:w="271"/>
        <w:gridCol w:w="109"/>
        <w:gridCol w:w="109"/>
        <w:gridCol w:w="109"/>
        <w:gridCol w:w="208"/>
        <w:gridCol w:w="781"/>
        <w:gridCol w:w="271"/>
        <w:gridCol w:w="109"/>
        <w:gridCol w:w="109"/>
        <w:gridCol w:w="109"/>
        <w:gridCol w:w="207"/>
        <w:gridCol w:w="779"/>
        <w:gridCol w:w="318"/>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sales (in thousands)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669,208 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Same-restaurant sales growth </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Same-restaurant traffic growth </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(in thousands)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margin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Restaurant level operating profit (in thousands) </w:t>
            </w:r>
            <w:r>
              <w:rPr>
                <w:rFonts w:ascii="Times New Roman;serif" w:hAnsi="Times New Roman;serif"/>
                <w:b w:val="false"/>
                <w:color w:val="000000"/>
                <w:sz w:val="12"/>
              </w:rPr>
              <w:t>(1)</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Restaurant level operating profit margin </w:t>
            </w:r>
            <w:r>
              <w:rPr>
                <w:rFonts w:ascii="Times New Roman;serif" w:hAnsi="Times New Roman;serif"/>
                <w:b w:val="false"/>
                <w:color w:val="000000"/>
                <w:sz w:val="12"/>
              </w:rPr>
              <w:t>(1)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(in thousands)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(in thousands)</w:t>
            </w:r>
            <w:r>
              <w:rPr>
                <w:color w:val="000000"/>
              </w:rPr>
              <w:t xml:space="preserve"> </w:t>
            </w:r>
            <w:r>
              <w:rPr>
                <w:rFonts w:ascii="Times New Roman;serif" w:hAnsi="Times New Roman;serif"/>
                <w:b w:val="false"/>
                <w:color w:val="000000"/>
                <w:sz w:val="12"/>
              </w:rPr>
              <w:t>(2)</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color w:val="000000"/>
              </w:rPr>
              <w:t xml:space="preserve"> </w:t>
            </w:r>
            <w:r>
              <w:rPr>
                <w:rFonts w:ascii="Times New Roman;serif" w:hAnsi="Times New Roman;serif"/>
                <w:b w:val="false"/>
                <w:color w:val="000000"/>
                <w:sz w:val="12"/>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36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60" w:after="283"/>
        <w:jc w:val="both"/>
        <w:rPr/>
      </w:pPr>
      <w:r>
        <w:rPr>
          <w:rFonts w:ascii="Times New Roman;serif" w:hAnsi="Times New Roman;serif"/>
          <w:b w:val="false"/>
          <w:color w:val="000000"/>
          <w:sz w:val="18"/>
        </w:rPr>
        <w:t xml:space="preserve">(1) Reconciliations from Income from operations and Income from operations margin, the most comparable GAAP measures to Restaurant level operating profit and Restaurant level operating profit margin, respectively, are set forth in the schedules within the </w:t>
      </w:r>
      <w:r>
        <w:rPr>
          <w:rFonts w:ascii="Times New Roman;serif" w:hAnsi="Times New Roman;serif"/>
          <w:b w:val="false"/>
          <w:i/>
          <w:color w:val="000000"/>
          <w:sz w:val="18"/>
        </w:rPr>
        <w:t>Non-GAAP Financial Measures Reconciliations</w:t>
      </w:r>
      <w:r>
        <w:rPr>
          <w:color w:val="000000"/>
        </w:rPr>
        <w:t xml:space="preserve"> </w:t>
      </w:r>
      <w:r>
        <w:rPr>
          <w:rFonts w:ascii="Times New Roman;serif" w:hAnsi="Times New Roman;serif"/>
          <w:b w:val="false"/>
          <w:color w:val="000000"/>
          <w:sz w:val="18"/>
        </w:rPr>
        <w:t>section below.</w:t>
      </w:r>
    </w:p>
    <w:p>
      <w:pPr>
        <w:pStyle w:val="TextBody"/>
        <w:bidi w:val="0"/>
        <w:spacing w:lineRule="auto" w:line="288" w:before="60" w:after="283"/>
        <w:jc w:val="both"/>
        <w:rPr/>
      </w:pPr>
      <w:r>
        <w:rPr>
          <w:rFonts w:ascii="Times New Roman;serif" w:hAnsi="Times New Roman;serif"/>
          <w:b w:val="false"/>
          <w:color w:val="000000"/>
          <w:sz w:val="18"/>
        </w:rPr>
        <w:t xml:space="preserve">(2) Reconciliations from Net income (loss) and Net income (loss) margin, the most comparable GAAP measures to Adjusted EBITDA and Adjusted EBITDA margin, respectively, are set forth in the schedules within the </w:t>
      </w:r>
      <w:r>
        <w:rPr>
          <w:rFonts w:ascii="Times New Roman;serif" w:hAnsi="Times New Roman;serif"/>
          <w:b w:val="false"/>
          <w:i/>
          <w:color w:val="000000"/>
          <w:sz w:val="18"/>
        </w:rPr>
        <w:t>Non-GAAP Financial Measures</w:t>
      </w:r>
      <w:r>
        <w:rPr>
          <w:color w:val="000000"/>
        </w:rPr>
        <w:t xml:space="preserve"> </w:t>
      </w:r>
      <w:r>
        <w:rPr>
          <w:rFonts w:ascii="Times New Roman;serif" w:hAnsi="Times New Roman;serif"/>
          <w:b w:val="false"/>
          <w:i/>
          <w:color w:val="000000"/>
          <w:sz w:val="18"/>
        </w:rPr>
        <w:t>Reconciliations</w:t>
      </w:r>
      <w:r>
        <w:rPr>
          <w:color w:val="000000"/>
        </w:rPr>
        <w:t xml:space="preserve"> </w:t>
      </w:r>
      <w:r>
        <w:rPr>
          <w:rFonts w:ascii="Times New Roman;serif" w:hAnsi="Times New Roman;serif"/>
          <w:b w:val="false"/>
          <w:color w:val="000000"/>
          <w:sz w:val="18"/>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and the percentages of items in our Consolidated Statements of Operations and Comprehensive Income in relation to Total revenues or, where indicated, Restaurant sales for the thirteen and twenty-six weeks ended June 28, 2026 and June 29, 2025:</w:t>
      </w:r>
    </w:p>
    <w:tbl>
      <w:tblPr>
        <w:tblW w:w="10857" w:type="dxa"/>
        <w:jc w:val="left"/>
        <w:tblInd w:w="0" w:type="dxa"/>
        <w:tblLayout w:type="fixed"/>
        <w:tblCellMar>
          <w:top w:w="28" w:type="dxa"/>
          <w:left w:w="28" w:type="dxa"/>
          <w:bottom w:w="28" w:type="dxa"/>
          <w:right w:w="28" w:type="dxa"/>
        </w:tblCellMar>
      </w:tblPr>
      <w:tblGrid>
        <w:gridCol w:w="565"/>
        <w:gridCol w:w="272"/>
        <w:gridCol w:w="274"/>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301"/>
      </w:tblGrid>
      <w:tr>
        <w:trPr/>
        <w:tc>
          <w:tcPr>
            <w:tcW w:w="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Restaurant operating expenses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(exclusive of depreciation and amortization shown below):</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loss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restructuring expenses,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from operations </w:t>
            </w:r>
            <w:r>
              <w:rPr>
                <w:rFonts w:ascii="Times New Roman;serif" w:hAnsi="Times New Roman;serif"/>
                <w:b w:val="false"/>
                <w:color w:val="000000"/>
                <w:sz w:val="12"/>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As a percentage of restaurant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Restaurant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the combined result of our menu price increases and changes to our menu mix.</w:t>
      </w:r>
    </w:p>
    <w:tbl>
      <w:tblPr>
        <w:tblW w:w="10205" w:type="dxa"/>
        <w:jc w:val="left"/>
        <w:tblInd w:w="0" w:type="dxa"/>
        <w:tblLayout w:type="fixed"/>
        <w:tblCellMar>
          <w:top w:w="28" w:type="dxa"/>
          <w:left w:w="28" w:type="dxa"/>
          <w:bottom w:w="28" w:type="dxa"/>
          <w:right w:w="28" w:type="dxa"/>
        </w:tblCellMar>
      </w:tblPr>
      <w:tblGrid>
        <w:gridCol w:w="680"/>
        <w:gridCol w:w="585"/>
        <w:gridCol w:w="589"/>
        <w:gridCol w:w="233"/>
        <w:gridCol w:w="877"/>
        <w:gridCol w:w="129"/>
        <w:gridCol w:w="109"/>
        <w:gridCol w:w="109"/>
        <w:gridCol w:w="109"/>
        <w:gridCol w:w="233"/>
        <w:gridCol w:w="877"/>
        <w:gridCol w:w="129"/>
        <w:gridCol w:w="109"/>
        <w:gridCol w:w="109"/>
        <w:gridCol w:w="109"/>
        <w:gridCol w:w="233"/>
        <w:gridCol w:w="233"/>
        <w:gridCol w:w="382"/>
        <w:gridCol w:w="109"/>
        <w:gridCol w:w="109"/>
        <w:gridCol w:w="109"/>
        <w:gridCol w:w="233"/>
        <w:gridCol w:w="877"/>
        <w:gridCol w:w="129"/>
        <w:gridCol w:w="109"/>
        <w:gridCol w:w="109"/>
        <w:gridCol w:w="109"/>
        <w:gridCol w:w="233"/>
        <w:gridCol w:w="877"/>
        <w:gridCol w:w="129"/>
        <w:gridCol w:w="109"/>
        <w:gridCol w:w="109"/>
        <w:gridCol w:w="109"/>
        <w:gridCol w:w="233"/>
        <w:gridCol w:w="233"/>
        <w:gridCol w:w="446"/>
      </w:tblGrid>
      <w:tr>
        <w:trPr/>
        <w:tc>
          <w:tcPr>
            <w:tcW w:w="68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In-restaurant dining sales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Third-party delivery sales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Take-out sales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 sales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304,983 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679,629 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584,574 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total restaurant sales during the thirteen and twenty-six weeks ended June 28, 2026 as compared to the same periods in the prior year was due principally to (i) a higher number of restaurants from new openings, (ii) the acquisition of 19 franchise-owned restaurants during the thirteen weeks ended June 29, 2025 and (iii) positive same-restaurant sales growth of 3.4%, partially offset by the 0.4% decrease in same-restaurant traffic.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Franchise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tbl>
      <w:tblPr>
        <w:tblW w:w="10205" w:type="dxa"/>
        <w:jc w:val="left"/>
        <w:tblInd w:w="0" w:type="dxa"/>
        <w:tblLayout w:type="fixed"/>
        <w:tblCellMar>
          <w:top w:w="28" w:type="dxa"/>
          <w:left w:w="28" w:type="dxa"/>
          <w:bottom w:w="28" w:type="dxa"/>
          <w:right w:w="28" w:type="dxa"/>
        </w:tblCellMar>
      </w:tblPr>
      <w:tblGrid>
        <w:gridCol w:w="927"/>
        <w:gridCol w:w="721"/>
        <w:gridCol w:w="726"/>
        <w:gridCol w:w="237"/>
        <w:gridCol w:w="674"/>
        <w:gridCol w:w="132"/>
        <w:gridCol w:w="109"/>
        <w:gridCol w:w="109"/>
        <w:gridCol w:w="109"/>
        <w:gridCol w:w="237"/>
        <w:gridCol w:w="674"/>
        <w:gridCol w:w="132"/>
        <w:gridCol w:w="109"/>
        <w:gridCol w:w="109"/>
        <w:gridCol w:w="109"/>
        <w:gridCol w:w="298"/>
        <w:gridCol w:w="299"/>
        <w:gridCol w:w="382"/>
        <w:gridCol w:w="109"/>
        <w:gridCol w:w="109"/>
        <w:gridCol w:w="109"/>
        <w:gridCol w:w="237"/>
        <w:gridCol w:w="674"/>
        <w:gridCol w:w="132"/>
        <w:gridCol w:w="109"/>
        <w:gridCol w:w="109"/>
        <w:gridCol w:w="109"/>
        <w:gridCol w:w="237"/>
        <w:gridCol w:w="674"/>
        <w:gridCol w:w="132"/>
        <w:gridCol w:w="109"/>
        <w:gridCol w:w="109"/>
        <w:gridCol w:w="109"/>
        <w:gridCol w:w="298"/>
        <w:gridCol w:w="299"/>
        <w:gridCol w:w="448"/>
      </w:tblGrid>
      <w:tr>
        <w:trPr/>
        <w:tc>
          <w:tcPr>
            <w:tcW w:w="92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system fund contributions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Initial fees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 franchise revenues recognized</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revenues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increases in franchise revenues during the thirteen and twenty-six weeks ended June 28, 2026 as compared to the same periods in the prior year was due to (i) an increase in the system fund contribution rate during the first quarter of 2026 and (ii) 11 new franchise-owned restaurant openings between June 29, 2025 and June 28, 2026. These increases were partially offset by our acquisitions of 19 franchise-owned restaurants during the thirteen weeks ended June 29,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Food and Beverage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Food and beverage costs at company-owned restaurants vary with sales volume and are subject to increases and declines in commodity costs.</w:t>
      </w:r>
    </w:p>
    <w:tbl>
      <w:tblPr>
        <w:tblW w:w="10205" w:type="dxa"/>
        <w:jc w:val="left"/>
        <w:tblInd w:w="0" w:type="dxa"/>
        <w:tblLayout w:type="fixed"/>
        <w:tblCellMar>
          <w:top w:w="28" w:type="dxa"/>
          <w:left w:w="28" w:type="dxa"/>
          <w:bottom w:w="28" w:type="dxa"/>
          <w:right w:w="28" w:type="dxa"/>
        </w:tblCellMar>
      </w:tblPr>
      <w:tblGrid>
        <w:gridCol w:w="708"/>
        <w:gridCol w:w="618"/>
        <w:gridCol w:w="622"/>
        <w:gridCol w:w="214"/>
        <w:gridCol w:w="706"/>
        <w:gridCol w:w="280"/>
        <w:gridCol w:w="109"/>
        <w:gridCol w:w="109"/>
        <w:gridCol w:w="109"/>
        <w:gridCol w:w="214"/>
        <w:gridCol w:w="706"/>
        <w:gridCol w:w="280"/>
        <w:gridCol w:w="109"/>
        <w:gridCol w:w="109"/>
        <w:gridCol w:w="109"/>
        <w:gridCol w:w="233"/>
        <w:gridCol w:w="233"/>
        <w:gridCol w:w="382"/>
        <w:gridCol w:w="109"/>
        <w:gridCol w:w="109"/>
        <w:gridCol w:w="109"/>
        <w:gridCol w:w="203"/>
        <w:gridCol w:w="764"/>
        <w:gridCol w:w="265"/>
        <w:gridCol w:w="109"/>
        <w:gridCol w:w="109"/>
        <w:gridCol w:w="109"/>
        <w:gridCol w:w="203"/>
        <w:gridCol w:w="764"/>
        <w:gridCol w:w="265"/>
        <w:gridCol w:w="109"/>
        <w:gridCol w:w="109"/>
        <w:gridCol w:w="109"/>
        <w:gridCol w:w="233"/>
        <w:gridCol w:w="233"/>
        <w:gridCol w:w="444"/>
      </w:tblGrid>
      <w:tr>
        <w:trPr/>
        <w:tc>
          <w:tcPr>
            <w:tcW w:w="7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costs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71,978 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156,903 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138,625 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restaurant sales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Food and beverage costs as a percentage of restaurant sales decreased during the thirteen and twenty-six weeks ended June 28, 2026 as compared to the same periods in the prior year primarily as a result of (i) menu price increases and (ii) the lower cost of eggs, avocados and bacon, mostly offset by the demand for newly introduced higher cost beef offerings and an increase in coffee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Food and beverage costs increased during the thirteen and twenty-six weeks ended June 28, 2026 as compared to the same periods in the prior year primarily as a result of the 57 new restaurant openings between June 29, 2025 and June 28, 2026 and the 19 franchise restaurants acquired during the thirteen weeks ended June 29, 2025. These increases were partially offset by commodity deflation.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Labor and Other Related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Labor and other related expenses include hourly and management wages, bonuses, payroll taxes, workers’ compensation expense and employee benefits. Factors that influence labor costs include minimum wage and payroll tax legislation, health care costs, the number and performance of our company-owned restaurants and competition for qualified staff.</w:t>
      </w:r>
    </w:p>
    <w:tbl>
      <w:tblPr>
        <w:tblW w:w="10205" w:type="dxa"/>
        <w:jc w:val="left"/>
        <w:tblInd w:w="0" w:type="dxa"/>
        <w:tblLayout w:type="fixed"/>
        <w:tblCellMar>
          <w:top w:w="28" w:type="dxa"/>
          <w:left w:w="28" w:type="dxa"/>
          <w:bottom w:w="28" w:type="dxa"/>
          <w:right w:w="28" w:type="dxa"/>
        </w:tblCellMar>
      </w:tblPr>
      <w:tblGrid>
        <w:gridCol w:w="689"/>
        <w:gridCol w:w="599"/>
        <w:gridCol w:w="604"/>
        <w:gridCol w:w="203"/>
        <w:gridCol w:w="763"/>
        <w:gridCol w:w="265"/>
        <w:gridCol w:w="109"/>
        <w:gridCol w:w="109"/>
        <w:gridCol w:w="109"/>
        <w:gridCol w:w="203"/>
        <w:gridCol w:w="763"/>
        <w:gridCol w:w="265"/>
        <w:gridCol w:w="109"/>
        <w:gridCol w:w="109"/>
        <w:gridCol w:w="109"/>
        <w:gridCol w:w="233"/>
        <w:gridCol w:w="233"/>
        <w:gridCol w:w="382"/>
        <w:gridCol w:w="109"/>
        <w:gridCol w:w="109"/>
        <w:gridCol w:w="109"/>
        <w:gridCol w:w="203"/>
        <w:gridCol w:w="763"/>
        <w:gridCol w:w="265"/>
        <w:gridCol w:w="109"/>
        <w:gridCol w:w="109"/>
        <w:gridCol w:w="109"/>
        <w:gridCol w:w="203"/>
        <w:gridCol w:w="763"/>
        <w:gridCol w:w="265"/>
        <w:gridCol w:w="109"/>
        <w:gridCol w:w="109"/>
        <w:gridCol w:w="109"/>
        <w:gridCol w:w="233"/>
        <w:gridCol w:w="233"/>
        <w:gridCol w:w="440"/>
      </w:tblGrid>
      <w:tr>
        <w:trPr/>
        <w:tc>
          <w:tcPr>
            <w:tcW w:w="6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expenses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101,310 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226,332 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restaurant sales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Labor and other related expenses as a percentage of restaurant sales decreased during the thirteen and twenty-six weeks ended June 28, 2026 as compared to the same periods in the prior year primarily as a result of the leverage associated with menu price increases, partially offset by wage increases.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labor and other related expenses during the thirteen and twenty-six weeks ended June 28, 2026 as compared to the same periods in the prior year were primarily due to (i) the increase in the number of company-owned restaurants and related headcount and (ii) wage increases.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Restaurant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restaurant operating expenses consist of marketing and advertising expenses, utilities, insurance and other variable expenses incidental to operating company-owned restaurants, such as operating supplies (including paper products, menus and to-go supplies), credit card fees, repairs and maintenance, and third-party delivery services fees.</w:t>
      </w:r>
    </w:p>
    <w:tbl>
      <w:tblPr>
        <w:tblW w:w="10205" w:type="dxa"/>
        <w:jc w:val="left"/>
        <w:tblInd w:w="0" w:type="dxa"/>
        <w:tblLayout w:type="fixed"/>
        <w:tblCellMar>
          <w:top w:w="28" w:type="dxa"/>
          <w:left w:w="28" w:type="dxa"/>
          <w:bottom w:w="28" w:type="dxa"/>
          <w:right w:w="28" w:type="dxa"/>
        </w:tblCellMar>
      </w:tblPr>
      <w:tblGrid>
        <w:gridCol w:w="725"/>
        <w:gridCol w:w="631"/>
        <w:gridCol w:w="636"/>
        <w:gridCol w:w="213"/>
        <w:gridCol w:w="704"/>
        <w:gridCol w:w="279"/>
        <w:gridCol w:w="109"/>
        <w:gridCol w:w="109"/>
        <w:gridCol w:w="109"/>
        <w:gridCol w:w="213"/>
        <w:gridCol w:w="704"/>
        <w:gridCol w:w="279"/>
        <w:gridCol w:w="109"/>
        <w:gridCol w:w="109"/>
        <w:gridCol w:w="109"/>
        <w:gridCol w:w="233"/>
        <w:gridCol w:w="233"/>
        <w:gridCol w:w="382"/>
        <w:gridCol w:w="109"/>
        <w:gridCol w:w="109"/>
        <w:gridCol w:w="109"/>
        <w:gridCol w:w="203"/>
        <w:gridCol w:w="763"/>
        <w:gridCol w:w="265"/>
        <w:gridCol w:w="109"/>
        <w:gridCol w:w="109"/>
        <w:gridCol w:w="109"/>
        <w:gridCol w:w="213"/>
        <w:gridCol w:w="704"/>
        <w:gridCol w:w="279"/>
        <w:gridCol w:w="109"/>
        <w:gridCol w:w="109"/>
        <w:gridCol w:w="109"/>
        <w:gridCol w:w="233"/>
        <w:gridCol w:w="233"/>
        <w:gridCol w:w="445"/>
      </w:tblGrid>
      <w:tr>
        <w:trPr/>
        <w:tc>
          <w:tcPr>
            <w:tcW w:w="7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431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restaurant operating expenses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restaurant sales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restaurant operating expenses as a percentage of restaurant sales increased during the thirteen and twenty-six weeks ended June 28, 2026 as compared to the same periods in the prior year primarily due to an increase in utilities, repairs and maintenance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restaurant operating expenses during the thirteen weeks ended June 28, 2026 as compared to the same period in the prior year was primarily due to the increase in the number of company-owned restaurants driving increased expenses, including (i) $3.4 million related to utilities, repairs and maintenance expenses, (ii) $2.4 million in operating supplies, (iii) $1.6 million in third-party delivery fees and (iv) $0.9 million in credit card fees.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restaurant operating expenses during the twenty-six weeks ended June 28, 2026 as compared to the same period in the prior year was primarily due to the increase in the number of company-owned restaurants driving increased expenses, including (i) $6.0 million related to utilities, repairs and maintenance expenses, (ii) $4.5 million in operating supplies, (iii) $3.2 million in third-party delivery fees and (iv) $1.9 million in credit card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Occupancy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Occupancy expenses primarily consist of rent expense, property insurance, common area expenses and property taxes. </w:t>
      </w:r>
    </w:p>
    <w:tbl>
      <w:tblPr>
        <w:tblW w:w="10205" w:type="dxa"/>
        <w:jc w:val="left"/>
        <w:tblInd w:w="0" w:type="dxa"/>
        <w:tblLayout w:type="fixed"/>
        <w:tblCellMar>
          <w:top w:w="28" w:type="dxa"/>
          <w:left w:w="28" w:type="dxa"/>
          <w:bottom w:w="28" w:type="dxa"/>
          <w:right w:w="28" w:type="dxa"/>
        </w:tblCellMar>
      </w:tblPr>
      <w:tblGrid>
        <w:gridCol w:w="737"/>
        <w:gridCol w:w="629"/>
        <w:gridCol w:w="633"/>
        <w:gridCol w:w="215"/>
        <w:gridCol w:w="708"/>
        <w:gridCol w:w="281"/>
        <w:gridCol w:w="109"/>
        <w:gridCol w:w="109"/>
        <w:gridCol w:w="109"/>
        <w:gridCol w:w="215"/>
        <w:gridCol w:w="708"/>
        <w:gridCol w:w="281"/>
        <w:gridCol w:w="109"/>
        <w:gridCol w:w="109"/>
        <w:gridCol w:w="109"/>
        <w:gridCol w:w="233"/>
        <w:gridCol w:w="233"/>
        <w:gridCol w:w="382"/>
        <w:gridCol w:w="109"/>
        <w:gridCol w:w="109"/>
        <w:gridCol w:w="109"/>
        <w:gridCol w:w="215"/>
        <w:gridCol w:w="708"/>
        <w:gridCol w:w="281"/>
        <w:gridCol w:w="109"/>
        <w:gridCol w:w="109"/>
        <w:gridCol w:w="109"/>
        <w:gridCol w:w="215"/>
        <w:gridCol w:w="708"/>
        <w:gridCol w:w="281"/>
        <w:gridCol w:w="109"/>
        <w:gridCol w:w="109"/>
        <w:gridCol w:w="109"/>
        <w:gridCol w:w="233"/>
        <w:gridCol w:w="233"/>
        <w:gridCol w:w="441"/>
      </w:tblGrid>
      <w:tr>
        <w:trPr/>
        <w:tc>
          <w:tcPr>
            <w:tcW w:w="7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restaurant sales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increases in occupancy expenses during the thirteen and twenty-six weeks ended June 28, 2026 as compared to the same periods in the prior year were primarily due to the increase in the number of company-owned restaurants.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Pre-opening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Pre-opening expenses are costs incurred to open new company-owned restaurants. Pre-opening expenses include rent expense, manager salaries, recruiting expenses, employee payroll and training costs. Pre-opening expenses can fluctuate from period to period, based on the number and timing of new company-owned restaurant openings.</w:t>
      </w:r>
    </w:p>
    <w:tbl>
      <w:tblPr>
        <w:tblW w:w="10000" w:type="dxa"/>
        <w:jc w:val="left"/>
        <w:tblInd w:w="0" w:type="dxa"/>
        <w:tblLayout w:type="fixed"/>
        <w:tblCellMar>
          <w:top w:w="28" w:type="dxa"/>
          <w:left w:w="28" w:type="dxa"/>
          <w:bottom w:w="28" w:type="dxa"/>
          <w:right w:w="28" w:type="dxa"/>
        </w:tblCellMar>
      </w:tblPr>
      <w:tblGrid>
        <w:gridCol w:w="608"/>
        <w:gridCol w:w="534"/>
        <w:gridCol w:w="538"/>
        <w:gridCol w:w="287"/>
        <w:gridCol w:w="814"/>
        <w:gridCol w:w="159"/>
        <w:gridCol w:w="109"/>
        <w:gridCol w:w="109"/>
        <w:gridCol w:w="109"/>
        <w:gridCol w:w="287"/>
        <w:gridCol w:w="814"/>
        <w:gridCol w:w="159"/>
        <w:gridCol w:w="109"/>
        <w:gridCol w:w="109"/>
        <w:gridCol w:w="109"/>
        <w:gridCol w:w="224"/>
        <w:gridCol w:w="226"/>
        <w:gridCol w:w="382"/>
        <w:gridCol w:w="109"/>
        <w:gridCol w:w="109"/>
        <w:gridCol w:w="109"/>
        <w:gridCol w:w="287"/>
        <w:gridCol w:w="814"/>
        <w:gridCol w:w="159"/>
        <w:gridCol w:w="109"/>
        <w:gridCol w:w="109"/>
        <w:gridCol w:w="109"/>
        <w:gridCol w:w="287"/>
        <w:gridCol w:w="814"/>
        <w:gridCol w:w="159"/>
        <w:gridCol w:w="109"/>
        <w:gridCol w:w="109"/>
        <w:gridCol w:w="109"/>
        <w:gridCol w:w="188"/>
        <w:gridCol w:w="188"/>
        <w:gridCol w:w="43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expenses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decrease in pre-opening expenses during the thirteen weeks ended June 28, 2026 as compared to the same period in the prior year was primarily due to the lower number of new company-owned restaurants opened during the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pre-opening expenses during the twenty-six weeks ended June 28, 2026 as compared to the same period in the prior year was primarily due to the higher number of new company-owned restaurants opened during the period.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General and Administrative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tbl>
      <w:tblPr>
        <w:tblW w:w="10205" w:type="dxa"/>
        <w:jc w:val="left"/>
        <w:tblInd w:w="0" w:type="dxa"/>
        <w:tblLayout w:type="fixed"/>
        <w:tblCellMar>
          <w:top w:w="28" w:type="dxa"/>
          <w:left w:w="28" w:type="dxa"/>
          <w:bottom w:w="28" w:type="dxa"/>
          <w:right w:w="28" w:type="dxa"/>
        </w:tblCellMar>
      </w:tblPr>
      <w:tblGrid>
        <w:gridCol w:w="795"/>
        <w:gridCol w:w="698"/>
        <w:gridCol w:w="689"/>
        <w:gridCol w:w="238"/>
        <w:gridCol w:w="787"/>
        <w:gridCol w:w="132"/>
        <w:gridCol w:w="109"/>
        <w:gridCol w:w="109"/>
        <w:gridCol w:w="109"/>
        <w:gridCol w:w="238"/>
        <w:gridCol w:w="787"/>
        <w:gridCol w:w="132"/>
        <w:gridCol w:w="109"/>
        <w:gridCol w:w="109"/>
        <w:gridCol w:w="109"/>
        <w:gridCol w:w="233"/>
        <w:gridCol w:w="233"/>
        <w:gridCol w:w="382"/>
        <w:gridCol w:w="109"/>
        <w:gridCol w:w="109"/>
        <w:gridCol w:w="109"/>
        <w:gridCol w:w="238"/>
        <w:gridCol w:w="787"/>
        <w:gridCol w:w="132"/>
        <w:gridCol w:w="109"/>
        <w:gridCol w:w="109"/>
        <w:gridCol w:w="109"/>
        <w:gridCol w:w="238"/>
        <w:gridCol w:w="787"/>
        <w:gridCol w:w="132"/>
        <w:gridCol w:w="109"/>
        <w:gridCol w:w="109"/>
        <w:gridCol w:w="109"/>
        <w:gridCol w:w="233"/>
        <w:gridCol w:w="233"/>
        <w:gridCol w:w="446"/>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during the thirteen weeks ended June 28, 2026 as compared to the same period in the prior year was mainly due to (i) a $4.0 million increase in marketing expenses, (ii) a $1.0 million increase in compensation expenses related to stock compensation and additional employee headcount to support growth and (iii) a $0.7 million increase in licenses and fees including information technology related expenses for an increased number of restaurants. The increase was partially offset by a decrease in consulting and other professional services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during the twenty-six weeks ended June 28, 2026 as compared to the same period in the prior year was mainly due to (i) a $5.7 million increase in marketing expenses, (ii) a $4.5 million increase in compensation expenses related to stock compensation, bonus expenses and additional employee headcount to support growth, (iii) a $3.9 million increase related to 2026 leadership conference expenses and (iv) a $1.1 million increase in licenses and fees including information technology related expenses for an increased number of restaurants. The increase was partially offset by a decrease in consulting and other professional services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consists of the depreciation of fixed assets, including leasehold improvements, fixtures and equipment and the amortization of definite-lived intangible assets, which are primarily comprised of franchise rights. </w:t>
      </w:r>
    </w:p>
    <w:tbl>
      <w:tblPr>
        <w:tblW w:w="10205" w:type="dxa"/>
        <w:jc w:val="left"/>
        <w:tblInd w:w="0" w:type="dxa"/>
        <w:tblLayout w:type="fixed"/>
        <w:tblCellMar>
          <w:top w:w="28" w:type="dxa"/>
          <w:left w:w="28" w:type="dxa"/>
          <w:bottom w:w="28" w:type="dxa"/>
          <w:right w:w="28" w:type="dxa"/>
        </w:tblCellMar>
      </w:tblPr>
      <w:tblGrid>
        <w:gridCol w:w="736"/>
        <w:gridCol w:w="639"/>
        <w:gridCol w:w="634"/>
        <w:gridCol w:w="247"/>
        <w:gridCol w:w="817"/>
        <w:gridCol w:w="137"/>
        <w:gridCol w:w="109"/>
        <w:gridCol w:w="109"/>
        <w:gridCol w:w="109"/>
        <w:gridCol w:w="247"/>
        <w:gridCol w:w="817"/>
        <w:gridCol w:w="137"/>
        <w:gridCol w:w="109"/>
        <w:gridCol w:w="109"/>
        <w:gridCol w:w="109"/>
        <w:gridCol w:w="233"/>
        <w:gridCol w:w="233"/>
        <w:gridCol w:w="382"/>
        <w:gridCol w:w="109"/>
        <w:gridCol w:w="109"/>
        <w:gridCol w:w="109"/>
        <w:gridCol w:w="247"/>
        <w:gridCol w:w="817"/>
        <w:gridCol w:w="137"/>
        <w:gridCol w:w="109"/>
        <w:gridCol w:w="109"/>
        <w:gridCol w:w="109"/>
        <w:gridCol w:w="247"/>
        <w:gridCol w:w="817"/>
        <w:gridCol w:w="137"/>
        <w:gridCol w:w="109"/>
        <w:gridCol w:w="109"/>
        <w:gridCol w:w="109"/>
        <w:gridCol w:w="233"/>
        <w:gridCol w:w="233"/>
        <w:gridCol w:w="443"/>
      </w:tblGrid>
      <w:tr>
        <w:trPr/>
        <w:tc>
          <w:tcPr>
            <w:tcW w:w="7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increases in depreciation and amortization during the thirteen and twenty-six weeks ended June 28, 2026 as compared to the same periods in the prior year were primarily related to depreciating and amortizing the assets of NROs and of acquired restaurants, including reacquired rights from franchisees.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Transaction and Restructuring Expenses,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and restructuring expenses, net principally include (i) incremental severance costs resulting from organizational optimization, (ii) costs incurred in connection with the 2025 acquisitions of franchise-owned restaurants and (iii) costs related to secondary equity offerings completed in 2025. </w:t>
      </w:r>
    </w:p>
    <w:tbl>
      <w:tblPr>
        <w:tblW w:w="10205" w:type="dxa"/>
        <w:jc w:val="left"/>
        <w:tblInd w:w="0" w:type="dxa"/>
        <w:tblLayout w:type="fixed"/>
        <w:tblCellMar>
          <w:top w:w="28" w:type="dxa"/>
          <w:left w:w="28" w:type="dxa"/>
          <w:bottom w:w="28" w:type="dxa"/>
          <w:right w:w="28" w:type="dxa"/>
        </w:tblCellMar>
      </w:tblPr>
      <w:tblGrid>
        <w:gridCol w:w="876"/>
        <w:gridCol w:w="755"/>
        <w:gridCol w:w="740"/>
        <w:gridCol w:w="286"/>
        <w:gridCol w:w="615"/>
        <w:gridCol w:w="159"/>
        <w:gridCol w:w="109"/>
        <w:gridCol w:w="109"/>
        <w:gridCol w:w="109"/>
        <w:gridCol w:w="286"/>
        <w:gridCol w:w="615"/>
        <w:gridCol w:w="159"/>
        <w:gridCol w:w="109"/>
        <w:gridCol w:w="109"/>
        <w:gridCol w:w="109"/>
        <w:gridCol w:w="258"/>
        <w:gridCol w:w="259"/>
        <w:gridCol w:w="382"/>
        <w:gridCol w:w="109"/>
        <w:gridCol w:w="109"/>
        <w:gridCol w:w="109"/>
        <w:gridCol w:w="252"/>
        <w:gridCol w:w="717"/>
        <w:gridCol w:w="140"/>
        <w:gridCol w:w="109"/>
        <w:gridCol w:w="109"/>
        <w:gridCol w:w="109"/>
        <w:gridCol w:w="252"/>
        <w:gridCol w:w="717"/>
        <w:gridCol w:w="140"/>
        <w:gridCol w:w="109"/>
        <w:gridCol w:w="109"/>
        <w:gridCol w:w="109"/>
        <w:gridCol w:w="258"/>
        <w:gridCol w:w="259"/>
        <w:gridCol w:w="445"/>
      </w:tblGrid>
      <w:tr>
        <w:trPr/>
        <w:tc>
          <w:tcPr>
            <w:tcW w:w="87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Transaction and restructuring expenses, net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transaction and restructuring expenses, net during the thirteen weeks ended June 28, 2026 as compared to the same period in the prior year was due to a decrease in costs incurred in connection with (i) 2025 acquisitions and (ii) 2025 secondary equity offering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transaction and restructuring expenses, net during the twenty-six weeks ended June 28, 2026 as compared to the same period in the prior year was due to decreases in costs incurred in connection with (i) 2025 acquisitions and (ii) 2025 secondary equity offering costs. The decrease was partially offset by an increase in organizational optimization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Income from Operations </w:t>
      </w:r>
    </w:p>
    <w:tbl>
      <w:tblPr>
        <w:tblW w:w="10205" w:type="dxa"/>
        <w:jc w:val="left"/>
        <w:tblInd w:w="0" w:type="dxa"/>
        <w:tblLayout w:type="fixed"/>
        <w:tblCellMar>
          <w:top w:w="28" w:type="dxa"/>
          <w:left w:w="28" w:type="dxa"/>
          <w:bottom w:w="28" w:type="dxa"/>
          <w:right w:w="28" w:type="dxa"/>
        </w:tblCellMar>
      </w:tblPr>
      <w:tblGrid>
        <w:gridCol w:w="759"/>
        <w:gridCol w:w="663"/>
        <w:gridCol w:w="668"/>
        <w:gridCol w:w="231"/>
        <w:gridCol w:w="656"/>
        <w:gridCol w:w="302"/>
        <w:gridCol w:w="109"/>
        <w:gridCol w:w="109"/>
        <w:gridCol w:w="109"/>
        <w:gridCol w:w="231"/>
        <w:gridCol w:w="656"/>
        <w:gridCol w:w="302"/>
        <w:gridCol w:w="109"/>
        <w:gridCol w:w="109"/>
        <w:gridCol w:w="109"/>
        <w:gridCol w:w="233"/>
        <w:gridCol w:w="233"/>
        <w:gridCol w:w="382"/>
        <w:gridCol w:w="109"/>
        <w:gridCol w:w="109"/>
        <w:gridCol w:w="109"/>
        <w:gridCol w:w="231"/>
        <w:gridCol w:w="656"/>
        <w:gridCol w:w="302"/>
        <w:gridCol w:w="109"/>
        <w:gridCol w:w="109"/>
        <w:gridCol w:w="109"/>
        <w:gridCol w:w="231"/>
        <w:gridCol w:w="656"/>
        <w:gridCol w:w="302"/>
        <w:gridCol w:w="109"/>
        <w:gridCol w:w="109"/>
        <w:gridCol w:w="109"/>
        <w:gridCol w:w="215"/>
        <w:gridCol w:w="217"/>
        <w:gridCol w:w="444"/>
      </w:tblGrid>
      <w:tr>
        <w:trPr/>
        <w:tc>
          <w:tcPr>
            <w:tcW w:w="7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restaurant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from operations margin decreased during the thirteen and twenty-six weeks ended June 28, 2026 compared to the same periods in the prior year due to increases in expenses as a percentage of sales, primarily (i) general and administrative expenses, (ii) other restaurant operating expenses and (iii) depreciation and amortization expense.</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primarily consists of interest and fees on our outstanding debt and the amortization expense for debt discount and deferred issuance costs. </w:t>
      </w:r>
    </w:p>
    <w:tbl>
      <w:tblPr>
        <w:tblW w:w="9685" w:type="dxa"/>
        <w:jc w:val="left"/>
        <w:tblInd w:w="0" w:type="dxa"/>
        <w:tblLayout w:type="fixed"/>
        <w:tblCellMar>
          <w:top w:w="28" w:type="dxa"/>
          <w:left w:w="28" w:type="dxa"/>
          <w:bottom w:w="28" w:type="dxa"/>
          <w:right w:w="28" w:type="dxa"/>
        </w:tblCellMar>
      </w:tblPr>
      <w:tblGrid>
        <w:gridCol w:w="456"/>
        <w:gridCol w:w="400"/>
        <w:gridCol w:w="403"/>
        <w:gridCol w:w="287"/>
        <w:gridCol w:w="814"/>
        <w:gridCol w:w="159"/>
        <w:gridCol w:w="109"/>
        <w:gridCol w:w="109"/>
        <w:gridCol w:w="109"/>
        <w:gridCol w:w="287"/>
        <w:gridCol w:w="814"/>
        <w:gridCol w:w="159"/>
        <w:gridCol w:w="109"/>
        <w:gridCol w:w="109"/>
        <w:gridCol w:w="109"/>
        <w:gridCol w:w="233"/>
        <w:gridCol w:w="233"/>
        <w:gridCol w:w="382"/>
        <w:gridCol w:w="109"/>
        <w:gridCol w:w="109"/>
        <w:gridCol w:w="109"/>
        <w:gridCol w:w="287"/>
        <w:gridCol w:w="814"/>
        <w:gridCol w:w="159"/>
        <w:gridCol w:w="109"/>
        <w:gridCol w:w="109"/>
        <w:gridCol w:w="109"/>
        <w:gridCol w:w="287"/>
        <w:gridCol w:w="814"/>
        <w:gridCol w:w="159"/>
        <w:gridCol w:w="109"/>
        <w:gridCol w:w="109"/>
        <w:gridCol w:w="109"/>
        <w:gridCol w:w="233"/>
        <w:gridCol w:w="233"/>
        <w:gridCol w:w="437"/>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increases in interest expense during the thirteen and twenty-six weeks ended June 28, 2026 as compared to the same periods in the prior year were due to increased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includes items deemed to be non-operating based on Management’s assessment of the nature of the item in relation to our core operations.</w:t>
      </w:r>
    </w:p>
    <w:tbl>
      <w:tblPr>
        <w:tblW w:w="9975" w:type="dxa"/>
        <w:jc w:val="left"/>
        <w:tblInd w:w="0" w:type="dxa"/>
        <w:tblLayout w:type="fixed"/>
        <w:tblCellMar>
          <w:top w:w="28" w:type="dxa"/>
          <w:left w:w="28" w:type="dxa"/>
          <w:bottom w:w="28" w:type="dxa"/>
          <w:right w:w="28" w:type="dxa"/>
        </w:tblCellMar>
      </w:tblPr>
      <w:tblGrid>
        <w:gridCol w:w="499"/>
        <w:gridCol w:w="438"/>
        <w:gridCol w:w="442"/>
        <w:gridCol w:w="340"/>
        <w:gridCol w:w="731"/>
        <w:gridCol w:w="189"/>
        <w:gridCol w:w="109"/>
        <w:gridCol w:w="109"/>
        <w:gridCol w:w="109"/>
        <w:gridCol w:w="340"/>
        <w:gridCol w:w="731"/>
        <w:gridCol w:w="189"/>
        <w:gridCol w:w="109"/>
        <w:gridCol w:w="109"/>
        <w:gridCol w:w="109"/>
        <w:gridCol w:w="269"/>
        <w:gridCol w:w="271"/>
        <w:gridCol w:w="382"/>
        <w:gridCol w:w="109"/>
        <w:gridCol w:w="109"/>
        <w:gridCol w:w="109"/>
        <w:gridCol w:w="339"/>
        <w:gridCol w:w="732"/>
        <w:gridCol w:w="188"/>
        <w:gridCol w:w="113"/>
        <w:gridCol w:w="113"/>
        <w:gridCol w:w="113"/>
        <w:gridCol w:w="339"/>
        <w:gridCol w:w="732"/>
        <w:gridCol w:w="188"/>
        <w:gridCol w:w="113"/>
        <w:gridCol w:w="113"/>
        <w:gridCol w:w="113"/>
        <w:gridCol w:w="269"/>
        <w:gridCol w:w="271"/>
        <w:gridCol w:w="43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decreased during the thirteen weeks ended June 28, 2026 as compared to the same period in the prior year primarily due to a decrease in sales tax commissions.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decreased during the twenty-six weeks ended June 28, 2026 as compared to the same period in the prior year primarily due to a decrease in insurance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consists of federal and state taxes.</w:t>
      </w:r>
    </w:p>
    <w:tbl>
      <w:tblPr>
        <w:tblW w:w="10205" w:type="dxa"/>
        <w:jc w:val="left"/>
        <w:tblInd w:w="0" w:type="dxa"/>
        <w:tblLayout w:type="fixed"/>
        <w:tblCellMar>
          <w:top w:w="28" w:type="dxa"/>
          <w:left w:w="28" w:type="dxa"/>
          <w:bottom w:w="28" w:type="dxa"/>
          <w:right w:w="28" w:type="dxa"/>
        </w:tblCellMar>
      </w:tblPr>
      <w:tblGrid>
        <w:gridCol w:w="639"/>
        <w:gridCol w:w="561"/>
        <w:gridCol w:w="566"/>
        <w:gridCol w:w="225"/>
        <w:gridCol w:w="719"/>
        <w:gridCol w:w="294"/>
        <w:gridCol w:w="109"/>
        <w:gridCol w:w="109"/>
        <w:gridCol w:w="109"/>
        <w:gridCol w:w="225"/>
        <w:gridCol w:w="719"/>
        <w:gridCol w:w="294"/>
        <w:gridCol w:w="109"/>
        <w:gridCol w:w="109"/>
        <w:gridCol w:w="109"/>
        <w:gridCol w:w="266"/>
        <w:gridCol w:w="268"/>
        <w:gridCol w:w="382"/>
        <w:gridCol w:w="109"/>
        <w:gridCol w:w="109"/>
        <w:gridCol w:w="109"/>
        <w:gridCol w:w="297"/>
        <w:gridCol w:w="748"/>
        <w:gridCol w:w="165"/>
        <w:gridCol w:w="109"/>
        <w:gridCol w:w="109"/>
        <w:gridCol w:w="109"/>
        <w:gridCol w:w="254"/>
        <w:gridCol w:w="638"/>
        <w:gridCol w:w="332"/>
        <w:gridCol w:w="109"/>
        <w:gridCol w:w="109"/>
        <w:gridCol w:w="109"/>
        <w:gridCol w:w="266"/>
        <w:gridCol w:w="268"/>
        <w:gridCol w:w="444"/>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effective income tax rate for the twenty-six weeks ended June 28, 2026 is not meaningful as a result of the low level of loss before income taxes in the period.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and the effective income tax rate decreased for the thirteen weeks ended June 28, 2026 as compared to the same period in the prior year, primarily due to the benefit of federal FICA tax credits and changes in executive compensation related tax impacts.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twenty-six weeks ended June 28, 2026 decreased as compared to the same period in the prior year primarily due to (i) lower income before income taxes, (ii) the benefit of federal FICA tax credits and (iii) changes in executive compensation related tax impacts. </w:t>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Net Income (Loss)</w:t>
      </w:r>
    </w:p>
    <w:tbl>
      <w:tblPr>
        <w:tblW w:w="10205" w:type="dxa"/>
        <w:jc w:val="left"/>
        <w:tblInd w:w="0" w:type="dxa"/>
        <w:tblLayout w:type="fixed"/>
        <w:tblCellMar>
          <w:top w:w="28" w:type="dxa"/>
          <w:left w:w="28" w:type="dxa"/>
          <w:bottom w:w="28" w:type="dxa"/>
          <w:right w:w="28" w:type="dxa"/>
        </w:tblCellMar>
      </w:tblPr>
      <w:tblGrid>
        <w:gridCol w:w="718"/>
        <w:gridCol w:w="626"/>
        <w:gridCol w:w="631"/>
        <w:gridCol w:w="230"/>
        <w:gridCol w:w="652"/>
        <w:gridCol w:w="300"/>
        <w:gridCol w:w="109"/>
        <w:gridCol w:w="109"/>
        <w:gridCol w:w="109"/>
        <w:gridCol w:w="230"/>
        <w:gridCol w:w="652"/>
        <w:gridCol w:w="300"/>
        <w:gridCol w:w="109"/>
        <w:gridCol w:w="109"/>
        <w:gridCol w:w="109"/>
        <w:gridCol w:w="233"/>
        <w:gridCol w:w="233"/>
        <w:gridCol w:w="382"/>
        <w:gridCol w:w="109"/>
        <w:gridCol w:w="109"/>
        <w:gridCol w:w="109"/>
        <w:gridCol w:w="240"/>
        <w:gridCol w:w="591"/>
        <w:gridCol w:w="314"/>
        <w:gridCol w:w="109"/>
        <w:gridCol w:w="109"/>
        <w:gridCol w:w="109"/>
        <w:gridCol w:w="230"/>
        <w:gridCol w:w="652"/>
        <w:gridCol w:w="300"/>
        <w:gridCol w:w="109"/>
        <w:gridCol w:w="109"/>
        <w:gridCol w:w="109"/>
        <w:gridCol w:w="305"/>
        <w:gridCol w:w="306"/>
        <w:gridCol w:w="445"/>
      </w:tblGrid>
      <w:tr>
        <w:trPr/>
        <w:tc>
          <w:tcPr>
            <w:tcW w:w="7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total revenues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increased during the thirteen weeks ended June 28, 2026 as compared to the same period in the prior year primarily due to (i) the increase in income from operations and (ii) a decrease in income tax expense, partially offset by an increase in interest expense.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(loss) and net income (loss) margin decreased during the twenty-six weeks ended June 28, 2026 as compared to the same period in the prior year primarily due to an increase in interest expense associated with increased borrowings, partially offset by the increase in income from operations and a decrease in income tax expense.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Restaurant Level Operating Profit and Restaurant Level Operating Profit Margin</w:t>
      </w:r>
    </w:p>
    <w:tbl>
      <w:tblPr>
        <w:tblW w:w="10205" w:type="dxa"/>
        <w:jc w:val="left"/>
        <w:tblInd w:w="0" w:type="dxa"/>
        <w:tblLayout w:type="fixed"/>
        <w:tblCellMar>
          <w:top w:w="28" w:type="dxa"/>
          <w:left w:w="28" w:type="dxa"/>
          <w:bottom w:w="28" w:type="dxa"/>
          <w:right w:w="28" w:type="dxa"/>
        </w:tblCellMar>
      </w:tblPr>
      <w:tblGrid>
        <w:gridCol w:w="725"/>
        <w:gridCol w:w="630"/>
        <w:gridCol w:w="635"/>
        <w:gridCol w:w="211"/>
        <w:gridCol w:w="697"/>
        <w:gridCol w:w="276"/>
        <w:gridCol w:w="109"/>
        <w:gridCol w:w="109"/>
        <w:gridCol w:w="109"/>
        <w:gridCol w:w="211"/>
        <w:gridCol w:w="697"/>
        <w:gridCol w:w="276"/>
        <w:gridCol w:w="109"/>
        <w:gridCol w:w="109"/>
        <w:gridCol w:w="109"/>
        <w:gridCol w:w="233"/>
        <w:gridCol w:w="233"/>
        <w:gridCol w:w="382"/>
        <w:gridCol w:w="109"/>
        <w:gridCol w:w="109"/>
        <w:gridCol w:w="109"/>
        <w:gridCol w:w="202"/>
        <w:gridCol w:w="760"/>
        <w:gridCol w:w="264"/>
        <w:gridCol w:w="109"/>
        <w:gridCol w:w="109"/>
        <w:gridCol w:w="109"/>
        <w:gridCol w:w="202"/>
        <w:gridCol w:w="760"/>
        <w:gridCol w:w="264"/>
        <w:gridCol w:w="109"/>
        <w:gridCol w:w="109"/>
        <w:gridCol w:w="109"/>
        <w:gridCol w:w="233"/>
        <w:gridCol w:w="233"/>
        <w:gridCol w:w="446"/>
      </w:tblGrid>
      <w:tr>
        <w:trPr/>
        <w:tc>
          <w:tcPr>
            <w:tcW w:w="7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level operating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126,806 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level operating profit margin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Restaurant level operating profit margin during the </w:t>
      </w:r>
      <w:r>
        <w:rPr>
          <w:rFonts w:ascii="Times New Roman;serif" w:hAnsi="Times New Roman;serif"/>
          <w:b w:val="false"/>
          <w:color w:val="000000"/>
          <w:sz w:val="20"/>
        </w:rPr>
        <w:t>thirteen and</w:t>
      </w:r>
      <w:r>
        <w:rPr>
          <w:color w:val="000000"/>
          <w:shd w:fill="FFFFFF" w:val="clear"/>
        </w:rPr>
        <w:t xml:space="preserve"> </w:t>
      </w:r>
      <w:r>
        <w:rPr>
          <w:rFonts w:ascii="Times New Roman;serif" w:hAnsi="Times New Roman;serif"/>
          <w:b w:val="false"/>
          <w:color w:val="000000"/>
          <w:sz w:val="20"/>
        </w:rPr>
        <w:t>twenty-six weeks ended June 28, 2026 increased as c</w:t>
      </w:r>
      <w:r>
        <w:rPr>
          <w:rFonts w:ascii="Times New Roman;serif" w:hAnsi="Times New Roman;serif"/>
          <w:b w:val="false"/>
          <w:color w:val="000000"/>
          <w:sz w:val="20"/>
          <w:shd w:fill="FFFFFF" w:val="clear"/>
        </w:rPr>
        <w:t>ompared to the same periods in the prior year</w:t>
      </w:r>
      <w:r>
        <w:rPr>
          <w:color w:val="000000"/>
        </w:rPr>
        <w:t xml:space="preserve"> </w:t>
      </w:r>
      <w:r>
        <w:rPr>
          <w:rFonts w:ascii="Times New Roman;serif" w:hAnsi="Times New Roman;serif"/>
          <w:b w:val="false"/>
          <w:color w:val="000000"/>
          <w:sz w:val="20"/>
        </w:rPr>
        <w:t xml:space="preserve">primarily due to (i) favorable labor and other related expenses as a percentage of restaurant sales and (ii) favorable food and beverage costs as a percentage of sales, partially offset by the increase in other restaurant operating expenses as a percentage of restaurant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Restaurant level operating profit for the thirteen and twenty-six weeks ended June 28, 2026 increased as compared to the same periods in the prior year due to sales growth driven by increases in (i) restaurant locations and (ii) same-restaurant sales. This was partially offset by increases in expenses associated primarily with an increase in the number of company-owned restaurants, including (i) labor and other related expenses, (ii) food and beverage costs, (iii) other restaurant operating expenses and (iv) occupancy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tbl>
      <w:tblPr>
        <w:tblW w:w="10205" w:type="dxa"/>
        <w:jc w:val="left"/>
        <w:tblInd w:w="0" w:type="dxa"/>
        <w:tblLayout w:type="fixed"/>
        <w:tblCellMar>
          <w:top w:w="28" w:type="dxa"/>
          <w:left w:w="28" w:type="dxa"/>
          <w:bottom w:w="28" w:type="dxa"/>
          <w:right w:w="28" w:type="dxa"/>
        </w:tblCellMar>
      </w:tblPr>
      <w:tblGrid>
        <w:gridCol w:w="673"/>
        <w:gridCol w:w="591"/>
        <w:gridCol w:w="596"/>
        <w:gridCol w:w="221"/>
        <w:gridCol w:w="728"/>
        <w:gridCol w:w="289"/>
        <w:gridCol w:w="109"/>
        <w:gridCol w:w="109"/>
        <w:gridCol w:w="109"/>
        <w:gridCol w:w="221"/>
        <w:gridCol w:w="728"/>
        <w:gridCol w:w="289"/>
        <w:gridCol w:w="109"/>
        <w:gridCol w:w="109"/>
        <w:gridCol w:w="109"/>
        <w:gridCol w:w="233"/>
        <w:gridCol w:w="233"/>
        <w:gridCol w:w="382"/>
        <w:gridCol w:w="109"/>
        <w:gridCol w:w="109"/>
        <w:gridCol w:w="109"/>
        <w:gridCol w:w="221"/>
        <w:gridCol w:w="728"/>
        <w:gridCol w:w="289"/>
        <w:gridCol w:w="109"/>
        <w:gridCol w:w="109"/>
        <w:gridCol w:w="109"/>
        <w:gridCol w:w="221"/>
        <w:gridCol w:w="728"/>
        <w:gridCol w:w="289"/>
        <w:gridCol w:w="109"/>
        <w:gridCol w:w="109"/>
        <w:gridCol w:w="109"/>
        <w:gridCol w:w="233"/>
        <w:gridCol w:w="233"/>
        <w:gridCol w:w="44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margin decreased during the thirteen weeks ended June 28, 2026 compared to the same period in the prior year primarily due to an increase in general and administrative expenses as a percentage of revenues, partially offset by an increase in restaurant level operating profit.</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margin increased during the twenty-six weeks ended June 28, 2026 compared to the same period in the prior year primarily due to an increase in restaurant level operating profit margin, partially offset by an increase in general and administrative expenses as a percentage of revenues.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increased during the thirteen and twenty-six weeks ended June 28, 2026 compared to the same periods in the prior year primarily due to an increase in restaurant level operating profit, partially offset by an increase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Non-GAAP Financial Measures Reconciliations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Adjusted EBITDA and Adjusted EBITDA margin</w:t>
      </w:r>
      <w:r>
        <w:rPr>
          <w:color w:val="000000"/>
        </w:rPr>
        <w:t xml:space="preserve"> </w:t>
      </w:r>
      <w:r>
        <w:rPr>
          <w:rFonts w:ascii="Times New Roman;serif" w:hAnsi="Times New Roman;serif"/>
          <w:b w:val="false"/>
          <w:color w:val="000000"/>
          <w:sz w:val="20"/>
        </w:rPr>
        <w:t>- The following table reconciles Net income (loss) and Net income (loss) margin, the most directly comparable GAAP measures to Adjusted EBITDA and Adjusted EBITDA margin, respectively, for the periods indicated:</w:t>
      </w:r>
    </w:p>
    <w:p>
      <w:pPr>
        <w:pStyle w:val="TextBody"/>
        <w:bidi w:val="0"/>
        <w:spacing w:before="0" w:after="0"/>
        <w:jc w:val="left"/>
        <w:rPr/>
      </w:pPr>
      <w:r>
        <w:rPr/>
      </w:r>
    </w:p>
    <w:tbl>
      <w:tblPr>
        <w:tblW w:w="10189" w:type="dxa"/>
        <w:jc w:val="left"/>
        <w:tblInd w:w="0" w:type="dxa"/>
        <w:tblLayout w:type="fixed"/>
        <w:tblCellMar>
          <w:top w:w="28" w:type="dxa"/>
          <w:left w:w="28" w:type="dxa"/>
          <w:bottom w:w="28" w:type="dxa"/>
          <w:right w:w="28" w:type="dxa"/>
        </w:tblCellMar>
      </w:tblPr>
      <w:tblGrid>
        <w:gridCol w:w="1493"/>
        <w:gridCol w:w="1310"/>
        <w:gridCol w:w="1321"/>
        <w:gridCol w:w="208"/>
        <w:gridCol w:w="781"/>
        <w:gridCol w:w="271"/>
        <w:gridCol w:w="109"/>
        <w:gridCol w:w="109"/>
        <w:gridCol w:w="109"/>
        <w:gridCol w:w="208"/>
        <w:gridCol w:w="781"/>
        <w:gridCol w:w="271"/>
        <w:gridCol w:w="109"/>
        <w:gridCol w:w="109"/>
        <w:gridCol w:w="109"/>
        <w:gridCol w:w="208"/>
        <w:gridCol w:w="781"/>
        <w:gridCol w:w="271"/>
        <w:gridCol w:w="109"/>
        <w:gridCol w:w="109"/>
        <w:gridCol w:w="109"/>
        <w:gridCol w:w="207"/>
        <w:gridCol w:w="779"/>
        <w:gridCol w:w="318"/>
      </w:tblGrid>
      <w:tr>
        <w:trPr/>
        <w:tc>
          <w:tcPr>
            <w:tcW w:w="149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transition costs </w:t>
            </w:r>
            <w:r>
              <w:rPr>
                <w:rFonts w:ascii="Times New Roman;serif" w:hAnsi="Times New Roman;serif"/>
                <w:b w:val="false"/>
                <w:color w:val="000000"/>
                <w:sz w:val="12"/>
              </w:rPr>
              <w:t>(1)</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net of amounts capitalized </w:t>
            </w:r>
            <w:r>
              <w:rPr>
                <w:rFonts w:ascii="Times New Roman;serif" w:hAnsi="Times New Roman;serif"/>
                <w:b w:val="false"/>
                <w:color w:val="000000"/>
                <w:sz w:val="12"/>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Delaware Voluntary Disclosure Agreement Program </w:t>
            </w:r>
            <w:r>
              <w:rPr>
                <w:rFonts w:ascii="Times New Roman;serif" w:hAnsi="Times New Roman;serif"/>
                <w:b w:val="false"/>
                <w:color w:val="000000"/>
                <w:sz w:val="12"/>
              </w:rPr>
              <w:t>(3)</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restructuring expenses, net </w:t>
            </w:r>
            <w:r>
              <w:rPr>
                <w:rFonts w:ascii="Times New Roman;serif" w:hAnsi="Times New Roman;serif"/>
                <w:b w:val="false"/>
                <w:color w:val="000000"/>
                <w:sz w:val="12"/>
              </w:rPr>
              <w:t>(4)</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Impairments and loss on disposal of assets </w:t>
            </w:r>
            <w:r>
              <w:rPr>
                <w:rFonts w:ascii="Times New Roman;serif" w:hAnsi="Times New Roman;serif"/>
                <w:b w:val="false"/>
                <w:color w:val="000000"/>
                <w:sz w:val="12"/>
              </w:rPr>
              <w:t>(5)</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590,127 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information </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Deferred rent </w:t>
            </w:r>
            <w:r>
              <w:rPr>
                <w:rFonts w:ascii="Times New Roman;serif" w:hAnsi="Times New Roman;serif"/>
                <w:b w:val="false"/>
                <w:color w:val="000000"/>
                <w:sz w:val="12"/>
              </w:rPr>
              <w:t>(6)</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Represents costs related to process improvements and strategic initiatives. These costs are recorded within General and administrative expenses on the Consolidated Statements of Operations and Comprehensive Income.</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 Represents non-cash, stock-based compensation expense, net of amounts capitalized, which is recorded within General and administrative expenses on the Consolidated Statements of Operations and Comprehensive Income.</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 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 Represents severance costs resulting from organizational optimization, costs incurred in connection with the acquisition of franchise-owned restaurants, secondary equity offering costs and costs related to restaurant closures.</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(5) Represents impairment charges and costs related to the disposal of assets due to retirements, replacements, and restaurant closures. </w:t>
      </w:r>
    </w:p>
    <w:p>
      <w:pPr>
        <w:pStyle w:val="TextBody"/>
        <w:bidi w:val="0"/>
        <w:spacing w:lineRule="auto" w:line="288" w:before="6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(6) Represents the non-cash portion of straight-line rent recorded within both Occupancy expenses and General and administrative expenses on the Consolidated Statements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Restaurant level operating profit and Restaurant level operating profit margin</w:t>
      </w:r>
      <w:r>
        <w:rPr>
          <w:color w:val="000000"/>
        </w:rPr>
        <w:t xml:space="preserve"> </w:t>
      </w:r>
      <w:r>
        <w:rPr>
          <w:rFonts w:ascii="Times New Roman;serif" w:hAnsi="Times New Roman;serif"/>
          <w:b w:val="false"/>
          <w:color w:val="000000"/>
          <w:sz w:val="20"/>
        </w:rPr>
        <w:t>- The following table reconciles Income from operations and Income from operations margin, the most comparable GAAP measures to Restaurant level operating profit and Restaurant level operating profit margin, respectively, for the periods indicated:</w:t>
      </w:r>
    </w:p>
    <w:tbl>
      <w:tblPr>
        <w:tblW w:w="9439" w:type="dxa"/>
        <w:jc w:val="left"/>
        <w:tblInd w:w="0" w:type="dxa"/>
        <w:tblLayout w:type="fixed"/>
        <w:tblCellMar>
          <w:top w:w="28" w:type="dxa"/>
          <w:left w:w="28" w:type="dxa"/>
          <w:bottom w:w="28" w:type="dxa"/>
          <w:right w:w="28" w:type="dxa"/>
        </w:tblCellMar>
      </w:tblPr>
      <w:tblGrid>
        <w:gridCol w:w="1221"/>
        <w:gridCol w:w="1072"/>
        <w:gridCol w:w="1081"/>
        <w:gridCol w:w="208"/>
        <w:gridCol w:w="781"/>
        <w:gridCol w:w="271"/>
        <w:gridCol w:w="109"/>
        <w:gridCol w:w="109"/>
        <w:gridCol w:w="109"/>
        <w:gridCol w:w="208"/>
        <w:gridCol w:w="781"/>
        <w:gridCol w:w="271"/>
        <w:gridCol w:w="109"/>
        <w:gridCol w:w="109"/>
        <w:gridCol w:w="109"/>
        <w:gridCol w:w="208"/>
        <w:gridCol w:w="781"/>
        <w:gridCol w:w="271"/>
        <w:gridCol w:w="109"/>
        <w:gridCol w:w="109"/>
        <w:gridCol w:w="109"/>
        <w:gridCol w:w="207"/>
        <w:gridCol w:w="779"/>
        <w:gridCol w:w="318"/>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Franchise revenues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restructuring expenses, net </w:t>
            </w:r>
            <w:r>
              <w:rPr>
                <w:rFonts w:ascii="Times New Roman;serif" w:hAnsi="Times New Roman;serif"/>
                <w:b w:val="false"/>
                <w:color w:val="000000"/>
                <w:sz w:val="12"/>
              </w:rPr>
              <w:t>(1)</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Impairments and loss on disposal of assets </w:t>
            </w:r>
            <w:r>
              <w:rPr>
                <w:rFonts w:ascii="Times New Roman;serif" w:hAnsi="Times New Roman;serif"/>
                <w:b w:val="false"/>
                <w:color w:val="000000"/>
                <w:sz w:val="12"/>
              </w:rPr>
              <w:t>(2)</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level operating profit</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584,574 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margin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level operating profit margin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information</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Deferred rent</w:t>
            </w:r>
            <w:r>
              <w:rPr>
                <w:rFonts w:ascii="Times New Roman;serif" w:hAnsi="Times New Roman;serif"/>
                <w:b w:val="false"/>
                <w:color w:val="000000"/>
                <w:sz w:val="12"/>
              </w:rPr>
              <w:t>(3)</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Represents severance costs resulting from organizational optimization, costs incurred in connection with the acquisition of franchise-owned restaurants, secondary equity offering costs and costs related to restaurant closures.</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(2) Represents impairment charges and costs related to the disposal of assets due to retirements, replacements, and restaurant closures.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(3) Represents the non-cash portion of straight-line rent recorded within Occupancy expenses on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28, 2026, we had cash and cash equivalents of $20.5 million and outstanding borrowings under the Credit Facility of $276.0 million, excluding unamortized debt discount and deferred issuance costs. We had availability of $52.5 million under our revolving credit facility of $125.0 million, of which $2.5 million is reserved under letters of credit pursuant to our credit agreement, dated as of October 6, 2021,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paying for their purchases at the time of the sale, which frequently precedes our payment terms with suppliers.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flow from operations combined with our availability under the Credit Facility and our cash and cash equivalents will be sufficient to meet our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that our capital expenditures will total approximately $145.0 million to $150.0 million in 2026. This capital is invested primarily in new restaurant projects and planned remodels. We intend to fund the capital expenditures primarily with cash generated from our operating activities as well as with borrowings pursuant to our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provided by (used in) operating, investing and financing activities for the twenty-six weeks ended June 28, 2026 and June 29, 2025:</w:t>
      </w:r>
    </w:p>
    <w:tbl>
      <w:tblPr>
        <w:tblW w:w="6000" w:type="dxa"/>
        <w:jc w:val="left"/>
        <w:tblInd w:w="0" w:type="dxa"/>
        <w:tblLayout w:type="fixed"/>
        <w:tblCellMar>
          <w:top w:w="28" w:type="dxa"/>
          <w:left w:w="28" w:type="dxa"/>
          <w:bottom w:w="28" w:type="dxa"/>
          <w:right w:w="28" w:type="dxa"/>
        </w:tblCellMar>
      </w:tblPr>
      <w:tblGrid>
        <w:gridCol w:w="1107"/>
        <w:gridCol w:w="972"/>
        <w:gridCol w:w="980"/>
        <w:gridCol w:w="259"/>
        <w:gridCol w:w="857"/>
        <w:gridCol w:w="143"/>
        <w:gridCol w:w="126"/>
        <w:gridCol w:w="126"/>
        <w:gridCol w:w="126"/>
        <w:gridCol w:w="238"/>
        <w:gridCol w:w="879"/>
        <w:gridCol w:w="187"/>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TWENTY-SIX WEEKS ENDED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financing activities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(14,135)</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operations is our typical source of liquidity used (i) to fund capital expenditures for new restaurants, (ii) to maintain and remodel existing restaurants and (iii) for debt service. During the twenty-six weeks ended June 28, 2026 as compared to the twenty-six weeks ended June 29, 2025, there was an increase in cash provided by operations primarily due to an increase in company-owned restaurants, partially offset by the timing of operational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decreased during the twenty-six weeks ended June 28, 2026 from the twenty-six weeks ended June 29, 2025 due principally to (i) amounts paid in 2025 to acquire franchise locations and (ii) the timing of capital expenditures and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includes borrowing from, and repayments of, the Company’s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Our discussion and analysis of our financial condition and results of operations is based upon the accompanying consolidated financial statements and notes thereto, which have been prepared in accordance with GAAP. The preparation of these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For a discussion of recently issued accounting pronouncements,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in the accompanying notes to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Commodity and Food Price Risks</w:t>
      </w:r>
    </w:p>
    <w:p>
      <w:pPr>
        <w:pStyle w:val="TextBody"/>
        <w:bidi w:val="0"/>
        <w:spacing w:lineRule="auto" w:line="288" w:before="120" w:after="283"/>
        <w:jc w:val="both"/>
        <w:rPr/>
      </w:pP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expect our full year commodity inflation to be approximately zero to 1.5%.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there have been no material changes to our exposure to market risks as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and maintain disclosure controls and procedures, as defined in Rules 13a-15(e)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also designed to ensure that information allowing for timely disclosure decisions is accumulated and communicated to Management, including the Chief Executive Officer and Chief Financial Officer, as appropriate.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including our Chief Executive Officer and Chief Financial Officer, has evaluated the effectiveness of our disclosure controls and procedures as of the end of the period covered by this report. Based on that evaluation, our Chief Executive Officer and Chief Financial Officer concluded that, as of June 28, 2026, our disclosure controls and procedures were effective.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under the Exchange Act) during the fiscal quarter ended June 28, 2026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the accompanying notes to the consolidated financial statements included in Part I, Item 1 of this Form 10-Q.</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discussed in this Form 10-Q, please consider the factors described in Part I, Item 1A., “Risk Factors” in our 2025 Form 10-K, which could materially affect our business, financial condition or future results. Additional risks and uncertainties not currently known to us or that we currently deem to be immaterial also may adversely affect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disclosed in our 2025 Form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Adoption or Termination of Trading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28, 2026, none of our directors or officers adopted or terminated a “Rule 10b5-1 trading arrangement” or “non-Rule 10b5-1 trading arrangement,” as those terms are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Exhibits index to this Form 10-Q are incorporated herein by reference.</w:t>
      </w:r>
    </w:p>
    <w:tbl>
      <w:tblPr>
        <w:tblW w:w="10205" w:type="dxa"/>
        <w:jc w:val="left"/>
        <w:tblInd w:w="0" w:type="dxa"/>
        <w:tblLayout w:type="fixed"/>
        <w:tblCellMar>
          <w:top w:w="28" w:type="dxa"/>
          <w:left w:w="28" w:type="dxa"/>
          <w:bottom w:w="28" w:type="dxa"/>
          <w:right w:w="28" w:type="dxa"/>
        </w:tblCellMar>
      </w:tblPr>
      <w:tblGrid>
        <w:gridCol w:w="262"/>
        <w:gridCol w:w="229"/>
        <w:gridCol w:w="232"/>
        <w:gridCol w:w="109"/>
        <w:gridCol w:w="109"/>
        <w:gridCol w:w="109"/>
        <w:gridCol w:w="2086"/>
        <w:gridCol w:w="2086"/>
        <w:gridCol w:w="2104"/>
        <w:gridCol w:w="109"/>
        <w:gridCol w:w="109"/>
        <w:gridCol w:w="109"/>
        <w:gridCol w:w="746"/>
        <w:gridCol w:w="746"/>
        <w:gridCol w:w="1060"/>
      </w:tblGrid>
      <w:tr>
        <w:trPr/>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FILINGS REFERENCED FOR INCORPORATION BY REFERENCE</w:t>
            </w:r>
          </w:p>
        </w:tc>
      </w:tr>
      <w:tr>
        <w:trPr/>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section302certificatio.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section302certificatio.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section906certificatio.htm">
              <w:r>
                <w:rPr>
                  <w:rStyle w:val="InternetLink"/>
                  <w:rFonts w:ascii="Times New Roman;serif" w:hAnsi="Times New Roman;serif"/>
                  <w:b w:val="false"/>
                  <w:color w:val="0000FF"/>
                  <w:sz w:val="20"/>
                  <w:u w:val="single"/>
                </w:rPr>
                <w:t xml:space="preserve">Certification of Chief Executive Officer and Chief Financial Officer pursuant to 18 U.S.C. Section 1350, as adopted pursuant to Section 906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financial information from First Watch Restaurant Group, Inc.</w:t>
            </w:r>
            <w:r>
              <w:rPr>
                <w:color w:val="000000"/>
                <w:shd w:fill="FFFFFF" w:val="clear"/>
              </w:rPr>
              <w:t>’</w:t>
            </w:r>
            <w:r>
              <w:rPr>
                <w:rFonts w:ascii="Times New Roman;serif" w:hAnsi="Times New Roman;serif"/>
                <w:b w:val="false"/>
                <w:color w:val="000000"/>
                <w:sz w:val="20"/>
              </w:rPr>
              <w:t>s Quarterly Report on Form 10-Q for the second fiscal quarter ended June 28, 2026, filed on August 4, 2026, formatted in Inline Extensible Business Reporting Language (“iXBRL”)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as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it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4fedb515fc74380ae060d040b2c7643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pPr>
      <w:r>
        <w:rPr>
          <w:rFonts w:ascii="Times New Roman;serif" w:hAnsi="Times New Roman;serif"/>
          <w:b w:val="false"/>
          <w:color w:val="000000"/>
          <w:sz w:val="20"/>
        </w:rPr>
        <w:t>Pursuant to the requirements of the Securities Exchange Act of 1934, the re</w:t>
      </w:r>
      <w:r>
        <w:rPr>
          <w:rFonts w:ascii="Times New Roman;serif" w:hAnsi="Times New Roman;serif"/>
          <w:b w:val="false"/>
          <w:color w:val="000000"/>
          <w:sz w:val="20"/>
          <w:shd w:fill="FFFFFF" w:val="clear"/>
        </w:rPr>
        <w:t>gistrant has duly caused this report to be signed on its behalf by the undersigned, thereunto duly authorized on August 4, 2026.</w:t>
      </w:r>
    </w:p>
    <w:p>
      <w:pPr>
        <w:pStyle w:val="TextBody"/>
        <w:bidi w:val="0"/>
        <w:spacing w:before="240" w:after="283"/>
        <w:jc w:val="left"/>
        <w:rPr/>
      </w:pPr>
      <w:r>
        <w:rPr/>
      </w:r>
    </w:p>
    <w:tbl>
      <w:tblPr>
        <w:tblW w:w="9302" w:type="dxa"/>
        <w:jc w:val="left"/>
        <w:tblInd w:w="0" w:type="dxa"/>
        <w:tblLayout w:type="fixed"/>
        <w:tblCellMar>
          <w:top w:w="28" w:type="dxa"/>
          <w:left w:w="28" w:type="dxa"/>
          <w:bottom w:w="28" w:type="dxa"/>
          <w:right w:w="28" w:type="dxa"/>
        </w:tblCellMar>
      </w:tblPr>
      <w:tblGrid>
        <w:gridCol w:w="124"/>
        <w:gridCol w:w="109"/>
        <w:gridCol w:w="109"/>
        <w:gridCol w:w="637"/>
        <w:gridCol w:w="637"/>
        <w:gridCol w:w="637"/>
        <w:gridCol w:w="2058"/>
        <w:gridCol w:w="2058"/>
        <w:gridCol w:w="2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WATCH RESTAURANT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Tomasso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Tomasso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Ashlee Weisser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Ashlee Weisser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Certification of Principal Executive Officer Pursuant to Exchange Act Rule 13a-14(a)/15d-14(a) as Adopted Pursuant to Section 302 of the Sarbanes-Oxley Act of 2002</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I, Christopher A. Tomasso, certify that:</w:t>
      </w:r>
    </w:p>
    <w:p>
      <w:pPr>
        <w:pStyle w:val="TextBody"/>
        <w:bidi w:val="0"/>
        <w:spacing w:lineRule="auto" w:line="288" w:before="0" w:after="18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19"/>
        </w:rPr>
        <w:t>I have reviewed this Quarterly Report on Form 10-Q of First Watch Restaurant Group, Inc.;</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 xml:space="preserve">(b)Any fraud, whether or not material, that involves management or other employees who have a significant role in the registrant’s internal control over financial reporting. </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jc w:val="left"/>
        <w:rPr>
          <w:rFonts w:ascii="Times New Roman;serif" w:hAnsi="Times New Roman;serif"/>
          <w:b w:val="false"/>
          <w:color w:val="000000"/>
          <w:sz w:val="19"/>
        </w:rPr>
      </w:pPr>
      <w:r>
        <w:rPr>
          <w:rFonts w:ascii="Times New Roman;serif" w:hAnsi="Times New Roman;serif"/>
          <w:b w:val="false"/>
          <w:color w:val="000000"/>
          <w:sz w:val="19"/>
        </w:rPr>
        <w:t>Date: August 4, 2026</w:t>
      </w:r>
    </w:p>
    <w:p>
      <w:pPr>
        <w:pStyle w:val="TextBody"/>
        <w:bidi w:val="0"/>
        <w:spacing w:lineRule="auto" w:line="288" w:before="0" w:after="0"/>
        <w:ind w:left="0" w:right="0" w:firstLine="720"/>
        <w:jc w:val="left"/>
        <w:rPr>
          <w:rFonts w:ascii="Times New Roman;serif" w:hAnsi="Times New Roman;serif"/>
          <w:b w:val="false"/>
          <w:color w:val="000000"/>
          <w:sz w:val="19"/>
          <w:u w:val="single"/>
          <w:shd w:fill="FFFFFF" w:val="clear"/>
        </w:rPr>
      </w:pPr>
      <w:r>
        <w:rPr>
          <w:rFonts w:ascii="Times New Roman;serif" w:hAnsi="Times New Roman;serif"/>
          <w:b w:val="false"/>
          <w:color w:val="000000"/>
          <w:sz w:val="19"/>
          <w:u w:val="single"/>
          <w:shd w:fill="FFFFFF" w:val="clear"/>
        </w:rPr>
        <w:t>/s/ Christopher A. Tomasso</w:t>
      </w:r>
    </w:p>
    <w:p>
      <w:pPr>
        <w:pStyle w:val="TextBody"/>
        <w:bidi w:val="0"/>
        <w:spacing w:lineRule="auto" w:line="288" w:before="0" w:after="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Christopher A. Tomasso</w:t>
      </w:r>
    </w:p>
    <w:p>
      <w:pPr>
        <w:pStyle w:val="TextBody"/>
        <w:bidi w:val="0"/>
        <w:spacing w:lineRule="auto" w:line="288" w:before="0" w:after="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Chief Executive Officer</w:t>
      </w:r>
    </w:p>
    <w:p>
      <w:pPr>
        <w:pStyle w:val="TextBody"/>
        <w:bidi w:val="0"/>
        <w:spacing w:lineRule="auto" w:line="300" w:before="0" w:after="2"/>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(Principal Executive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hanging="36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Certification of Principal Financial Officer Pursuant to Exchange Act Rule 13a-14(a)/15d-14(a) as Adopted</w:t>
      </w:r>
    </w:p>
    <w:p>
      <w:pPr>
        <w:pStyle w:val="TextBody"/>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Pursuant to Section 302 of the Sarbanes-Oxley Act of 2002</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I, Ashlee Weisser, certify that:</w:t>
      </w:r>
    </w:p>
    <w:p>
      <w:pPr>
        <w:pStyle w:val="TextBody"/>
        <w:bidi w:val="0"/>
        <w:spacing w:lineRule="auto" w:line="288" w:before="0" w:after="18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19"/>
        </w:rPr>
        <w:t>I have reviewed this Quarterly Report on Form 10-Q of First Watch Restaurant Group, Inc.;</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360"/>
        <w:jc w:val="both"/>
        <w:rPr>
          <w:rFonts w:ascii="Times New Roman;serif" w:hAnsi="Times New Roman;serif"/>
          <w:b w:val="false"/>
          <w:color w:val="000000"/>
          <w:sz w:val="19"/>
        </w:rPr>
      </w:pPr>
      <w:r>
        <w:rPr>
          <w:rFonts w:ascii="Times New Roman;serif" w:hAnsi="Times New Roman;serif"/>
          <w:b w:val="false"/>
          <w:color w:val="000000"/>
          <w:sz w:val="19"/>
        </w:rPr>
        <w:t xml:space="preserve">(b)Any fraud, whether or not material, that involves management or other employees who have a significant role in the registrant’s internal control over financial reporting. </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val="false"/>
          <w:color w:val="000000"/>
          <w:sz w:val="19"/>
        </w:rPr>
      </w:pPr>
      <w:r>
        <w:rPr>
          <w:rFonts w:ascii="Times New Roman;serif" w:hAnsi="Times New Roman;serif"/>
          <w:b w:val="false"/>
          <w:color w:val="000000"/>
          <w:sz w:val="19"/>
        </w:rPr>
        <w:t>Date: August 4, 2026</w:t>
      </w:r>
    </w:p>
    <w:p>
      <w:pPr>
        <w:pStyle w:val="TextBody"/>
        <w:bidi w:val="0"/>
        <w:spacing w:lineRule="auto" w:line="288" w:before="0" w:after="0"/>
        <w:ind w:left="0" w:right="0" w:firstLine="720"/>
        <w:jc w:val="left"/>
        <w:rPr>
          <w:rFonts w:ascii="Times New Roman;serif" w:hAnsi="Times New Roman;serif"/>
          <w:b w:val="false"/>
          <w:color w:val="000000"/>
          <w:sz w:val="19"/>
          <w:u w:val="single"/>
          <w:shd w:fill="FFFFFF" w:val="clear"/>
        </w:rPr>
      </w:pPr>
      <w:r>
        <w:rPr>
          <w:rFonts w:ascii="Times New Roman;serif" w:hAnsi="Times New Roman;serif"/>
          <w:b w:val="false"/>
          <w:color w:val="000000"/>
          <w:sz w:val="19"/>
          <w:u w:val="single"/>
          <w:shd w:fill="FFFFFF" w:val="clear"/>
        </w:rPr>
        <w:t>/s/ Ashlee Weisser</w:t>
      </w:r>
    </w:p>
    <w:p>
      <w:pPr>
        <w:pStyle w:val="TextBody"/>
        <w:bidi w:val="0"/>
        <w:spacing w:lineRule="auto" w:line="288" w:before="0" w:after="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Ashlee Weisser</w:t>
      </w:r>
    </w:p>
    <w:p>
      <w:pPr>
        <w:pStyle w:val="TextBody"/>
        <w:bidi w:val="0"/>
        <w:spacing w:lineRule="auto" w:line="288" w:before="0" w:after="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Chief Financial Officer</w:t>
      </w:r>
    </w:p>
    <w:p>
      <w:pPr>
        <w:pStyle w:val="TextBody"/>
        <w:bidi w:val="0"/>
        <w:spacing w:lineRule="auto" w:line="288"/>
        <w:jc w:val="left"/>
        <w:rPr/>
      </w:pPr>
      <w:r>
        <w:rPr>
          <w:rFonts w:ascii="Times New Roman;serif" w:hAnsi="Times New Roman;serif"/>
          <w:b w:val="false"/>
          <w:color w:val="000000"/>
          <w:sz w:val="19"/>
          <w:shd w:fill="FFFFFF" w:val="clear"/>
        </w:rPr>
        <w:t>(Principal Financial Officer)                                </w:t>
      </w: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First Watch Restaurant Group, Inc. (the “Company”) for the period ended June 28, 2026, as filed with the Securities and Exchange Commission on the date hereof (the “Report”), Christopher A. Tomasso, Chief Executive Officer of the Company, and Ashlee Weisser, Chief Financial Officer of the Company, hereby certify, pursuant to 18 U.S.C. Section 1350, as adopted pursuant to Section 906 of the Sarbanes-Oxley Act of 2002, that, to their knowledge:</w:t>
      </w:r>
    </w:p>
    <w:p>
      <w:pPr>
        <w:pStyle w:val="TextBody"/>
        <w:bidi w:val="0"/>
        <w:spacing w:lineRule="auto" w:line="30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before="0" w:after="0"/>
        <w:jc w:val="left"/>
        <w:rPr/>
      </w:pPr>
      <w:r>
        <w:rPr/>
      </w:r>
    </w:p>
    <w:p>
      <w:pPr>
        <w:pStyle w:val="TextBody"/>
        <w:bidi w:val="0"/>
        <w:spacing w:lineRule="auto" w:line="30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        </w:t>
      </w:r>
    </w:p>
    <w:p>
      <w:pPr>
        <w:pStyle w:val="TextBody"/>
        <w:bidi w:val="0"/>
        <w:spacing w:lineRule="auto" w:line="288" w:before="0" w:after="0"/>
        <w:jc w:val="left"/>
        <w:rPr/>
      </w:pPr>
      <w:r>
        <w:rPr>
          <w:color w:val="000000"/>
        </w:rPr>
        <w:t>                        </w:t>
      </w:r>
      <w:r>
        <w:rPr>
          <w:rFonts w:ascii="Times New Roman;serif" w:hAnsi="Times New Roman;serif"/>
          <w:b w:val="false"/>
          <w:color w:val="000000"/>
          <w:sz w:val="19"/>
          <w:u w:val="single"/>
          <w:shd w:fill="FFFFFF" w:val="clear"/>
        </w:rPr>
        <w:t>/s/ Christopher A. Tomasso</w:t>
      </w:r>
    </w:p>
    <w:p>
      <w:pPr>
        <w:pStyle w:val="TextBody"/>
        <w:bidi w:val="0"/>
        <w:spacing w:lineRule="auto" w:line="288" w:before="0" w:after="0"/>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Christopher A. Tomasso</w:t>
      </w:r>
    </w:p>
    <w:p>
      <w:pPr>
        <w:pStyle w:val="TextBody"/>
        <w:bidi w:val="0"/>
        <w:spacing w:lineRule="auto" w:line="288" w:before="0" w:after="0"/>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Chief Executive Officer</w:t>
      </w:r>
    </w:p>
    <w:p>
      <w:pPr>
        <w:pStyle w:val="TextBody"/>
        <w:bidi w:val="0"/>
        <w:spacing w:lineRule="auto" w:line="300" w:before="0" w:after="2"/>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(Principal Executive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19"/>
          <w:u w:val="single"/>
          <w:shd w:fill="FFFFFF" w:val="clear"/>
        </w:rPr>
        <w:t>/s/ Ashlee Weisser</w:t>
      </w:r>
    </w:p>
    <w:p>
      <w:pPr>
        <w:pStyle w:val="TextBody"/>
        <w:bidi w:val="0"/>
        <w:spacing w:lineRule="auto" w:line="288" w:before="0" w:after="0"/>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Ashlee Weisser</w:t>
      </w:r>
    </w:p>
    <w:p>
      <w:pPr>
        <w:pStyle w:val="TextBody"/>
        <w:bidi w:val="0"/>
        <w:spacing w:lineRule="auto" w:line="288" w:before="0" w:after="0"/>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Chief Financial Officer</w:t>
      </w:r>
    </w:p>
    <w:p>
      <w:pPr>
        <w:pStyle w:val="TextBody"/>
        <w:bidi w:val="0"/>
        <w:spacing w:lineRule="auto" w:line="300" w:before="0" w:after="2"/>
        <w:ind w:left="0" w:right="0" w:firstLine="720"/>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(Principal Financial Officer)</w:t>
      </w:r>
    </w:p>
    <w:p>
      <w:pPr>
        <w:pStyle w:val="TextBody"/>
        <w:bidi w:val="0"/>
        <w:spacing w:before="0" w:after="0"/>
        <w:jc w:val="left"/>
        <w:rPr/>
      </w:pPr>
      <w:r>
        <w:rPr/>
      </w:r>
    </w:p>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16047</Words>
  <Characters>89371</Characters>
  <CharactersWithSpaces>103713</CharactersWithSpaces>
  <Paragraphs>3165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