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November 3, 2026</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4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04" w:lineRule="exact"/>
        <w:rPr>
          <w:sz w:val="24"/>
          <w:szCs w:val="24"/>
          <w:color w:val="auto"/>
        </w:rPr>
      </w:pPr>
    </w:p>
    <w:p>
      <w:pPr>
        <w:ind w:left="1640"/>
        <w:spacing w:after="0"/>
        <w:tabs>
          <w:tab w:leader="none" w:pos="5380" w:val="left"/>
          <w:tab w:leader="none" w:pos="9100" w:val="left"/>
        </w:tabs>
        <w:rPr>
          <w:sz w:val="20"/>
          <w:szCs w:val="20"/>
          <w:color w:val="auto"/>
        </w:rPr>
      </w:pPr>
      <w:r>
        <w:rPr>
          <w:rFonts w:ascii="Times New Roman" w:cs="Times New Roman" w:eastAsia="Times New Roman" w:hAnsi="Times New Roman"/>
          <w:sz w:val="12"/>
          <w:szCs w:val="12"/>
          <w:b w:val="1"/>
          <w:bCs w:val="1"/>
          <w:color w:val="auto"/>
        </w:rPr>
        <w:t>Delaware</w:t>
      </w:r>
      <w:r>
        <w:rPr>
          <w:sz w:val="20"/>
          <w:szCs w:val="20"/>
          <w:color w:val="auto"/>
        </w:rPr>
        <w:tab/>
      </w:r>
      <w:r>
        <w:rPr>
          <w:rFonts w:ascii="Times New Roman" w:cs="Times New Roman" w:eastAsia="Times New Roman" w:hAnsi="Times New Roman"/>
          <w:sz w:val="12"/>
          <w:szCs w:val="12"/>
          <w:b w:val="1"/>
          <w:bCs w:val="1"/>
          <w:color w:val="auto"/>
        </w:rPr>
        <w:t>001-40866</w:t>
      </w:r>
      <w:r>
        <w:rPr>
          <w:sz w:val="20"/>
          <w:szCs w:val="20"/>
          <w:color w:val="auto"/>
        </w:rPr>
        <w:tab/>
      </w:r>
      <w:r>
        <w:rPr>
          <w:rFonts w:ascii="Times New Roman" w:cs="Times New Roman" w:eastAsia="Times New Roman" w:hAnsi="Times New Roman"/>
          <w:sz w:val="11"/>
          <w:szCs w:val="11"/>
          <w:b w:val="1"/>
          <w:bCs w:val="1"/>
          <w:color w:val="auto"/>
        </w:rPr>
        <w:t>82-4271369</w:t>
      </w:r>
    </w:p>
    <w:p>
      <w:pPr>
        <w:spacing w:after="0" w:line="21" w:lineRule="exact"/>
        <w:rPr>
          <w:sz w:val="24"/>
          <w:szCs w:val="24"/>
          <w:color w:val="auto"/>
        </w:rPr>
      </w:pPr>
    </w:p>
    <w:p>
      <w:pPr>
        <w:jc w:val="right"/>
        <w:ind w:right="840"/>
        <w:spacing w:after="0"/>
        <w:tabs>
          <w:tab w:leader="none" w:pos="5480" w:val="left"/>
          <w:tab w:leader="none" w:pos="2060" w:val="left"/>
        </w:tabs>
        <w:rPr>
          <w:sz w:val="20"/>
          <w:szCs w:val="20"/>
          <w:color w:val="auto"/>
        </w:rPr>
      </w:pPr>
      <w:r>
        <w:rPr>
          <w:rFonts w:ascii="Times New Roman" w:cs="Times New Roman" w:eastAsia="Times New Roman" w:hAnsi="Times New Roman"/>
          <w:sz w:val="12"/>
          <w:szCs w:val="12"/>
          <w:b w:val="1"/>
          <w:bCs w:val="1"/>
          <w:color w:val="auto"/>
        </w:rPr>
        <w:t>(State or other jurisdiction of</w:t>
      </w:r>
      <w:r>
        <w:rPr>
          <w:sz w:val="20"/>
          <w:szCs w:val="20"/>
          <w:color w:val="auto"/>
        </w:rPr>
        <w:tab/>
      </w:r>
      <w:r>
        <w:rPr>
          <w:rFonts w:ascii="Times New Roman" w:cs="Times New Roman" w:eastAsia="Times New Roman" w:hAnsi="Times New Roman"/>
          <w:sz w:val="12"/>
          <w:szCs w:val="12"/>
          <w:b w:val="1"/>
          <w:bCs w:val="1"/>
          <w:color w:val="auto"/>
        </w:rPr>
        <w:t>(Commission File Number)</w:t>
      </w:r>
      <w:r>
        <w:rPr>
          <w:sz w:val="20"/>
          <w:szCs w:val="20"/>
          <w:color w:val="auto"/>
        </w:rPr>
        <w:tab/>
      </w:r>
      <w:r>
        <w:rPr>
          <w:rFonts w:ascii="Times New Roman" w:cs="Times New Roman" w:eastAsia="Times New Roman" w:hAnsi="Times New Roman"/>
          <w:sz w:val="11"/>
          <w:szCs w:val="11"/>
          <w:b w:val="1"/>
          <w:bCs w:val="1"/>
          <w:color w:val="auto"/>
        </w:rPr>
        <w:t>(I.R.S. Employer Identification Number)</w:t>
      </w:r>
    </w:p>
    <w:p>
      <w:pPr>
        <w:spacing w:after="0" w:line="6"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3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8725 Pendery Place</w:t>
      </w:r>
      <w:r>
        <w:rPr>
          <w:rFonts w:ascii="Arial" w:cs="Arial" w:eastAsia="Arial" w:hAnsi="Arial"/>
          <w:sz w:val="12"/>
          <w:szCs w:val="12"/>
          <w:b w:val="1"/>
          <w:bCs w:val="1"/>
          <w:color w:val="auto"/>
        </w:rPr>
        <w:t>,</w:t>
      </w:r>
      <w:r>
        <w:rPr>
          <w:rFonts w:ascii="Times New Roman" w:cs="Times New Roman" w:eastAsia="Times New Roman" w:hAnsi="Times New Roman"/>
          <w:sz w:val="12"/>
          <w:szCs w:val="12"/>
          <w:b w:val="1"/>
          <w:bCs w:val="1"/>
          <w:color w:val="auto"/>
        </w:rPr>
        <w:t xml:space="preserve"> Suite 201</w:t>
      </w:r>
      <w:r>
        <w:rPr>
          <w:rFonts w:ascii="Arial" w:cs="Arial" w:eastAsia="Arial" w:hAnsi="Arial"/>
          <w:sz w:val="12"/>
          <w:szCs w:val="12"/>
          <w:b w:val="1"/>
          <w:bCs w:val="1"/>
          <w:color w:val="auto"/>
        </w:rPr>
        <w:t>,</w:t>
      </w:r>
    </w:p>
    <w:p>
      <w:pPr>
        <w:spacing w:after="0" w:line="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2"/>
          <w:szCs w:val="12"/>
          <w:b w:val="1"/>
          <w:bCs w:val="1"/>
          <w:color w:val="auto"/>
        </w:rPr>
        <w:t>Bradenton, FL 34201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(941) 907-9800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9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00" w:top="877" w:right="299" w:bottom="1440" w:gutter="0" w:footer="0" w:header="0"/>
        </w:sectPr>
      </w:pPr>
    </w:p>
    <w:p>
      <w:pPr>
        <w:spacing w:after="0" w:line="204" w:lineRule="exact"/>
        <w:rPr>
          <w:sz w:val="24"/>
          <w:szCs w:val="24"/>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Pre-commencement communications pursuant to Rule 13e-4(c) under the Exchange Act (17 CFR 240.13e-4(c))</w:t>
      </w:r>
    </w:p>
    <w:p>
      <w:pPr>
        <w:spacing w:after="0" w:line="195" w:lineRule="exact"/>
        <w:rPr>
          <w:sz w:val="24"/>
          <w:szCs w:val="24"/>
          <w:color w:val="auto"/>
        </w:rPr>
      </w:pPr>
    </w:p>
    <w:tbl>
      <w:tblPr>
        <w:tblLayout w:type="fixed"/>
        <w:tblInd w:w="114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60" w:type="dxa"/>
            <w:vAlign w:val="bottom"/>
            <w:gridSpan w:val="3"/>
          </w:tcPr>
          <w:p>
            <w:pPr>
              <w:ind w:left="7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r>
      <w:tr>
        <w:trPr>
          <w:trHeight w:val="153"/>
        </w:trPr>
        <w:tc>
          <w:tcPr>
            <w:tcW w:w="3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060" w:type="dxa"/>
            <w:vAlign w:val="bottom"/>
          </w:tcPr>
          <w:p>
            <w:pPr>
              <w:spacing w:after="0"/>
              <w:rPr>
                <w:sz w:val="13"/>
                <w:szCs w:val="13"/>
                <w:color w:val="auto"/>
              </w:rPr>
            </w:pPr>
          </w:p>
        </w:tc>
        <w:tc>
          <w:tcPr>
            <w:tcW w:w="3660" w:type="dxa"/>
            <w:vAlign w:val="bottom"/>
            <w:gridSpan w:val="3"/>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r>
      <w:tr>
        <w:trPr>
          <w:trHeight w:val="20"/>
        </w:trPr>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9"/>
        </w:trPr>
        <w:tc>
          <w:tcPr>
            <w:tcW w:w="23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Common stock, $0.01 par value</w:t>
            </w:r>
          </w:p>
        </w:tc>
        <w:tc>
          <w:tcPr>
            <w:tcW w:w="1480" w:type="dxa"/>
            <w:vAlign w:val="bottom"/>
          </w:tcPr>
          <w:p>
            <w:pPr>
              <w:spacing w:after="0"/>
              <w:rPr>
                <w:sz w:val="22"/>
                <w:szCs w:val="22"/>
                <w:color w:val="auto"/>
              </w:rPr>
            </w:pPr>
          </w:p>
        </w:tc>
        <w:tc>
          <w:tcPr>
            <w:tcW w:w="2180" w:type="dxa"/>
            <w:vAlign w:val="bottom"/>
            <w:gridSpan w:val="2"/>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FWRG</w:t>
            </w:r>
          </w:p>
        </w:tc>
      </w:tr>
    </w:tbl>
    <w:p>
      <w:pPr>
        <w:spacing w:after="0" w:line="228" w:lineRule="exact"/>
        <w:rPr>
          <w:sz w:val="24"/>
          <w:szCs w:val="24"/>
          <w:color w:val="auto"/>
        </w:rPr>
      </w:pPr>
    </w:p>
    <w:p>
      <w:pPr>
        <w:ind w:right="820"/>
        <w:spacing w:after="0" w:line="192"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Name of each exchange on which registered</w:t>
      </w:r>
    </w:p>
    <w:p>
      <w:pPr>
        <w:spacing w:after="0" w:line="5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p>
      <w:pPr>
        <w:spacing w:after="0" w:line="576" w:lineRule="exact"/>
        <w:rPr>
          <w:sz w:val="24"/>
          <w:szCs w:val="24"/>
          <w:color w:val="auto"/>
        </w:rPr>
      </w:pPr>
    </w:p>
    <w:p>
      <w:pPr>
        <w:sectPr>
          <w:pgSz w:w="11900" w:h="16838" w:orient="portrait"/>
          <w:cols w:equalWidth="0" w:num="2">
            <w:col w:w="7220" w:space="720"/>
            <w:col w:w="3360"/>
          </w:cols>
          <w:pgMar w:left="300" w:top="877" w:right="29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535940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 Results of Operations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3, 2026, First Watch Restaurant Group, Inc. (the “Company”) issued a press release announcing its financial results for the third fiscal quarter ended September 27, 2026. A copy of the release is attached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also posted a supplemental information presentation to its website at investors.firstwatch.com, which is attached as Exhibit 99.2 and incorporated herein by reference.</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The information furnished in this Current Report on Form 8-K, including Exhibit 99.1 and Exhibit 99.2, shall not be deemed to be “filed” for the purposes of Section 18 of the Securities Exchange Act of 1934, as amended (the “Exchange Act”), or otherwise subject to the liabilities of that section. The information in this Current Report shall not be deemed to be incorporated by reference into any filing under the Securities Act of 1933, as amended, or the Exchange Act, whether made before or after the date of this Current Report, regardless of any general incorporation language in the filing.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880" w:type="dxa"/>
            <w:vAlign w:val="bottom"/>
          </w:tcPr>
          <w:p>
            <w:pPr>
              <w:spacing w:after="0"/>
              <w:rPr>
                <w:sz w:val="12"/>
                <w:szCs w:val="12"/>
                <w:color w:val="auto"/>
              </w:rPr>
            </w:pPr>
          </w:p>
        </w:tc>
        <w:tc>
          <w:tcPr>
            <w:tcW w:w="89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69"/>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99.1</w:t>
            </w:r>
          </w:p>
        </w:tc>
        <w:tc>
          <w:tcPr>
            <w:tcW w:w="860" w:type="dxa"/>
            <w:vAlign w:val="bottom"/>
          </w:tcPr>
          <w:p>
            <w:pPr>
              <w:spacing w:after="0"/>
              <w:rPr>
                <w:sz w:val="14"/>
                <w:szCs w:val="14"/>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Press Release of First Watch Restaurant Group, Inc. dated November 3, 2026</w:t>
            </w:r>
          </w:p>
        </w:tc>
      </w:tr>
      <w:tr>
        <w:trPr>
          <w:trHeight w:val="20"/>
        </w:trPr>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69"/>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860" w:type="dxa"/>
            <w:vAlign w:val="bottom"/>
          </w:tcPr>
          <w:p>
            <w:pPr>
              <w:spacing w:after="0"/>
              <w:rPr>
                <w:sz w:val="14"/>
                <w:szCs w:val="14"/>
                <w:color w:val="auto"/>
              </w:rPr>
            </w:pPr>
          </w:p>
        </w:tc>
        <w:tc>
          <w:tcPr>
            <w:tcW w:w="4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Supplemental Information Presentation for the third quarter ended September 27, 2026</w:t>
            </w:r>
          </w:p>
        </w:tc>
        <w:tc>
          <w:tcPr>
            <w:tcW w:w="5680" w:type="dxa"/>
            <w:vAlign w:val="bottom"/>
          </w:tcPr>
          <w:p>
            <w:pPr>
              <w:spacing w:after="0"/>
              <w:rPr>
                <w:sz w:val="14"/>
                <w:szCs w:val="14"/>
                <w:color w:val="auto"/>
              </w:rPr>
            </w:pPr>
          </w:p>
        </w:tc>
      </w:tr>
      <w:tr>
        <w:trPr>
          <w:trHeight w:val="196"/>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860" w:type="dxa"/>
            <w:vAlign w:val="bottom"/>
          </w:tcPr>
          <w:p>
            <w:pPr>
              <w:spacing w:after="0"/>
              <w:rPr>
                <w:sz w:val="17"/>
                <w:szCs w:val="17"/>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19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5"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720" w:type="dxa"/>
            <w:vAlign w:val="bottom"/>
          </w:tcPr>
          <w:p>
            <w:pPr>
              <w:jc w:val="center"/>
              <w:ind w:right="718"/>
              <w:spacing w:after="0"/>
              <w:rPr>
                <w:sz w:val="20"/>
                <w:szCs w:val="20"/>
                <w:color w:val="auto"/>
              </w:rPr>
            </w:pPr>
            <w:r>
              <w:rPr>
                <w:rFonts w:ascii="Times New Roman" w:cs="Times New Roman" w:eastAsia="Times New Roman" w:hAnsi="Times New Roman"/>
                <w:sz w:val="13"/>
                <w:szCs w:val="13"/>
                <w:b w:val="1"/>
                <w:bCs w:val="1"/>
                <w:color w:val="auto"/>
              </w:rPr>
              <w:t>First Watch Restaurant Group, Inc.</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720" w:type="dxa"/>
            <w:vAlign w:val="bottom"/>
          </w:tcPr>
          <w:p>
            <w:pPr>
              <w:jc w:val="center"/>
              <w:ind w:right="718"/>
              <w:spacing w:after="0"/>
              <w:rPr>
                <w:sz w:val="20"/>
                <w:szCs w:val="20"/>
                <w:color w:val="auto"/>
              </w:rPr>
            </w:pPr>
            <w:r>
              <w:rPr>
                <w:rFonts w:ascii="Times New Roman" w:cs="Times New Roman" w:eastAsia="Times New Roman" w:hAnsi="Times New Roman"/>
                <w:sz w:val="13"/>
                <w:szCs w:val="13"/>
                <w:color w:val="auto"/>
                <w:w w:val="99"/>
              </w:rPr>
              <w:t>(Registrant)</w:t>
            </w:r>
          </w:p>
        </w:tc>
        <w:tc>
          <w:tcPr>
            <w:tcW w:w="0" w:type="dxa"/>
            <w:vAlign w:val="bottom"/>
          </w:tcPr>
          <w:p>
            <w:pPr>
              <w:spacing w:after="0"/>
              <w:rPr>
                <w:sz w:val="1"/>
                <w:szCs w:val="1"/>
                <w:color w:val="auto"/>
              </w:rPr>
            </w:pPr>
          </w:p>
        </w:tc>
      </w:tr>
      <w:tr>
        <w:trPr>
          <w:trHeight w:val="356"/>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3, 2026</w:t>
            </w:r>
          </w:p>
        </w:tc>
        <w:tc>
          <w:tcPr>
            <w:tcW w:w="30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Ashlee Weisser</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Times New Roman" w:cs="Times New Roman" w:eastAsia="Times New Roman" w:hAnsi="Times New Roman"/>
                <w:sz w:val="12"/>
                <w:szCs w:val="12"/>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Ashlee Weisser</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20" w:top="773"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12700</wp:posOffset>
            </wp:positionV>
            <wp:extent cx="1200150" cy="30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First Watch Restaurant Group, Inc. Reports Q3 2026 Financial Results</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Same-Restaurant Sales Growth of 1.0%</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Total revenues increased 10.7%</w:t>
      </w:r>
    </w:p>
    <w:p>
      <w:pPr>
        <w:jc w:val="center"/>
        <w:ind w:right="-7"/>
        <w:spacing w:after="0"/>
        <w:rPr>
          <w:sz w:val="20"/>
          <w:szCs w:val="20"/>
          <w:color w:val="auto"/>
        </w:rPr>
      </w:pPr>
      <w:r>
        <w:rPr>
          <w:rFonts w:ascii="Arial" w:cs="Arial" w:eastAsia="Arial" w:hAnsi="Arial"/>
          <w:sz w:val="13"/>
          <w:szCs w:val="13"/>
          <w:b w:val="1"/>
          <w:bCs w:val="1"/>
          <w:color w:val="auto"/>
        </w:rPr>
        <w:t>Net income of $4.8 million and Adjusted EBITDA of $39.7 million</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16 new System-wide restaurants opened in 11 states</w:t>
      </w:r>
    </w:p>
    <w:p>
      <w:pPr>
        <w:spacing w:after="0" w:line="150"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b w:val="1"/>
          <w:bCs w:val="1"/>
          <w:color w:val="auto"/>
        </w:rPr>
        <w:t xml:space="preserve">BRADENTON, Fla. — </w:t>
      </w:r>
      <w:r>
        <w:rPr>
          <w:rFonts w:ascii="Arial" w:cs="Arial" w:eastAsia="Arial" w:hAnsi="Arial"/>
          <w:sz w:val="12"/>
          <w:szCs w:val="12"/>
          <w:color w:val="auto"/>
        </w:rPr>
        <w:t>November 3, 2026 — First Watch Restaurant Group, Inc. (NASDAQ: FWRG) (</w:t>
      </w:r>
      <w:r>
        <w:rPr>
          <w:rFonts w:ascii="Arial" w:cs="Arial" w:eastAsia="Arial" w:hAnsi="Arial"/>
          <w:sz w:val="12"/>
          <w:szCs w:val="12"/>
          <w:i w:val="1"/>
          <w:iCs w:val="1"/>
          <w:color w:val="auto"/>
        </w:rPr>
        <w:t>“</w:t>
      </w:r>
      <w:r>
        <w:rPr>
          <w:rFonts w:ascii="Arial" w:cs="Arial" w:eastAsia="Arial" w:hAnsi="Arial"/>
          <w:sz w:val="12"/>
          <w:szCs w:val="12"/>
          <w:color w:val="auto"/>
        </w:rPr>
        <w:t>First Watch” or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color w:val="auto"/>
        </w:rPr>
        <w:t>Company”), the leading Daytime Dining concept serving breakfast, brunch and lunch,</w:t>
      </w:r>
      <w:r>
        <w:rPr>
          <w:rFonts w:ascii="Arial" w:cs="Arial" w:eastAsia="Arial" w:hAnsi="Arial"/>
          <w:sz w:val="12"/>
          <w:szCs w:val="12"/>
          <w:b w:val="1"/>
          <w:bCs w:val="1"/>
          <w:color w:val="auto"/>
        </w:rPr>
        <w:t xml:space="preserve"> </w:t>
      </w:r>
      <w:r>
        <w:rPr>
          <w:rFonts w:ascii="Arial" w:cs="Arial" w:eastAsia="Arial" w:hAnsi="Arial"/>
          <w:sz w:val="12"/>
          <w:szCs w:val="12"/>
          <w:color w:val="auto"/>
        </w:rPr>
        <w:t>today reported financial results for the thirteen weeks ended September 27, 2026 (“Q3 2026”).</w:t>
      </w:r>
    </w:p>
    <w:p>
      <w:pPr>
        <w:spacing w:after="0" w:line="114" w:lineRule="exact"/>
        <w:rPr>
          <w:sz w:val="20"/>
          <w:szCs w:val="20"/>
          <w:color w:val="auto"/>
        </w:rPr>
      </w:pPr>
    </w:p>
    <w:p>
      <w:pPr>
        <w:jc w:val="both"/>
        <w:ind w:left="8" w:right="220"/>
        <w:spacing w:after="0" w:line="250" w:lineRule="auto"/>
        <w:rPr>
          <w:sz w:val="20"/>
          <w:szCs w:val="20"/>
          <w:color w:val="auto"/>
        </w:rPr>
      </w:pPr>
      <w:r>
        <w:rPr>
          <w:rFonts w:ascii="Arial" w:cs="Arial" w:eastAsia="Arial" w:hAnsi="Arial"/>
          <w:sz w:val="12"/>
          <w:szCs w:val="12"/>
          <w:i w:val="1"/>
          <w:iCs w:val="1"/>
          <w:color w:val="auto"/>
        </w:rPr>
        <w:t>"Our third-quarter performance is another encouraging proof point for the strength of First Watch. We delivered on our top-line plan, grew same-restaurant sales against our toughest comparison of the year and increased total revenue by 10.7%, all while opening 16 system-wide restaurants across 11 states,” said Chris Tomasso, CEO and President of First Watch. “Our teams continue to execute at a high level, driving Adjusted EBITDA growth ahead of our expectations and giving us the confidence to raise our full-year 2026 Adjusted EBITDA outlook to the high end of our previous guidance range."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Third Quarter 2026 Highlights:</w:t>
      </w:r>
    </w:p>
    <w:p>
      <w:pPr>
        <w:spacing w:after="0" w:line="205" w:lineRule="exact"/>
        <w:rPr>
          <w:sz w:val="20"/>
          <w:szCs w:val="20"/>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revenues increased 10.7% to $349.9 million as compared to $316.0 million in the same period of 2025</w:t>
      </w:r>
    </w:p>
    <w:p>
      <w:pPr>
        <w:spacing w:after="0" w:line="33"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System-wide sales increased 10.9% to $391.2 million as compared to $352.7 million in the same period of 2025</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Same-Restaurant Sales Growth of 1.0%</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Same-Restaurant Traffic Growth of negative 1.9%</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Income from operations margin remained flat at 3.2% as compared to the same period of 2025</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Restaurant level operating profit margin* decreased to 19.4% as compared to 19.7% in the same period of 2025</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income increased to $4.8 million, or $0.08 per diluted share, from net income of $3.0 million, or $0.05 per diluted share, in the same period of 2025</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increased to $39.7 million as compared to $34.1 million in the same period of 2025</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Opened 16 system-wide restaurants in 11 states resulting in a total of 681 system-wide restaurants (601 company-owned and 80 franchise-owned) across 33 states</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___________________</w:t>
      </w:r>
    </w:p>
    <w:p>
      <w:pPr>
        <w:spacing w:after="0" w:line="11" w:lineRule="exact"/>
        <w:rPr>
          <w:sz w:val="20"/>
          <w:szCs w:val="20"/>
          <w:color w:val="auto"/>
        </w:rPr>
      </w:pPr>
    </w:p>
    <w:p>
      <w:pPr>
        <w:ind w:left="208"/>
        <w:spacing w:after="0"/>
        <w:rPr>
          <w:sz w:val="20"/>
          <w:szCs w:val="20"/>
          <w:color w:val="auto"/>
        </w:rPr>
      </w:pPr>
      <w:r>
        <w:rPr>
          <w:rFonts w:ascii="Arial" w:cs="Arial" w:eastAsia="Arial" w:hAnsi="Arial"/>
          <w:sz w:val="10"/>
          <w:szCs w:val="10"/>
          <w:i w:val="1"/>
          <w:iCs w:val="1"/>
          <w:color w:val="auto"/>
        </w:rPr>
        <w:t xml:space="preserve">* </w:t>
      </w:r>
      <w:r>
        <w:rPr>
          <w:rFonts w:ascii="Arial" w:cs="Arial" w:eastAsia="Arial" w:hAnsi="Arial"/>
          <w:sz w:val="10"/>
          <w:szCs w:val="10"/>
          <w:color w:val="auto"/>
        </w:rPr>
        <w:t>See</w:t>
      </w:r>
      <w:r>
        <w:rPr>
          <w:rFonts w:ascii="Arial" w:cs="Arial" w:eastAsia="Arial" w:hAnsi="Arial"/>
          <w:sz w:val="10"/>
          <w:szCs w:val="10"/>
          <w:i w:val="1"/>
          <w:iCs w:val="1"/>
          <w:color w:val="auto"/>
        </w:rPr>
        <w:t xml:space="preserve"> Non-GAAP Financial Measures Reconciliations </w:t>
      </w:r>
      <w:r>
        <w:rPr>
          <w:rFonts w:ascii="Arial" w:cs="Arial" w:eastAsia="Arial" w:hAnsi="Arial"/>
          <w:sz w:val="10"/>
          <w:szCs w:val="10"/>
          <w:color w:val="auto"/>
        </w:rPr>
        <w:t>section below.</w:t>
      </w:r>
    </w:p>
    <w:p>
      <w:pPr>
        <w:spacing w:after="0" w:line="247"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For additional financial information related to Q3 2026, refer to the Company’s quarterly report on Form 10-Q filed with the Securities and Exchange Commission on November 3, 2026, which can be accessed at https://investors.firstwatch.com in the Financials &amp; Filings section.</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Updated Outlook Fiscal Year 2026</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color w:val="auto"/>
        </w:rPr>
        <w:t>Based upon third quarter results and current trends, the Company updated the following guidance metrics for the 52-week fiscal year ending December 27, 2026:</w:t>
      </w:r>
    </w:p>
    <w:p>
      <w:pPr>
        <w:spacing w:after="0" w:line="159"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Same-Restaurant Sales Growth of ~2.0%</w:t>
      </w:r>
    </w:p>
    <w:p>
      <w:pPr>
        <w:spacing w:after="0" w:line="9" w:lineRule="exact"/>
        <w:rPr>
          <w:rFonts w:ascii="Arial" w:cs="Arial" w:eastAsia="Arial" w:hAnsi="Arial"/>
          <w:sz w:val="12"/>
          <w:szCs w:val="12"/>
          <w:color w:val="auto"/>
        </w:rPr>
      </w:pPr>
    </w:p>
    <w:p>
      <w:pPr>
        <w:ind w:left="208" w:hanging="208"/>
        <w:spacing w:after="0" w:line="187"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revenue growth of ~13.5%</w:t>
      </w:r>
      <w:r>
        <w:rPr>
          <w:rFonts w:ascii="Arial" w:cs="Arial" w:eastAsia="Arial" w:hAnsi="Arial"/>
          <w:sz w:val="15"/>
          <w:szCs w:val="15"/>
          <w:color w:val="auto"/>
          <w:vertAlign w:val="superscript"/>
        </w:rPr>
        <w:t>(1)</w:t>
      </w:r>
    </w:p>
    <w:p>
      <w:pPr>
        <w:ind w:left="208" w:hanging="208"/>
        <w:spacing w:after="0" w:line="187"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of ~$136.0 million</w:t>
      </w:r>
      <w:r>
        <w:rPr>
          <w:rFonts w:ascii="Arial" w:cs="Arial" w:eastAsia="Arial" w:hAnsi="Arial"/>
          <w:sz w:val="15"/>
          <w:szCs w:val="15"/>
          <w:color w:val="auto"/>
          <w:vertAlign w:val="superscript"/>
        </w:rPr>
        <w:t>(1)</w:t>
      </w:r>
    </w:p>
    <w:p>
      <w:pPr>
        <w:ind w:left="208" w:hanging="208"/>
        <w:spacing w:after="0" w:line="219"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60 net new System-wide restaurants, including 2 company-owned restaurant closures (53 new company-owned restaurants and 9 new franchise-owned restaurants)</w:t>
      </w:r>
    </w:p>
    <w:p>
      <w:pPr>
        <w:ind w:left="208" w:hanging="208"/>
        <w:spacing w:after="0" w:line="195"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Capital expenditures of ~$145.0 million invested primarily in new restaurant projects and planned remodels</w:t>
      </w:r>
      <w:r>
        <w:rPr>
          <w:rFonts w:ascii="Arial" w:cs="Arial" w:eastAsia="Arial" w:hAnsi="Arial"/>
          <w:sz w:val="15"/>
          <w:szCs w:val="15"/>
          <w:color w:val="auto"/>
          <w:vertAlign w:val="superscript"/>
        </w:rPr>
        <w:t>(3)</w:t>
      </w:r>
    </w:p>
    <w:p>
      <w:pPr>
        <w:ind w:left="8"/>
        <w:spacing w:after="0"/>
        <w:rPr>
          <w:sz w:val="20"/>
          <w:szCs w:val="20"/>
          <w:color w:val="auto"/>
        </w:rPr>
      </w:pPr>
      <w:r>
        <w:rPr>
          <w:rFonts w:ascii="Arial" w:cs="Arial" w:eastAsia="Arial" w:hAnsi="Arial"/>
          <w:sz w:val="14"/>
          <w:szCs w:val="14"/>
          <w:color w:val="auto"/>
        </w:rPr>
        <w:t>______________________</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(1) includes net impact of approximately 1% in total revenue growth and approximately $2 million in Adjusted EBITDA associated with completed acquisitions.</w:t>
      </w: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618" w:right="299" w:bottom="1440" w:gutter="0" w:footer="0" w:header="0"/>
        </w:sectPr>
      </w:pPr>
    </w:p>
    <w:bookmarkStart w:id="4" w:name="page5"/>
    <w:bookmarkEnd w:id="4"/>
    <w:p>
      <w:pPr>
        <w:jc w:val="both"/>
        <w:ind w:left="8" w:hanging="8"/>
        <w:spacing w:after="0" w:line="243" w:lineRule="auto"/>
        <w:tabs>
          <w:tab w:leader="none" w:pos="161" w:val="left"/>
        </w:tabs>
        <w:numPr>
          <w:ilvl w:val="0"/>
          <w:numId w:val="4"/>
        </w:numPr>
        <w:rPr>
          <w:rFonts w:ascii="Arial" w:cs="Arial" w:eastAsia="Arial" w:hAnsi="Arial"/>
          <w:sz w:val="10"/>
          <w:szCs w:val="10"/>
          <w:i w:val="1"/>
          <w:iCs w:val="1"/>
          <w:color w:val="auto"/>
        </w:rPr>
      </w:pPr>
      <w:r>
        <w:rPr>
          <w:rFonts w:ascii="Arial" w:cs="Arial" w:eastAsia="Arial" w:hAnsi="Arial"/>
          <w:sz w:val="10"/>
          <w:szCs w:val="10"/>
          <w:i w:val="1"/>
          <w:iCs w:val="1"/>
          <w:color w:val="auto"/>
        </w:rPr>
        <w:t>We have not reconciled guidance for Adjusted EBITDA to the corresponding GAAP financial measure because we do not provide guidance for the various reconciling items.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a reconciliation to the corresponding GAAP financial measure is not available without unreasonable effort.</w:t>
      </w:r>
    </w:p>
    <w:p>
      <w:pPr>
        <w:ind w:left="148" w:hanging="148"/>
        <w:spacing w:after="0"/>
        <w:tabs>
          <w:tab w:leader="none" w:pos="148" w:val="left"/>
        </w:tabs>
        <w:numPr>
          <w:ilvl w:val="0"/>
          <w:numId w:val="4"/>
        </w:numPr>
        <w:rPr>
          <w:rFonts w:ascii="Arial" w:cs="Arial" w:eastAsia="Arial" w:hAnsi="Arial"/>
          <w:sz w:val="10"/>
          <w:szCs w:val="10"/>
          <w:i w:val="1"/>
          <w:iCs w:val="1"/>
          <w:color w:val="auto"/>
        </w:rPr>
      </w:pPr>
      <w:r>
        <w:rPr>
          <w:rFonts w:ascii="Arial" w:cs="Arial" w:eastAsia="Arial" w:hAnsi="Arial"/>
          <w:sz w:val="10"/>
          <w:szCs w:val="10"/>
          <w:i w:val="1"/>
          <w:iCs w:val="1"/>
          <w:color w:val="auto"/>
        </w:rPr>
        <w:t>Does not include the capital outlays associated with the acquisition of franchise-owned restaurants.</w:t>
      </w:r>
    </w:p>
    <w:p>
      <w:pPr>
        <w:spacing w:after="0" w:line="25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Conference Call and Webcast</w:t>
      </w:r>
    </w:p>
    <w:p>
      <w:pPr>
        <w:spacing w:after="0" w:line="19"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Chris Tomasso, Chief Executive Officer and President, and Ashlee Weisser, Chief Financial Officer, will host a conference call and webcast to discuss these financial results for Q3 2026 on November 3, 2026 at 8:00 AM ET.</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Interested parties may listen to the conference call via any one of two options:</w:t>
      </w:r>
    </w:p>
    <w:p>
      <w:pPr>
        <w:spacing w:after="0" w:line="177"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3"/>
          <w:szCs w:val="13"/>
          <w:color w:val="auto"/>
        </w:rPr>
      </w:pPr>
      <w:r>
        <w:rPr>
          <w:rFonts w:ascii="Arial" w:cs="Arial" w:eastAsia="Arial" w:hAnsi="Arial"/>
          <w:sz w:val="12"/>
          <w:szCs w:val="12"/>
          <w:color w:val="auto"/>
        </w:rPr>
        <w:t>Dial 201-389-0914, which will be answered by an operator</w:t>
      </w:r>
    </w:p>
    <w:p>
      <w:pPr>
        <w:spacing w:after="0" w:line="13" w:lineRule="exact"/>
        <w:rPr>
          <w:rFonts w:ascii="Arial" w:cs="Arial" w:eastAsia="Arial" w:hAnsi="Arial"/>
          <w:sz w:val="13"/>
          <w:szCs w:val="13"/>
          <w:color w:val="auto"/>
        </w:rPr>
      </w:pPr>
    </w:p>
    <w:p>
      <w:pPr>
        <w:ind w:left="428" w:hanging="212"/>
        <w:spacing w:after="0"/>
        <w:tabs>
          <w:tab w:leader="none" w:pos="428" w:val="left"/>
        </w:tabs>
        <w:numPr>
          <w:ilvl w:val="0"/>
          <w:numId w:val="5"/>
        </w:numPr>
        <w:rPr>
          <w:rFonts w:ascii="Arial" w:cs="Arial" w:eastAsia="Arial" w:hAnsi="Arial"/>
          <w:sz w:val="13"/>
          <w:szCs w:val="13"/>
          <w:color w:val="auto"/>
        </w:rPr>
      </w:pPr>
      <w:r>
        <w:rPr>
          <w:rFonts w:ascii="Arial" w:cs="Arial" w:eastAsia="Arial" w:hAnsi="Arial"/>
          <w:sz w:val="12"/>
          <w:szCs w:val="12"/>
          <w:color w:val="auto"/>
        </w:rPr>
        <w:t>Join the webcast at https://investors.firstwatch.com/news-and-events/events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webcast will be archived shortly after the call has concluded.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621" w:right="29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Definitions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definitions apply to these terms as used in this release: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System-wide restaurants: </w:t>
      </w:r>
      <w:r>
        <w:rPr>
          <w:rFonts w:ascii="Arial" w:cs="Arial" w:eastAsia="Arial" w:hAnsi="Arial"/>
          <w:sz w:val="12"/>
          <w:szCs w:val="12"/>
          <w:color w:val="auto"/>
        </w:rPr>
        <w:t>the total number of restaurants, including all company-owned and franchise-owned restaurants.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System-wide sales</w:t>
      </w:r>
      <w:r>
        <w:rPr>
          <w:rFonts w:ascii="Arial" w:cs="Arial" w:eastAsia="Arial" w:hAnsi="Arial"/>
          <w:sz w:val="12"/>
          <w:szCs w:val="12"/>
          <w:color w:val="auto"/>
        </w:rPr>
        <w:t>: consists of restaurant sales from our company-owned restaurants and franchise-owned restaurants. We do not recognize the restaurant sales from our franchise-owned restaurants as</w:t>
      </w:r>
      <w:r>
        <w:rPr>
          <w:rFonts w:ascii="Arial" w:cs="Arial" w:eastAsia="Arial" w:hAnsi="Arial"/>
          <w:sz w:val="12"/>
          <w:szCs w:val="12"/>
          <w:b w:val="1"/>
          <w:bCs w:val="1"/>
          <w:color w:val="auto"/>
        </w:rPr>
        <w:t xml:space="preserve"> </w:t>
      </w:r>
      <w:r>
        <w:rPr>
          <w:rFonts w:ascii="Arial" w:cs="Arial" w:eastAsia="Arial" w:hAnsi="Arial"/>
          <w:sz w:val="12"/>
          <w:szCs w:val="12"/>
          <w:color w:val="auto"/>
        </w:rPr>
        <w:t>revenue.</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2"/>
          <w:szCs w:val="12"/>
          <w:b w:val="1"/>
          <w:bCs w:val="1"/>
          <w:color w:val="auto"/>
        </w:rPr>
        <w:t>Same-restaurant sales growth</w:t>
      </w:r>
      <w:r>
        <w:rPr>
          <w:rFonts w:ascii="Arial" w:cs="Arial" w:eastAsia="Arial" w:hAnsi="Arial"/>
          <w:sz w:val="12"/>
          <w:szCs w:val="12"/>
          <w:color w:val="auto"/>
        </w:rPr>
        <w:t>: the percentage change in year-over-year restaurant sales (excluding gift card breakage) for the comparable restaurant base, which we define as the number of company-owned</w:t>
      </w:r>
      <w:r>
        <w:rPr>
          <w:rFonts w:ascii="Arial" w:cs="Arial" w:eastAsia="Arial" w:hAnsi="Arial"/>
          <w:sz w:val="12"/>
          <w:szCs w:val="12"/>
          <w:b w:val="1"/>
          <w:bCs w:val="1"/>
          <w:color w:val="auto"/>
        </w:rPr>
        <w:t xml:space="preserve"> </w:t>
      </w:r>
      <w:r>
        <w:rPr>
          <w:rFonts w:ascii="Arial" w:cs="Arial" w:eastAsia="Arial" w:hAnsi="Arial"/>
          <w:sz w:val="12"/>
          <w:szCs w:val="12"/>
          <w:color w:val="auto"/>
        </w:rPr>
        <w:t>First Watch branded restaurants open for 18 months or longer as of the beginning of the fiscal year (</w:t>
      </w:r>
      <w:r>
        <w:rPr>
          <w:rFonts w:ascii="Arial" w:cs="Arial" w:eastAsia="Arial" w:hAnsi="Arial"/>
          <w:sz w:val="12"/>
          <w:szCs w:val="12"/>
          <w:i w:val="1"/>
          <w:iCs w:val="1"/>
          <w:color w:val="auto"/>
        </w:rPr>
        <w:t>“</w:t>
      </w:r>
      <w:r>
        <w:rPr>
          <w:rFonts w:ascii="Arial" w:cs="Arial" w:eastAsia="Arial" w:hAnsi="Arial"/>
          <w:sz w:val="12"/>
          <w:szCs w:val="12"/>
          <w:color w:val="auto"/>
        </w:rPr>
        <w:t>Comparable Restaurant Base</w:t>
      </w:r>
      <w:r>
        <w:rPr>
          <w:rFonts w:ascii="Arial" w:cs="Arial" w:eastAsia="Arial" w:hAnsi="Arial"/>
          <w:sz w:val="12"/>
          <w:szCs w:val="12"/>
          <w:i w:val="1"/>
          <w:iCs w:val="1"/>
          <w:color w:val="auto"/>
        </w:rPr>
        <w:t>”</w:t>
      </w:r>
      <w:r>
        <w:rPr>
          <w:rFonts w:ascii="Arial" w:cs="Arial" w:eastAsia="Arial" w:hAnsi="Arial"/>
          <w:sz w:val="12"/>
          <w:szCs w:val="12"/>
          <w:color w:val="auto"/>
        </w:rPr>
        <w:t>). For the thirteen and thirty-nine weeks ended September 27, 2026 and</w:t>
      </w:r>
    </w:p>
    <w:p>
      <w:pPr>
        <w:jc w:val="both"/>
        <w:spacing w:after="0" w:line="268" w:lineRule="auto"/>
        <w:rPr>
          <w:sz w:val="20"/>
          <w:szCs w:val="20"/>
          <w:color w:val="auto"/>
        </w:rPr>
      </w:pPr>
      <w:r>
        <w:rPr>
          <w:rFonts w:ascii="Arial" w:cs="Arial" w:eastAsia="Arial" w:hAnsi="Arial"/>
          <w:sz w:val="12"/>
          <w:szCs w:val="12"/>
          <w:color w:val="auto"/>
        </w:rPr>
        <w:t>September 28, 2025, there were 454 restaurants and 381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color w:val="auto"/>
        </w:rPr>
        <w:t>Same-restaurant traffic growth</w:t>
      </w:r>
      <w:r>
        <w:rPr>
          <w:rFonts w:ascii="Arial" w:cs="Arial" w:eastAsia="Arial" w:hAnsi="Arial"/>
          <w:sz w:val="12"/>
          <w:szCs w:val="12"/>
          <w:color w:val="auto"/>
        </w:rPr>
        <w:t>: the percentage change in year-over-year traffic counts using the Comparable Restaurant Base. Measuring our same-restaurant traffic growth allows management to evaluate the</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of our existing restaurant base. We believe this measure is useful for investors because same-restaurant traffic provides an indicator as to the development of our brand and the effectiveness of our marketing strategy.</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Adjusted EBITDA</w:t>
      </w:r>
      <w:r>
        <w:rPr>
          <w:rFonts w:ascii="Arial" w:cs="Arial" w:eastAsia="Arial" w:hAnsi="Arial"/>
          <w:sz w:val="12"/>
          <w:szCs w:val="12"/>
          <w:color w:val="auto"/>
        </w:rPr>
        <w:t>: a non-GAAP measure, represents Net income (loss) before depreciation and amortization, interest expense, income taxes and items that we do not consider in our evaluation of ongoing core</w:t>
      </w:r>
      <w:r>
        <w:rPr>
          <w:rFonts w:ascii="Arial" w:cs="Arial" w:eastAsia="Arial" w:hAnsi="Arial"/>
          <w:sz w:val="12"/>
          <w:szCs w:val="12"/>
          <w:b w:val="1"/>
          <w:bCs w:val="1"/>
          <w:color w:val="auto"/>
        </w:rPr>
        <w:t xml:space="preserve"> </w:t>
      </w:r>
      <w:r>
        <w:rPr>
          <w:rFonts w:ascii="Arial" w:cs="Arial" w:eastAsia="Arial" w:hAnsi="Arial"/>
          <w:sz w:val="12"/>
          <w:szCs w:val="12"/>
          <w:color w:val="auto"/>
        </w:rPr>
        <w:t>operating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EBITDA margin: </w:t>
      </w:r>
      <w:r>
        <w:rPr>
          <w:rFonts w:ascii="Arial" w:cs="Arial" w:eastAsia="Arial" w:hAnsi="Arial"/>
          <w:sz w:val="12"/>
          <w:szCs w:val="12"/>
          <w:color w:val="auto"/>
        </w:rPr>
        <w:t>a non-GAAP measure, represents Adjusted EBITDA as a percentage of total revenues.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color w:val="auto"/>
        </w:rPr>
        <w:t xml:space="preserve">Restaurant level operating profit: </w:t>
      </w:r>
      <w:r>
        <w:rPr>
          <w:rFonts w:ascii="Arial" w:cs="Arial" w:eastAsia="Arial" w:hAnsi="Arial"/>
          <w:sz w:val="12"/>
          <w:szCs w:val="12"/>
          <w:color w:val="auto"/>
        </w:rPr>
        <w:t>a non-GAAP measure, represents restaurant sales, less restaurant operating expenses, which include food and beverage costs, labor and other related expenses, other</w:t>
      </w:r>
      <w:r>
        <w:rPr>
          <w:rFonts w:ascii="Arial" w:cs="Arial" w:eastAsia="Arial" w:hAnsi="Arial"/>
          <w:sz w:val="12"/>
          <w:szCs w:val="12"/>
          <w:b w:val="1"/>
          <w:bCs w:val="1"/>
          <w:color w:val="auto"/>
        </w:rPr>
        <w:t xml:space="preserve"> </w:t>
      </w:r>
      <w:r>
        <w:rPr>
          <w:rFonts w:ascii="Arial" w:cs="Arial" w:eastAsia="Arial" w:hAnsi="Arial"/>
          <w:sz w:val="12"/>
          <w:szCs w:val="12"/>
          <w:color w:val="auto"/>
        </w:rPr>
        <w:t>restaurant operating expenses, pre-opening expenses and occupancy expenses. Restaurant level operating profit excludes corporate-level expenses and other items that we do not consider in the evaluation of the ongoing core operating performance of our restaurants.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Restaurant level operating profit margin: </w:t>
      </w:r>
      <w:r>
        <w:rPr>
          <w:rFonts w:ascii="Arial" w:cs="Arial" w:eastAsia="Arial" w:hAnsi="Arial"/>
          <w:sz w:val="12"/>
          <w:szCs w:val="12"/>
          <w:color w:val="auto"/>
        </w:rPr>
        <w:t>a non-GAAP measure, represents Restaurant level operating profit as a percentage of restaurant sales.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First Watch</w:t>
      </w:r>
    </w:p>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First Watch is the leading Daytime Dining concept serving made-to-order breakfast, brunch and lunch using the freshest ingredients available. Guided by its “Follow the Sun” culinary philosophy, First Watch's chef-driven menu rotates multiple times per year to feature the highest-quality flavors at their peak, offering elevated executions of classic favorites, fresh juices like the Kale Tonic, and fan favorites such as the Lemon Ricotta Pancakes, Quinoa Power Bowl and signature Million Dollar Bacon. For every kid’s meal served, First Watch proudly donates a portion to organizations and causes making a positive impact in our</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communities – raising millions to date. A recipient of many “Best Breakfast” and “Best Brunch” awards, First Watch was voted #1 Best Breakfast by Newsweek’s Readers’ Choice Awards 2025, and also named 2025 and 2024’s #1 Most Loved Workplace® in America by the Best Practice Institute – an accolade most recently featured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 after appearing on the list in 2022 and 2023, as well. With a commitment to quality, hospitality and community, First Watch is redefining Daytime Dining across more than 680 restaurants in 33 states. For more information, visit </w:t>
      </w:r>
      <w:r>
        <w:rPr>
          <w:rFonts w:ascii="Arial" w:cs="Arial" w:eastAsia="Arial" w:hAnsi="Arial"/>
          <w:sz w:val="12"/>
          <w:szCs w:val="12"/>
          <w:color w:val="467886"/>
        </w:rPr>
        <w:t>www.firstwatch.com</w:t>
      </w:r>
      <w:r>
        <w:rPr>
          <w:rFonts w:ascii="Arial" w:cs="Arial" w:eastAsia="Arial" w:hAnsi="Arial"/>
          <w:sz w:val="12"/>
          <w:szCs w:val="12"/>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562" w:right="2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Forward-Looking Statements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This release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can be identified by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the outlook for our future business and financial performance and statements discussing our current expectations and projections relating to our financial position, results of operations, plans, objectives, future performance and business.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143"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vulnerability to changes in consumer preferences and economic conditions such as inflation and recession;</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successfully open new restaurants or establish new markets;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effectively manage our growth;</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potential negative impacts on sales at our and our franchisees’ restaurants as a result of our opening new restaurants in existing markets;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decline in visitors to any of the retail centers, lifestyle centers, or entertainment centers where our restaurants are located;</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lower than expected same-restaurant sales growth;</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unsuccessful marketing programs and limited time new offerings;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the cost of food;</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unprofitability or closure of new restaurants or lower than previously experienced performance in existing restaurants;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compete effectively for customers;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vulnerability to food safety and food-borne illness concerns;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unsuccessful financial performance of our franchisees;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limited control over our franchisees’ operations;</w:t>
      </w:r>
    </w:p>
    <w:p>
      <w:pPr>
        <w:ind w:left="420" w:hanging="212"/>
        <w:spacing w:after="0" w:line="219"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maintain good relationships with our franchisees and conflicts of interest with our franchisees;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geographic concentration of our system-wide restaurant base in the southeast portion of the United States;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damage to our reputation and negative publicity;</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or failure to recognize, respond to and effectively manage the accelerated impact of social media and artificial intelligence;</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limited number of suppliers and distributors for several of our frequently used ingredients and shortages or disruptions in the supply or delivery of such ingredients;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information technology system failures or breaches of our network security;</w:t>
      </w:r>
    </w:p>
    <w:p>
      <w:pPr>
        <w:ind w:left="420" w:hanging="212"/>
        <w:spacing w:after="0" w:line="234"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potential liability with our gift cards under the property laws of some states;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failure to enforce and maintain our trademarks and protect our other intellectual property;</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litigation with respect to intellectual property assets;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dependence on our executive officers and certain other key employees;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identify, hire, train and retain qualified individuals for our workforce;</w:t>
      </w:r>
    </w:p>
    <w:p>
      <w:pPr>
        <w:ind w:left="420" w:hanging="212"/>
        <w:spacing w:after="0" w:line="219"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failure to obtain or to properly verify the employment eligibility of our employees;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failure to maintain our corporate culture as we grow;</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unionization activities among our employees;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employment and labor law proceedings;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labor shortages or increased labor costs or health care costs;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associated with leasing property subject to long-term and non-cancelable leases;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related to our sale of alcoholic beverages;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costly and complex compliance with federal, state and local laws, including trade and tax policies;</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accounting principles applicable to us;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562" w:right="299" w:bottom="1440" w:gutter="0" w:footer="0" w:header="0"/>
        </w:sectPr>
      </w:pPr>
    </w:p>
    <w:bookmarkStart w:id="7" w:name="page8"/>
    <w:bookmarkEnd w:id="7"/>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vulnerability to natural disasters, unusual weather conditions, pandemic outbreaks, political events, war and terrorism;</w:t>
      </w:r>
    </w:p>
    <w:p>
      <w:pPr>
        <w:spacing w:after="0" w:line="9" w:lineRule="exact"/>
        <w:rPr>
          <w:rFonts w:ascii="Arial" w:cs="Arial" w:eastAsia="Arial" w:hAnsi="Arial"/>
          <w:sz w:val="12"/>
          <w:szCs w:val="12"/>
          <w:color w:val="auto"/>
        </w:rPr>
      </w:pPr>
    </w:p>
    <w:p>
      <w:pPr>
        <w:ind w:left="420" w:hanging="212"/>
        <w:spacing w:after="0" w:line="234"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inability to secure additional capital to support business growth;</w:t>
      </w:r>
    </w:p>
    <w:p>
      <w:pPr>
        <w:ind w:left="420" w:hanging="212"/>
        <w:spacing w:after="0" w:line="234"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level of indebtedness;</w:t>
      </w:r>
    </w:p>
    <w:p>
      <w:pPr>
        <w:ind w:left="420" w:hanging="212"/>
        <w:spacing w:after="0" w:line="234"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failure to comply with covenants under our credit facility; and</w:t>
      </w:r>
    </w:p>
    <w:p>
      <w:pPr>
        <w:ind w:left="420" w:hanging="212"/>
        <w:spacing w:after="0" w:line="249"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uncertainty regarding the Russia and Ukraine war, war and unrest in the Middle East and the related impact on macroeconomic conditions, including inflation, as a result of such conflicts or other related events.</w:t>
      </w:r>
    </w:p>
    <w:p>
      <w:pPr>
        <w:spacing w:after="0" w:line="28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See Part I. Item 1A. “Risk Factors” in our Annual Report on Form 10-K as of and for the year ended December 28, 2025 (“2025 Form 10-K”) for a further description of these and other factors. For the reasons described above, we caution you against relying on any forward-looking statements, which should also be read in conjunction with the other cautionary statements that are included elsewhere in this press release and in our filings with the Securities and Exchange Commission (the “SEC”). Any forward-looking statement made by us in this press release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 Contact</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Steven L. Marotta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941-500-1918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investors@firstwatch.com</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Relations Contact</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Jenni Glester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407-864-5823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jglester@firstwatch.com</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1"/>
          <w:szCs w:val="11"/>
          <w:b w:val="1"/>
          <w:bCs w:val="1"/>
          <w:color w:val="auto"/>
        </w:rPr>
        <w:t>(Unaudited)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550"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Adjusted EBITDA and Adjusted EBITDA Margin</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Management uses Adjusted EBITDA and Adjusted EBITDA margin (i) as factors in evaluating management’s performance when determining incentive compensation, (ii) to evaluate the Company’s operating results and the effectiveness of our business strategies and (iii) internally as benchmarks to compare the Company’s performance to that of its competitors.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724" w:right="299" w:bottom="1440" w:gutter="0" w:footer="0" w:header="0"/>
        </w:sectPr>
      </w:pPr>
    </w:p>
    <w:bookmarkStart w:id="9" w:name="page10"/>
    <w:bookmarkEnd w:id="9"/>
    <w:p>
      <w:pPr>
        <w:ind w:left="60"/>
        <w:spacing w:after="0"/>
        <w:rPr>
          <w:sz w:val="20"/>
          <w:szCs w:val="20"/>
          <w:color w:val="auto"/>
        </w:rPr>
      </w:pPr>
      <w:r>
        <w:rPr>
          <w:rFonts w:ascii="Arial" w:cs="Arial" w:eastAsia="Arial" w:hAnsi="Arial"/>
          <w:sz w:val="14"/>
          <w:szCs w:val="14"/>
          <w:b w:val="1"/>
          <w:bCs w:val="1"/>
          <w:color w:val="auto"/>
        </w:rPr>
        <w:t>Non-GAAP Financial Measures Reconciliations</w:t>
      </w:r>
    </w:p>
    <w:p>
      <w:pPr>
        <w:spacing w:after="0" w:line="169" w:lineRule="exact"/>
        <w:rPr>
          <w:sz w:val="20"/>
          <w:szCs w:val="20"/>
          <w:color w:val="auto"/>
        </w:rPr>
      </w:pPr>
    </w:p>
    <w:p>
      <w:pPr>
        <w:ind w:left="60" w:right="20"/>
        <w:spacing w:after="0" w:line="286" w:lineRule="auto"/>
        <w:rPr>
          <w:sz w:val="20"/>
          <w:szCs w:val="20"/>
          <w:color w:val="auto"/>
        </w:rPr>
      </w:pPr>
      <w:r>
        <w:rPr>
          <w:rFonts w:ascii="Arial" w:cs="Arial" w:eastAsia="Arial" w:hAnsi="Arial"/>
          <w:sz w:val="12"/>
          <w:szCs w:val="12"/>
          <w:i w:val="1"/>
          <w:iCs w:val="1"/>
          <w:color w:val="auto"/>
        </w:rPr>
        <w:t xml:space="preserve">Adjusted EBITDA and Adjusted EBITDA margin </w:t>
      </w:r>
      <w:r>
        <w:rPr>
          <w:rFonts w:ascii="Arial" w:cs="Arial" w:eastAsia="Arial" w:hAnsi="Arial"/>
          <w:sz w:val="12"/>
          <w:szCs w:val="12"/>
          <w:color w:val="auto"/>
        </w:rPr>
        <w:t>- The following table reconciles Net income and Net income margin, the most directly comparable GAAP measures to Adjusted EBITDA and 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margin,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gridSpan w:val="4"/>
          </w:tcPr>
          <w:p>
            <w:pPr>
              <w:jc w:val="right"/>
              <w:ind w:right="966"/>
              <w:spacing w:after="0"/>
              <w:rPr>
                <w:sz w:val="20"/>
                <w:szCs w:val="20"/>
                <w:color w:val="auto"/>
              </w:rPr>
            </w:pPr>
            <w:r>
              <w:rPr>
                <w:rFonts w:ascii="Arial" w:cs="Arial" w:eastAsia="Arial" w:hAnsi="Arial"/>
                <w:sz w:val="11"/>
                <w:szCs w:val="11"/>
                <w:b w:val="1"/>
                <w:bCs w:val="1"/>
                <w:color w:val="auto"/>
              </w:rPr>
              <w:t>THIRTEEN WEEKS ENDED</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THIRTY-NINE WEEKS ENDED</w:t>
            </w:r>
          </w:p>
        </w:tc>
      </w:tr>
      <w:tr>
        <w:trPr>
          <w:trHeight w:val="133"/>
        </w:trPr>
        <w:tc>
          <w:tcPr>
            <w:tcW w:w="442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27, 2026</w:t>
            </w:r>
          </w:p>
        </w:tc>
        <w:tc>
          <w:tcPr>
            <w:tcW w:w="180" w:type="dxa"/>
            <w:vAlign w:val="bottom"/>
          </w:tcPr>
          <w:p>
            <w:pPr>
              <w:spacing w:after="0"/>
              <w:rPr>
                <w:sz w:val="11"/>
                <w:szCs w:val="11"/>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28, 2025</w:t>
            </w:r>
          </w:p>
        </w:tc>
        <w:tc>
          <w:tcPr>
            <w:tcW w:w="160" w:type="dxa"/>
            <w:vAlign w:val="bottom"/>
          </w:tcPr>
          <w:p>
            <w:pPr>
              <w:spacing w:after="0"/>
              <w:rPr>
                <w:sz w:val="11"/>
                <w:szCs w:val="11"/>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27, 2026</w:t>
            </w:r>
          </w:p>
        </w:tc>
        <w:tc>
          <w:tcPr>
            <w:tcW w:w="160" w:type="dxa"/>
            <w:vAlign w:val="bottom"/>
          </w:tcPr>
          <w:p>
            <w:pPr>
              <w:spacing w:after="0"/>
              <w:rPr>
                <w:sz w:val="11"/>
                <w:szCs w:val="11"/>
                <w:color w:val="auto"/>
              </w:rPr>
            </w:pPr>
          </w:p>
        </w:tc>
        <w:tc>
          <w:tcPr>
            <w:tcW w:w="1500" w:type="dxa"/>
            <w:vAlign w:val="bottom"/>
          </w:tcPr>
          <w:p>
            <w:pPr>
              <w:jc w:val="right"/>
              <w:ind w:right="206"/>
              <w:spacing w:after="0"/>
              <w:rPr>
                <w:sz w:val="20"/>
                <w:szCs w:val="20"/>
                <w:color w:val="auto"/>
              </w:rPr>
            </w:pPr>
            <w:r>
              <w:rPr>
                <w:rFonts w:ascii="Arial" w:cs="Arial" w:eastAsia="Arial" w:hAnsi="Arial"/>
                <w:sz w:val="11"/>
                <w:szCs w:val="11"/>
                <w:b w:val="1"/>
                <w:bCs w:val="1"/>
                <w:color w:val="auto"/>
              </w:rPr>
              <w:t>SEPTEMBER 28, 2025</w:t>
            </w:r>
          </w:p>
        </w:tc>
      </w:tr>
      <w:tr>
        <w:trPr>
          <w:trHeight w:val="133"/>
        </w:trPr>
        <w:tc>
          <w:tcPr>
            <w:tcW w:w="44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Net income</w:t>
            </w: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4,787</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2,991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4,441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4,268</w:t>
            </w:r>
          </w:p>
        </w:tc>
      </w:tr>
      <w:tr>
        <w:trPr>
          <w:trHeight w:val="143"/>
        </w:trPr>
        <w:tc>
          <w:tcPr>
            <w:tcW w:w="442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22,700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19,662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65,935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54,355</w:t>
            </w:r>
          </w:p>
        </w:tc>
      </w:tr>
      <w:tr>
        <w:trPr>
          <w:trHeight w:val="145"/>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4,933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4,567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14,603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11,904</w:t>
            </w:r>
          </w:p>
        </w:tc>
      </w:tr>
      <w:tr>
        <w:trPr>
          <w:trHeight w:val="143"/>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Income tax expense</w:t>
            </w: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1,690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2,683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1,970</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3,445</w:t>
            </w:r>
          </w:p>
        </w:tc>
      </w:tr>
      <w:tr>
        <w:trPr>
          <w:trHeight w:val="134"/>
        </w:trPr>
        <w:tc>
          <w:tcPr>
            <w:tcW w:w="442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EBITDA</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34,110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29,903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86,949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73,972</w:t>
            </w:r>
          </w:p>
        </w:tc>
      </w:tr>
      <w:tr>
        <w:trPr>
          <w:trHeight w:val="144"/>
        </w:trPr>
        <w:tc>
          <w:tcPr>
            <w:tcW w:w="4420" w:type="dxa"/>
            <w:vAlign w:val="bottom"/>
          </w:tcPr>
          <w:p>
            <w:pPr>
              <w:ind w:left="220"/>
              <w:spacing w:after="0" w:line="144" w:lineRule="exact"/>
              <w:rPr>
                <w:sz w:val="20"/>
                <w:szCs w:val="20"/>
                <w:color w:val="auto"/>
              </w:rPr>
            </w:pPr>
            <w:r>
              <w:rPr>
                <w:rFonts w:ascii="Arial" w:cs="Arial" w:eastAsia="Arial" w:hAnsi="Arial"/>
                <w:sz w:val="11"/>
                <w:szCs w:val="11"/>
                <w:color w:val="auto"/>
              </w:rPr>
              <w:t xml:space="preserve">Strategic transition costs </w:t>
            </w:r>
            <w:r>
              <w:rPr>
                <w:rFonts w:ascii="Arial" w:cs="Arial" w:eastAsia="Arial" w:hAnsi="Arial"/>
                <w:sz w:val="14"/>
                <w:szCs w:val="14"/>
                <w:color w:val="auto"/>
                <w:vertAlign w:val="superscript"/>
              </w:rPr>
              <w:t>(1)</w:t>
            </w: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509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715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1,113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2,748</w:t>
            </w:r>
          </w:p>
        </w:tc>
      </w:tr>
      <w:tr>
        <w:trPr>
          <w:trHeight w:val="144"/>
        </w:trPr>
        <w:tc>
          <w:tcPr>
            <w:tcW w:w="4420" w:type="dxa"/>
            <w:vAlign w:val="bottom"/>
            <w:shd w:val="clear" w:color="auto" w:fill="CCEEFF"/>
          </w:tcPr>
          <w:p>
            <w:pPr>
              <w:ind w:left="220"/>
              <w:spacing w:after="0" w:line="144" w:lineRule="exact"/>
              <w:rPr>
                <w:sz w:val="20"/>
                <w:szCs w:val="20"/>
                <w:color w:val="auto"/>
              </w:rPr>
            </w:pPr>
            <w:r>
              <w:rPr>
                <w:rFonts w:ascii="Arial" w:cs="Arial" w:eastAsia="Arial" w:hAnsi="Arial"/>
                <w:sz w:val="11"/>
                <w:szCs w:val="11"/>
                <w:color w:val="auto"/>
              </w:rPr>
              <w:t xml:space="preserve">Stock-based compensation, net of amounts capitalized </w:t>
            </w:r>
            <w:r>
              <w:rPr>
                <w:rFonts w:ascii="Arial" w:cs="Arial" w:eastAsia="Arial" w:hAnsi="Arial"/>
                <w:sz w:val="14"/>
                <w:szCs w:val="14"/>
                <w:color w:val="auto"/>
                <w:vertAlign w:val="superscript"/>
              </w:rPr>
              <w:t>(2)</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3,639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10,688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7,926</w:t>
            </w:r>
          </w:p>
        </w:tc>
      </w:tr>
      <w:tr>
        <w:trPr>
          <w:trHeight w:val="144"/>
        </w:trPr>
        <w:tc>
          <w:tcPr>
            <w:tcW w:w="4420" w:type="dxa"/>
            <w:vAlign w:val="bottom"/>
          </w:tcPr>
          <w:p>
            <w:pPr>
              <w:ind w:left="220"/>
              <w:spacing w:after="0" w:line="144" w:lineRule="exact"/>
              <w:rPr>
                <w:sz w:val="20"/>
                <w:szCs w:val="20"/>
                <w:color w:val="auto"/>
              </w:rPr>
            </w:pPr>
            <w:r>
              <w:rPr>
                <w:rFonts w:ascii="Arial" w:cs="Arial" w:eastAsia="Arial" w:hAnsi="Arial"/>
                <w:sz w:val="11"/>
                <w:szCs w:val="11"/>
                <w:color w:val="auto"/>
              </w:rPr>
              <w:t xml:space="preserve">Delaware Voluntary Disclosure Agreement Program </w:t>
            </w:r>
            <w:r>
              <w:rPr>
                <w:rFonts w:ascii="Arial" w:cs="Arial" w:eastAsia="Arial" w:hAnsi="Arial"/>
                <w:sz w:val="14"/>
                <w:szCs w:val="14"/>
                <w:color w:val="auto"/>
                <w:vertAlign w:val="superscript"/>
              </w:rPr>
              <w:t>(3)</w:t>
            </w:r>
          </w:p>
        </w:tc>
        <w:tc>
          <w:tcPr>
            <w:tcW w:w="18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54</w:t>
            </w:r>
          </w:p>
        </w:tc>
      </w:tr>
      <w:tr>
        <w:trPr>
          <w:trHeight w:val="144"/>
        </w:trPr>
        <w:tc>
          <w:tcPr>
            <w:tcW w:w="4420" w:type="dxa"/>
            <w:vAlign w:val="bottom"/>
            <w:shd w:val="clear" w:color="auto" w:fill="CCEEFF"/>
          </w:tcPr>
          <w:p>
            <w:pPr>
              <w:ind w:left="220"/>
              <w:spacing w:after="0" w:line="144" w:lineRule="exact"/>
              <w:rPr>
                <w:sz w:val="20"/>
                <w:szCs w:val="20"/>
                <w:color w:val="auto"/>
              </w:rPr>
            </w:pPr>
            <w:r>
              <w:rPr>
                <w:rFonts w:ascii="Arial" w:cs="Arial" w:eastAsia="Arial" w:hAnsi="Arial"/>
                <w:sz w:val="11"/>
                <w:szCs w:val="11"/>
                <w:color w:val="auto"/>
              </w:rPr>
              <w:t xml:space="preserve">Transaction and restructuring expenses, net </w:t>
            </w:r>
            <w:r>
              <w:rPr>
                <w:rFonts w:ascii="Arial" w:cs="Arial" w:eastAsia="Arial" w:hAnsi="Arial"/>
                <w:sz w:val="14"/>
                <w:szCs w:val="14"/>
                <w:color w:val="auto"/>
                <w:vertAlign w:val="superscript"/>
              </w:rPr>
              <w:t>(4)</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2,828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2,220</w:t>
            </w:r>
          </w:p>
        </w:tc>
      </w:tr>
      <w:tr>
        <w:trPr>
          <w:trHeight w:val="144"/>
        </w:trPr>
        <w:tc>
          <w:tcPr>
            <w:tcW w:w="4420" w:type="dxa"/>
            <w:vAlign w:val="bottom"/>
          </w:tcPr>
          <w:p>
            <w:pPr>
              <w:ind w:left="220"/>
              <w:spacing w:after="0" w:line="144" w:lineRule="exact"/>
              <w:rPr>
                <w:sz w:val="20"/>
                <w:szCs w:val="20"/>
                <w:color w:val="auto"/>
              </w:rPr>
            </w:pPr>
            <w:r>
              <w:rPr>
                <w:rFonts w:ascii="Arial" w:cs="Arial" w:eastAsia="Arial" w:hAnsi="Arial"/>
                <w:sz w:val="11"/>
                <w:szCs w:val="11"/>
                <w:color w:val="auto"/>
              </w:rPr>
              <w:t xml:space="preserve">Impairments and loss on disposal of assets </w:t>
            </w:r>
            <w:r>
              <w:rPr>
                <w:rFonts w:ascii="Arial" w:cs="Arial" w:eastAsia="Arial" w:hAnsi="Arial"/>
                <w:sz w:val="14"/>
                <w:szCs w:val="14"/>
                <w:color w:val="auto"/>
                <w:vertAlign w:val="superscript"/>
              </w:rPr>
              <w:t>(5)</w:t>
            </w: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437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311</w:t>
            </w:r>
          </w:p>
        </w:tc>
      </w:tr>
      <w:tr>
        <w:trPr>
          <w:trHeight w:val="16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39,748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34,099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102,015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87,231</w:t>
            </w:r>
          </w:p>
        </w:tc>
      </w:tr>
      <w:tr>
        <w:trPr>
          <w:trHeight w:val="162"/>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44"/>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349,861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316,022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1,035,492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906,149</w:t>
            </w:r>
          </w:p>
        </w:tc>
      </w:tr>
      <w:tr>
        <w:trPr>
          <w:trHeight w:val="143"/>
        </w:trPr>
        <w:tc>
          <w:tcPr>
            <w:tcW w:w="4420" w:type="dxa"/>
            <w:vAlign w:val="bottom"/>
          </w:tcPr>
          <w:p>
            <w:pPr>
              <w:ind w:left="220"/>
              <w:spacing w:after="0"/>
              <w:rPr>
                <w:sz w:val="20"/>
                <w:szCs w:val="20"/>
                <w:color w:val="auto"/>
              </w:rPr>
            </w:pPr>
            <w:r>
              <w:rPr>
                <w:rFonts w:ascii="Arial" w:cs="Arial" w:eastAsia="Arial" w:hAnsi="Arial"/>
                <w:sz w:val="11"/>
                <w:szCs w:val="11"/>
                <w:color w:val="auto"/>
              </w:rPr>
              <w:t>Net income margin</w:t>
            </w: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0.9 %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0.4 %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0.5 %</w:t>
            </w:r>
          </w:p>
        </w:tc>
      </w:tr>
      <w:tr>
        <w:trPr>
          <w:trHeight w:val="145"/>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Adjusted EBITDA margin</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9.6 %</w:t>
            </w:r>
          </w:p>
        </w:tc>
      </w:tr>
      <w:tr>
        <w:trPr>
          <w:trHeight w:val="180"/>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44"/>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information</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86"/>
        </w:trPr>
        <w:tc>
          <w:tcPr>
            <w:tcW w:w="44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 xml:space="preserve">Deferred rent </w:t>
            </w:r>
            <w:r>
              <w:rPr>
                <w:rFonts w:ascii="Times New Roman" w:cs="Times New Roman" w:eastAsia="Times New Roman" w:hAnsi="Times New Roman"/>
                <w:sz w:val="14"/>
                <w:szCs w:val="14"/>
                <w:color w:val="auto"/>
                <w:vertAlign w:val="superscript"/>
              </w:rPr>
              <w:t>(6)</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46"/>
              <w:spacing w:after="0"/>
              <w:rPr>
                <w:sz w:val="20"/>
                <w:szCs w:val="20"/>
                <w:color w:val="auto"/>
              </w:rPr>
            </w:pPr>
            <w:r>
              <w:rPr>
                <w:rFonts w:ascii="Arial" w:cs="Arial" w:eastAsia="Arial" w:hAnsi="Arial"/>
                <w:sz w:val="11"/>
                <w:szCs w:val="11"/>
                <w:color w:val="auto"/>
              </w:rPr>
              <w:t>(337)</w:t>
            </w:r>
          </w:p>
        </w:tc>
        <w:tc>
          <w:tcPr>
            <w:tcW w:w="80" w:type="dxa"/>
            <w:vAlign w:val="bottom"/>
          </w:tcPr>
          <w:p>
            <w:pPr>
              <w:spacing w:after="0"/>
              <w:rPr>
                <w:sz w:val="16"/>
                <w:szCs w:val="16"/>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46"/>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6"/>
                <w:szCs w:val="16"/>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(836)</w:t>
            </w:r>
          </w:p>
        </w:tc>
        <w:tc>
          <w:tcPr>
            <w:tcW w:w="8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337</w:t>
            </w: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___________________________</w:t>
      </w:r>
    </w:p>
    <w:p>
      <w:pPr>
        <w:spacing w:after="0" w:line="20" w:lineRule="exact"/>
        <w:rPr>
          <w:sz w:val="20"/>
          <w:szCs w:val="20"/>
          <w:color w:val="auto"/>
        </w:rPr>
      </w:pPr>
    </w:p>
    <w:p>
      <w:pPr>
        <w:ind w:left="220" w:hanging="168"/>
        <w:spacing w:after="0"/>
        <w:tabs>
          <w:tab w:leader="none" w:pos="22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costs related to process improvements and strategic initiatives. These costs are recorded within General and administrative expenses on the Consolidated Statements of Operations and Comprehensive Income.</w:t>
      </w:r>
    </w:p>
    <w:p>
      <w:pPr>
        <w:ind w:left="220" w:hanging="168"/>
        <w:spacing w:after="0"/>
        <w:tabs>
          <w:tab w:leader="none" w:pos="22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net of amounts capitalized, which is recorded within General and administrative expenses on the Consolidated Statements of Operations and Comprehensive Income.</w:t>
      </w:r>
    </w:p>
    <w:p>
      <w:pPr>
        <w:spacing w:after="0" w:line="5" w:lineRule="exact"/>
        <w:rPr>
          <w:rFonts w:ascii="Arial" w:cs="Arial" w:eastAsia="Arial" w:hAnsi="Arial"/>
          <w:sz w:val="11"/>
          <w:szCs w:val="11"/>
          <w:color w:val="auto"/>
        </w:rPr>
      </w:pPr>
    </w:p>
    <w:p>
      <w:pPr>
        <w:ind w:left="60" w:hanging="8"/>
        <w:spacing w:after="0" w:line="247" w:lineRule="auto"/>
        <w:tabs>
          <w:tab w:leader="none" w:pos="222"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60" w:right="20" w:hanging="8"/>
        <w:spacing w:after="0" w:line="242" w:lineRule="auto"/>
        <w:tabs>
          <w:tab w:leader="none" w:pos="223"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severance costs resulting from organizational optimization, costs incurred in connection with the acquisition of franchise-owned restaurants, non-recurring professional fees, secondary equity offering costs, costs related to restaurant closures and investor relations costs.</w:t>
      </w:r>
    </w:p>
    <w:p>
      <w:pPr>
        <w:ind w:left="220" w:hanging="168"/>
        <w:spacing w:after="0"/>
        <w:tabs>
          <w:tab w:leader="none" w:pos="22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impairment charges and costs related to the disposal of assets due to retirements, replacements and restaurant closures.</w:t>
      </w:r>
    </w:p>
    <w:p>
      <w:pPr>
        <w:spacing w:after="0" w:line="5" w:lineRule="exact"/>
        <w:rPr>
          <w:rFonts w:ascii="Arial" w:cs="Arial" w:eastAsia="Arial" w:hAnsi="Arial"/>
          <w:sz w:val="11"/>
          <w:szCs w:val="11"/>
          <w:color w:val="auto"/>
        </w:rPr>
      </w:pPr>
    </w:p>
    <w:p>
      <w:pPr>
        <w:ind w:left="220" w:hanging="168"/>
        <w:spacing w:after="0"/>
        <w:tabs>
          <w:tab w:leader="none" w:pos="22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the non-cash portion of straight-line rent recorded within both Occupancy expenses and General and administrative expenses on the Consolidated Statements of Operations and Comprehensive Income.</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60"/>
          </w:cols>
          <w:pgMar w:left="240" w:top="778"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4"/>
          <w:szCs w:val="14"/>
          <w:b w:val="1"/>
          <w:bCs w:val="1"/>
          <w:color w:val="auto"/>
        </w:rPr>
        <w:t>Restaurant level operating profit and Restaurant level operating profit margin</w:t>
      </w:r>
    </w:p>
    <w:p>
      <w:pPr>
        <w:spacing w:after="0" w:line="17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Restaurant level operating profit and Restaurant level operating profit margin are not indicative of our overall results and, because they exclude corporate-level expenses, do not accrue directly to the benefit of our stockholders. We will continue to incur such expenses in the future. Restaurant level operating profit and Restaurant level operating profit margin are important measures we use to evaluate the performance and profitability of each operating restaurant, individually and in the aggregate and to make decisions regarding future spending and other operational decisions. We believe that Restaurant level operating profit and Restaurant level operating profit margin provide useful information about our operating results, identify operational trends and allow for transparency with respect to key metrics used by us in our financial and operational decision-making.</w:t>
      </w:r>
    </w:p>
    <w:p>
      <w:pPr>
        <w:spacing w:after="0" w:line="137"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2"/>
          <w:szCs w:val="12"/>
          <w:color w:val="auto"/>
        </w:rPr>
        <w:t>The following tables reconcile Income from operations and Income from operations margin, the most directly comparable GAAP financial measures, to Restaurant level operating profit and Restaurant level operating profit margin for the periods indicated:</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4"/>
          </w:tcPr>
          <w:p>
            <w:pPr>
              <w:jc w:val="right"/>
              <w:ind w:right="966"/>
              <w:spacing w:after="0"/>
              <w:rPr>
                <w:sz w:val="20"/>
                <w:szCs w:val="20"/>
                <w:color w:val="auto"/>
              </w:rPr>
            </w:pPr>
            <w:r>
              <w:rPr>
                <w:rFonts w:ascii="Arial" w:cs="Arial" w:eastAsia="Arial" w:hAnsi="Arial"/>
                <w:sz w:val="11"/>
                <w:szCs w:val="11"/>
                <w:b w:val="1"/>
                <w:bCs w:val="1"/>
                <w:color w:val="auto"/>
              </w:rPr>
              <w:t>THIRTEEN WEEKS ENDED</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THIRTY-NINE WEEKS ENDED</w:t>
            </w:r>
          </w:p>
        </w:tc>
      </w:tr>
      <w:tr>
        <w:trPr>
          <w:trHeight w:val="133"/>
        </w:trPr>
        <w:tc>
          <w:tcPr>
            <w:tcW w:w="44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Pr>
          <w:p>
            <w:pPr>
              <w:spacing w:after="0"/>
              <w:rPr>
                <w:sz w:val="11"/>
                <w:szCs w:val="11"/>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27, 2026</w:t>
            </w:r>
          </w:p>
        </w:tc>
        <w:tc>
          <w:tcPr>
            <w:tcW w:w="160" w:type="dxa"/>
            <w:vAlign w:val="bottom"/>
          </w:tcPr>
          <w:p>
            <w:pPr>
              <w:spacing w:after="0"/>
              <w:rPr>
                <w:sz w:val="11"/>
                <w:szCs w:val="11"/>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28, 2025</w:t>
            </w:r>
          </w:p>
        </w:tc>
        <w:tc>
          <w:tcPr>
            <w:tcW w:w="160" w:type="dxa"/>
            <w:vAlign w:val="bottom"/>
          </w:tcPr>
          <w:p>
            <w:pPr>
              <w:spacing w:after="0"/>
              <w:rPr>
                <w:sz w:val="11"/>
                <w:szCs w:val="11"/>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27, 2026</w:t>
            </w:r>
          </w:p>
        </w:tc>
        <w:tc>
          <w:tcPr>
            <w:tcW w:w="160" w:type="dxa"/>
            <w:vAlign w:val="bottom"/>
          </w:tcPr>
          <w:p>
            <w:pPr>
              <w:spacing w:after="0"/>
              <w:rPr>
                <w:sz w:val="11"/>
                <w:szCs w:val="11"/>
                <w:color w:val="auto"/>
              </w:rPr>
            </w:pPr>
          </w:p>
        </w:tc>
        <w:tc>
          <w:tcPr>
            <w:tcW w:w="1500" w:type="dxa"/>
            <w:vAlign w:val="bottom"/>
          </w:tcPr>
          <w:p>
            <w:pPr>
              <w:jc w:val="right"/>
              <w:ind w:right="226"/>
              <w:spacing w:after="0"/>
              <w:rPr>
                <w:sz w:val="20"/>
                <w:szCs w:val="20"/>
                <w:color w:val="auto"/>
              </w:rPr>
            </w:pPr>
            <w:r>
              <w:rPr>
                <w:rFonts w:ascii="Arial" w:cs="Arial" w:eastAsia="Arial" w:hAnsi="Arial"/>
                <w:sz w:val="11"/>
                <w:szCs w:val="11"/>
                <w:b w:val="1"/>
                <w:bCs w:val="1"/>
                <w:color w:val="auto"/>
              </w:rPr>
              <w:t>SEPTEMBER 28, 2025</w:t>
            </w:r>
          </w:p>
        </w:tc>
      </w:tr>
      <w:tr>
        <w:trPr>
          <w:trHeight w:val="133"/>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from operations</w:t>
            </w: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11,048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10,050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20,174</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18,476</w:t>
            </w:r>
          </w:p>
        </w:tc>
      </w:tr>
      <w:tr>
        <w:trPr>
          <w:trHeight w:val="143"/>
        </w:trPr>
        <w:tc>
          <w:tcPr>
            <w:tcW w:w="4420" w:type="dxa"/>
            <w:vAlign w:val="bottom"/>
          </w:tcPr>
          <w:p>
            <w:pPr>
              <w:ind w:left="220"/>
              <w:spacing w:after="0"/>
              <w:rPr>
                <w:sz w:val="20"/>
                <w:szCs w:val="20"/>
                <w:color w:val="auto"/>
              </w:rPr>
            </w:pPr>
            <w:r>
              <w:rPr>
                <w:rFonts w:ascii="Arial" w:cs="Arial" w:eastAsia="Arial" w:hAnsi="Arial"/>
                <w:sz w:val="11"/>
                <w:szCs w:val="11"/>
                <w:color w:val="auto"/>
              </w:rPr>
              <w:t>Less: Franchise revenues</w:t>
            </w:r>
          </w:p>
        </w:tc>
        <w:tc>
          <w:tcPr>
            <w:tcW w:w="160" w:type="dxa"/>
            <w:vAlign w:val="bottom"/>
          </w:tcPr>
          <w:p>
            <w:pPr>
              <w:spacing w:after="0"/>
              <w:rPr>
                <w:sz w:val="12"/>
                <w:szCs w:val="12"/>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(3,139)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(2,386)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ind w:right="46"/>
              <w:spacing w:after="0"/>
              <w:rPr>
                <w:sz w:val="20"/>
                <w:szCs w:val="20"/>
                <w:color w:val="auto"/>
              </w:rPr>
            </w:pPr>
            <w:r>
              <w:rPr>
                <w:rFonts w:ascii="Arial" w:cs="Arial" w:eastAsia="Arial" w:hAnsi="Arial"/>
                <w:sz w:val="11"/>
                <w:szCs w:val="11"/>
                <w:color w:val="auto"/>
              </w:rPr>
              <w:t>(9,141)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(7,939)</w:t>
            </w:r>
          </w:p>
        </w:tc>
      </w:tr>
      <w:tr>
        <w:trPr>
          <w:trHeight w:val="145"/>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Add:</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3"/>
        </w:trPr>
        <w:tc>
          <w:tcPr>
            <w:tcW w:w="4420" w:type="dxa"/>
            <w:vAlign w:val="bottom"/>
          </w:tcPr>
          <w:p>
            <w:pPr>
              <w:ind w:left="220"/>
              <w:spacing w:after="0"/>
              <w:rPr>
                <w:sz w:val="20"/>
                <w:szCs w:val="20"/>
                <w:color w:val="auto"/>
              </w:rPr>
            </w:pPr>
            <w:r>
              <w:rPr>
                <w:rFonts w:ascii="Arial" w:cs="Arial" w:eastAsia="Arial" w:hAnsi="Arial"/>
                <w:sz w:val="11"/>
                <w:szCs w:val="11"/>
                <w:color w:val="auto"/>
              </w:rPr>
              <w:t>General and administrative expenses</w:t>
            </w: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35,244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33,746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113,916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97,150</w:t>
            </w:r>
          </w:p>
        </w:tc>
      </w:tr>
      <w:tr>
        <w:trPr>
          <w:trHeight w:val="145"/>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Depreciation and amortization</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22,700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19,662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54,355</w:t>
            </w:r>
          </w:p>
        </w:tc>
      </w:tr>
      <w:tr>
        <w:trPr>
          <w:trHeight w:val="144"/>
        </w:trPr>
        <w:tc>
          <w:tcPr>
            <w:tcW w:w="4420" w:type="dxa"/>
            <w:vAlign w:val="bottom"/>
          </w:tcPr>
          <w:p>
            <w:pPr>
              <w:ind w:left="220"/>
              <w:spacing w:after="0" w:line="144" w:lineRule="exact"/>
              <w:rPr>
                <w:sz w:val="20"/>
                <w:szCs w:val="20"/>
                <w:color w:val="auto"/>
              </w:rPr>
            </w:pPr>
            <w:r>
              <w:rPr>
                <w:rFonts w:ascii="Arial" w:cs="Arial" w:eastAsia="Arial" w:hAnsi="Arial"/>
                <w:sz w:val="11"/>
                <w:szCs w:val="11"/>
                <w:color w:val="auto"/>
              </w:rPr>
              <w:t xml:space="preserve">Transaction and restructuring expenses, net </w:t>
            </w:r>
            <w:r>
              <w:rPr>
                <w:rFonts w:ascii="Arial" w:cs="Arial" w:eastAsia="Arial" w:hAnsi="Arial"/>
                <w:sz w:val="14"/>
                <w:szCs w:val="14"/>
                <w:color w:val="auto"/>
                <w:vertAlign w:val="superscript"/>
              </w:rPr>
              <w:t>(1)</w:t>
            </w: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1,320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428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2,828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2,220</w:t>
            </w:r>
          </w:p>
        </w:tc>
      </w:tr>
      <w:tr>
        <w:trPr>
          <w:trHeight w:val="144"/>
        </w:trPr>
        <w:tc>
          <w:tcPr>
            <w:tcW w:w="4420" w:type="dxa"/>
            <w:vAlign w:val="bottom"/>
            <w:shd w:val="clear" w:color="auto" w:fill="CCEEFF"/>
          </w:tcPr>
          <w:p>
            <w:pPr>
              <w:ind w:left="220"/>
              <w:spacing w:after="0" w:line="144" w:lineRule="exact"/>
              <w:rPr>
                <w:sz w:val="20"/>
                <w:szCs w:val="20"/>
                <w:color w:val="auto"/>
              </w:rPr>
            </w:pPr>
            <w:r>
              <w:rPr>
                <w:rFonts w:ascii="Arial" w:cs="Arial" w:eastAsia="Arial" w:hAnsi="Arial"/>
                <w:sz w:val="11"/>
                <w:szCs w:val="11"/>
                <w:color w:val="auto"/>
              </w:rPr>
              <w:t xml:space="preserve">Impairments and loss on disposal of assets </w:t>
            </w:r>
            <w:r>
              <w:rPr>
                <w:rFonts w:ascii="Arial" w:cs="Arial" w:eastAsia="Arial" w:hAnsi="Arial"/>
                <w:sz w:val="14"/>
                <w:szCs w:val="14"/>
                <w:color w:val="auto"/>
                <w:vertAlign w:val="superscript"/>
              </w:rPr>
              <w:t>(2)</w:t>
            </w:r>
          </w:p>
        </w:tc>
        <w:tc>
          <w:tcPr>
            <w:tcW w:w="1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175</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437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311</w:t>
            </w:r>
          </w:p>
        </w:tc>
      </w:tr>
      <w:tr>
        <w:trPr>
          <w:trHeight w:val="132"/>
        </w:trPr>
        <w:tc>
          <w:tcPr>
            <w:tcW w:w="4420" w:type="dxa"/>
            <w:vAlign w:val="bottom"/>
          </w:tcPr>
          <w:p>
            <w:pPr>
              <w:spacing w:after="0" w:line="122" w:lineRule="exact"/>
              <w:rPr>
                <w:sz w:val="20"/>
                <w:szCs w:val="20"/>
                <w:color w:val="auto"/>
              </w:rPr>
            </w:pPr>
            <w:r>
              <w:rPr>
                <w:rFonts w:ascii="Arial" w:cs="Arial" w:eastAsia="Arial" w:hAnsi="Arial"/>
                <w:sz w:val="11"/>
                <w:szCs w:val="11"/>
                <w:color w:val="auto"/>
              </w:rPr>
              <w:t>Restaurant level operating profit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67,343</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61,675</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194,149</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164,573</w:t>
            </w:r>
          </w:p>
        </w:tc>
      </w:tr>
      <w:tr>
        <w:trPr>
          <w:trHeight w:val="181"/>
        </w:trPr>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1"/>
                <w:szCs w:val="11"/>
                <w:color w:val="auto"/>
              </w:rPr>
              <w:t>Restaurant sales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346,722</w:t>
            </w:r>
          </w:p>
        </w:tc>
        <w:tc>
          <w:tcPr>
            <w:tcW w:w="8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313,636</w:t>
            </w:r>
          </w:p>
        </w:tc>
        <w:tc>
          <w:tcPr>
            <w:tcW w:w="8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1,026,351</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86"/>
              <w:spacing w:after="0"/>
              <w:rPr>
                <w:sz w:val="20"/>
                <w:szCs w:val="20"/>
                <w:color w:val="auto"/>
              </w:rPr>
            </w:pPr>
            <w:r>
              <w:rPr>
                <w:rFonts w:ascii="Arial" w:cs="Arial" w:eastAsia="Arial" w:hAnsi="Arial"/>
                <w:sz w:val="11"/>
                <w:szCs w:val="11"/>
                <w:color w:val="auto"/>
              </w:rPr>
              <w:t>898,210</w:t>
            </w:r>
          </w:p>
        </w:tc>
      </w:tr>
      <w:tr>
        <w:trPr>
          <w:trHeight w:val="145"/>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Income from operations margin</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2.1 %</w:t>
            </w:r>
          </w:p>
        </w:tc>
      </w:tr>
      <w:tr>
        <w:trPr>
          <w:trHeight w:val="143"/>
        </w:trPr>
        <w:tc>
          <w:tcPr>
            <w:tcW w:w="4420" w:type="dxa"/>
            <w:vAlign w:val="bottom"/>
          </w:tcPr>
          <w:p>
            <w:pPr>
              <w:ind w:left="220"/>
              <w:spacing w:after="0"/>
              <w:rPr>
                <w:sz w:val="20"/>
                <w:szCs w:val="20"/>
                <w:color w:val="auto"/>
              </w:rPr>
            </w:pPr>
            <w:r>
              <w:rPr>
                <w:rFonts w:ascii="Arial" w:cs="Arial" w:eastAsia="Arial" w:hAnsi="Arial"/>
                <w:sz w:val="11"/>
                <w:szCs w:val="11"/>
                <w:color w:val="auto"/>
              </w:rPr>
              <w:t>Restaurant level operating profit margin</w:t>
            </w:r>
          </w:p>
        </w:tc>
        <w:tc>
          <w:tcPr>
            <w:tcW w:w="1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19.4 %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19.7 %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18.9 %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18.3 %</w:t>
            </w:r>
          </w:p>
        </w:tc>
      </w:tr>
      <w:tr>
        <w:trPr>
          <w:trHeight w:val="181"/>
        </w:trPr>
        <w:tc>
          <w:tcPr>
            <w:tcW w:w="4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1"/>
                <w:szCs w:val="11"/>
                <w:color w:val="auto"/>
              </w:rPr>
              <w:t>Additional information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5"/>
        </w:trPr>
        <w:tc>
          <w:tcPr>
            <w:tcW w:w="44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1"/>
                <w:szCs w:val="11"/>
                <w:color w:val="auto"/>
              </w:rPr>
              <w:t>Deferred rent</w:t>
            </w:r>
            <w:r>
              <w:rPr>
                <w:rFonts w:ascii="Times New Roman" w:cs="Times New Roman" w:eastAsia="Times New Roman" w:hAnsi="Times New Roman"/>
                <w:sz w:val="14"/>
                <w:szCs w:val="14"/>
                <w:color w:val="auto"/>
                <w:vertAlign w:val="superscript"/>
              </w:rPr>
              <w:t>(3)</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211</w:t>
            </w: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____________________________</w:t>
      </w:r>
    </w:p>
    <w:p>
      <w:pPr>
        <w:spacing w:after="0" w:line="21" w:lineRule="exact"/>
        <w:rPr>
          <w:sz w:val="20"/>
          <w:szCs w:val="20"/>
          <w:color w:val="auto"/>
        </w:rPr>
      </w:pPr>
    </w:p>
    <w:p>
      <w:pPr>
        <w:ind w:left="8" w:right="20" w:hanging="8"/>
        <w:spacing w:after="0" w:line="244" w:lineRule="auto"/>
        <w:tabs>
          <w:tab w:leader="none" w:pos="171"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severance costs resulting from organizational optimization, costs incurred in connection with the acquisition of franchise-owned restaurants, non-recurring professional fees, secondary equity offering costs, costs related to restaurant closures and investor relations costs.</w:t>
      </w:r>
    </w:p>
    <w:p>
      <w:pPr>
        <w:ind w:left="168" w:hanging="168"/>
        <w:spacing w:after="0"/>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impairment charges and costs related to the disposal of assets due to retirements, replacements and restaurant closures.</w:t>
      </w:r>
    </w:p>
    <w:p>
      <w:pPr>
        <w:spacing w:after="0" w:line="2" w:lineRule="exact"/>
        <w:rPr>
          <w:rFonts w:ascii="Arial" w:cs="Arial" w:eastAsia="Arial" w:hAnsi="Arial"/>
          <w:sz w:val="11"/>
          <w:szCs w:val="11"/>
          <w:color w:val="auto"/>
        </w:rPr>
      </w:pPr>
    </w:p>
    <w:p>
      <w:pPr>
        <w:ind w:left="168" w:hanging="168"/>
        <w:spacing w:after="0"/>
        <w:tabs>
          <w:tab w:leader="none" w:pos="168"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the non-cash portion of straight-line rent recorded within Occupancy expenses on the Consolidated Statements of Operations and Comprehensive Income.</w:t>
      </w: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8"/>
          </w:cols>
          <w:pgMar w:left="292" w:top="562" w:right="2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b w:val="1"/>
          <w:bCs w:val="1"/>
          <w:color w:val="auto"/>
        </w:rPr>
        <w:t>FIRST WATCH RESTAURANT GROUP,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 AND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THIRTEEN WEEKS ENDED</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4"/>
          </w:tcPr>
          <w:p>
            <w:pPr>
              <w:jc w:val="right"/>
              <w:ind w:right="806"/>
              <w:spacing w:after="0"/>
              <w:rPr>
                <w:sz w:val="20"/>
                <w:szCs w:val="20"/>
                <w:color w:val="auto"/>
              </w:rPr>
            </w:pPr>
            <w:r>
              <w:rPr>
                <w:rFonts w:ascii="Arial" w:cs="Arial" w:eastAsia="Arial" w:hAnsi="Arial"/>
                <w:sz w:val="11"/>
                <w:szCs w:val="11"/>
                <w:b w:val="1"/>
                <w:bCs w:val="1"/>
                <w:color w:val="auto"/>
              </w:rPr>
              <w:t>THIRTY-NINE WEEKS ENDED</w:t>
            </w:r>
          </w:p>
        </w:tc>
      </w:tr>
      <w:tr>
        <w:trPr>
          <w:trHeight w:val="133"/>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27, 2026</w:t>
            </w:r>
          </w:p>
        </w:tc>
        <w:tc>
          <w:tcPr>
            <w:tcW w:w="140" w:type="dxa"/>
            <w:vAlign w:val="bottom"/>
          </w:tcPr>
          <w:p>
            <w:pPr>
              <w:spacing w:after="0"/>
              <w:rPr>
                <w:sz w:val="11"/>
                <w:szCs w:val="11"/>
                <w:color w:val="auto"/>
              </w:rPr>
            </w:pPr>
          </w:p>
        </w:tc>
        <w:tc>
          <w:tcPr>
            <w:tcW w:w="158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28, 2025</w:t>
            </w:r>
          </w:p>
        </w:tc>
        <w:tc>
          <w:tcPr>
            <w:tcW w:w="16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27, 2026</w:t>
            </w:r>
          </w:p>
        </w:tc>
        <w:tc>
          <w:tcPr>
            <w:tcW w:w="160" w:type="dxa"/>
            <w:vAlign w:val="bottom"/>
          </w:tcPr>
          <w:p>
            <w:pPr>
              <w:spacing w:after="0"/>
              <w:rPr>
                <w:sz w:val="11"/>
                <w:szCs w:val="11"/>
                <w:color w:val="auto"/>
              </w:rPr>
            </w:pPr>
          </w:p>
        </w:tc>
        <w:tc>
          <w:tcPr>
            <w:tcW w:w="1420" w:type="dxa"/>
            <w:vAlign w:val="bottom"/>
          </w:tcPr>
          <w:p>
            <w:pPr>
              <w:jc w:val="right"/>
              <w:ind w:right="186"/>
              <w:spacing w:after="0"/>
              <w:rPr>
                <w:sz w:val="20"/>
                <w:szCs w:val="20"/>
                <w:color w:val="auto"/>
              </w:rPr>
            </w:pPr>
            <w:r>
              <w:rPr>
                <w:rFonts w:ascii="Arial" w:cs="Arial" w:eastAsia="Arial" w:hAnsi="Arial"/>
                <w:sz w:val="11"/>
                <w:szCs w:val="11"/>
                <w:b w:val="1"/>
                <w:bCs w:val="1"/>
                <w:color w:val="auto"/>
              </w:rPr>
              <w:t>SEPTEMBER 28, 2025</w:t>
            </w:r>
          </w:p>
        </w:tc>
      </w:tr>
      <w:tr>
        <w:trPr>
          <w:trHeight w:val="124"/>
        </w:trPr>
        <w:tc>
          <w:tcPr>
            <w:tcW w:w="46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Revenues</w:t>
            </w:r>
          </w:p>
        </w:tc>
        <w:tc>
          <w:tcPr>
            <w:tcW w:w="16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Restaurant sales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346,722</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313,636</w:t>
            </w:r>
          </w:p>
        </w:tc>
        <w:tc>
          <w:tcPr>
            <w:tcW w:w="1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1,026,351</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898,210</w:t>
            </w: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Franchise revenues</w:t>
            </w: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3,139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2,386</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9,141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7,939</w:t>
            </w:r>
          </w:p>
        </w:tc>
      </w:tr>
      <w:tr>
        <w:trPr>
          <w:trHeight w:val="132"/>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349,861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316,022</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1,035,492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906,149</w:t>
            </w:r>
          </w:p>
        </w:tc>
      </w:tr>
      <w:tr>
        <w:trPr>
          <w:trHeight w:val="125"/>
        </w:trPr>
        <w:tc>
          <w:tcPr>
            <w:tcW w:w="4680" w:type="dxa"/>
            <w:vAlign w:val="bottom"/>
            <w:shd w:val="clear" w:color="auto" w:fill="CCEEFF"/>
          </w:tcPr>
          <w:p>
            <w:pPr>
              <w:spacing w:after="0" w:line="125" w:lineRule="exact"/>
              <w:rPr>
                <w:sz w:val="20"/>
                <w:szCs w:val="20"/>
                <w:color w:val="auto"/>
              </w:rPr>
            </w:pPr>
            <w:r>
              <w:rPr>
                <w:rFonts w:ascii="Arial" w:cs="Arial" w:eastAsia="Arial" w:hAnsi="Arial"/>
                <w:sz w:val="11"/>
                <w:szCs w:val="11"/>
                <w:b w:val="1"/>
                <w:bCs w:val="1"/>
                <w:color w:val="auto"/>
              </w:rPr>
              <w:t>Operating costs and expenses</w:t>
            </w: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Restaurant operating expenses (exclusive of depreciation and amortization shown below):</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5"/>
        </w:trPr>
        <w:tc>
          <w:tcPr>
            <w:tcW w:w="46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Food and beverage costs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77,402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69,730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234,305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208,355</w:t>
            </w:r>
          </w:p>
        </w:tc>
      </w:tr>
      <w:tr>
        <w:trPr>
          <w:trHeight w:val="143"/>
        </w:trPr>
        <w:tc>
          <w:tcPr>
            <w:tcW w:w="4680" w:type="dxa"/>
            <w:vAlign w:val="bottom"/>
          </w:tcPr>
          <w:p>
            <w:pPr>
              <w:ind w:left="220"/>
              <w:spacing w:after="0"/>
              <w:rPr>
                <w:sz w:val="20"/>
                <w:szCs w:val="20"/>
                <w:color w:val="auto"/>
              </w:rPr>
            </w:pPr>
            <w:r>
              <w:rPr>
                <w:rFonts w:ascii="Arial" w:cs="Arial" w:eastAsia="Arial" w:hAnsi="Arial"/>
                <w:sz w:val="11"/>
                <w:szCs w:val="11"/>
                <w:color w:val="auto"/>
              </w:rPr>
              <w:t>Labor and other related expenses</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112,962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102,387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339,294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300,451</w:t>
            </w:r>
          </w:p>
        </w:tc>
      </w:tr>
      <w:tr>
        <w:trPr>
          <w:trHeight w:val="145"/>
        </w:trPr>
        <w:tc>
          <w:tcPr>
            <w:tcW w:w="46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restaurant operating expenses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56,048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50,140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163,509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141,002</w:t>
            </w:r>
          </w:p>
        </w:tc>
      </w:tr>
      <w:tr>
        <w:trPr>
          <w:trHeight w:val="143"/>
        </w:trPr>
        <w:tc>
          <w:tcPr>
            <w:tcW w:w="4680" w:type="dxa"/>
            <w:vAlign w:val="bottom"/>
          </w:tcPr>
          <w:p>
            <w:pPr>
              <w:ind w:left="220"/>
              <w:spacing w:after="0"/>
              <w:rPr>
                <w:sz w:val="20"/>
                <w:szCs w:val="20"/>
                <w:color w:val="auto"/>
              </w:rPr>
            </w:pPr>
            <w:r>
              <w:rPr>
                <w:rFonts w:ascii="Arial" w:cs="Arial" w:eastAsia="Arial" w:hAnsi="Arial"/>
                <w:sz w:val="11"/>
                <w:szCs w:val="11"/>
                <w:color w:val="auto"/>
              </w:rPr>
              <w:t>Occupancy expenses</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29,506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25,891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85,261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73,849</w:t>
            </w:r>
          </w:p>
        </w:tc>
      </w:tr>
      <w:tr>
        <w:trPr>
          <w:trHeight w:val="145"/>
        </w:trPr>
        <w:tc>
          <w:tcPr>
            <w:tcW w:w="46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Pre-opening expenses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3,813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9,980</w:t>
            </w: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General and administrative expenses</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35,244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33,746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113,916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97,150</w:t>
            </w: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22,700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19,662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54,355</w:t>
            </w: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Impairments and loss on disposal of assets</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175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311</w:t>
            </w: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Transaction and restructuring expenses, net</w:t>
            </w: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1,320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2,220</w:t>
            </w:r>
          </w:p>
        </w:tc>
      </w:tr>
      <w:tr>
        <w:trPr>
          <w:trHeight w:val="132"/>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 operating costs and expenses</w:t>
            </w: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338,813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305,972</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1,015,318</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887,673</w:t>
            </w:r>
          </w:p>
        </w:tc>
      </w:tr>
      <w:tr>
        <w:trPr>
          <w:trHeight w:val="134"/>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Income from operations</w:t>
            </w: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11,048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10,050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18,476</w:t>
            </w: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Interest expense</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(4,933)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(4,567)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(14,603)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(11,904)</w:t>
            </w: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Other income, net</w:t>
            </w: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1,141</w:t>
            </w:r>
          </w:p>
        </w:tc>
      </w:tr>
      <w:tr>
        <w:trPr>
          <w:trHeight w:val="132"/>
        </w:trPr>
        <w:tc>
          <w:tcPr>
            <w:tcW w:w="4680" w:type="dxa"/>
            <w:vAlign w:val="bottom"/>
          </w:tcPr>
          <w:p>
            <w:pPr>
              <w:ind w:left="22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11"/>
                <w:szCs w:val="11"/>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6,477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5,674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6,411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7,713</w:t>
            </w: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(2,683)</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(3,445)</w:t>
            </w:r>
          </w:p>
        </w:tc>
      </w:tr>
      <w:tr>
        <w:trPr>
          <w:trHeight w:val="150"/>
        </w:trPr>
        <w:tc>
          <w:tcPr>
            <w:tcW w:w="46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income</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4,787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2,991</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4,268</w:t>
            </w:r>
          </w:p>
        </w:tc>
      </w:tr>
      <w:tr>
        <w:trPr>
          <w:trHeight w:val="126"/>
        </w:trPr>
        <w:tc>
          <w:tcPr>
            <w:tcW w:w="4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1"/>
                <w:szCs w:val="11"/>
                <w:b w:val="1"/>
                <w:bCs w:val="1"/>
                <w:color w:val="auto"/>
              </w:rPr>
              <w:t>Net income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4,787</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2,991</w:t>
            </w:r>
          </w:p>
        </w:tc>
        <w:tc>
          <w:tcPr>
            <w:tcW w:w="1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4,441</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4,268</w:t>
            </w: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43"/>
        </w:trPr>
        <w:tc>
          <w:tcPr>
            <w:tcW w:w="4680" w:type="dxa"/>
            <w:vAlign w:val="bottom"/>
          </w:tcPr>
          <w:p>
            <w:pPr>
              <w:ind w:left="220"/>
              <w:spacing w:after="0"/>
              <w:rPr>
                <w:sz w:val="20"/>
                <w:szCs w:val="20"/>
                <w:color w:val="auto"/>
              </w:rPr>
            </w:pPr>
            <w:r>
              <w:rPr>
                <w:rFonts w:ascii="Arial" w:cs="Arial" w:eastAsia="Arial" w:hAnsi="Arial"/>
                <w:sz w:val="11"/>
                <w:szCs w:val="11"/>
                <w:color w:val="auto"/>
              </w:rPr>
              <w:t>Unrealized gain (loss) on derivatives</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1,331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2,381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(920)</w:t>
            </w:r>
          </w:p>
        </w:tc>
      </w:tr>
      <w:tr>
        <w:trPr>
          <w:trHeight w:val="144"/>
        </w:trPr>
        <w:tc>
          <w:tcPr>
            <w:tcW w:w="46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Income tax related to other comprehensive income (loss)</w:t>
            </w: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229</w:t>
            </w:r>
          </w:p>
        </w:tc>
      </w:tr>
      <w:tr>
        <w:trPr>
          <w:trHeight w:val="150"/>
        </w:trPr>
        <w:tc>
          <w:tcPr>
            <w:tcW w:w="46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Comprehensive income</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5,788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3,057</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3,577</w:t>
            </w:r>
          </w:p>
        </w:tc>
      </w:tr>
      <w:tr>
        <w:trPr>
          <w:trHeight w:val="126"/>
        </w:trPr>
        <w:tc>
          <w:tcPr>
            <w:tcW w:w="4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44"/>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common share - basic</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0.07</w:t>
            </w:r>
          </w:p>
        </w:tc>
      </w:tr>
      <w:tr>
        <w:trPr>
          <w:trHeight w:val="143"/>
        </w:trPr>
        <w:tc>
          <w:tcPr>
            <w:tcW w:w="4680" w:type="dxa"/>
            <w:vAlign w:val="bottom"/>
          </w:tcPr>
          <w:p>
            <w:pPr>
              <w:spacing w:after="0"/>
              <w:rPr>
                <w:sz w:val="20"/>
                <w:szCs w:val="20"/>
                <w:color w:val="auto"/>
              </w:rPr>
            </w:pPr>
            <w:r>
              <w:rPr>
                <w:rFonts w:ascii="Arial" w:cs="Arial" w:eastAsia="Arial" w:hAnsi="Arial"/>
                <w:sz w:val="11"/>
                <w:szCs w:val="11"/>
                <w:color w:val="auto"/>
              </w:rPr>
              <w:t>Net income per common share - diluted</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0.08</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1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0.07</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0.07</w:t>
            </w: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number of common shares outstanding - basic</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61,719,871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61,027,278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61,544,361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60,933,443</w:t>
            </w:r>
          </w:p>
        </w:tc>
      </w:tr>
      <w:tr>
        <w:trPr>
          <w:trHeight w:val="142"/>
        </w:trPr>
        <w:tc>
          <w:tcPr>
            <w:tcW w:w="4680" w:type="dxa"/>
            <w:vAlign w:val="bottom"/>
          </w:tcPr>
          <w:p>
            <w:pPr>
              <w:spacing w:after="0"/>
              <w:rPr>
                <w:sz w:val="20"/>
                <w:szCs w:val="20"/>
                <w:color w:val="auto"/>
              </w:rPr>
            </w:pPr>
            <w:r>
              <w:rPr>
                <w:rFonts w:ascii="Arial" w:cs="Arial" w:eastAsia="Arial" w:hAnsi="Arial"/>
                <w:sz w:val="11"/>
                <w:szCs w:val="11"/>
                <w:color w:val="auto"/>
              </w:rPr>
              <w:t>Weighted average number of common shares outstanding - diluted</w:t>
            </w: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62,550,856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62,834,080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62,600,196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62,798,962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106" w:right="29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2026-11-03T07:10:54Z</dcterms:created>
  <dcterms:modified xsi:type="dcterms:W3CDTF">2026-11-03T07:10:54Z</dcterms:modified>
</cp:coreProperties>
</file>