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394335</wp:posOffset>
            </wp:positionV>
            <wp:extent cx="209994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60,414,723 shares of common stock as of August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31, 2023 (“2023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uncertainty regarding the Russia and Ukraine war, Israel-Hamas war and the related impact on macroeconomic conditions, including inflation, as a result of such conflicts or other related events; our vulnerability to changes in economic conditions and consumer preferences; our inability to successfully open new restaurants or establish new markets; our inability to effectively manage our growth;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largest stockholder may differ from those of public stockholders.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49,632</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0" w:type="dxa"/>
            <w:vAlign w:val="bottom"/>
          </w:tcPr>
          <w:p>
            <w:pPr>
              <w:spacing w:after="0"/>
              <w:rPr>
                <w:sz w:val="1"/>
                <w:szCs w:val="1"/>
                <w:color w:val="auto"/>
              </w:rPr>
            </w:pPr>
          </w:p>
        </w:tc>
      </w:tr>
      <w:tr>
        <w:trPr>
          <w:trHeight w:val="207"/>
        </w:trPr>
        <w:tc>
          <w:tcPr>
            <w:tcW w:w="6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67,399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71,190</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359,883</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151,186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 of accumulated depreciation of $203,862 and $181,481, respectively</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263,082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12"/>
        </w:trPr>
        <w:tc>
          <w:tcPr>
            <w:tcW w:w="6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1,436,654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40,281</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118,834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115,073</w:t>
            </w:r>
          </w:p>
        </w:tc>
        <w:tc>
          <w:tcPr>
            <w:tcW w:w="0" w:type="dxa"/>
            <w:vAlign w:val="bottom"/>
          </w:tcPr>
          <w:p>
            <w:pPr>
              <w:spacing w:after="0"/>
              <w:rPr>
                <w:sz w:val="1"/>
                <w:szCs w:val="1"/>
                <w:color w:val="auto"/>
              </w:rPr>
            </w:pPr>
          </w:p>
        </w:tc>
      </w:tr>
      <w:tr>
        <w:trPr>
          <w:trHeight w:val="20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441,290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850,870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705,761</w:t>
            </w:r>
          </w:p>
        </w:tc>
        <w:tc>
          <w:tcPr>
            <w:tcW w:w="0" w:type="dxa"/>
            <w:vAlign w:val="bottom"/>
          </w:tcPr>
          <w:p>
            <w:pPr>
              <w:spacing w:after="0"/>
              <w:rPr>
                <w:sz w:val="1"/>
                <w:szCs w:val="1"/>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3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300,000,000 shares authorized; 60,402,838 and 59,891,705 shares issued</w:t>
            </w:r>
          </w:p>
        </w:tc>
        <w:tc>
          <w:tcPr>
            <w:tcW w:w="3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outstanding at June 30, 2024 and December 31, 2023, respectively</w:t>
            </w:r>
          </w:p>
        </w:tc>
        <w:tc>
          <w:tcPr>
            <w:tcW w:w="3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7"/>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585,784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12"/>
        </w:trPr>
        <w:tc>
          <w:tcPr>
            <w:tcW w:w="6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1,436,654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206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CONSOLIDATED STATEMENTS OF OPERATIONS AND COMPREHENSIVE INCOME </w:t>
      </w:r>
      <w:r>
        <w:rPr>
          <w:rFonts w:ascii="Times New Roman" w:cs="Times New Roman" w:eastAsia="Times New Roman" w:hAnsi="Times New Roman"/>
          <w:sz w:val="18"/>
          <w:szCs w:val="18"/>
          <w:i w:val="1"/>
          <w:iCs w:val="1"/>
          <w:color w:val="auto"/>
        </w:rPr>
        <w:t>(IN THOUSANDS, EXCEPT SHARE AND PER SHARE DATA)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6"/>
                <w:szCs w:val="16"/>
                <w:color w:val="auto"/>
              </w:rPr>
            </w:pPr>
          </w:p>
        </w:tc>
        <w:tc>
          <w:tcPr>
            <w:tcW w:w="288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JUNE 25, 2023</w:t>
            </w:r>
          </w:p>
        </w:tc>
      </w:tr>
      <w:tr>
        <w:trPr>
          <w:trHeight w:val="20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255,457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420,555</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w:t>
            </w:r>
          </w:p>
        </w:tc>
      </w:tr>
      <w:tr>
        <w:trPr>
          <w:trHeight w:val="207"/>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258,561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501,010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427,706</w:t>
            </w:r>
          </w:p>
        </w:tc>
      </w:tr>
      <w:tr>
        <w:trPr>
          <w:trHeight w:val="19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62"/>
        </w:trPr>
        <w:tc>
          <w:tcPr>
            <w:tcW w:w="5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operating expenses (exclusive of depreciation and amortization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shown below):</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94,319</w:t>
            </w:r>
          </w:p>
        </w:tc>
      </w:tr>
      <w:tr>
        <w:trPr>
          <w:trHeight w:val="213"/>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139,175</w:t>
            </w: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63,878</w:t>
            </w:r>
          </w:p>
        </w:tc>
      </w:tr>
      <w:tr>
        <w:trPr>
          <w:trHeight w:val="213"/>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32,395</w:t>
            </w: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47,989</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207"/>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472,277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401,032</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26,674</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r>
      <w:tr>
        <w:trPr>
          <w:trHeight w:val="207"/>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23,909</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17,319</w:t>
            </w: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gain on derivatives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60,384,696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59,385,510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60,198,743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59,314,470</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62,464,424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60,944,836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62,507,183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60,770,441</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2"/>
                <w:szCs w:val="12"/>
                <w:color w:val="auto"/>
              </w:rPr>
            </w:pPr>
          </w:p>
        </w:tc>
        <w:tc>
          <w:tcPr>
            <w:tcW w:w="158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2"/>
                <w:szCs w:val="12"/>
                <w:color w:val="auto"/>
              </w:rPr>
            </w:pPr>
          </w:p>
        </w:tc>
        <w:tc>
          <w:tcPr>
            <w:tcW w:w="92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3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25, 2022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59,211,019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73,571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564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26, 2023</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59,284,590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534,557</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179,360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25, 2023</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59,463,950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626,216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(80,813)</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545,837</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 (Loss)</w:t>
            </w:r>
          </w:p>
        </w:tc>
        <w:tc>
          <w:tcPr>
            <w:tcW w:w="200" w:type="dxa"/>
            <w:vAlign w:val="bottom"/>
          </w:tcPr>
          <w:p>
            <w:pPr>
              <w:spacing w:after="0"/>
              <w:rPr>
                <w:sz w:val="12"/>
                <w:szCs w:val="12"/>
                <w:color w:val="auto"/>
              </w:rPr>
            </w:pPr>
          </w:p>
        </w:tc>
        <w:tc>
          <w:tcPr>
            <w:tcW w:w="92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59,891,705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480,826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07"/>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31,2024</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60,372,531</w:t>
            </w:r>
          </w:p>
        </w:tc>
        <w:tc>
          <w:tcPr>
            <w:tcW w:w="8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639,107</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(65,533)</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574,440</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60,402,838</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641,625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585,784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8"/>
                <w:szCs w:val="18"/>
                <w:color w:val="auto"/>
              </w:rPr>
            </w:pPr>
          </w:p>
        </w:tc>
        <w:tc>
          <w:tcPr>
            <w:tcW w:w="15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198"/>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17,319</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18,558</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8,994</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loss on extinguishments and modifications of debt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insurance proceeds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effects of business combinations: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r>
      <w:tr>
        <w:trPr>
          <w:trHeight w:val="207"/>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56,893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55,583</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(29,677)</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(8,018)</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07"/>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(135,355)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(37,170)</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2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73,863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212"/>
        </w:trPr>
        <w:tc>
          <w:tcPr>
            <w:tcW w:w="7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17,168</w:t>
            </w:r>
          </w:p>
        </w:tc>
      </w:tr>
      <w:tr>
        <w:trPr>
          <w:trHeight w:val="214"/>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5"/>
        </w:trPr>
        <w:tc>
          <w:tcPr>
            <w:tcW w:w="7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49,923</w:t>
            </w:r>
          </w:p>
        </w:tc>
      </w:tr>
      <w:tr>
        <w:trPr>
          <w:trHeight w:val="212"/>
        </w:trPr>
        <w:tc>
          <w:tcPr>
            <w:tcW w:w="76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67,091</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19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216"/>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Leased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27,627</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Increase in liabilities from acquisition of property, fixtures and equipment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 Leased assets and liabilities obtained in fiscal 2024 include </w:t>
      </w:r>
      <w:r>
        <w:rPr>
          <w:rFonts w:ascii="Times New Roman" w:cs="Times New Roman" w:eastAsia="Times New Roman" w:hAnsi="Times New Roman"/>
          <w:sz w:val="17"/>
          <w:szCs w:val="17"/>
          <w:color w:val="auto"/>
        </w:rPr>
        <w:t>$28.1</w:t>
      </w:r>
      <w:r>
        <w:rPr>
          <w:rFonts w:ascii="Times New Roman" w:cs="Times New Roman" w:eastAsia="Times New Roman" w:hAnsi="Times New Roman"/>
          <w:sz w:val="16"/>
          <w:szCs w:val="16"/>
          <w:color w:val="auto"/>
        </w:rPr>
        <w:t xml:space="preserve"> million from business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As of June 30, 2024, the Company operated 459 company-owned restaurants and had 79 franchise-owned restaurants.</w:t>
      </w:r>
    </w:p>
    <w:p>
      <w:pPr>
        <w:spacing w:after="0" w:line="284"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quarters ended June 30, 2024 and June 25, 2023 were 13-week periods. These unaudited interim consolidated financial statements should be read in conjunction with the audited consolidated financial statements and notes thereto included in the Company’s Annual Report on Form 10-K as of and for the year ended December 31, 2023 (“2023 Form 10-K”).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2023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and other current liabilities approximate their fair values due to their short-term maturities.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element of the Company’s interest rate risk management strategy, Management uses interest rate swaps. The intent of these instruments is to reduce cash flow exposure to variability in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and subsequently reclassified into earnings at the time of the Company’s debt interest payments.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which requires incremental disclosures related to a public entity’s reportable segments but does not change the definition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segment, the method for determining segments, or the criteria for aggregating operating segments into reportable segments. The new guidance requires that a public entity disclose, on an annual and interim basis, disaggregated expense information that is regularly provided to the chief operating decision maker (“CODM”) and included within each reported measure of segment profit or loss. The disclosures are also required for public entities that have a single reporting segment. The new guidance is effective for fiscal years beginning after December 15, 2023, and interim periods within fiscal years beginning after December 15, 2024 and should be adopted retrospectively. Early adoption is permitted. Management is currently evaluating the impact of this new standard.</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establishes new income tax disclosure requirements including disaggregated information about a reporting entity’s effective tax rate reconciliation as well as disaggregated information on income taxes paid. The new guidance is effective for fiscal years beginning after December 15, 2024 and should be applied on a prospective basis with the option to apply the standard retrospectively. Early adoption is permitted. Management is currently evaluating the impact of this new standard.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Business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acquired, in two separate transactions, substantially all the assets associated with 22 franchise-operated First Watch restaurants. For both transactions, the purchase price was allocated to the fair value of the assets acquired and the liabilities assumed. The allocations were based on preliminary valuations and are subject to adjustment as additional information is available. The Company expects to finalize the valuation of these assets not later than one year from the respective acquisition date. Transaction costs of $1.4 million were incurred in relation to the acquisitions and were recorded to Transaction expenses, net within the Consolidated Statement of Operations and Comprehensive Income. The details of each acquisition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number of acquired restaurants)</w:t>
            </w:r>
          </w:p>
        </w:tc>
        <w:tc>
          <w:tcPr>
            <w:tcW w:w="18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22, 2024</w:t>
            </w:r>
          </w:p>
        </w:tc>
        <w:tc>
          <w:tcPr>
            <w:tcW w:w="260" w:type="dxa"/>
            <w:vAlign w:val="bottom"/>
          </w:tcPr>
          <w:p>
            <w:pPr>
              <w:spacing w:after="0"/>
              <w:rPr>
                <w:sz w:val="18"/>
                <w:szCs w:val="18"/>
                <w:color w:val="auto"/>
              </w:rPr>
            </w:pPr>
          </w:p>
        </w:tc>
        <w:tc>
          <w:tcPr>
            <w:tcW w:w="17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APRIL 15, 2024</w:t>
            </w:r>
          </w:p>
        </w:tc>
      </w:tr>
      <w:tr>
        <w:trPr>
          <w:trHeight w:val="21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acquired restaurants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75,119</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Property, fixtures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16,511</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Reacquired rights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21,459</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right-of-use asset, net of lease position and prepaid 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26,199</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revenues - gift card liabilities assumed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(26,853)</w:t>
            </w:r>
          </w:p>
        </w:tc>
      </w:tr>
      <w:tr>
        <w:trPr>
          <w:trHeight w:val="21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37,584</w:t>
            </w: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reflects the value of expected synergies and assembled workforce, and was assigned to the Company’s single reporting unit. The Company will treat the transactions as asset acquisitions for income tax purposes, which allows for any goodwill recognized to be tax deductible and amortized over a 15-year statutory life.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estimated useful life of the reacquired rights is 5.5 years.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Pro-forma financial information of the acquired restaurants for periods prior to the acquisition dates is not presented due to the immaterial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13"/>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5,499</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r>
      <w:tr>
        <w:trPr>
          <w:trHeight w:val="21"/>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28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19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13"/>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Gift card liabilities assumed through acquisitions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7"/>
        </w:trPr>
        <w:tc>
          <w:tcPr>
            <w:tcW w:w="4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280" w:type="dxa"/>
            <w:vAlign w:val="bottom"/>
            <w:gridSpan w:val="4"/>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19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32"/>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Business combinations - franchise revenues recognized</w:t>
            </w: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0"/>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Balance,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8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3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40" w:type="dxa"/>
            <w:vAlign w:val="bottom"/>
          </w:tcPr>
          <w:p>
            <w:pPr>
              <w:spacing w:after="0"/>
              <w:rPr>
                <w:sz w:val="18"/>
                <w:szCs w:val="18"/>
                <w:color w:val="auto"/>
              </w:rPr>
            </w:pPr>
          </w:p>
        </w:tc>
      </w:tr>
      <w:tr>
        <w:trPr>
          <w:trHeight w:val="19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211,176</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174,352</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406,375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343,581</w:t>
            </w:r>
          </w:p>
        </w:tc>
        <w:tc>
          <w:tcPr>
            <w:tcW w:w="40" w:type="dxa"/>
            <w:vAlign w:val="bottom"/>
          </w:tcPr>
          <w:p>
            <w:pPr>
              <w:spacing w:after="0"/>
              <w:rPr>
                <w:sz w:val="19"/>
                <w:szCs w:val="19"/>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43,754</w:t>
            </w:r>
          </w:p>
        </w:tc>
        <w:tc>
          <w:tcPr>
            <w:tcW w:w="40" w:type="dxa"/>
            <w:vAlign w:val="bottom"/>
          </w:tcPr>
          <w:p>
            <w:pPr>
              <w:spacing w:after="0"/>
              <w:rPr>
                <w:sz w:val="19"/>
                <w:szCs w:val="19"/>
                <w:color w:val="auto"/>
              </w:rPr>
            </w:pPr>
          </w:p>
        </w:tc>
      </w:tr>
      <w:tr>
        <w:trPr>
          <w:trHeight w:val="229"/>
        </w:trPr>
        <w:tc>
          <w:tcPr>
            <w:tcW w:w="4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40" w:type="dxa"/>
            <w:vAlign w:val="bottom"/>
          </w:tcPr>
          <w:p>
            <w:pPr>
              <w:spacing w:after="0"/>
              <w:rPr>
                <w:sz w:val="19"/>
                <w:szCs w:val="19"/>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255,457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212,587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494,765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420,555</w:t>
            </w:r>
          </w:p>
        </w:tc>
        <w:tc>
          <w:tcPr>
            <w:tcW w:w="40" w:type="dxa"/>
            <w:vAlign w:val="bottom"/>
          </w:tcPr>
          <w:p>
            <w:pPr>
              <w:spacing w:after="0"/>
              <w:rPr>
                <w:sz w:val="17"/>
                <w:szCs w:val="17"/>
                <w:color w:val="auto"/>
              </w:rPr>
            </w:pPr>
          </w:p>
        </w:tc>
      </w:tr>
      <w:tr>
        <w:trPr>
          <w:trHeight w:val="239"/>
        </w:trPr>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40" w:type="dxa"/>
            <w:vAlign w:val="bottom"/>
          </w:tcPr>
          <w:p>
            <w:pPr>
              <w:spacing w:after="0"/>
              <w:rPr>
                <w:sz w:val="19"/>
                <w:szCs w:val="19"/>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r>
      <w:tr>
        <w:trPr>
          <w:trHeight w:val="229"/>
        </w:trPr>
        <w:tc>
          <w:tcPr>
            <w:tcW w:w="4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Business combinations - revenues recognized</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9"/>
                <w:szCs w:val="19"/>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40" w:type="dxa"/>
            <w:vAlign w:val="bottom"/>
          </w:tcPr>
          <w:p>
            <w:pPr>
              <w:spacing w:after="0"/>
              <w:rPr>
                <w:sz w:val="17"/>
                <w:szCs w:val="17"/>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258,561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216,300</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501,010</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427,706</w:t>
            </w:r>
          </w:p>
        </w:tc>
        <w:tc>
          <w:tcPr>
            <w:tcW w:w="4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8"/>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8"/>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24"/>
                <w:szCs w:val="2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24"/>
                <w:szCs w:val="24"/>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vendors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2"/>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5,532</w:t>
            </w:r>
          </w:p>
        </w:tc>
      </w:tr>
      <w:tr>
        <w:trPr>
          <w:trHeight w:val="21"/>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9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and general liability reserves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liabilities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1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w:t>
            </w: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35,630</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99,375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7.70%</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Draw Term Facility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96,891</w:t>
            </w:r>
          </w:p>
        </w:tc>
        <w:tc>
          <w:tcPr>
            <w:tcW w:w="17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7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7.72%</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12"/>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198,719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37"/>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192,074</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FWR Holding Corporation (“FWR”), a subsidiary of the Company, is the borrower under the credit agreement dated October 6, 2021 (“Credit Agreement”), which provided for (i) a $100.0 million term loan A facility (the “Term Facility”) and (ii) a $75.0 million revolving credit facility (the “Revolving Credit Facility” and, together with the Term Facility, collectively, the “Credit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the Company entered into Amendment No. 1 to the Credit Agreement to replace the London interbank offer rate (“LIBOR”) with a secured overnight financing rate (“SOFR”) pursuant to the terms and LIBOR fallback language in the Credit Agreement. All outstanding borrowings under the Credit Agreement continued to bear interest at LIBOR until March 27, 2023.</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5, 2024, the Company entered into Amendment No. 2 to the Credit Agreement (the “Second Amendment”) with terms substantially identical to the Credit Agreement to (i) replace the $100.0 million Term Facility with a new $100.0 million term loan A facility (the “New Term Facility”), (ii) replace the $75.0 million Revolving Credit Facility with a new $75.0 million revolving credit facility (the “New Revolving Credit Facility”), (iii) increase the New Revolving Credit Facility by $50.0 million, bringing the aggregate committed amount under the New Revolving Credit Facility to $125.0 million and (iv) add a new $125.0 million incremental delayed draw term loan facility (the “New Delayed Draw Term Facility”). The New Delayed Draw Term Facility is available to FWR for a period of 18 months from the date of the Second Amendment and the proceeds may be used to fund permitted acquisitions and new restaurant capital expenditures, repay revolving loans and/or replenish balance sheet cash, in each case, used for such permitted acquisitions or capital expenditures.</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Loans drawn under the New Delayed Draw Term Facility will amortize in equal quarterly installments at the same amortization rate per annum as then applicable to loans under the New Term Facility. The New Term Facility, the New Revolving Credit Facility and the New Delayed Draw Term Facility mature on January 5, 2029.</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Company drew $97.5 million of the $125.0 million New Delayed Draw Term Facility. The proceeds were used to repay $22.5 million of borrowings under the New Revolving Credit Facility and fund the franchise acquisition on April 15, 2024 that was completed for approximately $75.1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2024, borrowings under the Credit Facility, as amended,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SOFR plus a credit spread adjustment of 10 basis points plus a margin of between 250 and 325 basis points depending on the Total Rent Adjusted Net Leverage Ratio. Refer to Note 8,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for information about the variable-to-fixed interest rate swap agreements entered in June 2023 and May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282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92,201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Draw Term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29,897</w:t>
            </w:r>
          </w:p>
        </w:tc>
      </w:tr>
      <w:tr>
        <w:trPr>
          <w:trHeight w:val="900"/>
        </w:trPr>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Interest Rate Swaps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interest rate swaps to hedge a portion of the cash flows of the Company’s variable rate debt.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2023, the Company entered into two variable-to-fixed interest rate swaps. These interest rate swaps have an aggregate notional amount of $90.0 million and mature on October 6, 2026. Under the terms of the interest rate swaps, the Company will pay a weighted average fixed rate of 4.16% on the notional amount and will receive payments from the counterparties based on the three-month SOFR 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the Company entered into two additional variable-to-fixed interest rate swaps. These interest rate swaps have an aggregate notional amount of $60.0 million and mature on June 30, 2027. Under the terms of the interest rate swaps, the Company will pay a weighted average fixed rate of 4.42% on the notional amount and will receive payments from the counterparties based on the three-month SOFR rate.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 was classified as Level 2 of the fair value hierarchy.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reported in Other comprehensive income related to the interest rate swaps will be reclassified to interest expense as interest payments are made on the Company’s variable-rate debt. During the thirteen and twenty-six weeks ended June 30, 2024, a total of $0.2 million and $0.5 million, respectively, was reclassified from Other comprehensive income (loss) as a reduction to Interest expense. Over the next 12 months, the Company estimates that $1.0 million will be reclassified as a reduction to interest expense.</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24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r>
      <w:tr>
        <w:trPr>
          <w:trHeight w:val="21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r>
      <w:tr>
        <w:trPr>
          <w:trHeight w:val="234"/>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421,034</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liabilities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current</w:t>
      </w:r>
    </w:p>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45,755</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504,130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441,290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0"/>
        </w:trPr>
        <w:tc>
          <w:tcPr>
            <w:tcW w:w="39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550,797</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482,647</w:t>
            </w:r>
          </w:p>
        </w:tc>
      </w:tr>
      <w:tr>
        <w:trPr>
          <w:trHeight w:val="23"/>
        </w:trPr>
        <w:tc>
          <w:tcPr>
            <w:tcW w:w="39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-728345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-453390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-179705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620" w:space="720"/>
            <w:col w:w="79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14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2"/>
                <w:szCs w:val="12"/>
                <w:color w:val="auto"/>
              </w:rPr>
            </w:pPr>
          </w:p>
        </w:tc>
        <w:tc>
          <w:tcPr>
            <w:tcW w:w="11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and Comprehensive Income Classification</w:t>
            </w: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7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lease expense</w:t>
            </w:r>
          </w:p>
        </w:tc>
        <w:tc>
          <w:tcPr>
            <w:tcW w:w="30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17,059</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13,472</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32,752</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26,441</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Variable lease expense</w:t>
            </w:r>
          </w:p>
        </w:tc>
        <w:tc>
          <w:tcPr>
            <w:tcW w:w="3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3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3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2700" w:type="dxa"/>
            <w:vAlign w:val="bottom"/>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ind w:firstLine="8"/>
        <w:spacing w:after="0" w:line="280" w:lineRule="auto"/>
        <w:tabs>
          <w:tab w:leader="none" w:pos="23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contingent rent expense of $0.4 million and $0.5 million during the thirteen weeks ended June 30, 2024 and June 25, 2023, respectively, and $0.9 million for both of the twenty-six weeks ended June 30, 2024 and June 25,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500" w:type="dxa"/>
            <w:vAlign w:val="bottom"/>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198"/>
        </w:trPr>
        <w:tc>
          <w:tcPr>
            <w:tcW w:w="7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21,247</w:t>
            </w:r>
          </w:p>
        </w:tc>
      </w:tr>
      <w:tr>
        <w:trPr>
          <w:trHeight w:val="219"/>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34"/>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41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8"/>
        </w:trPr>
        <w:tc>
          <w:tcPr>
            <w:tcW w:w="7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50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19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9"/>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77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0"/>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future minimum lease payments for operating and finance leases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FINANCE LEASES</w:t>
            </w:r>
          </w:p>
        </w:tc>
      </w:tr>
      <w:tr>
        <w:trPr>
          <w:trHeight w:val="19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5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649,482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0"/>
        </w:trPr>
        <w:tc>
          <w:tcPr>
            <w:tcW w:w="77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 xml:space="preserve">Total future minimum lease payments </w:t>
            </w:r>
            <w:r>
              <w:rPr>
                <w:rFonts w:ascii="Times New Roman" w:cs="Times New Roman" w:eastAsia="Times New Roman" w:hAnsi="Times New Roman"/>
                <w:sz w:val="21"/>
                <w:szCs w:val="21"/>
                <w:color w:val="auto"/>
                <w:vertAlign w:val="superscript"/>
              </w:rPr>
              <w:t>(1)</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21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(386,137)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7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present value of lease liabilities</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549,885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1"/>
        </w:trPr>
        <w:tc>
          <w:tcPr>
            <w:tcW w:w="7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approximately $126.4 million of executed operating leases that have not commenced as of June 30, 2024.</w:t>
      </w:r>
    </w:p>
    <w:p>
      <w:pPr>
        <w:spacing w:after="0" w:line="321" w:lineRule="exact"/>
        <w:rPr>
          <w:sz w:val="20"/>
          <w:szCs w:val="20"/>
          <w:color w:val="auto"/>
        </w:rPr>
      </w:pPr>
    </w:p>
    <w:p>
      <w:pPr>
        <w:ind w:right="7960" w:firstLine="8"/>
        <w:spacing w:after="0" w:line="378"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Equity transactions</w:t>
      </w: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funds managed by the Company’s largest stockholder, Advent International, L.P. (“Advent”) sold 6,900,000 shares of the Company’s common stock through an underwritten secondary public offering, including 900,000 shares of common stock that were sold pursuant to the underwriter’s option to purchase additional shares, which was exercised in full. All net proceeds from the sale of the shares of common stock were distributed to the selling stockholders. The Company incurred approximately $0.5 million of costs in connection with the offerings that were recorded within Transaction expenses, net on the Consolidated Statements of Operations and Comprehensive Income.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Advent sold 3,500,000 and 3,000,000 shares of the Company’s common stock through underwritten secondary public offerings that were completed on May 18, 2023 and June 13, 2023, respectively. The selling stockholders sold an additional 525,000 and 450,000 shares of common stock on May 18, 2023 and July 3, 2023, respectively, pursuant to the terms of the underwriter’s option associated with each secondary offering. All net proceeds from the sale of the shares of common stock were distributed to the selling stockholders. The Company incurred approximately $1.0 million of costs that were recorded within Transaction expenses, net on the Consolidated Statements of Operations and Comprehensive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twenty-six weeks ended June 30, 2024. A summary of stock option activity during the twenty-six weeks ended June 30, 2024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0" w:type="dxa"/>
            <w:vAlign w:val="bottom"/>
          </w:tcPr>
          <w:p>
            <w:pPr>
              <w:spacing w:after="0"/>
              <w:rPr>
                <w:sz w:val="16"/>
                <w:szCs w:val="16"/>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140" w:type="dxa"/>
            <w:vAlign w:val="bottom"/>
          </w:tcPr>
          <w:p>
            <w:pPr>
              <w:spacing w:after="0"/>
              <w:rPr>
                <w:sz w:val="14"/>
                <w:szCs w:val="14"/>
                <w:color w:val="auto"/>
              </w:rPr>
            </w:pPr>
          </w:p>
        </w:tc>
        <w:tc>
          <w:tcPr>
            <w:tcW w:w="17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4,347,186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June 30, 2024</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3,999,911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29,334</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June 30, 2024</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3,633,619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27,585</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Nasdaq on the last trading day of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the twenty-six weeks ended June 30, 2024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2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DATE FAIR VALUE PER</w:t>
            </w:r>
          </w:p>
        </w:tc>
        <w:tc>
          <w:tcPr>
            <w:tcW w:w="0" w:type="dxa"/>
            <w:vAlign w:val="bottom"/>
          </w:tcPr>
          <w:p>
            <w:pPr>
              <w:spacing w:after="0"/>
              <w:rPr>
                <w:sz w:val="1"/>
                <w:szCs w:val="1"/>
                <w:color w:val="auto"/>
              </w:rPr>
            </w:pPr>
          </w:p>
        </w:tc>
      </w:tr>
      <w:tr>
        <w:trPr>
          <w:trHeight w:val="214"/>
        </w:trPr>
        <w:tc>
          <w:tcPr>
            <w:tcW w:w="624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31, 2023</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(844,740)</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0" w:type="dxa"/>
            <w:vAlign w:val="bottom"/>
          </w:tcPr>
          <w:p>
            <w:pPr>
              <w:spacing w:after="0"/>
              <w:rPr>
                <w:sz w:val="1"/>
                <w:szCs w:val="1"/>
                <w:color w:val="auto"/>
              </w:rPr>
            </w:pPr>
          </w:p>
        </w:tc>
      </w:tr>
      <w:tr>
        <w:trPr>
          <w:trHeight w:val="212"/>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June 30, 2024</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366,292</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twenty-six weeks ended June 30, 2024, a total of 459,041 restricted stock units (“RSUs”) were granted. Of the total RSUs granted, 353,683 will vest ratably over a period of three years from grant date, 33,762 will vest one year from the grant date, and the remaining 71,596 will vest 50% on the second anniversary of the grant date and 50% on the third anniversary of grant date. A summary of the Company’s RSU activity during the twenty-six weeks ended June 30, 2024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200" w:type="dxa"/>
            <w:vAlign w:val="bottom"/>
          </w:tcPr>
          <w:p>
            <w:pPr>
              <w:spacing w:after="0"/>
              <w:rPr>
                <w:sz w:val="16"/>
                <w:szCs w:val="16"/>
                <w:color w:val="auto"/>
              </w:rPr>
            </w:pPr>
          </w:p>
        </w:tc>
        <w:tc>
          <w:tcPr>
            <w:tcW w:w="23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5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ind w:right="157"/>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200" w:type="dxa"/>
            <w:vAlign w:val="bottom"/>
          </w:tcPr>
          <w:p>
            <w:pPr>
              <w:spacing w:after="0"/>
              <w:rPr>
                <w:sz w:val="18"/>
                <w:szCs w:val="18"/>
                <w:color w:val="auto"/>
              </w:rPr>
            </w:pPr>
          </w:p>
        </w:tc>
        <w:tc>
          <w:tcPr>
            <w:tcW w:w="23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521,042</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459,041</w:t>
            </w:r>
          </w:p>
        </w:tc>
        <w:tc>
          <w:tcPr>
            <w:tcW w:w="120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120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(186,857)</w:t>
            </w:r>
          </w:p>
        </w:tc>
        <w:tc>
          <w:tcPr>
            <w:tcW w:w="1200" w:type="dxa"/>
            <w:vAlign w:val="bottom"/>
            <w:tcBorders>
              <w:bottom w:val="single" w:sz="8" w:color="CCEEFF"/>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2024</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785,790</w:t>
            </w:r>
          </w:p>
        </w:tc>
        <w:tc>
          <w:tcPr>
            <w:tcW w:w="1200" w:type="dxa"/>
            <w:vAlign w:val="bottom"/>
            <w:tcBorders>
              <w:bottom w:val="single" w:sz="8" w:color="CCEEFF"/>
            </w:tcBorders>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closing price of the Company’s common stock on Nasdaq of $17.56 and $20.10 on June 28, 2024 and December 29, 2023, the last trading days for the periods,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$2.5 million and $2.1 million during the thirteen weeks ended June 30, 2024 and June 25, 2023, respectively, and $4.3 million and $3.6 million during the twenty-six weeks ended June 30, 2024 and June 25, 2023,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related income tax benefit for stock-based compensation expense was $0.1 million and $0.4 million during the thirteen weeks ended June 30, 2024 and June 25, 2023, and $1.4 million and $0.6 million during the twenty-six weeks ended June 30, 2024 and June 25,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June 30,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20" w:type="dxa"/>
            <w:vAlign w:val="bottom"/>
            <w:gridSpan w:val="6"/>
          </w:tcPr>
          <w:p>
            <w:pPr>
              <w:jc w:val="center"/>
              <w:ind w:left="773"/>
              <w:spacing w:after="0"/>
              <w:rPr>
                <w:sz w:val="20"/>
                <w:szCs w:val="20"/>
                <w:color w:val="auto"/>
              </w:rPr>
            </w:pPr>
            <w:r>
              <w:rPr>
                <w:rFonts w:ascii="Times New Roman" w:cs="Times New Roman" w:eastAsia="Times New Roman" w:hAnsi="Times New Roman"/>
                <w:sz w:val="16"/>
                <w:szCs w:val="16"/>
                <w:b w:val="1"/>
                <w:bCs w:val="1"/>
                <w:color w:val="auto"/>
              </w:rPr>
              <w:t>REMAINING WEIGHTED</w:t>
            </w:r>
          </w:p>
        </w:tc>
      </w:tr>
      <w:tr>
        <w:trPr>
          <w:trHeight w:val="162"/>
        </w:trPr>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gridSpan w:val="4"/>
          </w:tcPr>
          <w:p>
            <w:pPr>
              <w:jc w:val="center"/>
              <w:ind w:right="533"/>
              <w:spacing w:after="0" w:line="162" w:lineRule="exact"/>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9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w:t>
            </w:r>
          </w:p>
        </w:tc>
      </w:tr>
      <w:tr>
        <w:trPr>
          <w:trHeight w:val="162"/>
        </w:trPr>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gridSpan w:val="4"/>
          </w:tcPr>
          <w:p>
            <w:pPr>
              <w:jc w:val="center"/>
              <w:ind w:right="553"/>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EXPENSE</w:t>
            </w:r>
          </w:p>
        </w:tc>
        <w:tc>
          <w:tcPr>
            <w:tcW w:w="2100" w:type="dxa"/>
            <w:vAlign w:val="bottom"/>
            <w:gridSpan w:val="5"/>
          </w:tcPr>
          <w:p>
            <w:pPr>
              <w:jc w:val="center"/>
              <w:ind w:right="580"/>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r>
      <w:tr>
        <w:trPr>
          <w:trHeight w:val="214"/>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center"/>
              <w:ind w:left="697"/>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i w:val="1"/>
                <w:iCs w:val="1"/>
                <w:color w:val="auto"/>
              </w:rPr>
              <w:t>(in years)</w:t>
            </w:r>
          </w:p>
        </w:tc>
      </w:tr>
      <w:tr>
        <w:trPr>
          <w:trHeight w:val="23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13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14,190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67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300" w:type="dxa"/>
            <w:vAlign w:val="bottom"/>
          </w:tcPr>
          <w:p>
            <w:pPr>
              <w:spacing w:after="0"/>
              <w:rPr>
                <w:sz w:val="24"/>
                <w:szCs w:val="24"/>
                <w:color w:val="auto"/>
              </w:rPr>
            </w:pPr>
          </w:p>
        </w:tc>
        <w:tc>
          <w:tcPr>
            <w:tcW w:w="352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20" w:type="dxa"/>
            <w:vAlign w:val="bottom"/>
          </w:tcPr>
          <w:p>
            <w:pPr>
              <w:spacing w:after="0"/>
              <w:rPr>
                <w:sz w:val="18"/>
                <w:szCs w:val="18"/>
                <w:color w:val="auto"/>
              </w:rPr>
            </w:pPr>
          </w:p>
        </w:tc>
      </w:tr>
      <w:tr>
        <w:trPr>
          <w:trHeight w:val="225"/>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9,991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23,792</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23,909</w:t>
            </w:r>
          </w:p>
        </w:tc>
        <w:tc>
          <w:tcPr>
            <w:tcW w:w="20" w:type="dxa"/>
            <w:vAlign w:val="bottom"/>
          </w:tcPr>
          <w:p>
            <w:pPr>
              <w:spacing w:after="0"/>
              <w:rPr>
                <w:sz w:val="19"/>
                <w:szCs w:val="19"/>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77"/>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(6,590)</w:t>
            </w:r>
          </w:p>
        </w:tc>
        <w:tc>
          <w:tcPr>
            <w:tcW w:w="20" w:type="dxa"/>
            <w:vAlign w:val="bottom"/>
          </w:tcPr>
          <w:p>
            <w:pPr>
              <w:spacing w:after="0"/>
              <w:rPr>
                <w:sz w:val="19"/>
                <w:szCs w:val="19"/>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20" w:type="dxa"/>
            <w:vAlign w:val="bottom"/>
          </w:tcPr>
          <w:p>
            <w:pPr>
              <w:spacing w:after="0"/>
              <w:rPr>
                <w:sz w:val="19"/>
                <w:szCs w:val="19"/>
                <w:color w:val="auto"/>
              </w:rPr>
            </w:pPr>
          </w:p>
        </w:tc>
      </w:tr>
      <w:tr>
        <w:trPr>
          <w:trHeight w:val="904"/>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thirteen and twenty-six weeks ended June 30, 2024 was 35.4% and 32.3%, respectively, as compared to 20.3% and 27.6% for the thirteen and twenty-six weeks ended June 25, 2023, respectively. The change in the effective income tax rates was primarily due to (i) the change in the valuation allowance on deferred tax assets, (ii) the benefit of tax credits for FICA taxes on certain employees’ tips and (iii) impact of executive stock-based compensation.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rates for the thirteen and twenty-six weeks ended June 30, 2024 and June 25, 2023 were different than the blended federal and state statutory rate primarily due to (i) the change in the valuation allowance, (ii) the benefit of tax credits for FICA taxes on certain employees’ tips, (iii) the impacts of executive stock-based compensation and (iv) non-deductible costs associated with the Secondary Offerings.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quarterly whether the resulting deferred tax assets are realizable given the Company’s earnings history. Based on the available evidence, the Company does not meet the more likely than not standard related to the realization of a portion of the deferred tax assets as of June 30, 2024. Accordingly, the Company has established a valuation allowance on the portion of deferred tax assets deemed not realizable, including state charitable contribution carryovers, various state loss carryforwards and various federal tax credit carryforwards.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continues to monitor and evaluate the rationale for recording a valuation allowance for deferred tax assets. As the Company’s future taxable earnings increase and deferred tax assets are utilized, it is possible that a portion of the valuation allowance will no longer be needed. Release of any valuation allowance would result in the recognition of certain deferred tax assets and a decrease to income tax expense in the period of the release. The timing and amount of any release related to future taxable income is currently indeterminable.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federal loss carryforwards, state loss carryforwards and general business credits were accumulated from operations prior to the August 2017 merger through which the Company became majority owned by Advent. Under the terms of an agreement with the previous stockholders, to the extent that these credits and carryforwards were utilized to reduce taxes payable, the Company was required to pay the previous stockholders an amount equal to tax savings. In accordance with the agreement, an initial contingent consideration liability of $1.2 million was recognized and adjusted periodically for estimated future use and the actual distributions to previous stockholders. By agreement the obligation would lapse following a change in control event.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Advent sold common stock of the Company through a secondary public offering. As a result, Advent no longer controlled a majority of the Company’s issued and outstanding shares of common stock. Advent’s first quarter sale, therefore, represents a change of control event as defined in the agreement. Given this change in control event, the remaining $0.6 million of the contingent consideration liability was released through Transaction expenses, net. Final payment to previous stockholders was made in the second quarter of 2024.</w:t>
      </w:r>
    </w:p>
    <w:p>
      <w:pPr>
        <w:spacing w:after="0" w:line="284" w:lineRule="exact"/>
        <w:rPr>
          <w:sz w:val="20"/>
          <w:szCs w:val="20"/>
          <w:color w:val="auto"/>
        </w:rPr>
      </w:pPr>
    </w:p>
    <w:p>
      <w:pPr>
        <w:ind w:right="8280" w:firstLine="8"/>
        <w:spacing w:after="0" w:line="378" w:lineRule="auto"/>
        <w:tabs>
          <w:tab w:leader="none" w:pos="40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anticipated liability with respect to these matters was not material as of June 30, 2024. In the event any litigation losses become probable and estimable, the Company will recognize anticipated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Unclaimed Property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In 2023, the Company recorded $0.8 million in General and administrative expenses for this matter. In the second quarter of 2024, the Company paid $0.7 million to the State of Delaware to resolve escheat matters related to unclaimed gift card balances. The Company believes any additional payments to the State of Delaware to resolve the remaining escheat matters will not be significant.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60" w:type="dxa"/>
            <w:vAlign w:val="bottom"/>
          </w:tcPr>
          <w:p>
            <w:pPr>
              <w:spacing w:after="0"/>
              <w:rPr>
                <w:sz w:val="18"/>
                <w:szCs w:val="18"/>
                <w:color w:val="auto"/>
              </w:rPr>
            </w:pPr>
          </w:p>
        </w:tc>
        <w:tc>
          <w:tcPr>
            <w:tcW w:w="29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60,384,696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59,385,510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60,198,743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59,314,470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62,464,424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60,944,836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62,507,183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60,770,441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162"/>
        </w:trPr>
        <w:tc>
          <w:tcPr>
            <w:tcW w:w="5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options outstanding not included in diluted net income per common</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1,005,061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1,005,359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as their effect is anti-dilutive</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units outstanding not included in diluted net income per</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as their effect is anti-dilutive</w:t>
            </w: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2023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2023 Form 10-K, including under “Item 1A. Risk Factors” and “Item 7. Management’s Discussion and Analysis of Financial Condition and Results of Operations” and in “Part II, Item 1A. Risk Factors” of our Form 10-Q for the quarter ended March 31,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A recipient of hundreds of local “Best Breakfast” and “Best Brunch” accolades, First Watch’s award-winning chef-driven menu includes elevated executions of classic favorites for breakfast, brunch and lunch. In 2023, First Watch was named a Top 100 Most Loved Workplace® in Newsweek by the Best Practice Institute for the second consecutive year. On October 1, 2021, the Company’s common stock began trading on Nasdaq under the ticker symbol “FWRG.”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29 states under the “First Watch” trade name and as of June 30, 2024, the Company had 459 company-owned restaurants and 79 franchise-owned restaurants.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highlights for the thirteen weeks ended June 30, 2024 (“second quarter of 2024”) as compared, unless otherwise indicated below, to the thirteen weeks ended June 25, 2023 (“second quarter of 2023”), reflected the continued momentum of our strong operating performance and include the following:</w:t>
      </w:r>
    </w:p>
    <w:p>
      <w:pPr>
        <w:spacing w:after="0" w:line="189" w:lineRule="exact"/>
        <w:rPr>
          <w:sz w:val="20"/>
          <w:szCs w:val="20"/>
          <w:color w:val="auto"/>
        </w:rPr>
      </w:pPr>
    </w:p>
    <w:p>
      <w:pPr>
        <w:ind w:left="580" w:hanging="410"/>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revenues increased 19.5% to $258.6 million in the second quarter of 2024 from $216.3 million in the second quarter of 2023</w:t>
      </w:r>
    </w:p>
    <w:p>
      <w:pPr>
        <w:spacing w:after="0" w:line="27" w:lineRule="exact"/>
        <w:rPr>
          <w:rFonts w:ascii="Times New Roman" w:cs="Times New Roman" w:eastAsia="Times New Roman" w:hAnsi="Times New Roman"/>
          <w:sz w:val="18"/>
          <w:szCs w:val="18"/>
          <w:b w:val="1"/>
          <w:bCs w:val="1"/>
          <w:color w:val="auto"/>
        </w:rPr>
      </w:pPr>
    </w:p>
    <w:p>
      <w:pPr>
        <w:ind w:left="580" w:hanging="410"/>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System-wide sales increased 10.1% to $299.0 million in the second quarter of 2024 from $271.5 million in the second quarter of 2023</w:t>
      </w:r>
    </w:p>
    <w:p>
      <w:pPr>
        <w:spacing w:after="0" w:line="9" w:lineRule="exact"/>
        <w:rPr>
          <w:rFonts w:ascii="Times New Roman" w:cs="Times New Roman" w:eastAsia="Times New Roman" w:hAnsi="Times New Roman"/>
          <w:sz w:val="18"/>
          <w:szCs w:val="18"/>
          <w:b w:val="1"/>
          <w:bCs w:val="1"/>
          <w:color w:val="auto"/>
        </w:rPr>
      </w:pPr>
    </w:p>
    <w:p>
      <w:pPr>
        <w:ind w:left="580" w:hanging="41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negative 0.3%*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negative of 4.0%*</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increased to 6.4% during the second quarter of 2024 from 5.3% in the second quarter of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increased to 21.9% in the second quarter of 2024 from 20.9% in the second quarter of 2023</w:t>
      </w:r>
    </w:p>
    <w:p>
      <w:pPr>
        <w:spacing w:after="0" w:line="9" w:lineRule="exact"/>
        <w:rPr>
          <w:rFonts w:ascii="Times New Roman" w:cs="Times New Roman" w:eastAsia="Times New Roman" w:hAnsi="Times New Roman"/>
          <w:sz w:val="18"/>
          <w:szCs w:val="18"/>
          <w:color w:val="auto"/>
        </w:rPr>
      </w:pPr>
    </w:p>
    <w:p>
      <w:pPr>
        <w:ind w:left="580" w:hanging="410"/>
        <w:spacing w:after="0" w:line="250"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$8.9 million, or $0.14 per diluted share, in the second quarter of 2024 from $8.0 million, or $0.13 per diluted share in the second quarter of 2023</w:t>
      </w:r>
    </w:p>
    <w:p>
      <w:pPr>
        <w:ind w:left="580" w:hanging="41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$35.3 million in the second quarter of 2024 from $25.8 million in the second quarter of 2023</w:t>
      </w:r>
    </w:p>
    <w:p>
      <w:pPr>
        <w:spacing w:after="0" w:line="9" w:lineRule="exact"/>
        <w:rPr>
          <w:rFonts w:ascii="Times New Roman" w:cs="Times New Roman" w:eastAsia="Times New Roman" w:hAnsi="Times New Roman"/>
          <w:sz w:val="18"/>
          <w:szCs w:val="18"/>
          <w:color w:val="auto"/>
        </w:rPr>
      </w:pPr>
    </w:p>
    <w:p>
      <w:pPr>
        <w:ind w:left="580" w:hanging="410"/>
        <w:spacing w:after="0" w:line="250"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7 system-wide restaurants in 6 states and acquired 21 franchise-owned restaurants resulting in a total of 538 system-wide restaurants (459 company-owned and 79 franchise-owned) across 29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*Comparing the thirteen-week periods ended June 30, 2024 and July 2, 2023 in order to compare like-for-like periods. See “Key Performance Indicators” for additional information.</w:t>
      </w:r>
    </w:p>
    <w:p>
      <w:pPr>
        <w:spacing w:after="0" w:line="1"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same restaurant sales growth was negative 0.3% for the quarter due principally to continuing pressure on traffic. Our same restaurant traffic growth was negative 4.0% in the second quarter which was up from negative 4.5% reported in the first quarter.</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Commodity inflation of 4.2% in the second quarter was due principally to increases in our cost of avocados and bacon and partially offset by a decline in the cost of coffee, shell eggs and bread. Management estimates 2024 commodity inflation will range between 2.0% to 4.0%.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restaurant-level wage inflation was approximately 5.0%. For the full year, management expects restaurant-level wage inflation in the range of 5.0% to 7.0%.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“Management’s Discussion and Analysis of Financial Condition and Results of Operations,” we commonly discuss the following key operating metrics which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second quarter of 2024, this operating metric compares the thirteen and twenty-six-week periods ended June 30, 2024 with the thirteen and twenty-six-week periods ended July 2, 2023, versus the thirteen and twenty-six-week periods ended June 25, 2023, in order to compare like-for-like periods. For the thirteen and twenty-six weeks ended June 30, 2024 and July 2, 2023, there were 344 restaurants and 327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for the thirteen and twenty-six week periods ended June 30, 2024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thirteen and twenty-six-week periods ended July 2, 2023 using the Comparable Restaurant Base, in order to compare like-for-like periods.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before depreciation and amortization, interest expense, income taxes, and items that we do not consider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evaluation of ongoing core operating performance as identified in the reconciliation of Net income,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from operations margin, the most directly comparable GAAP measure.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40" w:type="dxa"/>
            <w:vAlign w:val="bottom"/>
          </w:tcPr>
          <w:p>
            <w:pPr>
              <w:spacing w:after="0"/>
              <w:rPr>
                <w:sz w:val="18"/>
                <w:szCs w:val="18"/>
                <w:color w:val="auto"/>
              </w:rPr>
            </w:pPr>
          </w:p>
        </w:tc>
        <w:tc>
          <w:tcPr>
            <w:tcW w:w="35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3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298,978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271,546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588,558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536,265</w:t>
            </w: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System-wide restaurants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32"/>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3"/>
        </w:trPr>
        <w:tc>
          <w:tcPr>
            <w:tcW w:w="3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Franchise-owned</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36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Same-restaurant sales growth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16"/>
        </w:trPr>
        <w:tc>
          <w:tcPr>
            <w:tcW w:w="3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Same-restaurant traffic growth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11,343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26,674</w:t>
            </w:r>
          </w:p>
        </w:tc>
      </w:tr>
      <w:tr>
        <w:trPr>
          <w:trHeight w:val="213"/>
        </w:trPr>
        <w:tc>
          <w:tcPr>
            <w:tcW w:w="3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9"/>
        </w:trPr>
        <w:tc>
          <w:tcPr>
            <w:tcW w:w="36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44,398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105,808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88,500</w:t>
            </w:r>
          </w:p>
        </w:tc>
      </w:tr>
      <w:tr>
        <w:trPr>
          <w:trHeight w:val="216"/>
        </w:trPr>
        <w:tc>
          <w:tcPr>
            <w:tcW w:w="362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(in thousands)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17,319</w:t>
            </w:r>
          </w:p>
        </w:tc>
      </w:tr>
      <w:tr>
        <w:trPr>
          <w:trHeight w:val="213"/>
        </w:trPr>
        <w:tc>
          <w:tcPr>
            <w:tcW w:w="3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margin</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9"/>
        </w:trPr>
        <w:tc>
          <w:tcPr>
            <w:tcW w:w="36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25,816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53,229</w:t>
            </w:r>
          </w:p>
        </w:tc>
      </w:tr>
      <w:tr>
        <w:trPr>
          <w:trHeight w:val="281"/>
        </w:trPr>
        <w:tc>
          <w:tcPr>
            <w:tcW w:w="3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firstLine="8"/>
        <w:spacing w:after="0" w:line="248"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Comparing the thirteen and twenty-six-week periods ended June 30, 2024 with the thirteen and twenty-six-week periods ended July 2, 2023 in order to compare like-for-like periods. See “Key Performance Indicators” for additional information.</w:t>
      </w:r>
    </w:p>
    <w:p>
      <w:pPr>
        <w:spacing w:after="0" w:line="1" w:lineRule="exact"/>
        <w:rPr>
          <w:rFonts w:ascii="Times New Roman" w:cs="Times New Roman" w:eastAsia="Times New Roman" w:hAnsi="Times New Roman"/>
          <w:sz w:val="16"/>
          <w:szCs w:val="16"/>
          <w:color w:val="auto"/>
        </w:rPr>
      </w:pPr>
    </w:p>
    <w:p>
      <w:pPr>
        <w:ind w:right="20" w:firstLine="8"/>
        <w:spacing w:after="0" w:line="255" w:lineRule="auto"/>
        <w:tabs>
          <w:tab w:leader="none" w:pos="25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ind w:firstLine="8"/>
        <w:spacing w:after="0" w:line="270" w:lineRule="auto"/>
        <w:tabs>
          <w:tab w:leader="none" w:pos="23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and Net income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certain items in relation to Total revenues or, where indicated, Restaurant sales for the thirteen and twenty-six weeks ended June 30, 2024 and June 25,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70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82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7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7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198"/>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494,765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7"/>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258,561</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216,300</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501,010</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427,706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62"/>
        </w:trPr>
        <w:tc>
          <w:tcPr>
            <w:tcW w:w="3340" w:type="dxa"/>
            <w:vAlign w:val="bottom"/>
          </w:tcPr>
          <w:p>
            <w:pPr>
              <w:ind w:left="20"/>
              <w:spacing w:after="0" w:line="162" w:lineRule="exact"/>
              <w:rPr>
                <w:sz w:val="20"/>
                <w:szCs w:val="20"/>
                <w:color w:val="auto"/>
              </w:rPr>
            </w:pPr>
            <w:r>
              <w:rPr>
                <w:rFonts w:ascii="Times New Roman" w:cs="Times New Roman" w:eastAsia="Times New Roman" w:hAnsi="Times New Roman"/>
                <w:sz w:val="14"/>
                <w:szCs w:val="14"/>
                <w:color w:val="auto"/>
              </w:rPr>
              <w:t xml:space="preserve">Restaurant operating expenses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shown below):</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r>
      <w:tr>
        <w:trPr>
          <w:trHeight w:val="213"/>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163,576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213"/>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07"/>
        </w:trPr>
        <w:tc>
          <w:tcPr>
            <w:tcW w:w="3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242,114</w:t>
            </w:r>
          </w:p>
        </w:tc>
        <w:tc>
          <w:tcPr>
            <w:tcW w:w="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204,957</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94.8 %</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472,277</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94.3 %</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401,032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93.8 %</w:t>
            </w:r>
          </w:p>
        </w:tc>
      </w:tr>
      <w:tr>
        <w:trPr>
          <w:trHeight w:val="212"/>
        </w:trPr>
        <w:tc>
          <w:tcPr>
            <w:tcW w:w="33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0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9,991</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23,792</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a percentage of restaurant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300" w:type="dxa"/>
            <w:vAlign w:val="bottom"/>
          </w:tcPr>
          <w:p>
            <w:pPr>
              <w:spacing w:after="0"/>
              <w:rPr>
                <w:sz w:val="18"/>
                <w:szCs w:val="18"/>
                <w:color w:val="auto"/>
              </w:rPr>
            </w:pPr>
          </w:p>
        </w:tc>
        <w:tc>
          <w:tcPr>
            <w:tcW w:w="338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2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211,176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174,352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406,375</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343,581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18.3 %</w:t>
            </w:r>
          </w:p>
        </w:tc>
      </w:tr>
      <w:tr>
        <w:trPr>
          <w:trHeight w:val="21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13"/>
        </w:trPr>
        <w:tc>
          <w:tcPr>
            <w:tcW w:w="3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16,795</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14.6 %</w:t>
            </w:r>
          </w:p>
        </w:tc>
      </w:tr>
      <w:tr>
        <w:trPr>
          <w:trHeight w:val="23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212,587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494,765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total restaurant sales as compared to the same periods in the prior year was due principally to restaurant sales of (i) $20.9 million and $36.8 million for the thirteen and twenty-six weeks ended June 30, 2024, respectively, from 40 NROs opened between June 25, 2023 and June 30, 2024, (ii) $19.3 million and $28.4 million for the thirteen and twenty-six weeks ended June 30, 2024, respectively, from 39 restaurants acquired from franchisees between June 25, 2023 and June 30, 2024 and (iii) menu price increases.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Royalty and system fund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3"/>
        </w:trPr>
        <w:tc>
          <w:tcPr>
            <w:tcW w:w="2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contributions</w:t>
            </w:r>
          </w:p>
        </w:tc>
        <w:tc>
          <w:tcPr>
            <w:tcW w:w="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162"/>
        </w:trPr>
        <w:tc>
          <w:tcPr>
            <w:tcW w:w="27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Business acquisitions - franchise</w:t>
            </w: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429.5 %</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revenues recognized</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franchise revenues during the thirteen and twenty-six weeks ended June 30, 2024 as compared to the same periods in the prior year was primarily driven by the acquisition of 39 franchise-owned restaurants, partially offset by franchise revenues from the 8 franchise-owned NROs between June 25, 2023 and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55,803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47,692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107,987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94,319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bl>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Food and beverage costs as a percent of restaurant sales decreased during the thirteen and twenty-six weeks ended June 30, 2024 as compared to the same periods in the prior year primarily due to the leverage of menu price increases partially offset by commodity inflation.</w:t>
      </w:r>
    </w:p>
    <w:p>
      <w:pPr>
        <w:jc w:val="both"/>
        <w:spacing w:after="0" w:line="243" w:lineRule="auto"/>
        <w:rPr>
          <w:sz w:val="20"/>
          <w:szCs w:val="20"/>
          <w:color w:val="auto"/>
        </w:rPr>
      </w:pPr>
      <w:r>
        <w:rPr>
          <w:rFonts w:ascii="Times New Roman" w:cs="Times New Roman" w:eastAsia="Times New Roman" w:hAnsi="Times New Roman"/>
          <w:sz w:val="18"/>
          <w:szCs w:val="18"/>
          <w:color w:val="auto"/>
        </w:rPr>
        <w:t>Food and beverage costs increased during the thirteen and twenty-six weeks ended June 30, 2024 as compared to the same periods in the prior year primarily as a result of the 40 NROs and 39 restaurants acquired from franchisees between June 25, 2023 and June 30,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7"/>
                <w:szCs w:val="17"/>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9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7"/>
                <w:szCs w:val="17"/>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83,841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70,602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163,576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139,175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decreased during the thirteen weeks ended June 30, 2024 as compared to the same period in the prior year primarily as a result of (i) the leverage of menu price increases, and (ii) hourly labor efficiency. These increases were partially offset by wage increases.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and twenty-six weeks ended June 30, 2024 as compared to the same periods in the prior year was primarily due to (i) the increase in the number of restaurants (ii) wage increases and (iii) carrying more managers to staff new restaurants.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860" w:type="dxa"/>
            <w:vAlign w:val="bottom"/>
            <w:tcBorders>
              <w:bottom w:val="single" w:sz="8" w:color="auto"/>
            </w:tcBorders>
          </w:tcPr>
          <w:p>
            <w:pPr>
              <w:spacing w:after="0"/>
              <w:rPr>
                <w:sz w:val="18"/>
                <w:szCs w:val="18"/>
                <w:color w:val="auto"/>
              </w:rPr>
            </w:pPr>
          </w:p>
        </w:tc>
      </w:tr>
      <w:tr>
        <w:trPr>
          <w:trHeight w:val="214"/>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14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32,182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74,341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63,878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1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thirteen and twenty-six weeks ended June 30, 2024, other restaurant operating expenses as a percentage of restaurant sales was lower than the same periods in the prior year primarily due to (i) decrease in smallwares expense, (ii) deflation in to-go supplies costs, and (iii) decrease in general liability insurance premiums, partially offset by increases in credit card fees attributable to our pay-at-table program rolled out in the first quarter of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and twenty-six weeks ended June 30, 2024 as compared to the same periods in the prior year was mainly due to the increase in the number of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16,461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39,658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32,395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bl>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percentage of restaurant sales, the increase in occupancy expenses for the thirteen and twenty-six weeks ended June 30, 2024 as compared to the same periods in the prior year was primarily due to higher rent expense and the deleverage associated with negative same restaurant sales growth.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weeks and twenty-six weeks ended June 30, 2024 as compared to the same periods in the prior year was primarily due to the increase in the number of company-owned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40" w:type="dxa"/>
            <w:vAlign w:val="bottom"/>
            <w:tcBorders>
              <w:bottom w:val="single" w:sz="8" w:color="auto"/>
            </w:tcBorders>
          </w:tcPr>
          <w:p>
            <w:pPr>
              <w:spacing w:after="0"/>
              <w:rPr>
                <w:sz w:val="18"/>
                <w:szCs w:val="18"/>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20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5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2,288</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48.4 %</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pre-opening expenses during the thirteen and twenty-six weeks ended June 30, 2024 as compared to the same periods in the prior year was primarily from increases in (i) rent, (ii) travel expenses and (iii) the number of restaurants opened and under construction.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June 30, 2024 as compared to the same period in the prior year was mainly due to (i) $1.2 million in compensation expense from wage increases and additional employee headcount to support growth and (ii) $0.7 million increase in consulting and professional services, information technology, licenses, travel and other miscellaneous expenses.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twenty-six weeks ended June 30, 2024 as compared to the same period in the prior year was mainly due to (i) $4.3 million in compensation expense from wage increases and additional employee headcount to support growth and (ii) $2.6 million increase in consulting and professional services, information technology, licenses, travel and other miscellaneous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L.P. (“Advent”) in August 2017, as well as reacquired rights from our acquisitions of franchise-owned restaurants.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6"/>
          </w:tcPr>
          <w:p>
            <w:pPr>
              <w:ind w:left="10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7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0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25, 2023</w:t>
            </w:r>
          </w:p>
        </w:tc>
        <w:tc>
          <w:tcPr>
            <w:tcW w:w="10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and twenty-six weeks ended June 30, 2024 as compared to the same periods in the prior year was due to (i) additional NRO assets and restaurants acquired from franchisees and (ii) reacquired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expenses, net include (i) revaluations of contingent consideration payable to previous stockholders for tax savings generated through the use of federal and state loss carryforwards and general business credits that had been accumulated from operations prior to our acquisition by Advent in August 2017, (ii) gains or losses associated with lease or contract terminations, (iii) costs incurred in connection with the acquisition of franchise-owned restaurants, (iv) costs related to restaurant closures and (v) costs related to certain equity offerings.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bl>
    <w:p>
      <w:pPr>
        <w:spacing w:after="0" w:line="319"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 decrease in Transaction expenses, net during the thirteen-week period ended June 30, 2024 as compared to the same period in the prior year was primarily due to (i) $0.7 million decrease in costs incurred by us in connection with the secondary public offerings of the Company’s common stock by entities affiliated with Advent and (ii) $0.3 million decrease in costs incurred in connection with the acquisition of certain franchise-owned restaurants.</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decrease in Transaction expenses, net during the twenty-six weeks ended June 30, 2024 as compared to the same period in the prior year was primarily due to a contingent consideration liability reduction recognized as a reduction in transaction expenses in the first quarter of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26,674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margin increased during the thirteen weeks ended June 30, 2024 as compared to the same period in the prior year primarily due to</w:t>
      </w:r>
    </w:p>
    <w:p>
      <w:pPr>
        <w:spacing w:after="0" w:line="27" w:lineRule="exact"/>
        <w:rPr>
          <w:sz w:val="20"/>
          <w:szCs w:val="20"/>
          <w:color w:val="auto"/>
        </w:rPr>
      </w:pPr>
    </w:p>
    <w:p>
      <w:pPr>
        <w:ind w:firstLine="8"/>
        <w:spacing w:after="0" w:line="260" w:lineRule="auto"/>
        <w:tabs>
          <w:tab w:leader="none" w:pos="2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increase in sales from menu price increases and (ii) improved labor efficiency. This was partially offset by increases in occupancy expense and depreciation and amortization increasing as a percent of sales.</w:t>
      </w:r>
    </w:p>
    <w:p>
      <w:pPr>
        <w:spacing w:after="0" w:line="19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Income from operations margin decreased during the twenty-six weeks ended June 30, 2024 as compared to the same period in the prior year primarily due to (i) the increase in occupancy expenses and (ii) higher depreciation and amortization expense driven by our restaurant growth and acquisition of certain franchise-owned restaurants, partially offset by the increase in restaurant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51.6 %</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thirteen and twenty-six weeks ended June 30, 2024 as compared to the same periods in the prior year was due to (i) increased borrowings associated with franchise acquisitions and (ii) higher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twenty-six week period ended June 30, 2024 includes $0.4 million of debt refinancing charges. Differences in Other income for the comparative periods presented are related to expected fluctuations in insurance recoveries and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60" w:type="dxa"/>
            <w:vAlign w:val="bottom"/>
            <w:tcBorders>
              <w:bottom w:val="single" w:sz="8" w:color="auto"/>
            </w:tcBorders>
          </w:tcPr>
          <w:p>
            <w:pPr>
              <w:spacing w:after="0"/>
              <w:rPr>
                <w:sz w:val="18"/>
                <w:szCs w:val="18"/>
                <w:color w:val="auto"/>
              </w:rPr>
            </w:pPr>
          </w:p>
        </w:tc>
      </w:tr>
      <w:tr>
        <w:trPr>
          <w:trHeight w:val="214"/>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(4,879)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(7,678)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(6,590)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210"/>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bl>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the effective income tax rates for the thirteen and twenty-six weeks ended June 30, 2024 as compared to the same periods in the prior year was primarily due to (i) the change in the valuation allowance on deferred tax assets, (ii) the benefit of tax credits for FICA taxes on certain employees’ tips and (iii) the impacts of executive stock-based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40" w:type="dxa"/>
            <w:vAlign w:val="bottom"/>
            <w:tcBorders>
              <w:bottom w:val="single" w:sz="8" w:color="auto"/>
            </w:tcBorders>
          </w:tcPr>
          <w:p>
            <w:pPr>
              <w:spacing w:after="0"/>
              <w:rPr>
                <w:sz w:val="18"/>
                <w:szCs w:val="18"/>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8,900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17,319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0"/>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bl>
    <w:p>
      <w:pPr>
        <w:spacing w:after="0" w:line="31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increase in net income during the thirteen weeks ended June 30, 2024 as compared to the same period in the prior year was primarily due to the increase in income from operations. This was partially offset by (i) the increase in interest expense and (ii) the increase in income tax expense. Net income margin during the thirteen weeks ended June 30, 2024 decreased compared to the same period in the prior year primarily due to the increase in interest expense and income tax expense, partially offset by the increase in income from operations.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income and net income margin during the twenty-six weeks ended June 30, 2024 decreased as compared to the same period in the prior year primarily due to the (i) increase in interest expense, (ii) the increase in income tax expense and (iii) the decrease in income from operations margin.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55,946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44,398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105,808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88,500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level operating profit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margin</w:t>
            </w: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weeks ended June 30, 2024 increased as compared to the same period in the prior year primarily due to (i) additional restaurant sales contributed by NROs and restaurants acquired between June 25, 2023 and June 30, 2024, (ii) favorable food and beverage costs as a percent of sales and (iii) labor efficiencies. This was partially offset by the increase in (i) wages and (ii) the deleverage of occupancy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 level operating profit for the twenty-six weeks ended June 30, 2024 increased as compared to the same period in the prior year primarily due to</w:t>
      </w:r>
    </w:p>
    <w:p>
      <w:pPr>
        <w:spacing w:after="0" w:line="27" w:lineRule="exact"/>
        <w:rPr>
          <w:sz w:val="20"/>
          <w:szCs w:val="20"/>
          <w:color w:val="auto"/>
        </w:rPr>
      </w:pPr>
    </w:p>
    <w:p>
      <w:pPr>
        <w:ind w:firstLine="8"/>
        <w:spacing w:after="0" w:line="260"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 driven by the increase in menu prices, as well as (ii) restaurant sales contributed by 40 NROs and 39 restaurants acquired from franchisees between June 25, 2023 and June 30, 2024. This was partially offset by an increase in (i) wages and (ii) deleverage of occupancy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40" w:type="dxa"/>
            <w:vAlign w:val="bottom"/>
            <w:tcBorders>
              <w:bottom w:val="single" w:sz="8" w:color="auto"/>
            </w:tcBorders>
          </w:tcPr>
          <w:p>
            <w:pPr>
              <w:spacing w:after="0"/>
              <w:rPr>
                <w:sz w:val="18"/>
                <w:szCs w:val="18"/>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35,325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25,816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63,915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53,229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10"/>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increased during the thirteen and twenty-six week periods ended June 30, 2024 as compared to the same periods in the prior year primarily due to the increase in restaurant level operating profit. This was partially offset by general and administrative expenses mainly due to wage increases and additional employee headcount to support growth..</w:t>
      </w:r>
    </w:p>
    <w:p>
      <w:pPr>
        <w:spacing w:after="0" w:line="189" w:lineRule="exact"/>
        <w:rPr>
          <w:sz w:val="20"/>
          <w:szCs w:val="20"/>
          <w:color w:val="auto"/>
        </w:rPr>
      </w:pPr>
    </w:p>
    <w:p>
      <w:pPr>
        <w:jc w:val="both"/>
        <w:ind w:right="200"/>
        <w:spacing w:after="0" w:line="242" w:lineRule="auto"/>
        <w:rPr>
          <w:sz w:val="20"/>
          <w:szCs w:val="20"/>
          <w:color w:val="auto"/>
        </w:rPr>
      </w:pPr>
      <w:r>
        <w:rPr>
          <w:rFonts w:ascii="Times New Roman" w:cs="Times New Roman" w:eastAsia="Times New Roman" w:hAnsi="Times New Roman"/>
          <w:sz w:val="18"/>
          <w:szCs w:val="18"/>
          <w:color w:val="auto"/>
        </w:rPr>
        <w:t>Adjusted EBITDA margin increased during the thirteen and twenty-six week periods ended June 30, 2024 compared to the same periods in the prior year primarily due to an increase in (i) restaurant level operating profit margin and (ii) general and administrative expenses growing at a slower rate than total revenue.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 Reconciliations</w:t>
      </w:r>
    </w:p>
    <w:p>
      <w:pPr>
        <w:spacing w:after="0" w:line="254" w:lineRule="exact"/>
        <w:rPr>
          <w:sz w:val="20"/>
          <w:szCs w:val="20"/>
          <w:color w:val="auto"/>
        </w:rPr>
      </w:pPr>
    </w:p>
    <w:p>
      <w:pPr>
        <w:ind w:lef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and Net income margin, the most directly comparable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to Adjusted EBITDA and Adjusted EBITDA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60" w:type="dxa"/>
            <w:vAlign w:val="bottom"/>
          </w:tcPr>
          <w:p>
            <w:pPr>
              <w:spacing w:after="0"/>
              <w:rPr>
                <w:sz w:val="18"/>
                <w:szCs w:val="18"/>
                <w:color w:val="auto"/>
              </w:rPr>
            </w:pPr>
          </w:p>
        </w:tc>
        <w:tc>
          <w:tcPr>
            <w:tcW w:w="34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0" w:type="dxa"/>
            <w:vAlign w:val="bottom"/>
          </w:tcPr>
          <w:p>
            <w:pPr>
              <w:spacing w:after="0"/>
              <w:rPr>
                <w:sz w:val="1"/>
                <w:szCs w:val="1"/>
                <w:color w:val="auto"/>
              </w:rPr>
            </w:pPr>
          </w:p>
        </w:tc>
      </w:tr>
      <w:tr>
        <w:trPr>
          <w:trHeight w:val="211"/>
        </w:trPr>
        <w:tc>
          <w:tcPr>
            <w:tcW w:w="60" w:type="dxa"/>
            <w:vAlign w:val="bottom"/>
            <w:tcBorders>
              <w:right w:val="single" w:sz="8" w:color="CCEEFF"/>
            </w:tcBorders>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17,319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18,558</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3,944</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7,678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6,590</w:t>
            </w: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56,579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46,411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Strategic costs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366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Delaware Voluntary Disclosure Agreement</w:t>
            </w:r>
          </w:p>
        </w:tc>
        <w:tc>
          <w:tcPr>
            <w:tcW w:w="2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Program </w:t>
            </w:r>
            <w:r>
              <w:rPr>
                <w:rFonts w:ascii="Times New Roman" w:cs="Times New Roman" w:eastAsia="Times New Roman" w:hAnsi="Times New Roman"/>
                <w:sz w:val="21"/>
                <w:szCs w:val="21"/>
                <w:color w:val="auto"/>
                <w:vertAlign w:val="superscript"/>
              </w:rPr>
              <w:t>(3)</w:t>
            </w:r>
          </w:p>
        </w:tc>
        <w:tc>
          <w:tcPr>
            <w:tcW w:w="2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(4)</w:t>
            </w:r>
          </w:p>
        </w:tc>
        <w:tc>
          <w:tcPr>
            <w:tcW w:w="24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366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Insurance proceeds in connection with natural</w:t>
            </w:r>
          </w:p>
        </w:tc>
        <w:tc>
          <w:tcPr>
            <w:tcW w:w="2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disasters, net </w:t>
            </w:r>
            <w:r>
              <w:rPr>
                <w:rFonts w:ascii="Times New Roman" w:cs="Times New Roman" w:eastAsia="Times New Roman" w:hAnsi="Times New Roman"/>
                <w:sz w:val="21"/>
                <w:szCs w:val="21"/>
                <w:color w:val="auto"/>
                <w:vertAlign w:val="superscript"/>
              </w:rPr>
              <w:t>(5)</w:t>
            </w:r>
          </w:p>
        </w:tc>
        <w:tc>
          <w:tcPr>
            <w:tcW w:w="2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(6)</w:t>
            </w:r>
          </w:p>
        </w:tc>
        <w:tc>
          <w:tcPr>
            <w:tcW w:w="24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(7)</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(8)</w:t>
            </w:r>
          </w:p>
        </w:tc>
        <w:tc>
          <w:tcPr>
            <w:tcW w:w="2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2"/>
        </w:trPr>
        <w:tc>
          <w:tcPr>
            <w:tcW w:w="60" w:type="dxa"/>
            <w:vAlign w:val="bottom"/>
            <w:tcBorders>
              <w:right w:val="single" w:sz="8" w:color="CCEEFF"/>
            </w:tcBorders>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53,229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258,561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501,010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427,706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margin</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information</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7"/>
              </w:rPr>
              <w:t>.</w:t>
            </w:r>
          </w:p>
        </w:tc>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(9)</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54"/>
        </w:trPr>
        <w:tc>
          <w:tcPr>
            <w:tcW w:w="60" w:type="dxa"/>
            <w:vAlign w:val="bottom"/>
            <w:vMerge w:val="continue"/>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ind w:left="80" w:firstLine="8"/>
        <w:spacing w:after="0" w:line="249" w:lineRule="auto"/>
        <w:tabs>
          <w:tab w:leader="none" w:pos="32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Income.</w:t>
      </w:r>
    </w:p>
    <w:p>
      <w:pPr>
        <w:ind w:left="80" w:firstLine="8"/>
        <w:spacing w:after="0" w:line="255" w:lineRule="auto"/>
        <w:tabs>
          <w:tab w:leader="none" w:pos="3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w:t>
      </w:r>
    </w:p>
    <w:p>
      <w:pPr>
        <w:ind w:left="80" w:right="20" w:firstLine="8"/>
        <w:spacing w:after="0" w:line="255" w:lineRule="auto"/>
        <w:tabs>
          <w:tab w:leader="none" w:pos="31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ind w:left="80" w:firstLine="8"/>
        <w:spacing w:after="0" w:line="248" w:lineRule="auto"/>
        <w:tabs>
          <w:tab w:leader="none" w:pos="31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expenses related to debt, secondary offering costs and, in 2024, an offsetting gain on release of contingent consideration liability.</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1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insurance recoveries, net of costs incurred, in connection with hurricane damage, which were recorded in Other income, net on the Consolidated Statements of Operations and Comprehensive Income.</w:t>
      </w:r>
    </w:p>
    <w:p>
      <w:pPr>
        <w:ind w:left="80" w:firstLine="8"/>
        <w:spacing w:after="0" w:line="253"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80" w:right="20" w:firstLine="8"/>
        <w:spacing w:after="0" w:line="255" w:lineRule="auto"/>
        <w:tabs>
          <w:tab w:leader="none" w:pos="33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These costs are recorded within General and administrative expenses on the Consolidated Statements of Operations and Comprehensive Income.</w:t>
      </w:r>
    </w:p>
    <w:p>
      <w:pPr>
        <w:ind w:left="320" w:hanging="23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w:t>
      </w:r>
    </w:p>
    <w:p>
      <w:pPr>
        <w:spacing w:after="0" w:line="8" w:lineRule="exact"/>
        <w:rPr>
          <w:rFonts w:ascii="Times New Roman" w:cs="Times New Roman" w:eastAsia="Times New Roman" w:hAnsi="Times New Roman"/>
          <w:sz w:val="16"/>
          <w:szCs w:val="16"/>
          <w:color w:val="auto"/>
        </w:rPr>
      </w:pPr>
    </w:p>
    <w:p>
      <w:pPr>
        <w:ind w:left="80" w:firstLine="8"/>
        <w:spacing w:after="0" w:line="270" w:lineRule="auto"/>
        <w:tabs>
          <w:tab w:leader="none" w:pos="3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40" w:type="dxa"/>
            <w:vAlign w:val="bottom"/>
          </w:tcPr>
          <w:p>
            <w:pPr>
              <w:spacing w:after="0"/>
              <w:rPr>
                <w:sz w:val="18"/>
                <w:szCs w:val="18"/>
                <w:color w:val="auto"/>
              </w:rPr>
            </w:pPr>
          </w:p>
        </w:tc>
        <w:tc>
          <w:tcPr>
            <w:tcW w:w="34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25, 2023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211"/>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16,447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11,343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26,674</w:t>
            </w:r>
          </w:p>
        </w:tc>
      </w:tr>
      <w:tr>
        <w:trPr>
          <w:trHeight w:val="213"/>
        </w:trPr>
        <w:tc>
          <w:tcPr>
            <w:tcW w:w="3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24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(7,151)</w:t>
            </w: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27,189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47,989</w:t>
            </w:r>
          </w:p>
        </w:tc>
      </w:tr>
      <w:tr>
        <w:trPr>
          <w:trHeight w:val="21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14,536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18,558</w:t>
            </w:r>
          </w:p>
        </w:tc>
      </w:tr>
      <w:tr>
        <w:trPr>
          <w:trHeight w:val="216"/>
        </w:trPr>
        <w:tc>
          <w:tcPr>
            <w:tcW w:w="382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1,997</w:t>
            </w:r>
          </w:p>
        </w:tc>
      </w:tr>
      <w:tr>
        <w:trPr>
          <w:trHeight w:val="216"/>
        </w:trPr>
        <w:tc>
          <w:tcPr>
            <w:tcW w:w="38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(2)</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r>
      <w:tr>
        <w:trPr>
          <w:trHeight w:val="20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55,946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44,398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105,808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88,500</w:t>
            </w:r>
          </w:p>
        </w:tc>
      </w:tr>
      <w:tr>
        <w:trPr>
          <w:trHeight w:val="199"/>
        </w:trPr>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255,457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212,587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494,765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420,555</w:t>
            </w:r>
          </w:p>
        </w:tc>
      </w:tr>
      <w:tr>
        <w:trPr>
          <w:trHeight w:val="21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3"/>
        </w:trPr>
        <w:tc>
          <w:tcPr>
            <w:tcW w:w="3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9"/>
        </w:trPr>
        <w:tc>
          <w:tcPr>
            <w:tcW w:w="3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2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tabs>
          <w:tab w:leader="none" w:pos="22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expenses related to debt, secondary offering costs and, in 2024, an offsetting gain on release of contingent consideration liability.</w:t>
      </w:r>
    </w:p>
    <w:p>
      <w:pPr>
        <w:ind w:firstLine="8"/>
        <w:spacing w:after="0" w:line="246" w:lineRule="auto"/>
        <w:tabs>
          <w:tab w:leader="none" w:pos="2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firstLine="8"/>
        <w:spacing w:after="0" w:line="275" w:lineRule="auto"/>
        <w:tabs>
          <w:tab w:leader="none" w:pos="2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we had cash and cash equivalents of $45.1 million and outstanding borrowings under the Credit Facility of $196.3 million, excluding unamortized debt discount and deferred issuance costs. We had availability of $123.3 million under our revolving credit facility of $125.0 million, of which $1.7 million is reserved under letters of credit, and availability of $27.5 million under our delayed draw term loan pursuant to our credit agreement,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storing minimal inventory and customers pay for their purchases at the time of the sale, which frequently precedes our payment terms with suppliers.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our Credit Facility and available cash and cash equivalents will be sufficient to meet our liquidity needs for at least the next 12 months. We anticipate that to the extent that we require additional liquidity, or should we decide to pursue one or more significant acquisitions, it will be funded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$125.0 million to $135.0 million in 2024, not including the capital allocated to franchise acquisitions, which will be invested primarily in new restaurant projects and planned remodels. We plan to fund the capital expenditures primarily with cash generated from our operating activities as well as with borrowings pursuant to our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twenty-six weeks ended June 30, 2024 and June 25,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5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25, 2023</w:t>
            </w: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55,583</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17,168</w:t>
            </w:r>
          </w:p>
        </w:tc>
      </w:tr>
      <w:tr>
        <w:trPr>
          <w:trHeight w:val="23"/>
        </w:trPr>
        <w:tc>
          <w:tcPr>
            <w:tcW w:w="7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operations is our typical source of liquidity used (i) to fund capital expenditures for new restaurants, (ii) to maintain and remodel existing restaurants and (iii) for debt service. Cash provided by operations increased during the twenty-six week period ended June 30, 2024 as compared to the twenty-six week period ended June 25, 2023 is primarily due to the increase in the number of restaurants.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during the twenty-six weeks ended June 30, 2024 from the twenty-six weeks ended June 25, 2023 due principally to (i) increases in the number of new restaurants and capital projects into which the Company is investing and (ii) the acquisitions of 22 franchise-operated restaurants versus 6 in the same period last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from financing activities reflects borrowings from the Company’s Credit Facility to fund strategic acquisitions of franchise-operated restaurants.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the 2023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exposed to interest rate risk through fluctuations in interest rates on our debt obligations. On June 23, 2023, we entered into a variable-to-fixed interest rate swap agreement with two financial institutions to hedge $90.0 million of the outstanding variable rate debt. Under the terms of the interest rate swap agreement, the Company will pay a weighted average fixed rate of 4.16% on the notional amount and will receive payments from the counterparties based on the three-month secured overnight financing rate. On May 17, 2024, we entered into a variable-to-fixed interest rate swap agreement with two financial institutions to hedge an additional $60.0 million of the $196.3 million variable rate debt outstanding. Under the terms of the interest rate swap agreement, the Company will pay a weighted average fixed rate of 4.42% on the notional amount and will receive payments from the counterparties based on the three-month secured overnight financing rate. Refer to Note 8,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there have been no material changes to our exposure to market risks as disclosed in the 2023 Form 10-K.</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our Chief Executive Officer and Chief Financial Officer concluded that, as of June 30, 2024,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management report on internal control over financial reporting in Part II - Item 9A of the 2023 Form 10-K filed with SEC on March 5, 2024 for a discussion of the material weaknesses that continue to exist as of June 30,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continue to implement measures designed to improve the Company’s internal control over financial reporting to address and remediate the previously identified material weaknesses. To date, such measures include the following:</w:t>
      </w:r>
    </w:p>
    <w:p>
      <w:pPr>
        <w:spacing w:after="0" w:line="203"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knowledge and experience in income tax, internal audit, information technology, and legal.</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reviewed responsibilities, including ensuring appropriate segregation of duties.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financial statement disclosures, and the consolidated financial statements, including controls around classification of cash flows and disclosure of noncash items, as well as establishing a formal management Disclosure Committee to review the draft financial statements and disclosures prior to release, including a sub-certification process from various functional groups.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access restrictions for certain users over general ledger journal entries and designed new processes to further segregate journal entry creation from journal entry approval authority.</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over the accounting for income taxes to ensure the appropriate recording of deferred income taxes, income taxes and related disclosures.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material weaknesses previously disclosed have not yet been remediated as of June 30, 2024, management is devoting substantial resources to the ongoing remediation efforts. 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designed and operating effectively.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discussed in this report, please consider the factors described in Part I, Item 1A., “Risk Factors” in our 2023 Form 10-K, updated as set forth below, which update was first included in Part II, Item 1A., “Risk Factors” in our Quarterly Report on Form 10-Q for the quarter ended March 31, 2024 to reflect that, due to Advent’s sales of our common stock on March 12, 2024, we are no longer considered a “controlled company” under Nasdaq listing rules. These are not the only risks facing our Company. Additional risks and uncertainties not currently known to us or that we currently deem to be immaterial also may adversely affect our business, financial condition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 factor has been updated:</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If the ownership of our common stock continues to be highly concentrated, it may prevent you and other minority stockholders from influencing significant corporate decisions and may result in conflicts of interest. Although we are no longer a “controlled company” within the meaning of the rules of the Nasdaq, Advent will continue to exert substantial influence over us.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Advent indirectly beneficially owns approximately 45% of our outstanding common stock. Although we are no longer a “controlled company” within the meaning of the Nasdaq listing rules, Advent indirectly beneficially owns shares sufficient to significantly influence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 change in control of us. Also, Advent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officers adopted or terminated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120" w:type="dxa"/>
            <w:vAlign w:val="bottom"/>
            <w:gridSpan w:val="5"/>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60" w:type="dxa"/>
            <w:vAlign w:val="bottom"/>
            <w:tcBorders>
              <w:top w:val="single" w:sz="8" w:color="0000FF"/>
            </w:tcBorders>
            <w:gridSpan w:val="3"/>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00" w:type="dxa"/>
            <w:vAlign w:val="bottom"/>
            <w:tcBorders>
              <w:top w:val="single" w:sz="8" w:color="0000FF"/>
            </w:tcBorders>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 of the Sarbanes-Oxley Act</w:t>
            </w:r>
          </w:p>
        </w:tc>
        <w:tc>
          <w:tcPr>
            <w:tcW w:w="600" w:type="dxa"/>
            <w:vAlign w:val="bottom"/>
            <w:gridSpan w:val="5"/>
          </w:tcPr>
          <w:p>
            <w:pPr>
              <w:ind w:left="120"/>
              <w:spacing w:after="0" w:line="169" w:lineRule="exact"/>
              <w:rPr>
                <w:sz w:val="20"/>
                <w:szCs w:val="20"/>
                <w:color w:val="auto"/>
              </w:rPr>
            </w:pPr>
            <w:r>
              <w:rPr>
                <w:rFonts w:ascii="Times New Roman" w:cs="Times New Roman" w:eastAsia="Times New Roman" w:hAnsi="Times New Roman"/>
                <w:sz w:val="18"/>
                <w:szCs w:val="18"/>
                <w:color w:val="0000FF"/>
              </w:rPr>
              <w:t>of</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1000" w:type="dxa"/>
            <w:vAlign w:val="bottom"/>
            <w:tcBorders>
              <w:top w:val="single" w:sz="8" w:color="0000FF"/>
            </w:tcBorders>
          </w:tcPr>
          <w:p>
            <w:pPr>
              <w:spacing w:after="0"/>
              <w:rPr>
                <w:sz w:val="13"/>
                <w:szCs w:val="13"/>
                <w:color w:val="auto"/>
              </w:rPr>
            </w:pPr>
          </w:p>
        </w:tc>
        <w:tc>
          <w:tcPr>
            <w:tcW w:w="4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financial information from First Watch Restaurant Group, Inc.’s Quarterly Report on</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Form 10-Q for the second fiscal quarter ended June 30, 2024, filed on August 6, 2024,</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as iXBRL and contained in Exhibit 101)</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jc w:val="both"/>
        <w:ind w:firstLine="8"/>
        <w:spacing w:after="0" w:line="263" w:lineRule="auto"/>
        <w:tabs>
          <w:tab w:leader="none" w:pos="12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6" w:name="page37"/>
    <w:bookmarkEnd w:id="36"/>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18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6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6, 2024</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98" w:lineRule="auto"/>
        <w:tabs>
          <w:tab w:leader="none" w:pos="96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6, 2024</w:t>
      </w:r>
    </w:p>
    <w:p>
      <w:pPr>
        <w:spacing w:after="0" w:line="1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period ended June 30, 2024,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0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0"/>
    </w:lvl>
  </w:abstractNum>
  <w:abstractNum w:abstractNumId="5">
    <w:nsid w:val="66EF438D"/>
    <w:multiLevelType w:val="hybridMultilevel"/>
    <w:lvl w:ilvl="0">
      <w:lvlJc w:val="left"/>
      <w:lvlText w:val="%1."/>
      <w:numFmt w:val="decimal"/>
      <w:start w:val="12"/>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2024-08-06T06:17:16Z</dcterms:created>
  <dcterms:modified xsi:type="dcterms:W3CDTF">2024-08-06T06:17:16Z</dcterms:modified>
</cp:coreProperties>
</file>