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400" w:hanging="285"/>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June 25, 2023</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400" w:hanging="285"/>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237490</wp:posOffset>
            </wp:positionV>
            <wp:extent cx="170561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First Watch Restaurant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36" w:right="339" w:bottom="1440" w:gutter="0" w:footer="0" w:header="0"/>
        </w:sectPr>
      </w:pPr>
    </w:p>
    <w:p>
      <w:pPr>
        <w:spacing w:after="0" w:line="8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82-4271369</w:t>
      </w:r>
    </w:p>
    <w:p>
      <w:pPr>
        <w:spacing w:after="0" w:line="63" w:lineRule="exact"/>
        <w:rPr>
          <w:sz w:val="24"/>
          <w:szCs w:val="24"/>
          <w:color w:val="auto"/>
        </w:rPr>
      </w:pPr>
    </w:p>
    <w:p>
      <w:pPr>
        <w:sectPr>
          <w:pgSz w:w="11900" w:h="16838" w:orient="portrait"/>
          <w:cols w:equalWidth="0" w:num="2">
            <w:col w:w="8460" w:space="720"/>
            <w:col w:w="2060"/>
          </w:cols>
          <w:pgMar w:left="320" w:top="936" w:right="3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(State or other jurisdiction of</w:t>
      </w:r>
    </w:p>
    <w:p>
      <w:pPr>
        <w:spacing w:after="0" w:line="3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0" w:lineRule="exact"/>
        <w:rPr>
          <w:sz w:val="24"/>
          <w:szCs w:val="24"/>
          <w:color w:val="auto"/>
        </w:rPr>
      </w:pPr>
    </w:p>
    <w:p>
      <w:pPr>
        <w:sectPr>
          <w:pgSz w:w="11900" w:h="16838" w:orient="portrait"/>
          <w:cols w:equalWidth="0" w:num="2">
            <w:col w:w="7600" w:space="720"/>
            <w:col w:w="2920"/>
          </w:cols>
          <w:pgMar w:left="320" w:top="936" w:right="339"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8725 Pendery Place, Suite 201, Bradenton, FL 34201</w:t>
      </w:r>
    </w:p>
    <w:p>
      <w:pPr>
        <w:spacing w:after="0" w:line="77" w:lineRule="exact"/>
        <w:rPr>
          <w:sz w:val="24"/>
          <w:szCs w:val="24"/>
          <w:color w:val="auto"/>
        </w:rPr>
      </w:pPr>
    </w:p>
    <w:p>
      <w:pPr>
        <w:jc w:val="center"/>
        <w:ind w:left="500"/>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240"/>
          </w:cols>
          <w:pgMar w:left="320" w:top="936" w:right="3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(941) 907-9800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10"/>
              <w:spacing w:after="0"/>
              <w:rPr>
                <w:sz w:val="20"/>
                <w:szCs w:val="20"/>
                <w:color w:val="auto"/>
              </w:rPr>
            </w:pPr>
            <w:r>
              <w:rPr>
                <w:rFonts w:ascii="Arial" w:cs="Arial" w:eastAsia="Arial" w:hAnsi="Arial"/>
                <w:sz w:val="18"/>
                <w:szCs w:val="18"/>
                <w:color w:val="auto"/>
                <w:w w:val="90"/>
              </w:rPr>
              <w:t>Title of each class</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36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w w:val="89"/>
              </w:rPr>
              <w:t>Common Stock, $0.01 par value</w:t>
            </w:r>
          </w:p>
        </w:tc>
        <w:tc>
          <w:tcPr>
            <w:tcW w:w="284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rPr>
              <w:t>FWRG</w:t>
            </w:r>
          </w:p>
        </w:tc>
        <w:tc>
          <w:tcPr>
            <w:tcW w:w="3760" w:type="dxa"/>
            <w:vAlign w:val="bottom"/>
          </w:tcPr>
          <w:p>
            <w:pPr>
              <w:jc w:val="center"/>
              <w:ind w:left="470"/>
              <w:spacing w:after="0" w:line="18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6"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59,523,950 shares of common stock as of July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4160" w:type="dxa"/>
            <w:vAlign w:val="bottom"/>
            <w:gridSpan w:val="13"/>
          </w:tcPr>
          <w:p>
            <w:pPr>
              <w:spacing w:after="0"/>
              <w:rPr>
                <w:sz w:val="20"/>
                <w:szCs w:val="20"/>
                <w:color w:val="auto"/>
              </w:rPr>
            </w:pPr>
            <w:r>
              <w:rPr>
                <w:rFonts w:ascii="Arial" w:cs="Arial" w:eastAsia="Arial" w:hAnsi="Arial"/>
                <w:sz w:val="18"/>
                <w:szCs w:val="18"/>
                <w:color w:val="0000FF"/>
                <w:w w:val="91"/>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w:t>
            </w:r>
          </w:p>
        </w:tc>
      </w:tr>
      <w:tr>
        <w:trPr>
          <w:trHeight w:val="237"/>
        </w:trPr>
        <w:tc>
          <w:tcPr>
            <w:tcW w:w="41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22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Part II. Other Information</w:t>
            </w:r>
          </w:p>
        </w:tc>
        <w:tc>
          <w:tcPr>
            <w:tcW w:w="5520" w:type="dxa"/>
            <w:vAlign w:val="bottom"/>
            <w:gridSpan w:val="8"/>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Legal Proceedings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Risk Factors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120" w:type="dxa"/>
            <w:vAlign w:val="bottom"/>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23"/>
        </w:trPr>
        <w:tc>
          <w:tcPr>
            <w:tcW w:w="76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Mine Safety Disclosures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Other Information</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240" w:type="dxa"/>
            <w:vAlign w:val="bottom"/>
            <w:gridSpan w:val="2"/>
          </w:tcPr>
          <w:p>
            <w:pPr>
              <w:spacing w:after="0"/>
              <w:rPr>
                <w:sz w:val="20"/>
                <w:szCs w:val="20"/>
                <w:color w:val="auto"/>
              </w:rPr>
            </w:pPr>
          </w:p>
        </w:tc>
        <w:tc>
          <w:tcPr>
            <w:tcW w:w="6640" w:type="dxa"/>
            <w:vAlign w:val="bottom"/>
            <w:gridSpan w:val="12"/>
          </w:tcPr>
          <w:p>
            <w:pPr>
              <w:ind w:left="200"/>
              <w:spacing w:after="0"/>
              <w:rPr>
                <w:sz w:val="20"/>
                <w:szCs w:val="20"/>
                <w:color w:val="auto"/>
              </w:rPr>
            </w:pPr>
            <w:r>
              <w:rPr>
                <w:rFonts w:ascii="Arial" w:cs="Arial" w:eastAsia="Arial" w:hAnsi="Arial"/>
                <w:sz w:val="18"/>
                <w:szCs w:val="18"/>
                <w:color w:val="0000FF"/>
              </w:rPr>
              <w:t>Exhibits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Quarterly Report on Form 10-Q (“Form 10-Q”) contains forward-looking statements within the meaning of the Private Securities Litigation Reform Act of 1995 (</w:t>
      </w:r>
      <w:r>
        <w:rPr>
          <w:rFonts w:ascii="Arial" w:cs="Arial" w:eastAsia="Arial" w:hAnsi="Arial"/>
          <w:sz w:val="16"/>
          <w:szCs w:val="16"/>
          <w:color w:val="auto"/>
        </w:rPr>
        <w:t>“</w:t>
      </w:r>
      <w:r>
        <w:rPr>
          <w:rFonts w:ascii="Arial" w:cs="Arial" w:eastAsia="Arial" w:hAnsi="Arial"/>
          <w:sz w:val="16"/>
          <w:szCs w:val="16"/>
          <w:i w:val="1"/>
          <w:iCs w:val="1"/>
          <w:color w:val="auto"/>
        </w:rPr>
        <w:t>PSLRA</w:t>
      </w:r>
      <w:r>
        <w:rPr>
          <w:rFonts w:ascii="Arial" w:cs="Arial" w:eastAsia="Arial" w:hAnsi="Arial"/>
          <w:sz w:val="16"/>
          <w:szCs w:val="16"/>
          <w:color w:val="auto"/>
        </w:rPr>
        <w:t>”</w:t>
      </w:r>
      <w:r>
        <w:rPr>
          <w:rFonts w:ascii="Arial" w:cs="Arial" w:eastAsia="Arial" w:hAnsi="Arial"/>
          <w:sz w:val="16"/>
          <w:szCs w:val="16"/>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25, 2022 (“2022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ongoing hostility between Russia and Ukraine and the related impact on macroeconomic conditions, including inflation, as a result of such conflict or other related events; our vulnerability to changes in economic conditions and consumer preferences; our inability to successfully open new restaurants or establish new markets; our inability to effectively manage our growth; adverse effects of the COVID-19 pandemic or other infectious diseases;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majority stockholder may differ from those of public stockholders.</w:t>
      </w:r>
    </w:p>
    <w:p>
      <w:pPr>
        <w:spacing w:after="0" w:line="200" w:lineRule="exact"/>
        <w:rPr>
          <w:sz w:val="20"/>
          <w:szCs w:val="20"/>
          <w:color w:val="auto"/>
        </w:rPr>
      </w:pP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25, 2022</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49,672</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Derivative assets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7"/>
        </w:trPr>
        <w:tc>
          <w:tcPr>
            <w:tcW w:w="698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85,043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67,288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345,219</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143,151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352,373</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w w:val="92"/>
              </w:rPr>
              <w:t>Property, fixtures and equipment, net of accumulated depreciation of $162,238 and $145,720, respectively</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212,182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195,117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2"/>
        </w:trPr>
        <w:tc>
          <w:tcPr>
            <w:tcW w:w="698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1,162,618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1,104,446</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22,729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17,899</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13"/>
        </w:trPr>
        <w:tc>
          <w:tcPr>
            <w:tcW w:w="698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6,257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 payable</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6"/>
        </w:trPr>
        <w:tc>
          <w:tcPr>
            <w:tcW w:w="698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109,161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99,980</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366,113</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92,174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94,668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17,166</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207"/>
        </w:trPr>
        <w:tc>
          <w:tcPr>
            <w:tcW w:w="698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616,781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581,311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Equity:</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980" w:type="dxa"/>
            <w:vAlign w:val="bottom"/>
          </w:tcPr>
          <w:p>
            <w:pPr>
              <w:ind w:left="20"/>
              <w:spacing w:after="0" w:line="166" w:lineRule="exact"/>
              <w:rPr>
                <w:sz w:val="20"/>
                <w:szCs w:val="20"/>
                <w:color w:val="auto"/>
              </w:rPr>
            </w:pPr>
            <w:r>
              <w:rPr>
                <w:rFonts w:ascii="Arial" w:cs="Arial" w:eastAsia="Arial" w:hAnsi="Arial"/>
                <w:sz w:val="16"/>
                <w:szCs w:val="16"/>
                <w:color w:val="auto"/>
                <w:w w:val="90"/>
              </w:rPr>
              <w:t>Common stock; $0.01 par value; 300,000,000 shares authorized; 59,463,950 and 59,211,019 shares issued</w:t>
            </w:r>
          </w:p>
        </w:tc>
        <w:tc>
          <w:tcPr>
            <w:tcW w:w="3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9"/>
        </w:trPr>
        <w:tc>
          <w:tcPr>
            <w:tcW w:w="6980" w:type="dxa"/>
            <w:vAlign w:val="bottom"/>
          </w:tcPr>
          <w:p>
            <w:pPr>
              <w:ind w:left="20"/>
              <w:spacing w:after="0"/>
              <w:rPr>
                <w:sz w:val="20"/>
                <w:szCs w:val="20"/>
                <w:color w:val="auto"/>
              </w:rPr>
            </w:pPr>
            <w:r>
              <w:rPr>
                <w:rFonts w:ascii="Arial" w:cs="Arial" w:eastAsia="Arial" w:hAnsi="Arial"/>
                <w:sz w:val="16"/>
                <w:szCs w:val="16"/>
                <w:color w:val="auto"/>
              </w:rPr>
              <w:t>and outstanding at June 25, 2023 and December 25, 2022, respectively</w:t>
            </w:r>
          </w:p>
        </w:tc>
        <w:tc>
          <w:tcPr>
            <w:tcW w:w="3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620,675</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(80,813)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(98,132)</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545,837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523,135</w:t>
            </w:r>
          </w:p>
        </w:tc>
        <w:tc>
          <w:tcPr>
            <w:tcW w:w="0" w:type="dxa"/>
            <w:vAlign w:val="bottom"/>
          </w:tcPr>
          <w:p>
            <w:pPr>
              <w:spacing w:after="0"/>
              <w:rPr>
                <w:sz w:val="1"/>
                <w:szCs w:val="1"/>
                <w:color w:val="auto"/>
              </w:rPr>
            </w:pPr>
          </w:p>
        </w:tc>
      </w:tr>
      <w:tr>
        <w:trPr>
          <w:trHeight w:val="233"/>
        </w:trPr>
        <w:tc>
          <w:tcPr>
            <w:tcW w:w="6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 and equity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1,104,446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FIRST WATCH RESTAURANT GROUP, INC. CONSOLIDATED STATEMENTS OF OPERATIONS AND COMPREHENSIVE INCOME </w:t>
      </w:r>
      <w:r>
        <w:rPr>
          <w:rFonts w:ascii="Arial" w:cs="Arial" w:eastAsia="Arial" w:hAnsi="Arial"/>
          <w:sz w:val="18"/>
          <w:szCs w:val="18"/>
          <w:i w:val="1"/>
          <w:iCs w:val="1"/>
          <w:color w:val="auto"/>
        </w:rPr>
        <w:t>(IN THOUSANDS, EXCEPT SHARE AND PER SHARE DATA)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JUNE 25,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26, 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JUNE 25,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26, 2022</w:t>
            </w:r>
          </w:p>
        </w:tc>
      </w:tr>
      <w:tr>
        <w:trPr>
          <w:trHeight w:val="21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212,587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181,682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420,555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352,351</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r>
      <w:tr>
        <w:trPr>
          <w:trHeight w:val="20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357,565</w:t>
            </w:r>
          </w:p>
        </w:tc>
      </w:tr>
      <w:tr>
        <w:trPr>
          <w:trHeight w:val="19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66"/>
        </w:trPr>
        <w:tc>
          <w:tcPr>
            <w:tcW w:w="5040" w:type="dxa"/>
            <w:vAlign w:val="bottom"/>
          </w:tcPr>
          <w:p>
            <w:pPr>
              <w:ind w:left="20"/>
              <w:spacing w:after="0" w:line="166" w:lineRule="exact"/>
              <w:rPr>
                <w:sz w:val="20"/>
                <w:szCs w:val="20"/>
                <w:color w:val="auto"/>
              </w:rPr>
            </w:pPr>
            <w:r>
              <w:rPr>
                <w:rFonts w:ascii="Arial" w:cs="Arial" w:eastAsia="Arial" w:hAnsi="Arial"/>
                <w:sz w:val="16"/>
                <w:szCs w:val="16"/>
                <w:color w:val="auto"/>
                <w:w w:val="94"/>
              </w:rPr>
              <w:t>Restaurant operating expenses (exclusive of depreciation and amortization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shown below):</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84,622</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113,829</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56,076</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29,227</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41,505</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16,623</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0"/>
        </w:trPr>
        <w:tc>
          <w:tcPr>
            <w:tcW w:w="5040" w:type="dxa"/>
            <w:vAlign w:val="bottom"/>
          </w:tcPr>
          <w:p>
            <w:pPr>
              <w:ind w:left="3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344,752</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(2,132)</w:t>
            </w:r>
          </w:p>
        </w:tc>
      </w:tr>
      <w:tr>
        <w:trPr>
          <w:trHeight w:val="21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06"/>
        </w:trPr>
        <w:tc>
          <w:tcPr>
            <w:tcW w:w="5040" w:type="dxa"/>
            <w:vAlign w:val="bottom"/>
          </w:tcPr>
          <w:p>
            <w:pPr>
              <w:ind w:left="36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10,960</w:t>
            </w:r>
          </w:p>
        </w:tc>
      </w:tr>
      <w:tr>
        <w:trPr>
          <w:trHeight w:val="21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7,959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2,707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7,347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7,959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2,707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7,347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6"/>
                <w:szCs w:val="16"/>
                <w:color w:val="auto"/>
              </w:rPr>
              <w:t>Unrealized loss on derivatives, net of tax</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 - basic</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Net income per common share -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59,385,510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59,057,991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59,314,470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59,053,219</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 - diluted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60,944,836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59,888,029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60,770,441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59,933,003</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08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5"/>
            <w:vMerge w:val="continue"/>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7"/>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3"/>
                <w:szCs w:val="3"/>
                <w:color w:val="auto"/>
              </w:rPr>
            </w:pPr>
          </w:p>
        </w:tc>
        <w:tc>
          <w:tcPr>
            <w:tcW w:w="1720" w:type="dxa"/>
            <w:vAlign w:val="bottom"/>
            <w:gridSpan w:val="5"/>
            <w:vMerge w:val="restart"/>
          </w:tcPr>
          <w:p>
            <w:pPr>
              <w:jc w:val="center"/>
              <w:spacing w:after="0" w:line="202" w:lineRule="exact"/>
              <w:rPr>
                <w:sz w:val="20"/>
                <w:szCs w:val="20"/>
                <w:color w:val="auto"/>
              </w:rPr>
            </w:pPr>
            <w:r>
              <w:rPr>
                <w:rFonts w:ascii="Arial" w:cs="Arial" w:eastAsia="Arial" w:hAnsi="Arial"/>
                <w:sz w:val="18"/>
                <w:szCs w:val="18"/>
                <w:b w:val="1"/>
                <w:bCs w:val="1"/>
                <w:color w:val="auto"/>
                <w:w w:val="91"/>
              </w:rPr>
              <w:t>Accumulated Other</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3400" w:type="dxa"/>
            <w:vAlign w:val="bottom"/>
          </w:tcPr>
          <w:p>
            <w:pPr>
              <w:spacing w:after="0"/>
              <w:rPr>
                <w:sz w:val="14"/>
                <w:szCs w:val="14"/>
                <w:color w:val="auto"/>
              </w:rPr>
            </w:pPr>
          </w:p>
        </w:tc>
        <w:tc>
          <w:tcPr>
            <w:tcW w:w="114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5"/>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6"/>
                <w:szCs w:val="16"/>
                <w:b w:val="1"/>
                <w:bCs w:val="1"/>
                <w:color w:val="auto"/>
                <w:w w:val="93"/>
              </w:rPr>
              <w:t>Deficit</w:t>
            </w:r>
          </w:p>
        </w:tc>
        <w:tc>
          <w:tcPr>
            <w:tcW w:w="6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Comprehensive 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26,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59,284,590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54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622,736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(88,772)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534,557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7,959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179,360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1,355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Arial" w:cs="Arial" w:eastAsia="Arial" w:hAnsi="Arial"/>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59,463,950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626,216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(80,813)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545,837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8"/>
        </w:trPr>
        <w:tc>
          <w:tcPr>
            <w:tcW w:w="3400" w:type="dxa"/>
            <w:vAlign w:val="bottom"/>
          </w:tcPr>
          <w:p>
            <w:pPr>
              <w:spacing w:after="0"/>
              <w:rPr>
                <w:sz w:val="24"/>
                <w:szCs w:val="24"/>
                <w:color w:val="auto"/>
              </w:rPr>
            </w:pPr>
          </w:p>
        </w:tc>
        <w:tc>
          <w:tcPr>
            <w:tcW w:w="208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7"/>
            <w:vMerge w:val="restart"/>
          </w:tcPr>
          <w:p>
            <w:pPr>
              <w:jc w:val="center"/>
              <w:ind w:right="160"/>
              <w:spacing w:after="0"/>
              <w:rPr>
                <w:sz w:val="20"/>
                <w:szCs w:val="20"/>
                <w:color w:val="auto"/>
              </w:rPr>
            </w:pPr>
            <w:r>
              <w:rPr>
                <w:rFonts w:ascii="Arial" w:cs="Arial" w:eastAsia="Arial" w:hAnsi="Arial"/>
                <w:sz w:val="16"/>
                <w:szCs w:val="16"/>
                <w:b w:val="1"/>
                <w:bCs w:val="1"/>
                <w:color w:val="auto"/>
                <w:w w:val="89"/>
              </w:rPr>
              <w:t>Accumulated</w:t>
            </w:r>
          </w:p>
        </w:tc>
        <w:tc>
          <w:tcPr>
            <w:tcW w:w="60" w:type="dxa"/>
            <w:vAlign w:val="bottom"/>
          </w:tcPr>
          <w:p>
            <w:pPr>
              <w:spacing w:after="0"/>
              <w:rPr>
                <w:sz w:val="11"/>
                <w:szCs w:val="11"/>
                <w:color w:val="auto"/>
              </w:rPr>
            </w:pPr>
          </w:p>
        </w:tc>
        <w:tc>
          <w:tcPr>
            <w:tcW w:w="172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1"/>
              </w:rPr>
              <w:t>Accumulated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14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5"/>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w w:val="93"/>
              </w:rPr>
              <w:t>Deficit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Comprehensive 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25,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59,211,019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54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620,675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523,135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17,319</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3,622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252,931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1,919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59,463,950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594</w:t>
            </w:r>
          </w:p>
        </w:tc>
        <w:tc>
          <w:tcPr>
            <w:tcW w:w="4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626,216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(80,813)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545,837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w w:val="97"/>
              </w:rPr>
              <w:t>Common Stock</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5"/>
          </w:tcPr>
          <w:p>
            <w:pPr>
              <w:jc w:val="center"/>
              <w:ind w:right="53"/>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left="99"/>
              <w:spacing w:after="0" w:line="132" w:lineRule="exact"/>
              <w:rPr>
                <w:sz w:val="20"/>
                <w:szCs w:val="20"/>
                <w:color w:val="auto"/>
              </w:rPr>
            </w:pPr>
            <w:r>
              <w:rPr>
                <w:rFonts w:ascii="Arial" w:cs="Arial" w:eastAsia="Arial" w:hAnsi="Arial"/>
                <w:sz w:val="15"/>
                <w:szCs w:val="15"/>
                <w:b w:val="1"/>
                <w:bCs w:val="1"/>
                <w:color w:val="auto"/>
                <w:w w:val="99"/>
              </w:rPr>
              <w:t>Paid-in</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5"/>
                <w:szCs w:val="15"/>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39"/>
              <w:spacing w:after="0" w:line="13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6"/>
              </w:rPr>
              <w:t>Shares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6"/>
                <w:szCs w:val="16"/>
                <w:b w:val="1"/>
                <w:bCs w:val="1"/>
                <w:color w:val="auto"/>
                <w:w w:val="93"/>
              </w:rPr>
              <w:t>Capital</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Deficit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27, 2022</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2"/>
              </w:rPr>
              <w:t>59,048,446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611,172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(100,399)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511,363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5"/>
              </w:rPr>
              <w:t>Common stock issued under stock-based compensation plans, net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27,116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2"/>
              </w:rPr>
              <w:t>243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2"/>
              </w:rPr>
              <w:t>59,075,562</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591</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614,223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(97,692)</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517,122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26, 2021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w:t>
      </w:r>
    </w:p>
    <w:p>
      <w:pPr>
        <w:spacing w:after="0" w:line="46" w:lineRule="exact"/>
        <w:rPr>
          <w:sz w:val="20"/>
          <w:szCs w:val="20"/>
          <w:color w:val="auto"/>
        </w:rPr>
      </w:pPr>
    </w:p>
    <w:p>
      <w:pPr>
        <w:ind w:left="20" w:right="160"/>
        <w:spacing w:after="0" w:line="346" w:lineRule="auto"/>
        <w:rPr>
          <w:sz w:val="20"/>
          <w:szCs w:val="20"/>
          <w:color w:val="auto"/>
        </w:rPr>
      </w:pPr>
      <w:r>
        <w:rPr>
          <w:rFonts w:ascii="Arial" w:cs="Arial" w:eastAsia="Arial" w:hAnsi="Arial"/>
          <w:sz w:val="16"/>
          <w:szCs w:val="16"/>
          <w:color w:val="auto"/>
        </w:rPr>
        <w:t xml:space="preserve">Common stock issued under stock-based compensation plans, net </w:t>
      </w:r>
      <w:r>
        <w:rPr>
          <w:rFonts w:ascii="Arial" w:cs="Arial" w:eastAsia="Arial" w:hAnsi="Arial"/>
          <w:sz w:val="16"/>
          <w:szCs w:val="16"/>
          <w:b w:val="1"/>
          <w:bCs w:val="1"/>
          <w:color w:val="auto"/>
        </w:rPr>
        <w:t>Balance at June 26, 2022</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1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6"/>
        </w:trPr>
        <w:tc>
          <w:tcPr>
            <w:tcW w:w="1140" w:type="dxa"/>
            <w:vAlign w:val="bottom"/>
          </w:tcPr>
          <w:p>
            <w:pPr>
              <w:jc w:val="right"/>
              <w:spacing w:after="0"/>
              <w:rPr>
                <w:sz w:val="20"/>
                <w:szCs w:val="20"/>
                <w:color w:val="auto"/>
              </w:rPr>
            </w:pPr>
            <w:r>
              <w:rPr>
                <w:rFonts w:ascii="Arial" w:cs="Arial" w:eastAsia="Arial" w:hAnsi="Arial"/>
                <w:sz w:val="16"/>
                <w:szCs w:val="16"/>
                <w:color w:val="auto"/>
              </w:rPr>
              <w:t>59,048,446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608,878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(105,039)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504,429</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5,102</w:t>
            </w:r>
          </w:p>
        </w:tc>
        <w:tc>
          <w:tcPr>
            <w:tcW w:w="0" w:type="dxa"/>
            <w:vAlign w:val="bottom"/>
          </w:tcPr>
          <w:p>
            <w:pPr>
              <w:spacing w:after="0"/>
              <w:rPr>
                <w:sz w:val="1"/>
                <w:szCs w:val="1"/>
                <w:color w:val="auto"/>
              </w:rPr>
            </w:pPr>
          </w:p>
        </w:tc>
      </w:tr>
      <w:tr>
        <w:trPr>
          <w:trHeight w:val="21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1140" w:type="dxa"/>
            <w:vAlign w:val="bottom"/>
          </w:tcPr>
          <w:p>
            <w:pPr>
              <w:jc w:val="right"/>
              <w:spacing w:after="0"/>
              <w:rPr>
                <w:sz w:val="20"/>
                <w:szCs w:val="20"/>
                <w:color w:val="auto"/>
              </w:rPr>
            </w:pPr>
            <w:r>
              <w:rPr>
                <w:rFonts w:ascii="Arial" w:cs="Arial" w:eastAsia="Arial" w:hAnsi="Arial"/>
                <w:sz w:val="16"/>
                <w:szCs w:val="16"/>
                <w:color w:val="auto"/>
              </w:rPr>
              <w:t>59,075,562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614,223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(97,692)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517,122</w:t>
            </w:r>
          </w:p>
        </w:tc>
        <w:tc>
          <w:tcPr>
            <w:tcW w:w="0" w:type="dxa"/>
            <w:vAlign w:val="bottom"/>
          </w:tcPr>
          <w:p>
            <w:pPr>
              <w:spacing w:after="0"/>
              <w:rPr>
                <w:sz w:val="1"/>
                <w:szCs w:val="1"/>
                <w:color w:val="auto"/>
              </w:rPr>
            </w:pPr>
          </w:p>
        </w:tc>
      </w:tr>
      <w:tr>
        <w:trPr>
          <w:trHeight w:val="24"/>
        </w:trPr>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-727710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-454025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-170815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440" w:space="720"/>
            <w:col w:w="60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JUNE 25,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JUNE 26, 2022</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17,319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7,347</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16,623</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Non-cash operating lease costs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7,730</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portion of gain on lease modifications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3,166</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 and deferred issuance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Impairments and loss on disposal of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insurance proceeds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36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13"/>
        </w:trPr>
        <w:tc>
          <w:tcPr>
            <w:tcW w:w="7980" w:type="dxa"/>
            <w:vAlign w:val="bottom"/>
          </w:tcPr>
          <w:p>
            <w:pPr>
              <w:ind w:left="68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7980" w:type="dxa"/>
            <w:vAlign w:val="bottom"/>
          </w:tcPr>
          <w:p>
            <w:pPr>
              <w:ind w:left="680"/>
              <w:spacing w:after="0"/>
              <w:rPr>
                <w:sz w:val="20"/>
                <w:szCs w:val="20"/>
                <w:color w:val="auto"/>
              </w:rPr>
            </w:pPr>
            <w:r>
              <w:rPr>
                <w:rFonts w:ascii="Arial" w:cs="Arial" w:eastAsia="Arial" w:hAnsi="Arial"/>
                <w:sz w:val="16"/>
                <w:szCs w:val="16"/>
                <w:color w:val="auto"/>
              </w:rPr>
              <w:t>Other assets, current and long-term</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(1,376)</w:t>
            </w:r>
          </w:p>
        </w:tc>
      </w:tr>
      <w:tr>
        <w:trPr>
          <w:trHeight w:val="219"/>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w:t>
            </w:r>
          </w:p>
        </w:tc>
      </w:tr>
      <w:tr>
        <w:trPr>
          <w:trHeight w:val="213"/>
        </w:trPr>
        <w:tc>
          <w:tcPr>
            <w:tcW w:w="7980" w:type="dxa"/>
            <w:vAlign w:val="bottom"/>
          </w:tcPr>
          <w:p>
            <w:pPr>
              <w:ind w:left="680"/>
              <w:spacing w:after="0"/>
              <w:rPr>
                <w:sz w:val="20"/>
                <w:szCs w:val="20"/>
                <w:color w:val="auto"/>
              </w:rPr>
            </w:pPr>
            <w:r>
              <w:rPr>
                <w:rFonts w:ascii="Arial" w:cs="Arial" w:eastAsia="Arial" w:hAnsi="Arial"/>
                <w:sz w:val="16"/>
                <w:szCs w:val="16"/>
                <w:color w:val="auto"/>
              </w:rPr>
              <w:t>Accrued liabilities and other long-term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3,636</w:t>
            </w:r>
          </w:p>
        </w:tc>
      </w:tr>
      <w:tr>
        <w:trPr>
          <w:trHeight w:val="219"/>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compensation and deferred payroll taxes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r>
      <w:tr>
        <w:trPr>
          <w:trHeight w:val="213"/>
        </w:trPr>
        <w:tc>
          <w:tcPr>
            <w:tcW w:w="7980" w:type="dxa"/>
            <w:vAlign w:val="bottom"/>
          </w:tcPr>
          <w:p>
            <w:pPr>
              <w:ind w:left="680"/>
              <w:spacing w:after="0"/>
              <w:rPr>
                <w:sz w:val="20"/>
                <w:szCs w:val="20"/>
                <w:color w:val="auto"/>
              </w:rPr>
            </w:pPr>
            <w:r>
              <w:rPr>
                <w:rFonts w:ascii="Arial" w:cs="Arial" w:eastAsia="Arial" w:hAnsi="Arial"/>
                <w:sz w:val="16"/>
                <w:szCs w:val="16"/>
                <w:color w:val="auto"/>
              </w:rPr>
              <w:t>Deferred revenues, current and long-term</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(1,504)</w:t>
            </w:r>
          </w:p>
        </w:tc>
      </w:tr>
      <w:tr>
        <w:trPr>
          <w:trHeight w:val="219"/>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w:t>
            </w:r>
          </w:p>
        </w:tc>
      </w:tr>
      <w:tr>
        <w:trPr>
          <w:trHeight w:val="206"/>
        </w:trPr>
        <w:tc>
          <w:tcPr>
            <w:tcW w:w="798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31,812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(26,566)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Purchase of intangible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proceeds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98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(37,170)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(26,945)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Repayments of note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 including finance lease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exercise of stock options, net of employee taxes paid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payment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6"/>
        </w:trPr>
        <w:tc>
          <w:tcPr>
            <w:tcW w:w="798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(3,165)</w:t>
            </w:r>
          </w:p>
        </w:tc>
      </w:tr>
      <w:tr>
        <w:trPr>
          <w:trHeight w:val="219"/>
        </w:trPr>
        <w:tc>
          <w:tcPr>
            <w:tcW w:w="79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increase in cash and cash equivalents and restricted cash</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9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52,115</w:t>
            </w:r>
          </w:p>
        </w:tc>
      </w:tr>
      <w:tr>
        <w:trPr>
          <w:trHeight w:val="212"/>
        </w:trPr>
        <w:tc>
          <w:tcPr>
            <w:tcW w:w="7980" w:type="dxa"/>
            <w:vAlign w:val="bottom"/>
          </w:tcPr>
          <w:p>
            <w:pPr>
              <w:ind w:left="1120"/>
              <w:spacing w:after="0"/>
              <w:rPr>
                <w:sz w:val="20"/>
                <w:szCs w:val="20"/>
                <w:color w:val="auto"/>
              </w:rPr>
            </w:pPr>
            <w:r>
              <w:rPr>
                <w:rFonts w:ascii="Arial" w:cs="Arial" w:eastAsia="Arial" w:hAnsi="Arial"/>
                <w:sz w:val="16"/>
                <w:szCs w:val="16"/>
                <w:color w:val="auto"/>
              </w:rPr>
              <w:t>End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67,091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53,817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3,421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1,996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 </w:t>
      </w:r>
      <w:r>
        <w:rPr>
          <w:rFonts w:ascii="Arial" w:cs="Arial" w:eastAsia="Arial" w:hAnsi="Arial"/>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JUNE 25,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26, 2022</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27,627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27,216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Remeasurements and terminations of operating lease assets and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Remeasurements and terminations of finance lease assets and lease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Increase in liabilities from acquisition of property, fixtures and equipment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4,010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Nature of Business and 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June 25, 2023, the Company operated 381 company-owned restaurants and 111 franchise-owned restaurants.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 w:lineRule="exact"/>
        <w:rPr>
          <w:sz w:val="20"/>
          <w:szCs w:val="20"/>
          <w:color w:val="auto"/>
        </w:rPr>
      </w:pPr>
    </w:p>
    <w:p>
      <w:pPr>
        <w:jc w:val="both"/>
        <w:spacing w:after="0" w:line="200" w:lineRule="exact"/>
        <w:rPr>
          <w:sz w:val="20"/>
          <w:szCs w:val="20"/>
          <w:color w:val="auto"/>
        </w:rPr>
      </w:pPr>
      <w:r>
        <w:rPr>
          <w:rFonts w:ascii="Arial" w:cs="Arial" w:eastAsia="Arial" w:hAnsi="Arial"/>
          <w:sz w:val="18"/>
          <w:szCs w:val="18"/>
          <w:color w:val="auto"/>
        </w:rPr>
        <w:t>The Company reports financial information on a 52- or 53-week fiscal year ending on the last Sunday of each calendar year. The quarters ended June 25, 2023 and June 26, 2022 were 13-week periods. These unaudited interim consolidated financial statements should be read in conjunction with the audited consolidated financial statements and notes thereto included in the Company’s Annual Report on Form 10-K as of and for the year ended December 25, 2022 (“2022 Form 10</w:t>
      </w:r>
      <w:r>
        <w:rPr>
          <w:rFonts w:ascii="MS PGothic" w:cs="MS PGothic" w:eastAsia="MS PGothic" w:hAnsi="MS PGothic"/>
          <w:sz w:val="19"/>
          <w:szCs w:val="19"/>
          <w:color w:val="auto"/>
        </w:rPr>
        <w:t>‑</w:t>
      </w:r>
      <w:r>
        <w:rPr>
          <w:rFonts w:ascii="Arial" w:cs="Arial" w:eastAsia="Arial" w:hAnsi="Arial"/>
          <w:sz w:val="18"/>
          <w:szCs w:val="18"/>
          <w:color w:val="auto"/>
        </w:rPr>
        <w:t>K”).</w:t>
      </w:r>
    </w:p>
    <w:p>
      <w:pPr>
        <w:spacing w:after="0" w:line="1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2022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note payable and other current liabilities, approximate their fair values due to their short-term maturities.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element of the Company’s interest rate risk management strategy, Management uses interest rate swaps. The intent of these instruments is to reduce cash flow exposure to variability in expected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1, 2023, the Company acquired substantially all of the assets of six franchise-owned restaurants for approximately $8.2 million in cash. Transaction costs of $0.3 million were expensed as incurred and the Company recognized $0.1 million of deferred franchise revenues as a result of terminating the pre-existing franchise agreements. The purchase price was allocated to the fair value of assets acquired and liabilities assumed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i w:val="1"/>
                <w:iCs w:val="1"/>
                <w:color w:val="auto"/>
              </w:rPr>
              <w:t>(in thousands)</w:t>
            </w:r>
          </w:p>
        </w:tc>
      </w:tr>
      <w:tr>
        <w:trPr>
          <w:trHeight w:val="225"/>
        </w:trPr>
        <w:tc>
          <w:tcPr>
            <w:tcW w:w="75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500" w:type="dxa"/>
            <w:vAlign w:val="bottom"/>
          </w:tcPr>
          <w:p>
            <w:pPr>
              <w:ind w:left="480"/>
              <w:spacing w:after="0"/>
              <w:rPr>
                <w:sz w:val="20"/>
                <w:szCs w:val="20"/>
                <w:color w:val="auto"/>
              </w:rPr>
            </w:pPr>
            <w:r>
              <w:rPr>
                <w:rFonts w:ascii="Arial" w:cs="Arial" w:eastAsia="Arial" w:hAnsi="Arial"/>
                <w:sz w:val="16"/>
                <w:szCs w:val="16"/>
                <w:color w:val="auto"/>
              </w:rPr>
              <w:t>Cash</w:t>
            </w:r>
          </w:p>
        </w:tc>
        <w:tc>
          <w:tcPr>
            <w:tcW w:w="22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w:t>
            </w:r>
          </w:p>
        </w:tc>
        <w:tc>
          <w:tcPr>
            <w:tcW w:w="2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500" w:type="dxa"/>
            <w:vAlign w:val="bottom"/>
          </w:tcPr>
          <w:p>
            <w:pPr>
              <w:ind w:left="480"/>
              <w:spacing w:after="0"/>
              <w:rPr>
                <w:sz w:val="20"/>
                <w:szCs w:val="20"/>
                <w:color w:val="auto"/>
              </w:rPr>
            </w:pPr>
            <w:r>
              <w:rPr>
                <w:rFonts w:ascii="Arial" w:cs="Arial" w:eastAsia="Arial" w:hAnsi="Arial"/>
                <w:sz w:val="16"/>
                <w:szCs w:val="16"/>
                <w:color w:val="auto"/>
              </w:rPr>
              <w:t>Prepaid rent and other assets</w:t>
            </w:r>
          </w:p>
        </w:tc>
        <w:tc>
          <w:tcPr>
            <w:tcW w:w="22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Property, fixtures and equipment</w:t>
            </w:r>
          </w:p>
        </w:tc>
        <w:tc>
          <w:tcPr>
            <w:tcW w:w="2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13"/>
        </w:trPr>
        <w:tc>
          <w:tcPr>
            <w:tcW w:w="7500" w:type="dxa"/>
            <w:vAlign w:val="bottom"/>
          </w:tcPr>
          <w:p>
            <w:pPr>
              <w:ind w:left="480"/>
              <w:spacing w:after="0"/>
              <w:rPr>
                <w:sz w:val="20"/>
                <w:szCs w:val="20"/>
                <w:color w:val="auto"/>
              </w:rPr>
            </w:pPr>
            <w:r>
              <w:rPr>
                <w:rFonts w:ascii="Arial" w:cs="Arial" w:eastAsia="Arial" w:hAnsi="Arial"/>
                <w:sz w:val="16"/>
                <w:szCs w:val="16"/>
                <w:color w:val="auto"/>
              </w:rPr>
              <w:t>Reacquired rights</w:t>
            </w:r>
          </w:p>
        </w:tc>
        <w:tc>
          <w:tcPr>
            <w:tcW w:w="22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1,342</w:t>
            </w:r>
          </w:p>
        </w:tc>
      </w:tr>
      <w:tr>
        <w:trPr>
          <w:trHeight w:val="219"/>
        </w:trPr>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Goodwill (primarily expected synergies and assembled workforce; tax deductible)</w:t>
            </w:r>
          </w:p>
        </w:tc>
        <w:tc>
          <w:tcPr>
            <w:tcW w:w="2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w:t>
            </w:r>
          </w:p>
        </w:tc>
      </w:tr>
      <w:tr>
        <w:trPr>
          <w:trHeight w:val="213"/>
        </w:trPr>
        <w:tc>
          <w:tcPr>
            <w:tcW w:w="7500" w:type="dxa"/>
            <w:vAlign w:val="bottom"/>
          </w:tcPr>
          <w:p>
            <w:pPr>
              <w:ind w:left="480"/>
              <w:spacing w:after="0"/>
              <w:rPr>
                <w:sz w:val="20"/>
                <w:szCs w:val="20"/>
                <w:color w:val="auto"/>
              </w:rPr>
            </w:pPr>
            <w:r>
              <w:rPr>
                <w:rFonts w:ascii="Arial" w:cs="Arial" w:eastAsia="Arial" w:hAnsi="Arial"/>
                <w:sz w:val="16"/>
                <w:szCs w:val="16"/>
                <w:color w:val="auto"/>
              </w:rPr>
              <w:t>Unfavorable leasehold positions, net</w:t>
            </w:r>
          </w:p>
        </w:tc>
        <w:tc>
          <w:tcPr>
            <w:tcW w:w="22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9"/>
        </w:trPr>
        <w:tc>
          <w:tcPr>
            <w:tcW w:w="7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Gift card liabilities assumed</w:t>
            </w:r>
          </w:p>
        </w:tc>
        <w:tc>
          <w:tcPr>
            <w:tcW w:w="2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of $1.8 million and net income of $0.3 million realized in the acquired restaurants since the date of the acquisition are included in the accompanying unaudited interim consolidated financial statements. The fair values set forth above are based on preliminary valuations and are subject to adjustment as additional information is available.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a detail of liabilities from contracts with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Deferred gift card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3,154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4,897</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franchise fee revenue - current</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2"/>
        </w:trPr>
        <w:tc>
          <w:tcPr>
            <w:tcW w:w="6940" w:type="dxa"/>
            <w:vAlign w:val="bottom"/>
          </w:tcPr>
          <w:p>
            <w:pPr>
              <w:ind w:left="20"/>
              <w:spacing w:after="0"/>
              <w:rPr>
                <w:sz w:val="20"/>
                <w:szCs w:val="20"/>
                <w:color w:val="auto"/>
              </w:rPr>
            </w:pPr>
            <w:r>
              <w:rPr>
                <w:rFonts w:ascii="Arial" w:cs="Arial" w:eastAsia="Arial" w:hAnsi="Arial"/>
                <w:sz w:val="16"/>
                <w:szCs w:val="16"/>
                <w:color w:val="auto"/>
              </w:rPr>
              <w:t>Total current deferred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3,472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5,193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6"/>
                <w:szCs w:val="16"/>
                <w:color w:val="auto"/>
              </w:rPr>
              <w:t>Deferred franchise fee revenue - non-current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2,354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gift card contract liabilities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26, 2022</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gift card revenue: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2,909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2,752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4,897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4,410</w:t>
            </w: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sales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Gift card redemptions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(4,679)</w:t>
            </w: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breakage</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13"/>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Gift card liabilities assumed through acquisitions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franchise fee contract liabilities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8"/>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JUNE 26, 2022</w:t>
            </w: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franchise fee revenue: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2,592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2,768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received</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Franchise revenues recognized</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33"/>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5"/>
              </w:rPr>
              <w:t>Business combinations - franchise revenues recognized</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2,672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2,637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2,672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2,637</w:t>
            </w: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disaggregated by type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26, 2022</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174,352</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144,839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343,581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277,731</w:t>
            </w: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40,855</w:t>
            </w:r>
          </w:p>
        </w:tc>
      </w:tr>
      <w:tr>
        <w:trPr>
          <w:trHeight w:val="213"/>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33,765</w:t>
            </w: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212,587</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181,682</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420,555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352,351</w:t>
            </w:r>
          </w:p>
        </w:tc>
      </w:tr>
      <w:tr>
        <w:trPr>
          <w:trHeight w:val="456"/>
        </w:trPr>
        <w:tc>
          <w:tcPr>
            <w:tcW w:w="4140" w:type="dxa"/>
            <w:vAlign w:val="bottom"/>
          </w:tcPr>
          <w:p>
            <w:pPr>
              <w:ind w:left="20"/>
              <w:spacing w:after="0"/>
              <w:rPr>
                <w:sz w:val="20"/>
                <w:szCs w:val="20"/>
                <w:color w:val="auto"/>
              </w:rPr>
            </w:pPr>
            <w:r>
              <w:rPr>
                <w:rFonts w:ascii="Arial" w:cs="Arial" w:eastAsia="Arial" w:hAnsi="Arial"/>
                <w:sz w:val="16"/>
                <w:szCs w:val="16"/>
                <w:color w:val="auto"/>
              </w:rPr>
              <w:t>Franchise revenues: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Royalty and system fund contributions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r>
      <w:tr>
        <w:trPr>
          <w:trHeight w:val="216"/>
        </w:trPr>
        <w:tc>
          <w:tcPr>
            <w:tcW w:w="4140" w:type="dxa"/>
            <w:vAlign w:val="bottom"/>
          </w:tcPr>
          <w:p>
            <w:pPr>
              <w:ind w:left="360"/>
              <w:spacing w:after="0"/>
              <w:rPr>
                <w:sz w:val="20"/>
                <w:szCs w:val="20"/>
                <w:color w:val="auto"/>
              </w:rPr>
            </w:pPr>
            <w:r>
              <w:rPr>
                <w:rFonts w:ascii="Arial" w:cs="Arial" w:eastAsia="Arial" w:hAnsi="Arial"/>
                <w:sz w:val="16"/>
                <w:szCs w:val="16"/>
                <w:color w:val="auto"/>
              </w:rPr>
              <w:t>Initial fees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franchise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216,300</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184,453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427,706</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357,565</w:t>
            </w:r>
          </w:p>
        </w:tc>
      </w:tr>
      <w:tr>
        <w:trPr>
          <w:trHeight w:val="21"/>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Accounts Receivable</w:t>
      </w:r>
    </w:p>
    <w:p>
      <w:pPr>
        <w:sectPr>
          <w:pgSz w:w="11900" w:h="16838" w:orient="portrait"/>
          <w:cols w:equalWidth="0" w:num="1">
            <w:col w:w="11240"/>
          </w:cols>
          <w:pgMar w:left="320" w:top="125"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consisted of the following: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from third-party delivery providers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from franchisees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from vendors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related to gift card sales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receivables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accounts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0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1,334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16"/>
        </w:trPr>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1,076</w:t>
            </w:r>
          </w:p>
        </w:tc>
      </w:tr>
      <w:tr>
        <w:trPr>
          <w:trHeight w:val="216"/>
        </w:trPr>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920</w:t>
            </w:r>
          </w:p>
        </w:tc>
      </w:tr>
      <w:tr>
        <w:trPr>
          <w:trHeight w:val="216"/>
        </w:trPr>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9"/>
        </w:trPr>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r>
      <w:tr>
        <w:trPr>
          <w:trHeight w:val="20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4,466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6,164</w:t>
            </w:r>
          </w:p>
        </w:tc>
      </w:tr>
      <w:tr>
        <w:trPr>
          <w:trHeight w:val="23"/>
        </w:trPr>
        <w:tc>
          <w:tcPr>
            <w:tcW w:w="24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-864870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-591185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-316230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125" w:right="339" w:bottom="1440" w:gutter="0" w:footer="0" w:header="0"/>
          <w:type w:val="continuous"/>
        </w:sectPr>
      </w:pP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Sales tax</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3,791</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and general liability reserves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Utilities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Credit card fees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tax</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Contingent rent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area maintenance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w:t>
            </w:r>
          </w:p>
        </w:tc>
      </w:tr>
      <w:tr>
        <w:trPr>
          <w:trHeight w:val="233"/>
        </w:trPr>
        <w:tc>
          <w:tcPr>
            <w:tcW w:w="7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accrued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JUNE 25,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25, 2022</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Facility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96,250</w:t>
            </w:r>
          </w:p>
        </w:tc>
        <w:tc>
          <w:tcPr>
            <w:tcW w:w="172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7.25%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98,125</w:t>
            </w:r>
          </w:p>
        </w:tc>
        <w:tc>
          <w:tcPr>
            <w:tcW w:w="1720" w:type="dxa"/>
            <w:vAlign w:val="bottom"/>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5.89%</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color w:val="auto"/>
              </w:rPr>
              <w:t>Less: Unamortized debt discount and deferred issuance costs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9"/>
        </w:trPr>
        <w:tc>
          <w:tcPr>
            <w:tcW w:w="52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Debt,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99,055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52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92,174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FWR Holding Corporation (“FWR”), a subsidiary of the Company, is the borrower under the credit agreement dated as of October 6, 2021 (“Credit Agreement”), which provides for (i) a $100.0 million term loan A facility (the “Term Facility”) and (ii) a $75.0 million revolving credit facility (the “Revolving Credit Facility” and, together with the Term Facility, collectively, the “Credit Facilities”). The Revolving Credit Facility was undrawn at June 25, 2023 and December 25, 2022. The Credit Facilities mature on October 6, 2026.</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the Company entered into the Amendment No. 1 to the Credit Agreement (the “Amendment”) to replace LIBO Rate (“LIBOR”) with a secured overnight financing rate (“SOFR”). All outstanding borrowings under the Credit Agreement continued to bear interest at LIBOR until March 27, 2023.</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March 27, 2023, borrowings under the Credit Facilities bear interest, at the option of FWR at either (i) the alternate base rate plus a margin of between 125 and 200 basis points depending on the total rent adjusted net leverage ratio of FWR and its restricted subsidiaries on a consolidated basis (the “Total Rent Adjusted Net Leverage Ratio”) or (ii) SOFR plus a credit spread adjustment of 10 basis points plus a margin of between 225 and 300 basis points depending on the Total Rent Adjusted Net Leverage Ratio. Refer to Note 8, </w:t>
      </w:r>
      <w:r>
        <w:rPr>
          <w:rFonts w:ascii="Arial" w:cs="Arial" w:eastAsia="Arial" w:hAnsi="Arial"/>
          <w:sz w:val="18"/>
          <w:szCs w:val="18"/>
          <w:i w:val="1"/>
          <w:iCs w:val="1"/>
          <w:color w:val="auto"/>
        </w:rPr>
        <w:t>Interest Rate Swaps</w:t>
      </w:r>
      <w:r>
        <w:rPr>
          <w:rFonts w:ascii="Arial" w:cs="Arial" w:eastAsia="Arial" w:hAnsi="Arial"/>
          <w:sz w:val="18"/>
          <w:szCs w:val="18"/>
          <w:color w:val="auto"/>
        </w:rPr>
        <w:t>, for information about the variable-to-fixed interest rate swap agreements entered into in June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estimated fair value of the outstanding debt under the Credit Facilities was $96.0 million and $97.1 million at June 25, 2023 and December 25, 2022,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2023, the Company entered into variable-to-fixed interest rate swaps to hedge a portion of the cash flows of the Company’s variable rate debt. The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Amounts reported in Other comprehensive income related to the interest rate swaps will be reclassified to interest expense as interest payments are made on the Company’s variable-rate debt. Over the next 12 months, the Company estimates that $0.9 million will be reclassified as a reduction to interest expense.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detail of lease assets and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Balance Sheets Classification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25, 2022</w:t>
            </w: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352,373</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Finance lease assets</w:t>
            </w:r>
          </w:p>
        </w:tc>
        <w:tc>
          <w:tcPr>
            <w:tcW w:w="382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r>
      <w:tr>
        <w:trPr>
          <w:trHeight w:val="213"/>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assets</w:t>
            </w:r>
          </w:p>
        </w:tc>
        <w:tc>
          <w:tcPr>
            <w:tcW w:w="3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353,705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Operating lease liabilities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 current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liabilities - non-current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liabilities - non-current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90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39,734</w:t>
            </w:r>
          </w:p>
        </w:tc>
        <w:tc>
          <w:tcPr>
            <w:tcW w:w="9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38,936</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387,868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366,113</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9"/>
        </w:trPr>
        <w:tc>
          <w:tcPr>
            <w:tcW w:w="3900" w:type="dxa"/>
            <w:vAlign w:val="bottom"/>
          </w:tcPr>
          <w:p>
            <w:pPr>
              <w:spacing w:after="0"/>
              <w:rPr>
                <w:sz w:val="20"/>
                <w:szCs w:val="20"/>
                <w:color w:val="auto"/>
              </w:rPr>
            </w:pPr>
            <w:r>
              <w:rPr>
                <w:rFonts w:ascii="Arial" w:cs="Arial" w:eastAsia="Arial" w:hAnsi="Arial"/>
                <w:sz w:val="16"/>
                <w:szCs w:val="16"/>
                <w:color w:val="auto"/>
              </w:rPr>
              <w:t>Long-term debt, net</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r>
      <w:tr>
        <w:trPr>
          <w:trHeight w:val="209"/>
        </w:trPr>
        <w:tc>
          <w:tcPr>
            <w:tcW w:w="39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428,819</w:t>
            </w:r>
          </w:p>
        </w:tc>
        <w:tc>
          <w:tcPr>
            <w:tcW w:w="9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406,482</w:t>
            </w:r>
          </w:p>
        </w:tc>
      </w:tr>
      <w:tr>
        <w:trPr>
          <w:trHeight w:val="23"/>
        </w:trPr>
        <w:tc>
          <w:tcPr>
            <w:tcW w:w="390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-728345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-454025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-179705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620" w:space="720"/>
            <w:col w:w="79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all variable lease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TWENTY-SIX WEEKS ENDED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120" w:type="dxa"/>
            <w:vAlign w:val="bottom"/>
            <w:gridSpan w:val="2"/>
          </w:tcPr>
          <w:p>
            <w:pPr>
              <w:spacing w:after="0" w:line="148" w:lineRule="exact"/>
              <w:rPr>
                <w:sz w:val="20"/>
                <w:szCs w:val="20"/>
                <w:color w:val="auto"/>
              </w:rPr>
            </w:pPr>
            <w:r>
              <w:rPr>
                <w:rFonts w:ascii="Arial" w:cs="Arial" w:eastAsia="Arial" w:hAnsi="Arial"/>
                <w:sz w:val="16"/>
                <w:szCs w:val="16"/>
                <w:b w:val="1"/>
                <w:bCs w:val="1"/>
                <w:color w:val="auto"/>
              </w:rPr>
              <w:t>Consolidated Statements of Operations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and Comprehensive Income Classification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JUNE 25, 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JUNE 25, 2023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JUNE 26, 2022</w:t>
            </w: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Operating lease expense</w:t>
            </w:r>
          </w:p>
        </w:tc>
        <w:tc>
          <w:tcPr>
            <w:tcW w:w="3120" w:type="dxa"/>
            <w:vAlign w:val="bottom"/>
            <w:gridSpan w:val="2"/>
            <w:shd w:val="clear" w:color="auto" w:fill="CCEEFF"/>
          </w:tcPr>
          <w:p>
            <w:pPr>
              <w:spacing w:after="0" w:line="159" w:lineRule="exact"/>
              <w:rPr>
                <w:sz w:val="20"/>
                <w:szCs w:val="20"/>
                <w:color w:val="auto"/>
              </w:rPr>
            </w:pPr>
            <w:r>
              <w:rPr>
                <w:rFonts w:ascii="Arial" w:cs="Arial" w:eastAsia="Arial" w:hAnsi="Arial"/>
                <w:sz w:val="16"/>
                <w:szCs w:val="16"/>
                <w:color w:val="auto"/>
              </w:rPr>
              <w:t>Other restaurant operating expenses</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Occupancy expenses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Pre-opening expenses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13,472</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12,130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26,441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24,176</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20"/>
              <w:spacing w:after="0" w:line="166" w:lineRule="exact"/>
              <w:rPr>
                <w:sz w:val="20"/>
                <w:szCs w:val="20"/>
                <w:color w:val="auto"/>
              </w:rPr>
            </w:pPr>
            <w:r>
              <w:rPr>
                <w:rFonts w:ascii="Arial" w:cs="Arial" w:eastAsia="Arial" w:hAnsi="Arial"/>
                <w:sz w:val="16"/>
                <w:szCs w:val="16"/>
                <w:color w:val="auto"/>
              </w:rPr>
              <w:t>Variable lease expense</w:t>
            </w:r>
          </w:p>
        </w:tc>
        <w:tc>
          <w:tcPr>
            <w:tcW w:w="3120" w:type="dxa"/>
            <w:vAlign w:val="bottom"/>
            <w:gridSpan w:val="2"/>
          </w:tcPr>
          <w:p>
            <w:pPr>
              <w:spacing w:after="0" w:line="166" w:lineRule="exact"/>
              <w:rPr>
                <w:sz w:val="20"/>
                <w:szCs w:val="20"/>
                <w:color w:val="auto"/>
              </w:rPr>
            </w:pPr>
            <w:r>
              <w:rPr>
                <w:rFonts w:ascii="Arial" w:cs="Arial" w:eastAsia="Arial" w:hAnsi="Arial"/>
                <w:sz w:val="16"/>
                <w:szCs w:val="16"/>
                <w:color w:val="auto"/>
              </w:rPr>
              <w:t>Food and beverage costs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120" w:type="dxa"/>
            <w:vAlign w:val="bottom"/>
            <w:gridSpan w:val="2"/>
          </w:tcPr>
          <w:p>
            <w:pPr>
              <w:spacing w:after="0" w:line="162" w:lineRule="exact"/>
              <w:rPr>
                <w:sz w:val="20"/>
                <w:szCs w:val="20"/>
                <w:color w:val="auto"/>
              </w:rPr>
            </w:pPr>
            <w:r>
              <w:rPr>
                <w:rFonts w:ascii="Arial" w:cs="Arial" w:eastAsia="Arial" w:hAnsi="Arial"/>
                <w:sz w:val="16"/>
                <w:szCs w:val="16"/>
                <w:color w:val="auto"/>
              </w:rPr>
              <w:t>Occupancy expenses</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8,006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80"/>
              <w:spacing w:after="0"/>
              <w:rPr>
                <w:sz w:val="20"/>
                <w:szCs w:val="20"/>
                <w:color w:val="auto"/>
              </w:rPr>
            </w:pPr>
            <w:r>
              <w:rPr>
                <w:rFonts w:ascii="Arial" w:cs="Arial" w:eastAsia="Arial" w:hAnsi="Arial"/>
                <w:sz w:val="16"/>
                <w:szCs w:val="16"/>
                <w:color w:val="auto"/>
              </w:rPr>
              <w:t>Amortization of leased assets</w:t>
            </w:r>
          </w:p>
        </w:tc>
        <w:tc>
          <w:tcPr>
            <w:tcW w:w="31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Total lease expense </w:t>
            </w:r>
            <w:r>
              <w:rPr>
                <w:rFonts w:ascii="Arial" w:cs="Arial" w:eastAsia="Arial" w:hAnsi="Arial"/>
                <w:sz w:val="21"/>
                <w:szCs w:val="21"/>
                <w:color w:val="auto"/>
                <w:vertAlign w:val="superscript"/>
              </w:rPr>
              <w:t>(1)</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17,751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34,753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31,512</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firstLine="8"/>
        <w:spacing w:after="0" w:line="262" w:lineRule="auto"/>
        <w:tabs>
          <w:tab w:leader="none" w:pos="23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contingent rent expense of $0.5 million and $0.4 million during the thirteen weeks ended June 25, 2023 and June 26, 2022, respectively, and $0.9 million and $0.8 million during the twenty-six weeks ended June 25, 2023 and June 26, 2022, respectively.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26, 2022</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720" w:type="dxa"/>
            <w:vAlign w:val="bottom"/>
          </w:tcPr>
          <w:p>
            <w:pPr>
              <w:ind w:left="360"/>
              <w:spacing w:after="0"/>
              <w:rPr>
                <w:sz w:val="20"/>
                <w:szCs w:val="20"/>
                <w:color w:val="auto"/>
              </w:rPr>
            </w:pPr>
            <w:r>
              <w:rPr>
                <w:rFonts w:ascii="Arial" w:cs="Arial" w:eastAsia="Arial" w:hAnsi="Arial"/>
                <w:sz w:val="16"/>
                <w:szCs w:val="16"/>
                <w:color w:val="auto"/>
              </w:rPr>
              <w:t>Operating cash flows - operating leases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21,247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20,229</w:t>
            </w:r>
          </w:p>
        </w:tc>
      </w:tr>
      <w:tr>
        <w:trPr>
          <w:trHeight w:val="21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 finance leases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7720" w:type="dxa"/>
            <w:vAlign w:val="bottom"/>
          </w:tcPr>
          <w:p>
            <w:pPr>
              <w:ind w:left="360"/>
              <w:spacing w:after="0"/>
              <w:rPr>
                <w:sz w:val="20"/>
                <w:szCs w:val="20"/>
                <w:color w:val="auto"/>
              </w:rPr>
            </w:pPr>
            <w:r>
              <w:rPr>
                <w:rFonts w:ascii="Arial" w:cs="Arial" w:eastAsia="Arial" w:hAnsi="Arial"/>
                <w:sz w:val="16"/>
                <w:szCs w:val="16"/>
                <w:color w:val="auto"/>
              </w:rPr>
              <w:t>Financing cash flows - finance leases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259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252</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TWENTY-SIX WEEKS ENDED</w:t>
            </w:r>
          </w:p>
        </w:tc>
      </w:tr>
      <w:tr>
        <w:trPr>
          <w:trHeight w:val="210"/>
        </w:trPr>
        <w:tc>
          <w:tcPr>
            <w:tcW w:w="7560" w:type="dxa"/>
            <w:vAlign w:val="bottom"/>
          </w:tcPr>
          <w:p>
            <w:pPr>
              <w:spacing w:after="0"/>
              <w:rPr>
                <w:sz w:val="18"/>
                <w:szCs w:val="18"/>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JUNE 26, 2022</w:t>
            </w: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560" w:type="dxa"/>
            <w:vAlign w:val="bottom"/>
          </w:tcPr>
          <w:p>
            <w:pPr>
              <w:ind w:left="360"/>
              <w:spacing w:after="0"/>
              <w:rPr>
                <w:sz w:val="20"/>
                <w:szCs w:val="20"/>
                <w:color w:val="auto"/>
              </w:rPr>
            </w:pPr>
            <w:r>
              <w:rPr>
                <w:rFonts w:ascii="Arial" w:cs="Arial" w:eastAsia="Arial" w:hAnsi="Arial"/>
                <w:sz w:val="16"/>
                <w:szCs w:val="16"/>
                <w:color w:val="auto"/>
              </w:rPr>
              <w:t>Operating leases</w:t>
            </w:r>
          </w:p>
        </w:tc>
        <w:tc>
          <w:tcPr>
            <w:tcW w:w="1780" w:type="dxa"/>
            <w:vAlign w:val="bottom"/>
          </w:tcPr>
          <w:p>
            <w:pPr>
              <w:jc w:val="right"/>
              <w:spacing w:after="0"/>
              <w:rPr>
                <w:sz w:val="20"/>
                <w:szCs w:val="20"/>
                <w:color w:val="auto"/>
              </w:rPr>
            </w:pPr>
            <w:r>
              <w:rPr>
                <w:rFonts w:ascii="Arial" w:cs="Arial" w:eastAsia="Arial" w:hAnsi="Arial"/>
                <w:sz w:val="16"/>
                <w:szCs w:val="16"/>
                <w:color w:val="auto"/>
              </w:rPr>
              <w:t>14.2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(1)</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0"/>
        </w:trPr>
        <w:tc>
          <w:tcPr>
            <w:tcW w:w="7560" w:type="dxa"/>
            <w:vAlign w:val="bottom"/>
          </w:tcPr>
          <w:p>
            <w:pPr>
              <w:ind w:left="360"/>
              <w:spacing w:after="0"/>
              <w:rPr>
                <w:sz w:val="20"/>
                <w:szCs w:val="20"/>
                <w:color w:val="auto"/>
              </w:rPr>
            </w:pPr>
            <w:r>
              <w:rPr>
                <w:rFonts w:ascii="Arial" w:cs="Arial" w:eastAsia="Arial" w:hAnsi="Arial"/>
                <w:sz w:val="16"/>
                <w:szCs w:val="16"/>
                <w:color w:val="auto"/>
              </w:rPr>
              <w:t>Finance leases</w:t>
            </w:r>
          </w:p>
        </w:tc>
        <w:tc>
          <w:tcPr>
            <w:tcW w:w="1780" w:type="dxa"/>
            <w:vAlign w:val="bottom"/>
          </w:tcPr>
          <w:p>
            <w:pPr>
              <w:jc w:val="right"/>
              <w:spacing w:after="0"/>
              <w:rPr>
                <w:sz w:val="20"/>
                <w:szCs w:val="20"/>
                <w:color w:val="auto"/>
              </w:rPr>
            </w:pPr>
            <w:r>
              <w:rPr>
                <w:rFonts w:ascii="Arial" w:cs="Arial" w:eastAsia="Arial" w:hAnsi="Arial"/>
                <w:sz w:val="16"/>
                <w:szCs w:val="16"/>
                <w:color w:val="auto"/>
              </w:rPr>
              <w:t>7.4 %</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7.8 %</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Based on the Company’s incremental borrowing 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June 25, 2023, future minimum lease payments for operating and finance leases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FINANCE LEASES</w:t>
            </w: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3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20,647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53,407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52,158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541,589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64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Total future minimum lease payments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768,625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1,337</w:t>
            </w: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3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(341,023)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6440" w:type="dxa"/>
            <w:vAlign w:val="bottom"/>
          </w:tcPr>
          <w:p>
            <w:pPr>
              <w:ind w:left="360"/>
              <w:spacing w:after="0"/>
              <w:rPr>
                <w:sz w:val="20"/>
                <w:szCs w:val="20"/>
                <w:color w:val="auto"/>
              </w:rPr>
            </w:pPr>
            <w:r>
              <w:rPr>
                <w:rFonts w:ascii="Arial" w:cs="Arial" w:eastAsia="Arial" w:hAnsi="Arial"/>
                <w:sz w:val="16"/>
                <w:szCs w:val="16"/>
                <w:color w:val="auto"/>
              </w:rPr>
              <w:t>Total present value of lease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427,602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1,217</w:t>
            </w:r>
          </w:p>
        </w:tc>
      </w:tr>
      <w:tr>
        <w:trPr>
          <w:trHeight w:val="20"/>
        </w:trPr>
        <w:tc>
          <w:tcPr>
            <w:tcW w:w="6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approximately $83.8 million of executed operating leases that have not commenced as of June 25, 2023.</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thirteen weeks ended June 25, 2023, funds managed by the Company’s majority owner, Advent International Corporation, sold 3,500,000 and 3,000,000 shares of the Company’s common stock through underwritten secondary public offerings that were completed on May 18, 2023 and June 13, 2023, respectively (the “Secondary Offerings”). The selling stockholders sold an additional 525,000 and 450,000 shares of common stock on May 18, 2023 and July 3, 2023, respectively, pursuant to the terms of the underwriter’s option associated with each Secondary Offering. All net proceeds from the sale of the shares of common stock were distributed to the selling stockholders. The Company incurred approximately $1.0 million of costs that were recorded within Transaction expenses, net on the Consolidated Statements of Operations and Comprehensive Income.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stock option awards granted under the 2021 Equity Plan during the twenty-six weeks ended June 25, 2023. A summary of stock option activity during the twenty-six weeks ended June 25, 2023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WEIGHTED 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INTRINSIC VALUE</w:t>
            </w:r>
          </w:p>
        </w:tc>
        <w:tc>
          <w:tcPr>
            <w:tcW w:w="10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i w:val="1"/>
                <w:iCs w:val="1"/>
                <w:color w:val="auto"/>
                <w:w w:val="92"/>
              </w:rPr>
              <w:t>(in thousands)</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(in years)</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25, 2022</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5,115,674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080" w:type="dxa"/>
            <w:vAlign w:val="bottom"/>
          </w:tcPr>
          <w:p>
            <w:pPr>
              <w:jc w:val="right"/>
              <w:spacing w:after="0"/>
              <w:rPr>
                <w:sz w:val="20"/>
                <w:szCs w:val="20"/>
                <w:color w:val="auto"/>
              </w:rPr>
            </w:pPr>
            <w:r>
              <w:rPr>
                <w:rFonts w:ascii="Arial" w:cs="Arial" w:eastAsia="Arial" w:hAnsi="Arial"/>
                <w:sz w:val="16"/>
                <w:szCs w:val="16"/>
                <w:color w:val="auto"/>
              </w:rPr>
              <w:t>(224,620)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Outstanding, June 25, 2023</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4,839,600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10.15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28,820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6"/>
                <w:szCs w:val="16"/>
                <w:color w:val="auto"/>
              </w:rPr>
              <w:t>Exercisable, June 25, 2023</w:t>
            </w:r>
          </w:p>
        </w:tc>
        <w:tc>
          <w:tcPr>
            <w:tcW w:w="2080" w:type="dxa"/>
            <w:vAlign w:val="bottom"/>
          </w:tcPr>
          <w:p>
            <w:pPr>
              <w:jc w:val="right"/>
              <w:spacing w:after="0"/>
              <w:rPr>
                <w:sz w:val="20"/>
                <w:szCs w:val="20"/>
                <w:color w:val="auto"/>
              </w:rPr>
            </w:pPr>
            <w:r>
              <w:rPr>
                <w:rFonts w:ascii="Arial" w:cs="Arial" w:eastAsia="Arial" w:hAnsi="Arial"/>
                <w:sz w:val="16"/>
                <w:szCs w:val="16"/>
                <w:color w:val="auto"/>
              </w:rPr>
              <w:t>2,966,385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9.63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19,187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intrinsic value is based on the difference between the exercise price of the stock option and the closing price of the Company’s common stock on Nasdaq on the last trading day.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stock option activity during the twenty-six weeks ended June 25,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8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WEIGHTED AVERAGE GRANT DATE FAIR VALUE</w:t>
            </w:r>
          </w:p>
        </w:tc>
      </w:tr>
      <w:tr>
        <w:trPr>
          <w:trHeight w:val="21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December 25, 2022</w:t>
            </w:r>
          </w:p>
        </w:tc>
        <w:tc>
          <w:tcPr>
            <w:tcW w:w="2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2,324,316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Vested</w:t>
            </w:r>
          </w:p>
        </w:tc>
        <w:tc>
          <w:tcPr>
            <w:tcW w:w="2800" w:type="dxa"/>
            <w:vAlign w:val="bottom"/>
          </w:tcPr>
          <w:p>
            <w:pPr>
              <w:jc w:val="right"/>
              <w:spacing w:after="0"/>
              <w:rPr>
                <w:sz w:val="20"/>
                <w:szCs w:val="20"/>
                <w:color w:val="auto"/>
              </w:rPr>
            </w:pPr>
            <w:r>
              <w:rPr>
                <w:rFonts w:ascii="Arial" w:cs="Arial" w:eastAsia="Arial" w:hAnsi="Arial"/>
                <w:sz w:val="16"/>
                <w:szCs w:val="16"/>
                <w:color w:val="auto"/>
              </w:rPr>
              <w:t>(399,647)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74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9"/>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(51,454)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Nonvested, June 25, 2023</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1,873,215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74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
        </w:trPr>
        <w:tc>
          <w:tcPr>
            <w:tcW w:w="32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restricted stock units during the twenty-six weeks ended June 25, 2023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 INTRINSIC VALUE</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spacing w:after="0"/>
              <w:rPr>
                <w:sz w:val="18"/>
                <w:szCs w:val="18"/>
                <w:color w:val="auto"/>
              </w:rPr>
            </w:pPr>
          </w:p>
        </w:tc>
        <w:tc>
          <w:tcPr>
            <w:tcW w:w="2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GRANT DATE FAIR VALUE</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25, 2022</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Granted</w:t>
            </w:r>
          </w:p>
        </w:tc>
        <w:tc>
          <w:tcPr>
            <w:tcW w:w="2420" w:type="dxa"/>
            <w:vAlign w:val="bottom"/>
          </w:tcPr>
          <w:p>
            <w:pPr>
              <w:jc w:val="right"/>
              <w:spacing w:after="0"/>
              <w:rPr>
                <w:sz w:val="20"/>
                <w:szCs w:val="20"/>
                <w:color w:val="auto"/>
              </w:rPr>
            </w:pPr>
            <w:r>
              <w:rPr>
                <w:rFonts w:ascii="Arial" w:cs="Arial" w:eastAsia="Arial" w:hAnsi="Arial"/>
                <w:sz w:val="16"/>
                <w:szCs w:val="16"/>
                <w:color w:val="auto"/>
              </w:rPr>
              <w:t>532,700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40" w:type="dxa"/>
            <w:vAlign w:val="bottom"/>
          </w:tcPr>
          <w:p>
            <w:pPr>
              <w:jc w:val="right"/>
              <w:spacing w:after="0"/>
              <w:rPr>
                <w:sz w:val="20"/>
                <w:szCs w:val="20"/>
                <w:color w:val="auto"/>
              </w:rPr>
            </w:pPr>
            <w:r>
              <w:rPr>
                <w:rFonts w:ascii="Arial" w:cs="Arial" w:eastAsia="Arial" w:hAnsi="Arial"/>
                <w:sz w:val="16"/>
                <w:szCs w:val="16"/>
                <w:color w:val="auto"/>
              </w:rPr>
              <w:t>15.64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25, 2023</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531,412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is based on the closing price of the Company’s common stock on Nasdaq of $16.10 and $14.21 on June 23, 2023 and December 23, 2022, the last trading days for the periods, respectively.</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Stock-based compensation expense was $2.1 million and $3.6 million during the thirteen and twenty-six weeks ended June 25, 2023, respectively. Stock-based compensation expense was $2.8 million and $5.1 million during the thirteen and twenty-six weeks ended June 26, 2022, respectively.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total related income tax benefit for stock-based compensation expense was $0.4 million and $0.6 million during the thirteen and twenty-six weeks ended June 25, 2023, respectively. The total related income tax benefit for stock-based compensation expense was less than $0.1 million during the thirteen and twenty-six weeks ended June 26,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unrecognized stock-based compensation expense and the remaining weighted average vesting period as of June 25,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80" w:type="dxa"/>
            <w:vAlign w:val="bottom"/>
            <w:shd w:val="clear" w:color="auto" w:fill="CCEEFF"/>
          </w:tcPr>
          <w:p>
            <w:pPr>
              <w:jc w:val="center"/>
              <w:ind w:right="299"/>
              <w:spacing w:after="0"/>
              <w:rPr>
                <w:sz w:val="20"/>
                <w:szCs w:val="20"/>
                <w:color w:val="auto"/>
              </w:rPr>
            </w:pPr>
            <w:r>
              <w:rPr>
                <w:rFonts w:ascii="Arial" w:cs="Arial" w:eastAsia="Arial" w:hAnsi="Arial"/>
                <w:sz w:val="16"/>
                <w:szCs w:val="16"/>
                <w:b w:val="1"/>
                <w:bCs w:val="1"/>
                <w:color w:val="auto"/>
              </w:rPr>
              <w:t>UNRECOGNIZED STOCK-BASED</w:t>
            </w:r>
          </w:p>
        </w:tc>
        <w:tc>
          <w:tcPr>
            <w:tcW w:w="100" w:type="dxa"/>
            <w:vAlign w:val="bottom"/>
            <w:shd w:val="clear" w:color="auto" w:fill="CCEEFF"/>
          </w:tcPr>
          <w:p>
            <w:pPr>
              <w:spacing w:after="0"/>
              <w:rPr>
                <w:sz w:val="16"/>
                <w:szCs w:val="16"/>
                <w:color w:val="auto"/>
              </w:rPr>
            </w:pPr>
          </w:p>
        </w:tc>
        <w:tc>
          <w:tcPr>
            <w:tcW w:w="40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REMAINING WEIGHTED AVERAGE</w:t>
            </w:r>
          </w:p>
        </w:tc>
      </w:tr>
      <w:tr>
        <w:trPr>
          <w:trHeight w:val="166"/>
        </w:trPr>
        <w:tc>
          <w:tcPr>
            <w:tcW w:w="3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80" w:type="dxa"/>
            <w:vAlign w:val="bottom"/>
            <w:shd w:val="clear" w:color="auto" w:fill="CCEEFF"/>
          </w:tcPr>
          <w:p>
            <w:pPr>
              <w:jc w:val="center"/>
              <w:ind w:right="319"/>
              <w:spacing w:after="0" w:line="166" w:lineRule="exact"/>
              <w:rPr>
                <w:sz w:val="20"/>
                <w:szCs w:val="20"/>
                <w:color w:val="auto"/>
              </w:rPr>
            </w:pPr>
            <w:r>
              <w:rPr>
                <w:rFonts w:ascii="Arial" w:cs="Arial" w:eastAsia="Arial" w:hAnsi="Arial"/>
                <w:sz w:val="16"/>
                <w:szCs w:val="16"/>
                <w:b w:val="1"/>
                <w:bCs w:val="1"/>
                <w:color w:val="auto"/>
              </w:rPr>
              <w:t>COMPENSATION EXPENSE</w:t>
            </w:r>
          </w:p>
        </w:tc>
        <w:tc>
          <w:tcPr>
            <w:tcW w:w="100" w:type="dxa"/>
            <w:vAlign w:val="bottom"/>
            <w:shd w:val="clear" w:color="auto" w:fill="CCEEFF"/>
          </w:tcPr>
          <w:p>
            <w:pPr>
              <w:spacing w:after="0"/>
              <w:rPr>
                <w:sz w:val="14"/>
                <w:szCs w:val="14"/>
                <w:color w:val="auto"/>
              </w:rPr>
            </w:pPr>
          </w:p>
        </w:tc>
        <w:tc>
          <w:tcPr>
            <w:tcW w:w="408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b w:val="1"/>
                <w:bCs w:val="1"/>
                <w:color w:val="auto"/>
              </w:rPr>
              <w:t>VESTING PERIOD</w:t>
            </w:r>
          </w:p>
        </w:tc>
      </w:tr>
      <w:tr>
        <w:trPr>
          <w:trHeight w:val="209"/>
        </w:trPr>
        <w:tc>
          <w:tcPr>
            <w:tcW w:w="3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jc w:val="center"/>
              <w:ind w:right="299"/>
              <w:spacing w:after="0"/>
              <w:rPr>
                <w:sz w:val="20"/>
                <w:szCs w:val="20"/>
                <w:color w:val="auto"/>
              </w:rPr>
            </w:pPr>
            <w:r>
              <w:rPr>
                <w:rFonts w:ascii="Arial" w:cs="Arial" w:eastAsia="Arial" w:hAnsi="Arial"/>
                <w:sz w:val="16"/>
                <w:szCs w:val="16"/>
                <w:i w:val="1"/>
                <w:iCs w:val="1"/>
                <w:color w:val="auto"/>
                <w:w w:val="92"/>
              </w:rPr>
              <w:t>(in thousands)</w:t>
            </w:r>
          </w:p>
        </w:tc>
        <w:tc>
          <w:tcPr>
            <w:tcW w:w="10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5"/>
              </w:rPr>
              <w:t>(in years)</w:t>
            </w: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tcPr>
          <w:p>
            <w:pPr>
              <w:jc w:val="right"/>
              <w:spacing w:after="0"/>
              <w:rPr>
                <w:sz w:val="20"/>
                <w:szCs w:val="20"/>
                <w:color w:val="auto"/>
              </w:rPr>
            </w:pPr>
            <w:r>
              <w:rPr>
                <w:rFonts w:ascii="Arial" w:cs="Arial" w:eastAsia="Arial" w:hAnsi="Arial"/>
                <w:sz w:val="16"/>
                <w:szCs w:val="16"/>
                <w:color w:val="auto"/>
              </w:rPr>
              <w:t>6,346</w:t>
            </w:r>
          </w:p>
        </w:tc>
        <w:tc>
          <w:tcPr>
            <w:tcW w:w="418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7,497</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Income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TWENTY-SIX WEEKS ENDED</w:t>
            </w:r>
          </w:p>
        </w:tc>
      </w:tr>
      <w:tr>
        <w:trPr>
          <w:trHeight w:val="21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r>
      <w:tr>
        <w:trPr>
          <w:trHeight w:val="212"/>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9,991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23,909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10,960</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(2,032)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(1,336)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(6,590)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(3,613)</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the effective income tax rates for the thirteen and twenty-six weeks ended June 25, 2023 as compared to the same periods in the prior year was primarily due to (i) the change in the valuation allowance for federal deferred tax assets, (ii) a decrease in the valuation allowance for state net operating loss carryforwards, (iii) the benefit of tax credits for FICA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taxes on certain employees’ tips, (iv) impacts of executive stock-based compensation and (v) non-deductible costs associated with the Secondary Offerings.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thirteen and twenty-six weeks ended June 25, 2023 and June 26, 2022 were different than the blended federal and state statutory rate primarily due to (i) the change in the valuation allowance for federal deferred tax assets, (ii) a decrease in the valuation allowance for state net operating loss carryforwards, (iii) the benefit of tax credits for FICA taxes on certain employees’ tips, (iv) impacts of executive stock-based compensation and (v) non-deductible costs associated with the Secondary Offerings.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June 25, 2023.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portion of the valuation allowance would result in the recognition of certain deferred tax assets and a decrease to income tax expense in the period of the release. The timing and amount of any release related to future taxable income is currently indeterminable. During the thirteen weeks ended June 25, 2023, a release of the valuation allowance related to certain state loss carryforwards decreased income tax expense by approximately $1.0 million.</w:t>
      </w:r>
    </w:p>
    <w:p>
      <w:pPr>
        <w:spacing w:after="0" w:line="2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legal proceedings, claims and liabilities that arise in the ordinary course of business. The amount of the anticipated liability with respect to these matters was not material as of June 25, 2023. In the event any litigation losses become probable and estimable, the Company will recognize any anticipated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Unclaimed Property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26, 2022, 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net income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TWENTY-SIX WEEKS ENDED</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JUNE 25,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JUNE 26, 2022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7,959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2,707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17,319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 - basic</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59,385,510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59,057,991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59,314,470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59,053,219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 -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60,944,836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60,770,441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59,933,003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Net income per common share - 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 - diluted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line="166" w:lineRule="exact"/>
              <w:rPr>
                <w:sz w:val="20"/>
                <w:szCs w:val="20"/>
                <w:color w:val="auto"/>
              </w:rPr>
            </w:pPr>
            <w:r>
              <w:rPr>
                <w:rFonts w:ascii="Arial" w:cs="Arial" w:eastAsia="Arial" w:hAnsi="Arial"/>
                <w:sz w:val="16"/>
                <w:szCs w:val="16"/>
                <w:color w:val="auto"/>
                <w:w w:val="96"/>
              </w:rPr>
              <w:t>Stock options outstanding not included in diluted net income per common</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1,005,061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2,213,408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1,005,359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1,567,102</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share as their effect is anti-dilutive</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Restricted stock units outstanding not included in diluted net income per</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as their effect is anti-dilutive</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26, 2023, the Company acquired five restaurants, including franchise and development rights plus other associated assets from a franchisee for cash of $8.6 million.</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June 30, 2023, the Company executed an asset purchase agreement to acquire from a franchisee six operating restaurants and one restaurant under development, together with other associated assets, including, but not limited to, franchise and development rights for cash of approximately $13.9 million. The close date of the sale is subject to the satisfaction of certain customary closing conditions set forth in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2022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2022 Form 10-K, including under “Item 1A. Risk Factors” and “Item 7.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2023, First Watch was named the top restaurant brand in Yelp’s inaugural list of the top 50 most-loved brands in the U.S. and in 2022, First Watch was recognized with ADP’s coveted Culture at Work Award and named a Top 100 Most Loved Workplace® by Newsweek and the Best Practice Institute. The Company is majority owned by Advent International Corporation, one of the world’s largest private-equity firms. The Company’s common stock trades on Nasdaq under the ticker symbol “FWRG.”</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and franchises restaurants in 29 states under the “First Watch” trade name and as of June 25, 2023, the Company had 381 company-owned restaurants and 111 franchise-owned restaurants.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highlights for the thirteen weeks ended June 25, 2023 (“second quarter of 2023”) as compared to the thirteen weeks ended June 26, 2022 (“second quarter of 2022”) reflect continued success and sustained growth despite a challenging macro environment and include the following:</w:t>
      </w:r>
    </w:p>
    <w:p>
      <w:pPr>
        <w:spacing w:after="0" w:line="173" w:lineRule="exact"/>
        <w:rPr>
          <w:sz w:val="20"/>
          <w:szCs w:val="20"/>
          <w:color w:val="auto"/>
        </w:rPr>
      </w:pPr>
    </w:p>
    <w:p>
      <w:pPr>
        <w:ind w:left="580" w:hanging="41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17.3% to $216.3 million in the second quarter of 2023 from $184.5 million in the second quarter of 2022</w:t>
      </w:r>
    </w:p>
    <w:p>
      <w:pPr>
        <w:spacing w:after="0" w:line="23" w:lineRule="exact"/>
        <w:rPr>
          <w:rFonts w:ascii="Arial" w:cs="Arial" w:eastAsia="Arial" w:hAnsi="Arial"/>
          <w:sz w:val="18"/>
          <w:szCs w:val="18"/>
          <w:color w:val="auto"/>
        </w:rPr>
      </w:pPr>
    </w:p>
    <w:p>
      <w:pPr>
        <w:ind w:left="580" w:hanging="41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System-wide sales increased 17.4% to $271.5 million in the second quarter of 2023 from $231.2 million in the second quarter of 2022</w:t>
      </w:r>
    </w:p>
    <w:p>
      <w:pPr>
        <w:spacing w:after="0" w:line="9" w:lineRule="exact"/>
        <w:rPr>
          <w:rFonts w:ascii="Arial" w:cs="Arial" w:eastAsia="Arial" w:hAnsi="Arial"/>
          <w:sz w:val="18"/>
          <w:szCs w:val="18"/>
          <w:color w:val="auto"/>
        </w:rPr>
      </w:pPr>
    </w:p>
    <w:p>
      <w:pPr>
        <w:ind w:left="580" w:hanging="410"/>
        <w:spacing w:after="0" w:line="19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Same-restaurant sales growth of 7.8% (39.6% relative to the second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19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Same-restaurant traffic decline of (1.2)% (7.4% same-restaurant traffic growth relative to the second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from operations margin increased to 5.3% during the second quarter of 2023 from 2.8% in the second quarter of 2022</w:t>
      </w:r>
    </w:p>
    <w:p>
      <w:pPr>
        <w:spacing w:after="0" w:line="7" w:lineRule="exact"/>
        <w:rPr>
          <w:rFonts w:ascii="Arial" w:cs="Arial" w:eastAsia="Arial" w:hAnsi="Arial"/>
          <w:sz w:val="18"/>
          <w:szCs w:val="18"/>
          <w:color w:val="auto"/>
        </w:rPr>
      </w:pPr>
    </w:p>
    <w:p>
      <w:pPr>
        <w:ind w:left="580" w:hanging="410"/>
        <w:spacing w:after="0" w:line="19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 level operating profit margin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20.9% in the second quarter of 2023 from 18.2% in the second quarter of 2022</w:t>
      </w:r>
    </w:p>
    <w:p>
      <w:pPr>
        <w:ind w:left="580" w:hanging="410"/>
        <w:spacing w:after="0" w:line="24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to $8.0 million, or $0.13 per diluted share, in the second quarter of 2023 from $2.7 million, or $0.05 per diluted share, in the second quarter of 2022</w:t>
      </w:r>
    </w:p>
    <w:p>
      <w:pPr>
        <w:ind w:left="580" w:hanging="410"/>
        <w:spacing w:after="0" w:line="19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$25.8 million in the second quarter of 2023 from $17.8 million in the second quarter of 2022</w:t>
      </w:r>
    </w:p>
    <w:p>
      <w:pPr>
        <w:ind w:left="580" w:hanging="410"/>
        <w:spacing w:after="0" w:line="280"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Opened 9 system-wide restaurants (6 company-owned and 3 franchise-owned) across 6 states, acquired 6 franchise-owned restaurants and closed one company-owned restaurant resulting in a total of 492 system-wide restaurants (381 company-owned and 111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320" w:firstLine="8"/>
        <w:spacing w:after="0" w:line="275" w:lineRule="auto"/>
        <w:tabs>
          <w:tab w:leader="none" w:pos="126"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Comparison to the thirteen weeks ended June 30, 2019 (“second quarter of 2019”) is presented for enhanced comparability due to the economic impact of COVID-19. ** See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we benefited from a period of improving economic stability. Our same-restaurant sales grew 7.8%. Our dining rooms continued to enjoy low-single digit traffic growth, while our off-premises occasions continued down in comparison to last year, similar to industry-wide trends. We believe a meaningful portion of our direct off-premises traffic channel’s negative transaction comparison is reflecting our customers’ return to the full experience of our restaurants’ dining room service.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Commodity inflation continued to decelerate, furthering a trend that began in the second half of last year. For 2023, we expect inflation of our market basket to be in the range of flat to 2.0%. Expectations of labor cost increases continue to range between 8.0% and 10.0%. Combined with improved labor management and menu price increases to offset inflation, the Restaurant level operating profit margin was 20.9%, a 270 basis point improvement over 2022. Starting the first day of our third quarter, we increased in-restaurant menu prices by 1.0% to offset the impact of inflationary costs.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beginning of the year, through June 26, 2023, the Company has acquired 11 restaurants from its franchisees in continuation of this component of our growth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New Restaurant Openings </w:t>
      </w:r>
      <w:r>
        <w:rPr>
          <w:rFonts w:ascii="Arial" w:cs="Arial" w:eastAsia="Arial" w:hAnsi="Arial"/>
          <w:sz w:val="18"/>
          <w:szCs w:val="18"/>
          <w:color w:val="auto"/>
        </w:rPr>
        <w:t>(“NROs”): the number of new company-owned First Watch restaurants commencing operations during the period.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the number of new restaurants to assess new restaurant growth and company-owned restaurant sales.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Franchise-owned New Restaurant Openings </w:t>
      </w:r>
      <w:r>
        <w:rPr>
          <w:rFonts w:ascii="Arial" w:cs="Arial" w:eastAsia="Arial" w:hAnsi="Arial"/>
          <w:sz w:val="18"/>
          <w:szCs w:val="18"/>
          <w:color w:val="auto"/>
        </w:rPr>
        <w:t>(“Franchise-owned NROs”): the number of new franchise-owned First Watch restaurants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during the period.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Same-Restaurant Sales Growth</w:t>
      </w:r>
      <w:r>
        <w:rPr>
          <w:rFonts w:ascii="Arial" w:cs="Arial" w:eastAsia="Arial" w:hAnsi="Arial"/>
          <w:sz w:val="17"/>
          <w:szCs w:val="17"/>
          <w:color w:val="auto"/>
        </w:rPr>
        <w:t>: the percentage change in year-over-year restaurant sales (excluding gift card breakage) for the comparable restaurant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which we define as the number of company-owned First Watch branded restaurants open for 18 months or longer as of the beginning of the fiscal year (“Comparable Restaurant Base”). For the thirteen and twenty-six weeks ended June 25, 2023, there were 327 restaurants in our Comparable Restaurant Base. For the thirteen and twenty-six weeks ended June 26, 2022, there were 304 restaurants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Same-Restaurant Traffic Growth</w:t>
      </w:r>
      <w:r>
        <w:rPr>
          <w:rFonts w:ascii="Arial" w:cs="Arial" w:eastAsia="Arial" w:hAnsi="Arial"/>
          <w:sz w:val="18"/>
          <w:szCs w:val="18"/>
          <w:color w:val="auto"/>
        </w:rPr>
        <w:t>: the percentage change in traffic counts as compared to the same period in the prior year using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restaurants</w:t>
      </w:r>
      <w:r>
        <w:rPr>
          <w:rFonts w:ascii="Arial" w:cs="Arial" w:eastAsia="Arial" w:hAnsi="Arial"/>
          <w:sz w:val="18"/>
          <w:szCs w:val="18"/>
          <w:color w:val="auto"/>
        </w:rPr>
        <w:t>: the total number of restaurants, including all company-owned and franchise-owned restaurants.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System-wide sales</w:t>
      </w:r>
      <w:r>
        <w:rPr>
          <w:rFonts w:ascii="Arial" w:cs="Arial" w:eastAsia="Arial" w:hAnsi="Arial"/>
          <w:sz w:val="18"/>
          <w:szCs w:val="18"/>
          <w:color w:val="auto"/>
        </w:rPr>
        <w:t>: consists of restaurant sales from our company-owned restaurants and franchise-owned restaurants. We do not recognize the restaurant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from our franchise-owned restaurants as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color w:val="auto"/>
        </w:rPr>
        <w:t>: represents Net income before depreciation and amortization, interest expense, income taxes, and items that we do not consider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evaluation of ongoing core operating performance as identified in the reconciliation of Net income, the most directly comparable measure in accordance with GAAP, to Adjusted EBITDA, included in the section </w:t>
      </w:r>
      <w:r>
        <w:rPr>
          <w:rFonts w:ascii="Arial" w:cs="Arial" w:eastAsia="Arial" w:hAnsi="Arial"/>
          <w:sz w:val="17"/>
          <w:szCs w:val="17"/>
          <w:i w:val="1"/>
          <w:iCs w:val="1"/>
          <w:color w:val="auto"/>
        </w:rPr>
        <w:t>Non-GAAP Financial Measure Reconciliations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represents Adjusted EBITDA as a percentage of total revenues. See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Non-GAAP Financial Measure Reconciliations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 to Net income margin, the most directly comparable GAAP measure.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Restaurant Level Operating Profit</w:t>
      </w:r>
      <w:r>
        <w:rPr>
          <w:rFonts w:ascii="Arial" w:cs="Arial" w:eastAsia="Arial" w:hAnsi="Arial"/>
          <w:sz w:val="18"/>
          <w:szCs w:val="18"/>
          <w:color w:val="auto"/>
        </w:rPr>
        <w:t>: represents restaurant sales, less restaurant operating expenses, which include food and beverage costs, labor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Arial" w:cs="Arial" w:eastAsia="Arial" w:hAnsi="Arial"/>
          <w:sz w:val="18"/>
          <w:szCs w:val="18"/>
          <w:i w:val="1"/>
          <w:iCs w:val="1"/>
          <w:color w:val="auto"/>
        </w:rPr>
        <w:t xml:space="preserve">Non-GAAP Financial Measure Reconciliations </w:t>
      </w:r>
      <w:r>
        <w:rPr>
          <w:rFonts w:ascii="Arial" w:cs="Arial" w:eastAsia="Arial" w:hAnsi="Arial"/>
          <w:sz w:val="18"/>
          <w:szCs w:val="18"/>
          <w:color w:val="auto"/>
        </w:rPr>
        <w:t>below.</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Restaurant Level Operating Profit Margin</w:t>
      </w:r>
      <w:r>
        <w:rPr>
          <w:rFonts w:ascii="Arial" w:cs="Arial" w:eastAsia="Arial" w:hAnsi="Arial"/>
          <w:sz w:val="17"/>
          <w:szCs w:val="17"/>
          <w:color w:val="auto"/>
        </w:rPr>
        <w:t>: represents Restaurant level operating profit as a percentage of restaurant sales. See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Non-GAAP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Measure Reconciliations </w:t>
      </w:r>
      <w:r>
        <w:rPr>
          <w:rFonts w:ascii="Arial" w:cs="Arial" w:eastAsia="Arial" w:hAnsi="Arial"/>
          <w:sz w:val="17"/>
          <w:szCs w:val="17"/>
          <w:color w:val="auto"/>
        </w:rPr>
        <w:t>below for a reconciliation to Income from operations margin, the most directly comparable GAAP measure.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Operating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TWENTY-SIX WEEKS ENDED</w:t>
            </w:r>
          </w:p>
        </w:tc>
      </w:tr>
      <w:tr>
        <w:trPr>
          <w:trHeight w:val="210"/>
        </w:trPr>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r>
      <w:tr>
        <w:trPr>
          <w:trHeight w:val="212"/>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System-wide sales (in thousands)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271,546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231,236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536,265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445,357</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System-wide restaurants</w:t>
            </w: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449</w:t>
            </w:r>
          </w:p>
        </w:tc>
      </w:tr>
      <w:tr>
        <w:trPr>
          <w:trHeight w:val="219"/>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w:t>
            </w: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Franchise-owned</w:t>
            </w: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99</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Same-restaurant sales growth</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95.9 %</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Same-restaurant traffic growth (decline)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76.3 %</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(in thousands)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5,053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26,674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12,813</w:t>
            </w: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Income from operations margin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9"/>
        </w:trPr>
        <w:tc>
          <w:tcPr>
            <w:tcW w:w="3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Restaurant level operating profit (in thousands)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33,079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88,500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66,518</w:t>
            </w:r>
          </w:p>
        </w:tc>
      </w:tr>
      <w:tr>
        <w:trPr>
          <w:trHeight w:val="216"/>
        </w:trPr>
        <w:tc>
          <w:tcPr>
            <w:tcW w:w="39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Restaurant level operating profit margin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18.9 %</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(in thousands)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7,959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17,319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7,347</w:t>
            </w: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Net income margin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3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Adjusted EBITDA (in thousands) </w:t>
            </w:r>
            <w:r>
              <w:rPr>
                <w:rFonts w:ascii="Arial" w:cs="Arial" w:eastAsia="Arial" w:hAnsi="Arial"/>
                <w:sz w:val="21"/>
                <w:szCs w:val="21"/>
                <w:color w:val="auto"/>
                <w:vertAlign w:val="superscript"/>
              </w:rPr>
              <w:t>(2)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17,789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53,229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37,153</w:t>
            </w:r>
          </w:p>
        </w:tc>
      </w:tr>
      <w:tr>
        <w:trPr>
          <w:trHeight w:val="279"/>
        </w:trPr>
        <w:tc>
          <w:tcPr>
            <w:tcW w:w="3940" w:type="dxa"/>
            <w:vAlign w:val="bottom"/>
          </w:tcPr>
          <w:p>
            <w:pPr>
              <w:ind w:left="36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(2)</w:t>
            </w: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10.4 %</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firstLine="8"/>
        <w:spacing w:after="0" w:line="248" w:lineRule="auto"/>
        <w:tabs>
          <w:tab w:leader="none" w:pos="25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spacing w:after="0" w:line="1" w:lineRule="exact"/>
        <w:rPr>
          <w:rFonts w:ascii="Arial" w:cs="Arial" w:eastAsia="Arial" w:hAnsi="Arial"/>
          <w:sz w:val="16"/>
          <w:szCs w:val="16"/>
          <w:color w:val="auto"/>
        </w:rPr>
      </w:pPr>
    </w:p>
    <w:p>
      <w:pPr>
        <w:ind w:firstLine="8"/>
        <w:spacing w:after="0" w:line="270" w:lineRule="auto"/>
        <w:tabs>
          <w:tab w:leader="none" w:pos="23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Reconciliations from Net income and Net income margin, the most comparable GAAP measures, to Adjusted EBITDA and Adjusted EBITDA margin, are set forth in the schedules within the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Same-Restaurant Sales Growth (Decline) and Same-Restaurant Traffic Growth (Decline)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THIRTEEN WEEKS ENDED</w:t>
            </w:r>
          </w:p>
        </w:tc>
        <w:tc>
          <w:tcPr>
            <w:tcW w:w="2880" w:type="dxa"/>
            <w:vAlign w:val="bottom"/>
          </w:tcPr>
          <w:p>
            <w:pPr>
              <w:jc w:val="right"/>
              <w:ind w:right="279"/>
              <w:spacing w:after="0"/>
              <w:rPr>
                <w:sz w:val="20"/>
                <w:szCs w:val="20"/>
                <w:color w:val="auto"/>
              </w:rPr>
            </w:pPr>
            <w:r>
              <w:rPr>
                <w:rFonts w:ascii="Arial" w:cs="Arial" w:eastAsia="Arial" w:hAnsi="Arial"/>
                <w:sz w:val="16"/>
                <w:szCs w:val="16"/>
                <w:b w:val="1"/>
                <w:bCs w:val="1"/>
                <w:color w:val="auto"/>
              </w:rPr>
              <w:t>SAME-RESTAURANT SALES</w:t>
            </w:r>
          </w:p>
        </w:tc>
        <w:tc>
          <w:tcPr>
            <w:tcW w:w="100" w:type="dxa"/>
            <w:vAlign w:val="bottom"/>
          </w:tcPr>
          <w:p>
            <w:pPr>
              <w:spacing w:after="0"/>
              <w:rPr>
                <w:sz w:val="16"/>
                <w:szCs w:val="16"/>
                <w:color w:val="auto"/>
              </w:rPr>
            </w:pPr>
          </w:p>
        </w:tc>
        <w:tc>
          <w:tcPr>
            <w:tcW w:w="2720" w:type="dxa"/>
            <w:vAlign w:val="bottom"/>
          </w:tcPr>
          <w:p>
            <w:pPr>
              <w:jc w:val="right"/>
              <w:ind w:right="79"/>
              <w:spacing w:after="0"/>
              <w:rPr>
                <w:sz w:val="20"/>
                <w:szCs w:val="20"/>
                <w:color w:val="auto"/>
              </w:rPr>
            </w:pPr>
            <w:r>
              <w:rPr>
                <w:rFonts w:ascii="Arial" w:cs="Arial" w:eastAsia="Arial" w:hAnsi="Arial"/>
                <w:sz w:val="16"/>
                <w:szCs w:val="16"/>
                <w:b w:val="1"/>
                <w:bCs w:val="1"/>
                <w:color w:val="auto"/>
              </w:rPr>
              <w:t>SAME-RESTAURANT TRAFFIC</w:t>
            </w:r>
          </w:p>
        </w:tc>
        <w:tc>
          <w:tcPr>
            <w:tcW w:w="100" w:type="dxa"/>
            <w:vAlign w:val="bottom"/>
          </w:tcPr>
          <w:p>
            <w:pPr>
              <w:spacing w:after="0"/>
              <w:rPr>
                <w:sz w:val="16"/>
                <w:szCs w:val="16"/>
                <w:color w:val="auto"/>
              </w:rPr>
            </w:pPr>
          </w:p>
        </w:tc>
        <w:tc>
          <w:tcPr>
            <w:tcW w:w="2640" w:type="dxa"/>
            <w:vAlign w:val="bottom"/>
          </w:tcPr>
          <w:p>
            <w:pPr>
              <w:jc w:val="right"/>
              <w:ind w:right="76"/>
              <w:spacing w:after="0"/>
              <w:rPr>
                <w:sz w:val="20"/>
                <w:szCs w:val="20"/>
                <w:color w:val="auto"/>
              </w:rPr>
            </w:pPr>
            <w:r>
              <w:rPr>
                <w:rFonts w:ascii="Arial" w:cs="Arial" w:eastAsia="Arial" w:hAnsi="Arial"/>
                <w:sz w:val="16"/>
                <w:szCs w:val="16"/>
                <w:b w:val="1"/>
                <w:bCs w:val="1"/>
                <w:color w:val="auto"/>
              </w:rPr>
              <w:t>COMPARABLE RESTAURANT</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vMerge w:val="continue"/>
          </w:tcPr>
          <w:p>
            <w:pPr>
              <w:spacing w:after="0"/>
              <w:rPr>
                <w:sz w:val="18"/>
                <w:szCs w:val="18"/>
                <w:color w:val="auto"/>
              </w:rPr>
            </w:pPr>
          </w:p>
        </w:tc>
        <w:tc>
          <w:tcPr>
            <w:tcW w:w="28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GROWTH (DECLINE)</w:t>
            </w:r>
          </w:p>
        </w:tc>
        <w:tc>
          <w:tcPr>
            <w:tcW w:w="1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GROWTH (DECLINE)</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BASE</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25, 2023</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June 26, 2022</w:t>
            </w:r>
          </w:p>
        </w:tc>
        <w:tc>
          <w:tcPr>
            <w:tcW w:w="2880" w:type="dxa"/>
            <w:vAlign w:val="bottom"/>
          </w:tcPr>
          <w:p>
            <w:pPr>
              <w:jc w:val="right"/>
              <w:spacing w:after="0"/>
              <w:rPr>
                <w:sz w:val="20"/>
                <w:szCs w:val="20"/>
                <w:color w:val="auto"/>
              </w:rPr>
            </w:pPr>
            <w:r>
              <w:rPr>
                <w:rFonts w:ascii="Arial" w:cs="Arial" w:eastAsia="Arial" w:hAnsi="Arial"/>
                <w:sz w:val="16"/>
                <w:szCs w:val="16"/>
                <w:color w:val="auto"/>
              </w:rPr>
              <w:t>13.4 %</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274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27, 2021</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403.5 %</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360.9 %</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Thirteen and Twenty-Six Weeks Ended June 25, 2023 Compared to Thirteen and Twenty-Six Weeks Ended June 26, 2022</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results of operations and the percentages of certain items in relation to Total revenues or, where indicated, Restaurant sales for the thirteen and twenty-six weeks ended June 25, 2023 and June 26,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TWENTY-SIX WEEKS ENDED</w:t>
            </w:r>
          </w:p>
        </w:tc>
        <w:tc>
          <w:tcPr>
            <w:tcW w:w="680" w:type="dxa"/>
            <w:vAlign w:val="bottom"/>
            <w:tcBorders>
              <w:bottom w:val="single" w:sz="8" w:color="auto"/>
            </w:tcBorders>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JUNE 26, 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JUNE 25, 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JUNE 26, 2022</w:t>
            </w: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212,587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98.3 %</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181,682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98.5 %</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420,555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98.3 %</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352,351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98.5 %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340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216,300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184,453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427,706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357,565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66"/>
        </w:trPr>
        <w:tc>
          <w:tcPr>
            <w:tcW w:w="3400" w:type="dxa"/>
            <w:vAlign w:val="bottom"/>
          </w:tcPr>
          <w:p>
            <w:pPr>
              <w:ind w:left="20"/>
              <w:spacing w:after="0" w:line="165" w:lineRule="exact"/>
              <w:rPr>
                <w:sz w:val="20"/>
                <w:szCs w:val="20"/>
                <w:color w:val="auto"/>
              </w:rPr>
            </w:pPr>
            <w:r>
              <w:rPr>
                <w:rFonts w:ascii="Arial" w:cs="Arial" w:eastAsia="Arial" w:hAnsi="Arial"/>
                <w:sz w:val="15"/>
                <w:szCs w:val="15"/>
                <w:color w:val="auto"/>
              </w:rPr>
              <w:t xml:space="preserve">Restaurant operating expenses </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(exclusive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depreciation and amortization shown below):</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24.0 %</w:t>
            </w:r>
          </w:p>
        </w:tc>
      </w:tr>
      <w:tr>
        <w:trPr>
          <w:trHeight w:val="213"/>
        </w:trPr>
        <w:tc>
          <w:tcPr>
            <w:tcW w:w="340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70,602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58,687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139,175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32.3 %</w:t>
            </w:r>
          </w:p>
        </w:tc>
      </w:tr>
      <w:tr>
        <w:trPr>
          <w:trHeight w:val="219"/>
        </w:trPr>
        <w:tc>
          <w:tcPr>
            <w:tcW w:w="3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213"/>
        </w:trPr>
        <w:tc>
          <w:tcPr>
            <w:tcW w:w="340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32,395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9"/>
        </w:trPr>
        <w:tc>
          <w:tcPr>
            <w:tcW w:w="3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25,284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47,989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6"/>
        </w:trPr>
        <w:tc>
          <w:tcPr>
            <w:tcW w:w="3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204,957</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401,032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96.4 %</w:t>
            </w:r>
          </w:p>
        </w:tc>
      </w:tr>
      <w:tr>
        <w:trPr>
          <w:trHeight w:val="213"/>
        </w:trPr>
        <w:tc>
          <w:tcPr>
            <w:tcW w:w="34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Income from operations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9,991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23,909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7,959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17,319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7,347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4"/>
        </w:trPr>
        <w:tc>
          <w:tcPr>
            <w:tcW w:w="34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Percentages are calculated as a percentage of restaurant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Sales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 In both the thirteen and twenty-six week comparative periods in the table below, the trend of declining off-premises occasions is reflected as the change in the relative contribution of the Third-party delivery sales and Take-out sales to the Total Restaurant sales.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800"/>
              <w:spacing w:after="0"/>
              <w:rPr>
                <w:sz w:val="20"/>
                <w:szCs w:val="20"/>
                <w:color w:val="auto"/>
              </w:rPr>
            </w:pPr>
            <w:r>
              <w:rPr>
                <w:rFonts w:ascii="Arial" w:cs="Arial" w:eastAsia="Arial" w:hAnsi="Arial"/>
                <w:sz w:val="16"/>
                <w:szCs w:val="16"/>
                <w:b w:val="1"/>
                <w:bCs w:val="1"/>
                <w:color w:val="auto"/>
              </w:rPr>
              <w:t>TWENTY-SIX WEEKS ENDED</w:t>
            </w:r>
          </w:p>
        </w:tc>
        <w:tc>
          <w:tcPr>
            <w:tcW w:w="880" w:type="dxa"/>
            <w:vAlign w:val="bottom"/>
            <w:tcBorders>
              <w:bottom w:val="single" w:sz="8" w:color="auto"/>
            </w:tcBorders>
          </w:tcPr>
          <w:p>
            <w:pPr>
              <w:spacing w:after="0"/>
              <w:rPr>
                <w:sz w:val="18"/>
                <w:szCs w:val="18"/>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26, 2022</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26, 2022</w:t>
            </w: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w w:val="91"/>
              </w:rPr>
              <w:t>Change</w:t>
            </w:r>
          </w:p>
        </w:tc>
      </w:tr>
      <w:tr>
        <w:trPr>
          <w:trHeight w:val="19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3"/>
        </w:trPr>
        <w:tc>
          <w:tcPr>
            <w:tcW w:w="288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174,352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144,839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343,581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277,731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23.7 %</w:t>
            </w:r>
          </w:p>
        </w:tc>
      </w:tr>
      <w:tr>
        <w:trPr>
          <w:trHeight w:val="219"/>
        </w:trPr>
        <w:tc>
          <w:tcPr>
            <w:tcW w:w="2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6"/>
        </w:trPr>
        <w:tc>
          <w:tcPr>
            <w:tcW w:w="2880" w:type="dxa"/>
            <w:vAlign w:val="bottom"/>
          </w:tcPr>
          <w:p>
            <w:pPr>
              <w:ind w:left="360"/>
              <w:spacing w:after="0"/>
              <w:rPr>
                <w:sz w:val="20"/>
                <w:szCs w:val="20"/>
                <w:color w:val="auto"/>
              </w:rPr>
            </w:pPr>
            <w:r>
              <w:rPr>
                <w:rFonts w:ascii="Arial" w:cs="Arial" w:eastAsia="Arial" w:hAnsi="Arial"/>
                <w:sz w:val="16"/>
                <w:szCs w:val="16"/>
                <w:color w:val="auto"/>
              </w:rPr>
              <w:t>Take-out sales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212,587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total restaurant sales during the thirteen weeks ended June 25, 2023 as compared to the same period in the prior year was primarily due to (i) same-restaurant sales growth of 7.8%, driven by the increase in menu prices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favorable mix, in addition to (ii) $28.5 million from restaurants not in the Comparable Restaurant Base, which included $14.7 million from our 28 NROs between June 26, 2022 and June 25, 2023.</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total restaurant sales during the twenty-six weeks ended June 25, 2023 as compared to the same period in the prior year was primarily due to (i) same restaurant sales growth of 10.4%, driven by same-restaurant traffic growth of 1.9% and menu price increases, in addition to (ii) $52.5 million from restaurants not in the Comparable Restaurant Base, which included $26.8 million from our 28 NROs between June 26, 2022 and June 25,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TWENTY-SIX WEEKS ENDED</w:t>
            </w:r>
          </w:p>
        </w:tc>
        <w:tc>
          <w:tcPr>
            <w:tcW w:w="880" w:type="dxa"/>
            <w:vAlign w:val="bottom"/>
            <w:tcBorders>
              <w:bottom w:val="single" w:sz="8" w:color="auto"/>
            </w:tcBorders>
          </w:tcPr>
          <w:p>
            <w:pPr>
              <w:spacing w:after="0"/>
              <w:rPr>
                <w:sz w:val="18"/>
                <w:szCs w:val="18"/>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JUNE 25,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26, 2022</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JUNE 25,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26, 2022</w:t>
            </w: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w w:val="91"/>
              </w:rPr>
              <w:t>Change</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3"/>
        </w:trPr>
        <w:tc>
          <w:tcPr>
            <w:tcW w:w="3060" w:type="dxa"/>
            <w:vAlign w:val="bottom"/>
            <w:gridSpan w:val="2"/>
          </w:tcPr>
          <w:p>
            <w:pPr>
              <w:ind w:left="360"/>
              <w:spacing w:after="0"/>
              <w:rPr>
                <w:sz w:val="20"/>
                <w:szCs w:val="20"/>
                <w:color w:val="auto"/>
              </w:rPr>
            </w:pPr>
            <w:r>
              <w:rPr>
                <w:rFonts w:ascii="Arial" w:cs="Arial" w:eastAsia="Arial" w:hAnsi="Arial"/>
                <w:sz w:val="16"/>
                <w:szCs w:val="16"/>
                <w:color w:val="auto"/>
                <w:w w:val="94"/>
              </w:rPr>
              <w:t>Royalty and system fund contributions $</w:t>
            </w:r>
          </w:p>
        </w:tc>
        <w:tc>
          <w:tcPr>
            <w:tcW w:w="1220" w:type="dxa"/>
            <w:vAlign w:val="bottom"/>
          </w:tcPr>
          <w:p>
            <w:pPr>
              <w:jc w:val="right"/>
              <w:spacing w:after="0"/>
              <w:rPr>
                <w:sz w:val="20"/>
                <w:szCs w:val="20"/>
                <w:color w:val="auto"/>
              </w:rPr>
            </w:pPr>
            <w:r>
              <w:rPr>
                <w:rFonts w:ascii="Arial" w:cs="Arial" w:eastAsia="Arial" w:hAnsi="Arial"/>
                <w:sz w:val="16"/>
                <w:szCs w:val="16"/>
                <w:color w:val="auto"/>
              </w:rPr>
              <w:t>3,555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36.0 %</w:t>
            </w: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Initial fees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82.2 %</w:t>
            </w:r>
          </w:p>
        </w:tc>
      </w:tr>
      <w:tr>
        <w:trPr>
          <w:trHeight w:val="204"/>
        </w:trPr>
        <w:tc>
          <w:tcPr>
            <w:tcW w:w="2920" w:type="dxa"/>
            <w:vAlign w:val="bottom"/>
          </w:tcPr>
          <w:p>
            <w:pPr>
              <w:ind w:left="20"/>
              <w:spacing w:after="0"/>
              <w:rPr>
                <w:sz w:val="20"/>
                <w:szCs w:val="20"/>
                <w:color w:val="auto"/>
              </w:rPr>
            </w:pPr>
            <w:r>
              <w:rPr>
                <w:rFonts w:ascii="Arial" w:cs="Arial" w:eastAsia="Arial" w:hAnsi="Arial"/>
                <w:sz w:val="16"/>
                <w:szCs w:val="16"/>
                <w:color w:val="auto"/>
              </w:rPr>
              <w:t>Total Franchise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3,713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7,151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37.1 %</w:t>
            </w:r>
          </w:p>
        </w:tc>
      </w:tr>
    </w:tbl>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franchise revenues during the thirteen and twenty-six weeks ended June 25, 2023 as compared to the same periods in the prior year was primarily driven by (i) the increase in sales from franchise-owned restaurants and (ii) $0.4 million and $0.6 million, respectively, from 18 franchise-owned NROs between June 26, 2022 and June 25, 2023. The increase was partially offset by $0.1 million lower franchise fees as a result of the six franchise-owned restaurants acquired in May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Beverage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1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47,692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5.5 %  $</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94,319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3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Food and beverage costs as a percent of restaurant sales decreased during the thirteen and twenty-six weeks ended June 25, 2023 as compared to the same periods in the prior year primarily due to (i) lower commodity costs across the market basket, driven mostly by decreases in pork and avocado prices and (ii) leveraging restaurant sales.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Food and beverage costs increased during the thirteen and twenty-six weeks ended June 25, 2023 as compared to the same periods in the prior year primarily as a result of (i) the increase in restaurant sales and (ii) 28 NROs that have opened between June 26, 2022 and June 25, 2023. The increase was partially offset by lower commodity costs across the market basket, driven mostly by decreases in pork and avocado prices.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25,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JUNE 25,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70,602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20.3 %  $</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139,175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113,829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and other related expenses as a percentage of restaurant sales increased during the thirteen and twenty-six weeks ended June 25, 2023 as compared to the same periods in the prior year primarily as a result of average hourly labor increases and addition staffing to serve growing dining room traffic. This was partially offset by the increase in menu prices.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labor and other related expenses during the thirteen and twenty-six weeks ended June 25, 2023 as compared to the same periods in the prior year was primarily due to (i) investments in labor, including increases in wages and staffing levels and (ii) 28 NROs that have opened between June 26, 2022 and June 25,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11.9 %  $</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63,878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6"/>
                <w:szCs w:val="16"/>
                <w:color w:val="auto"/>
                <w:w w:val="93"/>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3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other restaurant operating expenses as a percentage of restaurant sales during the thirteen and twenty-six weeks ended June 25, 2023 as compared to the same periods in the prior year was primarily due to (i) leveraging restaurant sales and (ii) lower costs of to-go supplies.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restaurant operating expenses during the thirteen weeks ended June 25, 2023 as compared to the same period in the prior year was mainly due to the increase in restaurant sales and restaurant growth driving (i) the increase of $0.7 million in operating supplies expense, (ii) the increase of $1.7 million related to credit card fees, utilities and repairs and maintenance expense, in addition to (iii) the increase of $0.5 million in third-party delivery services fees.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restaurant operating expenses during the twenty-six weeks ended June 25, 2023 as compared to the same period in the prior year was mainly due to the increase in restaurant sales and restaurant growth driving (i) the increase of $1.7 million in operating supplies expense, (ii) the increase of $4.1 million related to credit card fees, utilities and repairs and maintenance expense, in addition to (iii) the increase of $0.9 million in third-party delivery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expense, property insurance, common area expenses and property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10.9 %  $</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32,395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480"/>
              <w:spacing w:after="0"/>
              <w:rPr>
                <w:sz w:val="20"/>
                <w:szCs w:val="20"/>
                <w:color w:val="auto"/>
              </w:rPr>
            </w:pPr>
            <w:r>
              <w:rPr>
                <w:rFonts w:ascii="Arial" w:cs="Arial" w:eastAsia="Arial" w:hAnsi="Arial"/>
                <w:sz w:val="16"/>
                <w:szCs w:val="16"/>
                <w:color w:val="auto"/>
                <w:w w:val="97"/>
              </w:rPr>
              <w:t>(0.5)%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percentage of restaurant sales, the decrease in occupancy expenses for the thirteen and twenty-six weeks ended June 25, 2023 as compared to the same periods in the prior year was primarily due to leveraging restaurant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occupancy expenses during the thirteen and twenty-six weeks ended June 25, 2023 as compared to the same periods in the prior year was primarily due to the increase in the number of company-owned restaurants.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payroll and training costs, which are recognized in the period in which the expense was incurred. Pre-opening expenses can fluctuate from period to period, based on the number and timing of new company-owned restaurant openings.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2"/>
        </w:trPr>
        <w:tc>
          <w:tcPr>
            <w:tcW w:w="2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JUNE 26, 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Change</w:t>
            </w: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Pre-opening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14.4 %  $</w:t>
            </w:r>
          </w:p>
        </w:tc>
        <w:tc>
          <w:tcPr>
            <w:tcW w:w="1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2,288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pre-opening expenses during the thirteen and twenty-six weeks ended June 25, 2023 as compared to the same periods in the prior year was primarily due to (i) increased staffing and wages and (ii) the increase in pre-opening rent expense mainly related to the timing of company-owned restaurant openings and the investment in larger, stand-alone company-owned restaurants.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TWENTY-SIX WEEKS ENDED</w:t>
            </w:r>
          </w:p>
        </w:tc>
        <w:tc>
          <w:tcPr>
            <w:tcW w:w="880" w:type="dxa"/>
            <w:vAlign w:val="bottom"/>
            <w:tcBorders>
              <w:bottom w:val="single" w:sz="8" w:color="auto"/>
            </w:tcBorders>
          </w:tcPr>
          <w:p>
            <w:pPr>
              <w:spacing w:after="0"/>
              <w:rPr>
                <w:sz w:val="18"/>
                <w:szCs w:val="18"/>
                <w:color w:val="auto"/>
              </w:rPr>
            </w:pPr>
          </w:p>
        </w:tc>
      </w:tr>
      <w:tr>
        <w:trPr>
          <w:trHeight w:val="21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25, 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25, 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1"/>
              </w:rPr>
              <w:t>Change</w:t>
            </w:r>
          </w:p>
        </w:tc>
      </w:tr>
      <w:tr>
        <w:trPr>
          <w:trHeight w:val="212"/>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15.2 %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general and administrative expenses during the thirteen weeks ended June 25, 2023 as compared to the same period in the prior year was mainly due to (i) $3.4 million in compensation expense from salary increases, performance-based compensation and additional employee headcount to support growth and (ii) $0.3 million of fees associated with investments in technology initiatives. This was partially offset by the decrease in stock-based compensation of $0.7 million mainly due to the accelerated recognition method for certain stock option grants, net of the stock-based compensation expense recognized for stock-based awards issued during the twenty-six weeks ended June 25, 2023.</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general and administrative expenses during the twenty-six weeks ended June 25, 2023 as compared to the same period in the prior year was mainly due to (i) $6.2 million in compensation expense from wage increases, performance-based compensation and additional employee headcount to support growth, (ii) $0.8 million of fees associated with investments in technology initiatives and (iii) $0.4 million of professional service costs incurred in connection with the Delaware Voluntary Disclosure Agreement Program related to unclaimed or abandoned property. This was partially offset by the decrease in stock-based compensation of $1.5 million mainly due to the accelerated recognition method for certain stock option grants, net of the stock-based compensation expense recognized for stock-based awards issued during the twenty-six weeks ended June 25,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6"/>
          </w:tcPr>
          <w:p>
            <w:pPr>
              <w:ind w:left="960"/>
              <w:spacing w:after="0"/>
              <w:rPr>
                <w:sz w:val="20"/>
                <w:szCs w:val="20"/>
                <w:color w:val="auto"/>
              </w:rPr>
            </w:pPr>
            <w:r>
              <w:rPr>
                <w:rFonts w:ascii="Arial" w:cs="Arial" w:eastAsia="Arial" w:hAnsi="Arial"/>
                <w:sz w:val="14"/>
                <w:szCs w:val="14"/>
                <w:b w:val="1"/>
                <w:bCs w:val="1"/>
                <w:color w:val="auto"/>
              </w:rPr>
              <w:t>THIRTEEN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ind w:left="920"/>
              <w:spacing w:after="0"/>
              <w:rPr>
                <w:sz w:val="20"/>
                <w:szCs w:val="20"/>
                <w:color w:val="auto"/>
              </w:rPr>
            </w:pPr>
            <w:r>
              <w:rPr>
                <w:rFonts w:ascii="Arial" w:cs="Arial" w:eastAsia="Arial" w:hAnsi="Arial"/>
                <w:sz w:val="14"/>
                <w:szCs w:val="14"/>
                <w:b w:val="1"/>
                <w:bCs w:val="1"/>
                <w:color w:val="auto"/>
              </w:rPr>
              <w:t>TWENTY-SIX WEEKS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80" w:type="dxa"/>
            <w:vAlign w:val="bottom"/>
            <w:tcBorders>
              <w:bottom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JUNE 25, 2023</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JUNE 26, 2022</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5"/>
              </w:rPr>
              <w:t>JUNE 25, 2023</w:t>
            </w: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12.4 %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depreciation and amortization during the thirteen and twenty-six weeks ended June 25, 2023 as compared to the same periods in the prior year was primarily due to incremental depreciation of capital expenditures associated with NROs.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and Loss on Disposal of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TWENTY-SIX WEEKS ENDED</w:t>
            </w:r>
          </w:p>
        </w:tc>
        <w:tc>
          <w:tcPr>
            <w:tcW w:w="880" w:type="dxa"/>
            <w:vAlign w:val="bottom"/>
            <w:tcBorders>
              <w:bottom w:val="single" w:sz="8" w:color="auto"/>
            </w:tcBorders>
          </w:tcPr>
          <w:p>
            <w:pPr>
              <w:spacing w:after="0"/>
              <w:rPr>
                <w:sz w:val="18"/>
                <w:szCs w:val="18"/>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25,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26, 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1"/>
              </w:rPr>
              <w:t>Change</w:t>
            </w:r>
          </w:p>
        </w:tc>
      </w:tr>
      <w:tr>
        <w:trPr>
          <w:trHeight w:val="20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Impairments and loss on disposal of assets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92.9 %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85.0 %</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impairment losses recognized on intangible assets or fixed assets during the thirteen and twenty-six weeks ended June 25, 2023 and June 26, 2022. The increase during the thirteen and twenty-six weeks ended June 25, 2023 as compared to the same periods in the prior year was primarily related to the closure of one company-owned restaurant.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Expenses,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related to restaurant closures and (v) costs related to certain equity offerings.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760"/>
              <w:spacing w:after="0"/>
              <w:rPr>
                <w:sz w:val="20"/>
                <w:szCs w:val="20"/>
                <w:color w:val="auto"/>
              </w:rPr>
            </w:pPr>
            <w:r>
              <w:rPr>
                <w:rFonts w:ascii="Arial" w:cs="Arial" w:eastAsia="Arial" w:hAnsi="Arial"/>
                <w:sz w:val="16"/>
                <w:szCs w:val="16"/>
                <w:b w:val="1"/>
                <w:bCs w:val="1"/>
                <w:color w:val="auto"/>
              </w:rPr>
              <w:t>TWENTY-SIX WEEKS ENDED</w:t>
            </w:r>
          </w:p>
        </w:tc>
        <w:tc>
          <w:tcPr>
            <w:tcW w:w="860" w:type="dxa"/>
            <w:vAlign w:val="bottom"/>
            <w:tcBorders>
              <w:bottom w:val="single" w:sz="8" w:color="auto"/>
            </w:tcBorders>
          </w:tcPr>
          <w:p>
            <w:pPr>
              <w:spacing w:after="0"/>
              <w:rPr>
                <w:sz w:val="18"/>
                <w:szCs w:val="18"/>
                <w:color w:val="auto"/>
              </w:rPr>
            </w:pPr>
          </w:p>
        </w:tc>
      </w:tr>
      <w:tr>
        <w:trPr>
          <w:trHeight w:val="21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Change</w:t>
            </w: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1,744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480"/>
              <w:spacing w:after="0" w:line="213"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440"/>
              <w:spacing w:after="0" w:line="213"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Transaction expenses, net during the thirteen and twenty-six weeks ended June 25, 2023 as compared to the same periods in the prior year was primarily due to (i) costs incurred by us in connection with the secondary public offerings of the Company’s common stock by entities affiliated with our majority owner, Advent International Corporation (the “Secondary Offerings”) and (ii) costs incurred in connection with the acquisition of certain franchise-owned restaurants.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thirteen and twenty-six weeks ended June 26, 2022 Transaction expenses, net included termination fees recognized in connection with certain service contracts and a termination fee in connection with the closure of one company-owned restaurant.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124.5 %  $</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2.7 %</w:t>
            </w:r>
          </w:p>
        </w:tc>
      </w:tr>
    </w:tbl>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margin increased during the thirteen and twenty-six weeks ended June 25, 2023 as compared to the same periods in the prior year primarily due to (i) leveraging restaurant sales, (ii) menu price increases and (iii) lower costs for commodities and to-go supplies. This was partially offset by (i) the increase in restaurant-level wages and staffing, (ii) the increase in general and administrative expenses mainly due to wage increases and additional employee headcount to support growth and (iii) the increase in transaction costs related to the Secondary Offerings and the acquisitions of certain franchise-owned restaurants.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from operations increased during the thirteen and twenty-six weeks ended June 25, 2023 as compared to the same periods in the prior year primarily due to (i) the increase in restaurant sales and franchise revenues and (ii) lower costs for commodities and to-go supplies. This was partially offset by (i) the increase in restaurant-level wages and staffing, (ii) higher operating costs and expenses driven by our restaurant growth, (iii) higher general and administrative expenses mainly attributable to wage increases, performance-based compensation and additional employee headcount, in addition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20"/>
        <w:spacing w:after="0" w:line="402" w:lineRule="auto"/>
        <w:rPr>
          <w:sz w:val="20"/>
          <w:szCs w:val="20"/>
          <w:color w:val="auto"/>
        </w:rPr>
      </w:pPr>
      <w:r>
        <w:rPr>
          <w:rFonts w:ascii="Arial" w:cs="Arial" w:eastAsia="Arial" w:hAnsi="Arial"/>
          <w:sz w:val="18"/>
          <w:szCs w:val="18"/>
          <w:color w:val="auto"/>
        </w:rPr>
        <w:t xml:space="preserve">(iv) the increase in transaction costs related to the Secondary Offerings and the acquisitions of certain franchise-owned restaurants. </w:t>
      </w: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primarily consists of interest and fees on our outstanding debt and the amortization expense for debt discount and deferred issuance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THIRTEEN WEEKS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ind w:left="920"/>
              <w:spacing w:after="0"/>
              <w:rPr>
                <w:sz w:val="20"/>
                <w:szCs w:val="20"/>
                <w:color w:val="auto"/>
              </w:rPr>
            </w:pPr>
            <w:r>
              <w:rPr>
                <w:rFonts w:ascii="Arial" w:cs="Arial" w:eastAsia="Arial" w:hAnsi="Arial"/>
                <w:sz w:val="14"/>
                <w:szCs w:val="14"/>
                <w:b w:val="1"/>
                <w:bCs w:val="1"/>
                <w:color w:val="auto"/>
              </w:rPr>
              <w:t>TWENTY-SIX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JUNE 26, 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JUNE 25,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80.9 %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interest expense during the thirteen and twenty-six weeks ended June 25, 2023 as compared to the same periods in the prior year was primarily due to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Other income, net includes items deemed to be non-operating based on management’s assessment of the nature of the item in relation to our core operations.</w:t>
      </w: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760"/>
              <w:spacing w:after="0"/>
              <w:rPr>
                <w:sz w:val="20"/>
                <w:szCs w:val="20"/>
                <w:color w:val="auto"/>
              </w:rPr>
            </w:pPr>
            <w:r>
              <w:rPr>
                <w:rFonts w:ascii="Arial" w:cs="Arial" w:eastAsia="Arial" w:hAnsi="Arial"/>
                <w:sz w:val="16"/>
                <w:szCs w:val="16"/>
                <w:b w:val="1"/>
                <w:bCs w:val="1"/>
                <w:color w:val="auto"/>
              </w:rPr>
              <w:t>TWENTY-SIX WEEKS ENDED</w:t>
            </w:r>
          </w:p>
        </w:tc>
        <w:tc>
          <w:tcPr>
            <w:tcW w:w="860" w:type="dxa"/>
            <w:vAlign w:val="bottom"/>
            <w:tcBorders>
              <w:bottom w:val="single" w:sz="8" w:color="auto"/>
            </w:tcBorders>
          </w:tcPr>
          <w:p>
            <w:pPr>
              <w:spacing w:after="0"/>
              <w:rPr>
                <w:sz w:val="18"/>
                <w:szCs w:val="18"/>
                <w:color w:val="auto"/>
              </w:rPr>
            </w:pPr>
          </w:p>
        </w:tc>
      </w:tr>
      <w:tr>
        <w:trPr>
          <w:trHeight w:val="212"/>
        </w:trPr>
        <w:tc>
          <w:tcPr>
            <w:tcW w:w="2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JUNE 25, 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Change</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480"/>
              <w:spacing w:after="0" w:line="210" w:lineRule="exact"/>
              <w:rPr>
                <w:sz w:val="20"/>
                <w:szCs w:val="20"/>
                <w:color w:val="auto"/>
              </w:rPr>
            </w:pPr>
            <w:r>
              <w:rPr>
                <w:rFonts w:ascii="Arial" w:cs="Arial" w:eastAsia="Arial" w:hAnsi="Arial"/>
                <w:sz w:val="24"/>
                <w:szCs w:val="24"/>
                <w:color w:val="auto"/>
                <w:w w:val="99"/>
                <w:vertAlign w:val="subscript"/>
              </w:rPr>
              <w:t>n/m</w:t>
            </w:r>
            <w:r>
              <w:rPr>
                <w:rFonts w:ascii="Arial" w:cs="Arial" w:eastAsia="Arial" w:hAnsi="Arial"/>
                <w:sz w:val="9"/>
                <w:szCs w:val="9"/>
                <w:color w:val="auto"/>
                <w:w w:val="99"/>
              </w:rPr>
              <w:t xml:space="preserve"> (1)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440"/>
              <w:spacing w:after="0" w:line="210" w:lineRule="exact"/>
              <w:rPr>
                <w:sz w:val="20"/>
                <w:szCs w:val="20"/>
                <w:color w:val="auto"/>
              </w:rPr>
            </w:pPr>
            <w:r>
              <w:rPr>
                <w:rFonts w:ascii="Arial" w:cs="Arial" w:eastAsia="Arial" w:hAnsi="Arial"/>
                <w:sz w:val="24"/>
                <w:szCs w:val="24"/>
                <w:color w:val="auto"/>
                <w:w w:val="99"/>
                <w:vertAlign w:val="subscript"/>
              </w:rPr>
              <w:t>n/m</w:t>
            </w:r>
            <w:r>
              <w:rPr>
                <w:rFonts w:ascii="Arial" w:cs="Arial" w:eastAsia="Arial" w:hAnsi="Arial"/>
                <w:sz w:val="9"/>
                <w:szCs w:val="9"/>
                <w:color w:val="auto"/>
                <w:w w:val="99"/>
              </w:rPr>
              <w:t xml:space="preserve"> (1)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3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income, net during the thirteen and twenty-six weeks ended June 25, 2023 was primarily due to (i) insurance recoveries, net of costs incurred, in connection with Hurricane Ian and (ii) the increase in interest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primarily consists of various federal and state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98"/>
              </w:rPr>
              <w:t>JUNE 26, 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(2,032)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6"/>
                <w:szCs w:val="16"/>
                <w:color w:val="auto"/>
              </w:rPr>
              <w:t>(1,336)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52.1 %  $</w:t>
            </w:r>
          </w:p>
        </w:tc>
        <w:tc>
          <w:tcPr>
            <w:tcW w:w="1300" w:type="dxa"/>
            <w:vAlign w:val="bottom"/>
            <w:shd w:val="clear" w:color="auto" w:fill="CCEEFF"/>
          </w:tcPr>
          <w:p>
            <w:pPr>
              <w:jc w:val="right"/>
              <w:ind w:right="97"/>
              <w:spacing w:after="0"/>
              <w:rPr>
                <w:sz w:val="20"/>
                <w:szCs w:val="20"/>
                <w:color w:val="auto"/>
              </w:rPr>
            </w:pPr>
            <w:r>
              <w:rPr>
                <w:rFonts w:ascii="Arial" w:cs="Arial" w:eastAsia="Arial" w:hAnsi="Arial"/>
                <w:sz w:val="16"/>
                <w:szCs w:val="16"/>
                <w:color w:val="auto"/>
              </w:rPr>
              <w:t>(6,590)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6"/>
                <w:szCs w:val="16"/>
                <w:color w:val="auto"/>
              </w:rPr>
              <w:t>(3,613)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82.4 %</w:t>
            </w:r>
          </w:p>
        </w:tc>
      </w:tr>
      <w:tr>
        <w:trPr>
          <w:trHeight w:val="230"/>
        </w:trPr>
        <w:tc>
          <w:tcPr>
            <w:tcW w:w="26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the effective income tax rates for the thirteen and twenty-six week period ended June 25, 2023 as compared to the same periods in the prior year was primarily due to (i) the change in the valuation allowance for federal deferred tax assets, (ii) a decrease in the valuation allowance for state net operating loss carryforwards, (iii) the benefit of tax credits for FICA taxes on certain employees’ tips, (iv) impacts of executive stock-based compensation and (v) non-deductible costs associated with the Secondary Offerings.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25, 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8"/>
              </w:rPr>
              <w:t>Change</w:t>
            </w: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2"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9"/>
                <w:szCs w:val="9"/>
                <w:color w:val="auto"/>
              </w:rPr>
              <w:t xml:space="preserve"> (1)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2"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9"/>
                <w:szCs w:val="9"/>
                <w:color w:val="auto"/>
              </w:rPr>
              <w:t xml:space="preserve"> (1)</w:t>
            </w: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As a percentage of total revenues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income and net income margin during the thirteen and twenty-six weeks ended June 25, 2023 as compared to the same periods in the prior year was primarily due to the increase in income from operations. This was partially offset by (i) the increase in interest expense and (ii) the increase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80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2"/>
        </w:trPr>
        <w:tc>
          <w:tcPr>
            <w:tcW w:w="2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25,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level 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34.2 %  $</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w w:val="96"/>
              </w:rPr>
              <w:t>Restaurant level operating profit margin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2.1 %</w:t>
            </w: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Restaurant level operating profit margin during the thirteen and twenty-six weeks ended June 25, 2023 increased as compared to the same period in the prior year primarily due to (i) leveraging the increase in restaurant sales and (ii) lower costs for commodities and to-go supplies. This was partially offset by the increase in wages and staffing levels.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Restaurant level operating profit during the thirteen and twenty-six weeks ended June 25, 2023 increased as compared to the same periods in the prior year primarily due to (i) same-restaurant sales growth, driven by menu price increases, (ii) 28 NROs between June 26, 2022 and June 25, 2023 and (iii) lower costs for commodities and to-go supplies. This was partially offset by (i) the increase in operating costs and expenses driven by our restaurant growth and (ii) the increase in restaurant-level wages and staffing.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3"/>
        </w:trPr>
        <w:tc>
          <w:tcPr>
            <w:tcW w:w="2700" w:type="dxa"/>
            <w:vAlign w:val="bottom"/>
            <w:tcBorders>
              <w:bottom w:val="single" w:sz="8" w:color="BFE4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25, 2023</w:t>
            </w:r>
          </w:p>
        </w:tc>
        <w:tc>
          <w:tcPr>
            <w:tcW w:w="8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JUNE 26, 2022</w:t>
            </w:r>
          </w:p>
        </w:tc>
        <w:tc>
          <w:tcPr>
            <w:tcW w:w="8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JUNE 25, 2023</w:t>
            </w:r>
          </w:p>
        </w:tc>
        <w:tc>
          <w:tcPr>
            <w:tcW w:w="12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8"/>
              </w:rPr>
              <w:t>JUNE 26, 2022</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Change</w:t>
            </w:r>
          </w:p>
        </w:tc>
      </w:tr>
      <w:tr>
        <w:trPr>
          <w:trHeight w:val="226"/>
        </w:trPr>
        <w:tc>
          <w:tcPr>
            <w:tcW w:w="2700" w:type="dxa"/>
            <w:vAlign w:val="bottom"/>
            <w:shd w:val="clear" w:color="auto" w:fill="BFE4FF"/>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25,816</w:t>
            </w:r>
          </w:p>
        </w:tc>
        <w:tc>
          <w:tcPr>
            <w:tcW w:w="240" w:type="dxa"/>
            <w:vAlign w:val="bottom"/>
            <w:gridSpan w:val="2"/>
            <w:shd w:val="clear" w:color="auto" w:fill="BFE4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17,789</w:t>
            </w:r>
          </w:p>
        </w:tc>
        <w:tc>
          <w:tcPr>
            <w:tcW w:w="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200" w:type="dxa"/>
            <w:vAlign w:val="bottom"/>
            <w:gridSpan w:val="3"/>
            <w:shd w:val="clear" w:color="auto" w:fill="BFE4FF"/>
          </w:tcPr>
          <w:p>
            <w:pPr>
              <w:jc w:val="right"/>
              <w:ind w:right="60"/>
              <w:spacing w:after="0"/>
              <w:rPr>
                <w:sz w:val="20"/>
                <w:szCs w:val="20"/>
                <w:color w:val="auto"/>
              </w:rPr>
            </w:pPr>
            <w:r>
              <w:rPr>
                <w:rFonts w:ascii="Arial" w:cs="Arial" w:eastAsia="Arial" w:hAnsi="Arial"/>
                <w:sz w:val="16"/>
                <w:szCs w:val="16"/>
                <w:color w:val="auto"/>
              </w:rPr>
              <w:t>45.1 %  $</w:t>
            </w:r>
          </w:p>
        </w:tc>
        <w:tc>
          <w:tcPr>
            <w:tcW w:w="1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53,229</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BFE4FF"/>
          </w:tcPr>
          <w:p>
            <w:pPr>
              <w:jc w:val="right"/>
              <w:ind w:right="116"/>
              <w:spacing w:after="0"/>
              <w:rPr>
                <w:sz w:val="20"/>
                <w:szCs w:val="20"/>
                <w:color w:val="auto"/>
              </w:rPr>
            </w:pPr>
            <w:r>
              <w:rPr>
                <w:rFonts w:ascii="Arial" w:cs="Arial" w:eastAsia="Arial" w:hAnsi="Arial"/>
                <w:sz w:val="18"/>
                <w:szCs w:val="18"/>
                <w:color w:val="auto"/>
              </w:rPr>
              <w:t>37,153</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43.3 %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2.0 %</w:t>
            </w:r>
          </w:p>
        </w:tc>
      </w:tr>
    </w:tbl>
    <w:p>
      <w:pPr>
        <w:spacing w:after="0" w:line="3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Adjusted EBITDA and Adjusted EBITDA margin during the thirteen and twenty-six weeks ended June 25, 2023 as compared to the same periods in the prior year was primarily due to the increase in restaurant level operating profit and restaurant level operating profit margin. This was partially offset by the increase in general and administrative expenses mainly due to wage increases and additional employee headcount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Non-GAAP Financial Measures Reconciliations</w:t>
      </w:r>
    </w:p>
    <w:p>
      <w:pPr>
        <w:spacing w:after="0" w:line="256" w:lineRule="exact"/>
        <w:rPr>
          <w:sz w:val="20"/>
          <w:szCs w:val="20"/>
          <w:color w:val="auto"/>
        </w:rPr>
      </w:pPr>
    </w:p>
    <w:p>
      <w:pPr>
        <w:ind w:left="80"/>
        <w:spacing w:after="0" w:line="277"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The following table reconciles Net income and Net income margin, the most directly comparable 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to Adjusted EBITDA and Adjusted EBITDA margin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6"/>
                <w:szCs w:val="16"/>
                <w:b w:val="1"/>
                <w:bCs w:val="1"/>
                <w:color w:val="auto"/>
              </w:rPr>
              <w:t>TWENTY-SIX WEEKS ENDED</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JUNE 26, 2022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7,959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9,441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18,558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16,623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21,469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29,715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ind w:left="360"/>
              <w:spacing w:after="0" w:line="230" w:lineRule="exact"/>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21"/>
                <w:szCs w:val="21"/>
                <w:color w:val="auto"/>
                <w:vertAlign w:val="superscript"/>
              </w:rPr>
              <w:t>(1)</w:t>
            </w:r>
          </w:p>
        </w:tc>
        <w:tc>
          <w:tcPr>
            <w:tcW w:w="22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Strategic transition costs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w w:val="94"/>
              </w:rPr>
              <w:t xml:space="preserve">Delaware Voluntary Disclosure Agreement Program </w:t>
            </w:r>
            <w:r>
              <w:rPr>
                <w:rFonts w:ascii="Arial" w:cs="Arial" w:eastAsia="Arial" w:hAnsi="Arial"/>
                <w:sz w:val="21"/>
                <w:szCs w:val="21"/>
                <w:color w:val="auto"/>
                <w:w w:val="94"/>
                <w:vertAlign w:val="superscript"/>
              </w:rPr>
              <w:t>(4)</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40" w:type="dxa"/>
            <w:vAlign w:val="bottom"/>
          </w:tcPr>
          <w:p>
            <w:pPr>
              <w:ind w:left="360"/>
              <w:spacing w:after="0" w:line="162" w:lineRule="exact"/>
              <w:rPr>
                <w:sz w:val="20"/>
                <w:szCs w:val="20"/>
                <w:color w:val="auto"/>
              </w:rPr>
            </w:pPr>
            <w:r>
              <w:rPr>
                <w:rFonts w:ascii="Arial" w:cs="Arial" w:eastAsia="Arial" w:hAnsi="Arial"/>
                <w:sz w:val="16"/>
                <w:szCs w:val="16"/>
                <w:color w:val="auto"/>
                <w:w w:val="91"/>
              </w:rPr>
              <w:t>Insurance proceeds in connection with natural disasters,</w:t>
            </w:r>
          </w:p>
        </w:tc>
        <w:tc>
          <w:tcPr>
            <w:tcW w:w="220" w:type="dxa"/>
            <w:vAlign w:val="bottom"/>
          </w:tcPr>
          <w:p>
            <w:pPr>
              <w:spacing w:after="0"/>
              <w:rPr>
                <w:sz w:val="14"/>
                <w:szCs w:val="14"/>
                <w:color w:val="auto"/>
              </w:rPr>
            </w:pPr>
          </w:p>
        </w:tc>
        <w:tc>
          <w:tcPr>
            <w:tcW w:w="1500" w:type="dxa"/>
            <w:vAlign w:val="bottom"/>
            <w:vMerge w:val="restart"/>
          </w:tcPr>
          <w:p>
            <w:pPr>
              <w:jc w:val="right"/>
              <w:ind w:right="78"/>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restart"/>
          </w:tcPr>
          <w:p>
            <w:pPr>
              <w:jc w:val="right"/>
              <w:ind w:right="1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net </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Pr>
          <w:p>
            <w:pPr>
              <w:ind w:left="360"/>
              <w:spacing w:after="0" w:line="230" w:lineRule="exact"/>
              <w:rPr>
                <w:sz w:val="20"/>
                <w:szCs w:val="20"/>
                <w:color w:val="auto"/>
              </w:rPr>
            </w:pPr>
            <w:r>
              <w:rPr>
                <w:rFonts w:ascii="Arial" w:cs="Arial" w:eastAsia="Arial" w:hAnsi="Arial"/>
                <w:sz w:val="16"/>
                <w:szCs w:val="16"/>
                <w:color w:val="auto"/>
              </w:rPr>
              <w:t xml:space="preserve">Recruiting and relocation costs </w:t>
            </w:r>
            <w:r>
              <w:rPr>
                <w:rFonts w:ascii="Arial" w:cs="Arial" w:eastAsia="Arial" w:hAnsi="Arial"/>
                <w:sz w:val="21"/>
                <w:szCs w:val="21"/>
                <w:color w:val="auto"/>
                <w:vertAlign w:val="superscript"/>
              </w:rPr>
              <w:t>(7)</w:t>
            </w:r>
          </w:p>
        </w:tc>
        <w:tc>
          <w:tcPr>
            <w:tcW w:w="22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(8)</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0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25,816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17,789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53,229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37,153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216,300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184,453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427,706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8"/>
              <w:spacing w:after="0"/>
              <w:rPr>
                <w:sz w:val="20"/>
                <w:szCs w:val="20"/>
                <w:color w:val="auto"/>
              </w:rPr>
            </w:pPr>
            <w:r>
              <w:rPr>
                <w:rFonts w:ascii="Arial" w:cs="Arial" w:eastAsia="Arial" w:hAnsi="Arial"/>
                <w:sz w:val="16"/>
                <w:szCs w:val="16"/>
                <w:color w:val="auto"/>
              </w:rPr>
              <w:t>357,565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margin</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Adjusted EBITDA margin</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6"/>
                <w:szCs w:val="16"/>
                <w:color w:val="auto"/>
              </w:rPr>
              <w:t>Additional information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vMerge w:val="restart"/>
          </w:tcPr>
          <w:p>
            <w:pPr>
              <w:jc w:val="right"/>
              <w:spacing w:after="0"/>
              <w:rPr>
                <w:sz w:val="20"/>
                <w:szCs w:val="20"/>
                <w:color w:val="auto"/>
              </w:rPr>
            </w:pPr>
            <w:r>
              <w:rPr>
                <w:rFonts w:ascii="Arial" w:cs="Arial" w:eastAsia="Arial" w:hAnsi="Arial"/>
                <w:sz w:val="10"/>
                <w:szCs w:val="10"/>
                <w:color w:val="auto"/>
                <w:w w:val="70"/>
              </w:rPr>
              <w:t>.</w:t>
            </w:r>
          </w:p>
        </w:tc>
        <w:tc>
          <w:tcPr>
            <w:tcW w:w="4040" w:type="dxa"/>
            <w:vAlign w:val="bottom"/>
            <w:shd w:val="clear" w:color="auto" w:fill="CCEEFF"/>
          </w:tcPr>
          <w:p>
            <w:pPr>
              <w:ind w:left="360"/>
              <w:spacing w:after="0" w:line="233" w:lineRule="exact"/>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4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80" w:firstLine="8"/>
        <w:spacing w:after="0" w:line="251" w:lineRule="auto"/>
        <w:tabs>
          <w:tab w:leader="none" w:pos="32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non-cash, stock-based compensation expense which is recorded within General and administrative expenses on the Consolidated Statements of Operations and Comprehensive Income.</w:t>
      </w:r>
    </w:p>
    <w:p>
      <w:pPr>
        <w:ind w:left="80" w:firstLine="8"/>
        <w:spacing w:after="0" w:line="255" w:lineRule="auto"/>
        <w:tabs>
          <w:tab w:leader="none" w:pos="32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costs incurred in connection with the Secondary Offerings and the acquisition of certain franchise-owned restaurants. In 2022, represents termination fees incurred in connection with certain service contracts and a termination fee in connection with the closure of one company-owned restaurant.</w:t>
      </w:r>
    </w:p>
    <w:p>
      <w:pPr>
        <w:ind w:left="80" w:firstLine="8"/>
        <w:spacing w:after="0" w:line="253" w:lineRule="auto"/>
        <w:tabs>
          <w:tab w:leader="none" w:pos="32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firstLine="8"/>
        <w:spacing w:after="0" w:line="272" w:lineRule="auto"/>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firstLine="8"/>
        <w:spacing w:after="0" w:line="248"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insurance recoveries, net of costs incurred, in connection with Hurricane Ian, which were recorded in Other income, net on the Consolidated Statements of Operations and Comprehensive Income.</w:t>
      </w:r>
    </w:p>
    <w:p>
      <w:pPr>
        <w:spacing w:after="0" w:line="1" w:lineRule="exact"/>
        <w:rPr>
          <w:rFonts w:ascii="Arial" w:cs="Arial" w:eastAsia="Arial" w:hAnsi="Arial"/>
          <w:sz w:val="16"/>
          <w:szCs w:val="16"/>
          <w:color w:val="auto"/>
        </w:rPr>
      </w:pPr>
    </w:p>
    <w:p>
      <w:pPr>
        <w:ind w:left="80" w:firstLine="8"/>
        <w:spacing w:after="0" w:line="255" w:lineRule="auto"/>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ind w:left="80" w:firstLine="8"/>
        <w:spacing w:after="0" w:line="253" w:lineRule="auto"/>
        <w:tabs>
          <w:tab w:leader="none" w:pos="33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These costs are recorded within General and administrative expenses on the Consolidated Statements of Operations and Comprehensive Income.</w:t>
      </w:r>
    </w:p>
    <w:p>
      <w:pPr>
        <w:ind w:left="320" w:hanging="23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Severance costs are recorded in General and administrative expenses on the Consolidated Statements of Operations and Comprehensive Income.</w:t>
      </w:r>
    </w:p>
    <w:p>
      <w:pPr>
        <w:spacing w:after="0" w:line="8" w:lineRule="exact"/>
        <w:rPr>
          <w:rFonts w:ascii="Arial" w:cs="Arial" w:eastAsia="Arial" w:hAnsi="Arial"/>
          <w:sz w:val="16"/>
          <w:szCs w:val="16"/>
          <w:color w:val="auto"/>
        </w:rPr>
      </w:pPr>
    </w:p>
    <w:p>
      <w:pPr>
        <w:ind w:left="80" w:firstLine="8"/>
        <w:spacing w:after="0" w:line="270" w:lineRule="auto"/>
        <w:tabs>
          <w:tab w:leader="none" w:pos="32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Restaurant level operating profit and Restaurant level operating profit margin </w:t>
      </w:r>
      <w:r>
        <w:rPr>
          <w:rFonts w:ascii="Arial" w:cs="Arial" w:eastAsia="Arial" w:hAnsi="Arial"/>
          <w:sz w:val="18"/>
          <w:szCs w:val="18"/>
          <w:color w:val="auto"/>
        </w:rPr>
        <w:t>- The following table reconciles Income from operations and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margin, the most comparable GAAP measures to Restaurant level operating profit and Restaurant level operating profit margin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25,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26, 2022</w:t>
            </w: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5,053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26,674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12,813</w:t>
            </w: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Less: Franchise revenues</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(3,713)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(7,151)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(5,214)</w:t>
            </w: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25,284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21,942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47,989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41,505</w:t>
            </w:r>
          </w:p>
        </w:tc>
      </w:tr>
      <w:tr>
        <w:trPr>
          <w:trHeight w:val="219"/>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16,623</w:t>
            </w:r>
          </w:p>
        </w:tc>
      </w:tr>
      <w:tr>
        <w:trPr>
          <w:trHeight w:val="216"/>
        </w:trPr>
        <w:tc>
          <w:tcPr>
            <w:tcW w:w="39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557</w:t>
            </w:r>
          </w:p>
        </w:tc>
      </w:tr>
      <w:tr>
        <w:trPr>
          <w:trHeight w:val="216"/>
        </w:trPr>
        <w:tc>
          <w:tcPr>
            <w:tcW w:w="3960" w:type="dxa"/>
            <w:vAlign w:val="bottom"/>
            <w:tcBorders>
              <w:bottom w:val="single" w:sz="8" w:color="CCEEFF"/>
            </w:tcBorders>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234</w:t>
            </w:r>
          </w:p>
        </w:tc>
      </w:tr>
      <w:tr>
        <w:trPr>
          <w:trHeight w:val="207"/>
        </w:trPr>
        <w:tc>
          <w:tcPr>
            <w:tcW w:w="3960" w:type="dxa"/>
            <w:vAlign w:val="bottom"/>
          </w:tcPr>
          <w:p>
            <w:pPr>
              <w:ind w:left="20"/>
              <w:spacing w:after="0"/>
              <w:rPr>
                <w:sz w:val="20"/>
                <w:szCs w:val="20"/>
                <w:color w:val="auto"/>
              </w:rPr>
            </w:pPr>
            <w:r>
              <w:rPr>
                <w:rFonts w:ascii="Arial" w:cs="Arial" w:eastAsia="Arial" w:hAnsi="Arial"/>
                <w:sz w:val="16"/>
                <w:szCs w:val="16"/>
                <w:color w:val="auto"/>
              </w:rPr>
              <w:t>Restaurant level operating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44,398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33,079</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88,500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66,518</w:t>
            </w:r>
          </w:p>
        </w:tc>
      </w:tr>
      <w:tr>
        <w:trPr>
          <w:trHeight w:val="219"/>
        </w:trPr>
        <w:tc>
          <w:tcPr>
            <w:tcW w:w="3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212,587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181,682</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420,555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352,351</w:t>
            </w:r>
          </w:p>
        </w:tc>
      </w:tr>
      <w:tr>
        <w:trPr>
          <w:trHeight w:val="219"/>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from operations margin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Restaurant level operating profit margin</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18.9 %</w:t>
            </w:r>
          </w:p>
        </w:tc>
      </w:tr>
      <w:tr>
        <w:trPr>
          <w:trHeight w:val="219"/>
        </w:trPr>
        <w:tc>
          <w:tcPr>
            <w:tcW w:w="3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Additional information</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39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firstLine="8"/>
        <w:spacing w:after="0" w:line="249"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in connection with the Secondary Offerings and the acquisition of certain franchise-owned restaurants. In 2022, represents termination fees incurred in connection with certain service contracts and a termination fee in connection with the closure of one company-owned restaurant.</w:t>
      </w:r>
    </w:p>
    <w:p>
      <w:pPr>
        <w:ind w:firstLine="8"/>
        <w:spacing w:after="0" w:line="255" w:lineRule="auto"/>
        <w:tabs>
          <w:tab w:leader="none" w:pos="251"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Occupancy expenses on the Consolidated Statements of Operations and Comprehensive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25, 2023, we had cash and cash equivalents of $66.8 million and we had outstanding borrowings, excluding unamortized debt issuance costs and deferred issuance costs of $96.3 million. We had availability under our undrawn revolving credit facility of $75.0 million pursuant to our credit agreement dated as of October 6, 2021 (the “Credit Agreement”).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flow from operations, availability under our Credit Agreement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that our capital expenditures will total approximately $100.0 million to $110.0 million in 2023, which will be invested primarily in new restaurant projects and planned remodels. We plan to fund the capital expenditures primarily with cash generated from our operating activities as well as with borrowings from our facilities pursuant to our Credit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our cash provided by (used in) operating, investing and financing activities for the twenty-six weeks ended June 25, 2023 and June 26,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TWENTY-SIX WEEKS ENDED</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25, 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26, 2022</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31,812</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(37,170)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(26,945)</w:t>
            </w:r>
          </w:p>
        </w:tc>
      </w:tr>
      <w:tr>
        <w:trPr>
          <w:trHeight w:val="21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17,168</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1,702</w:t>
            </w:r>
          </w:p>
        </w:tc>
      </w:tr>
      <w:tr>
        <w:trPr>
          <w:trHeight w:val="23"/>
        </w:trPr>
        <w:tc>
          <w:tcPr>
            <w:tcW w:w="71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twenty-six weeks ended June 25, 2023 increased to $55.6 million from $31.8 million during the twenty-six weeks ended June 26, 2022 primarily due to (i) the increase in net income of $10.0 million, (ii) the impact of non-cash charges that increased by a net $4.0 million and (iii) a net change in operating assets and liabilities of $9.8 million. The $4.0 million increase in non-cash charges was primarily driven by increases in (i) deferred income taxes, (ii) depreciation and amortization and (iii) non-cash operating lease costs. This increase was partially offset by a decrease in stock-based compensation expense. The net change of $9.8 million in operating assets and liabilities was primarily a result of higher accrued compensation and the timing of operational payments.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increased to $37.2 million during the twenty-six weeks ended June 25, 2023 from $26.9 million during the twenty-six weeks ended June 26, 2022 primarily as a result of the increase in capital expenditures to support our restaurant growth and new restaurant technology and the acquisition of six franchise-owned restaurants.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increased to $1.2 million during the twenty-six weeks ended June 25, 2023 from $3.2 million during the twenty-six weeks ended June 26, 2022 primarily due to (i) lower repayments on the note payable and (ii) increased proceeds from the exercise of stock options, net of employee taxes paid. This was partially offset by higher principal repayments of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 in the 2022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recently issued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accompanying notes to the unaudited interim consolidated financial statements.</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interest rate risk through fluctuations in interest rates on our debt obligations. On June 23, 2023, we entered into a variable-to-fixed interest rate swap agreement with two financial institutions to hedge $90.0 million of the $96.3 million outstanding variable rate debt. Under the terms of the interest rate swap agreement, the Company will pay a weighted average fixed rate of 4.16% on the notional amount and will receive payments from the counterparties based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three-month secured overnight financing rate. Refer to Note 8, </w:t>
      </w:r>
      <w:r>
        <w:rPr>
          <w:rFonts w:ascii="Arial" w:cs="Arial" w:eastAsia="Arial" w:hAnsi="Arial"/>
          <w:sz w:val="18"/>
          <w:szCs w:val="18"/>
          <w:i w:val="1"/>
          <w:iCs w:val="1"/>
          <w:color w:val="auto"/>
        </w:rPr>
        <w:t>Interest Rate Swaps</w:t>
      </w:r>
      <w:r>
        <w:rPr>
          <w:rFonts w:ascii="Arial" w:cs="Arial" w:eastAsia="Arial" w:hAnsi="Arial"/>
          <w:sz w:val="18"/>
          <w:szCs w:val="18"/>
          <w:color w:val="auto"/>
        </w:rPr>
        <w:t>, in the accompanying notes to the unaudited interim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above, there have been no material changes to our exposure to market risks as disclosed in the 2022 Form 10-K.</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which were previously identified and disclosed in connection with our initial public offering and in our periodic reports filed with the SEC, our Chief Executive Officer and Chief Financial Officer concluded that, as of June 25, 2023,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to the management report on internal control over financial reporting in Part II - Item 9A of the 2022 Form 10-K filed with SEC on March 7, 2023 for a discussion of the material weaknesses that continue to exist as of June 25,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taken certain measures to remediate the previously identified material weaknesses, including the following:</w:t>
      </w:r>
    </w:p>
    <w:p>
      <w:pPr>
        <w:spacing w:after="0" w:line="252"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Augmented financial reporting capabilities by staffing professionals with special skills in income tax, internal audit, information technology, and legal.</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Formalized certain roles and review responsibilities, including ensuring appropriate segregation of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Designed and implemented period-end financial reporting controls, such as controls over the preparation and review of account reconciliations, financial statement disclosures, and the consolidated financial statements as well as establishing a formal management Disclosure Committee to review the draft financial statements and disclosures prior to release, including a sub-certification process from various functional groups.</w:t>
      </w:r>
    </w:p>
    <w:p>
      <w:pPr>
        <w:spacing w:after="0" w:line="1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and implemented controls over the accounting for income taxes to ensure the appropriate recording of deferred income taxes, income taxes and related disclosures.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sufficient user access controls to ensure appropriate segregation of duties and adequately restrict user and privileged access to financial applications, programs and data to appropriate Company personnel.</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Designed and implemented change management controls to ensure that information technology program and data changes affecting financial information technology applications and underlying accounting records are identified, tested, authorized, and implemented appropriately.</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Designed and implemented computer operation controls to ensure critical jobs are monitored and privileges are appropriately granted.</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Implemented a new backup and recovery platform to monitor data backups for all relevant systems in accordance with the applicable policy as well as manage a test recovery process.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operating effectively.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described above in the “Remediation Efforts” section, there were changes during the fiscal quarter ended June 25, 2023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interim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2022 Form 10-K which could materially affect our business, financial condition or future results. There have been no material changes to the risk factors disclosed in our 2022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3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Exhibits index to this Form 10-Q are incorporated herein by reference.</w:t>
      </w:r>
    </w:p>
    <w:p>
      <w:pPr>
        <w:spacing w:after="0" w:line="200" w:lineRule="exact"/>
        <w:rPr>
          <w:sz w:val="20"/>
          <w:szCs w:val="20"/>
          <w:color w:val="auto"/>
        </w:rPr>
      </w:pPr>
    </w:p>
    <w:p>
      <w:pPr>
        <w:spacing w:after="0" w:line="337"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23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2400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6920" w:space="560"/>
            <w:col w:w="3760"/>
          </w:cols>
          <w:pgMar w:left="320" w:top="125"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72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31.1</w:t>
            </w:r>
          </w:p>
        </w:tc>
        <w:tc>
          <w:tcPr>
            <w:tcW w:w="6220" w:type="dxa"/>
            <w:vAlign w:val="bottom"/>
            <w:gridSpan w:val="6"/>
          </w:tcPr>
          <w:p>
            <w:pPr>
              <w:spacing w:after="0"/>
              <w:rPr>
                <w:sz w:val="20"/>
                <w:szCs w:val="20"/>
                <w:color w:val="auto"/>
              </w:rPr>
            </w:pPr>
            <w:r>
              <w:rPr>
                <w:rFonts w:ascii="Arial" w:cs="Arial" w:eastAsia="Arial" w:hAnsi="Arial"/>
                <w:sz w:val="18"/>
                <w:szCs w:val="18"/>
                <w:color w:val="0000FF"/>
                <w:w w:val="93"/>
              </w:rPr>
              <w:t>Certification of the Chief Executive Officer pursuant to Section 302 of the Sarbanes-</w:t>
            </w:r>
          </w:p>
        </w:tc>
        <w:tc>
          <w:tcPr>
            <w:tcW w:w="0" w:type="dxa"/>
            <w:vAlign w:val="bottom"/>
          </w:tcPr>
          <w:p>
            <w:pPr>
              <w:spacing w:after="0"/>
              <w:rPr>
                <w:sz w:val="1"/>
                <w:szCs w:val="1"/>
                <w:color w:val="auto"/>
              </w:rPr>
            </w:pPr>
          </w:p>
        </w:tc>
      </w:tr>
      <w:tr>
        <w:trPr>
          <w:trHeight w:val="102"/>
        </w:trPr>
        <w:tc>
          <w:tcPr>
            <w:tcW w:w="720" w:type="dxa"/>
            <w:vAlign w:val="bottom"/>
            <w:vMerge w:val="continue"/>
          </w:tcPr>
          <w:p>
            <w:pPr>
              <w:spacing w:after="0"/>
              <w:rPr>
                <w:sz w:val="8"/>
                <w:szCs w:val="8"/>
                <w:color w:val="auto"/>
              </w:rPr>
            </w:pPr>
          </w:p>
        </w:tc>
        <w:tc>
          <w:tcPr>
            <w:tcW w:w="1340" w:type="dxa"/>
            <w:vAlign w:val="bottom"/>
            <w:tcBorders>
              <w:top w:val="single" w:sz="8" w:color="0000FF"/>
            </w:tcBorders>
            <w:gridSpan w:val="2"/>
            <w:vMerge w:val="restart"/>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4760" w:type="dxa"/>
            <w:vAlign w:val="bottom"/>
            <w:tcBorders>
              <w:top w:val="single" w:sz="8" w:color="0000FF"/>
            </w:tcBorders>
            <w:gridSpan w:val="3"/>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720" w:type="dxa"/>
            <w:vAlign w:val="bottom"/>
          </w:tcPr>
          <w:p>
            <w:pPr>
              <w:spacing w:after="0"/>
              <w:rPr>
                <w:sz w:val="4"/>
                <w:szCs w:val="4"/>
                <w:color w:val="auto"/>
              </w:rPr>
            </w:pPr>
          </w:p>
        </w:tc>
        <w:tc>
          <w:tcPr>
            <w:tcW w:w="1340" w:type="dxa"/>
            <w:vAlign w:val="bottom"/>
            <w:tcBorders>
              <w:bottom w:val="single" w:sz="8" w:color="0000FF"/>
            </w:tcBorders>
            <w:gridSpan w:val="2"/>
            <w:vMerge w:val="continue"/>
          </w:tcPr>
          <w:p>
            <w:pPr>
              <w:spacing w:after="0"/>
              <w:rPr>
                <w:sz w:val="4"/>
                <w:szCs w:val="4"/>
                <w:color w:val="auto"/>
              </w:rPr>
            </w:pPr>
          </w:p>
        </w:tc>
        <w:tc>
          <w:tcPr>
            <w:tcW w:w="4760" w:type="dxa"/>
            <w:vAlign w:val="bottom"/>
            <w:gridSpan w:val="3"/>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2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31.2</w:t>
            </w:r>
          </w:p>
        </w:tc>
        <w:tc>
          <w:tcPr>
            <w:tcW w:w="60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the Chief Financial Officer pursuant to Section 302 of the Sarbanes-</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720" w:type="dxa"/>
            <w:vAlign w:val="bottom"/>
            <w:vMerge w:val="continue"/>
          </w:tcPr>
          <w:p>
            <w:pPr>
              <w:spacing w:after="0"/>
              <w:rPr>
                <w:sz w:val="10"/>
                <w:szCs w:val="10"/>
                <w:color w:val="auto"/>
              </w:rPr>
            </w:pPr>
          </w:p>
        </w:tc>
        <w:tc>
          <w:tcPr>
            <w:tcW w:w="1340" w:type="dxa"/>
            <w:vAlign w:val="bottom"/>
            <w:gridSpan w:val="2"/>
            <w:vMerge w:val="restart"/>
          </w:tcPr>
          <w:p>
            <w:pPr>
              <w:spacing w:after="0" w:line="169" w:lineRule="exact"/>
              <w:rPr>
                <w:sz w:val="20"/>
                <w:szCs w:val="20"/>
                <w:color w:val="auto"/>
              </w:rPr>
            </w:pPr>
            <w:r>
              <w:rPr>
                <w:rFonts w:ascii="Arial" w:cs="Arial" w:eastAsia="Arial" w:hAnsi="Arial"/>
                <w:sz w:val="18"/>
                <w:szCs w:val="18"/>
                <w:color w:val="0000FF"/>
                <w:w w:val="92"/>
              </w:rPr>
              <w:t>Oxley Act of 2002</w:t>
            </w:r>
          </w:p>
        </w:tc>
        <w:tc>
          <w:tcPr>
            <w:tcW w:w="4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720" w:type="dxa"/>
            <w:vAlign w:val="bottom"/>
          </w:tcPr>
          <w:p>
            <w:pPr>
              <w:spacing w:after="0"/>
              <w:rPr>
                <w:sz w:val="4"/>
                <w:szCs w:val="4"/>
                <w:color w:val="auto"/>
              </w:rPr>
            </w:pPr>
          </w:p>
        </w:tc>
        <w:tc>
          <w:tcPr>
            <w:tcW w:w="1340" w:type="dxa"/>
            <w:vAlign w:val="bottom"/>
            <w:tcBorders>
              <w:bottom w:val="single" w:sz="8" w:color="0000FF"/>
            </w:tcBorders>
            <w:gridSpan w:val="2"/>
            <w:vMerge w:val="continue"/>
          </w:tcPr>
          <w:p>
            <w:pPr>
              <w:spacing w:after="0"/>
              <w:rPr>
                <w:sz w:val="4"/>
                <w:szCs w:val="4"/>
                <w:color w:val="auto"/>
              </w:rPr>
            </w:pPr>
          </w:p>
        </w:tc>
        <w:tc>
          <w:tcPr>
            <w:tcW w:w="4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6220" w:type="dxa"/>
            <w:vAlign w:val="bottom"/>
            <w:gridSpan w:val="6"/>
          </w:tcPr>
          <w:p>
            <w:pPr>
              <w:spacing w:after="0"/>
              <w:rPr>
                <w:sz w:val="20"/>
                <w:szCs w:val="20"/>
                <w:color w:val="auto"/>
              </w:rPr>
            </w:pPr>
            <w:r>
              <w:rPr>
                <w:rFonts w:ascii="Arial" w:cs="Arial" w:eastAsia="Arial" w:hAnsi="Arial"/>
                <w:sz w:val="18"/>
                <w:szCs w:val="18"/>
                <w:color w:val="0000FF"/>
                <w:w w:val="96"/>
              </w:rPr>
              <w:t>Certification of Chief Executive Officer and Chief Financial Officer pursuant to 18</w:t>
            </w:r>
          </w:p>
        </w:tc>
        <w:tc>
          <w:tcPr>
            <w:tcW w:w="0" w:type="dxa"/>
            <w:vAlign w:val="bottom"/>
          </w:tcPr>
          <w:p>
            <w:pPr>
              <w:spacing w:after="0"/>
              <w:rPr>
                <w:sz w:val="1"/>
                <w:szCs w:val="1"/>
                <w:color w:val="auto"/>
              </w:rPr>
            </w:pPr>
          </w:p>
        </w:tc>
      </w:tr>
      <w:tr>
        <w:trPr>
          <w:trHeight w:val="156"/>
        </w:trPr>
        <w:tc>
          <w:tcPr>
            <w:tcW w:w="720" w:type="dxa"/>
            <w:vAlign w:val="bottom"/>
          </w:tcPr>
          <w:p>
            <w:pPr>
              <w:jc w:val="center"/>
              <w:ind w:right="210"/>
              <w:spacing w:after="0" w:line="156" w:lineRule="exact"/>
              <w:rPr>
                <w:sz w:val="20"/>
                <w:szCs w:val="20"/>
                <w:color w:val="auto"/>
              </w:rPr>
            </w:pPr>
            <w:r>
              <w:rPr>
                <w:rFonts w:ascii="Arial" w:cs="Arial" w:eastAsia="Arial" w:hAnsi="Arial"/>
                <w:sz w:val="18"/>
                <w:szCs w:val="18"/>
                <w:color w:val="auto"/>
                <w:w w:val="99"/>
              </w:rPr>
              <w:t>32.1*</w:t>
            </w:r>
          </w:p>
        </w:tc>
        <w:tc>
          <w:tcPr>
            <w:tcW w:w="59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8"/>
              </w:rPr>
              <w:t>U.S.C. Section 1350, as adopted pursuant to Section 906 of the Sarbanes-Oxley Act</w:t>
            </w:r>
          </w:p>
        </w:tc>
        <w:tc>
          <w:tcPr>
            <w:tcW w:w="240" w:type="dxa"/>
            <w:vAlign w:val="bottom"/>
            <w:tcBorders>
              <w:bottom w:val="single" w:sz="8" w:color="0000FF"/>
            </w:tcBorders>
            <w:gridSpan w:val="3"/>
          </w:tcPr>
          <w:p>
            <w:pPr>
              <w:ind w:left="100"/>
              <w:spacing w:after="0" w:line="156" w:lineRule="exact"/>
              <w:rPr>
                <w:sz w:val="20"/>
                <w:szCs w:val="20"/>
                <w:color w:val="auto"/>
              </w:rPr>
            </w:pPr>
            <w:r>
              <w:rPr>
                <w:rFonts w:ascii="Arial" w:cs="Arial" w:eastAsia="Arial" w:hAnsi="Arial"/>
                <w:sz w:val="18"/>
                <w:szCs w:val="18"/>
                <w:color w:val="0000FF"/>
                <w:w w:val="79"/>
              </w:rPr>
              <w:t>of</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2002</w:t>
            </w:r>
          </w:p>
        </w:tc>
        <w:tc>
          <w:tcPr>
            <w:tcW w:w="9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financial information from First Watch Restaurant Group, Inc’s Quarterly Report on</w:t>
      </w:r>
    </w:p>
    <w:p>
      <w:pPr>
        <w:spacing w:after="0" w:line="12" w:lineRule="exact"/>
        <w:rPr>
          <w:sz w:val="20"/>
          <w:szCs w:val="20"/>
          <w:color w:val="auto"/>
        </w:rPr>
      </w:pPr>
    </w:p>
    <w:p>
      <w:pPr>
        <w:ind w:left="920" w:right="160" w:hanging="647"/>
        <w:spacing w:after="0" w:line="271"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Form 10-Q for the second fiscal quarter ended June 25, 2023, filed on August 1, 2023,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8" w:lineRule="exact"/>
        <w:rPr>
          <w:sz w:val="20"/>
          <w:szCs w:val="20"/>
          <w:color w:val="auto"/>
        </w:rPr>
      </w:pPr>
    </w:p>
    <w:p>
      <w:pPr>
        <w:sectPr>
          <w:pgSz w:w="11900" w:h="16838" w:orient="portrait"/>
          <w:cols w:equalWidth="0" w:num="2">
            <w:col w:w="7300" w:space="180"/>
            <w:col w:w="3760"/>
          </w:cols>
          <w:pgMar w:left="320" w:top="125" w:right="339" w:bottom="1440" w:gutter="0" w:footer="0" w:header="0"/>
          <w:type w:val="continuous"/>
        </w:sectPr>
      </w:pPr>
    </w:p>
    <w:p>
      <w:pPr>
        <w:ind w:left="280"/>
        <w:spacing w:after="0"/>
        <w:tabs>
          <w:tab w:leader="none" w:pos="900" w:val="left"/>
          <w:tab w:leader="none" w:pos="7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iXBRL and contained in Exhibit 101)</w:t>
      </w:r>
      <w:r>
        <w:rPr>
          <w:sz w:val="20"/>
          <w:szCs w:val="20"/>
          <w:color w:val="auto"/>
        </w:rPr>
        <w:tab/>
      </w:r>
      <w:r>
        <w:rPr>
          <w:rFonts w:ascii="Arial" w:cs="Arial" w:eastAsia="Arial" w:hAnsi="Arial"/>
          <w:sz w:val="16"/>
          <w:szCs w:val="16"/>
          <w:color w:val="auto"/>
        </w:rPr>
        <w:t>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jc w:val="both"/>
        <w:ind w:firstLine="8"/>
        <w:spacing w:after="0" w:line="263" w:lineRule="auto"/>
        <w:tabs>
          <w:tab w:leader="none" w:pos="12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FIRST WATCH RESTAURANT GROUP, INC.</w:t>
      </w:r>
    </w:p>
    <w:p>
      <w:pPr>
        <w:spacing w:after="0" w:line="283"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Tomasso</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Christopher A. Tomasso</w:t>
            </w:r>
          </w:p>
        </w:tc>
        <w:tc>
          <w:tcPr>
            <w:tcW w:w="0" w:type="dxa"/>
            <w:vAlign w:val="bottom"/>
          </w:tcPr>
          <w:p>
            <w:pPr>
              <w:spacing w:after="0"/>
              <w:rPr>
                <w:sz w:val="1"/>
                <w:szCs w:val="1"/>
                <w:color w:val="auto"/>
              </w:rPr>
            </w:pPr>
          </w:p>
        </w:tc>
      </w:tr>
      <w:tr>
        <w:trPr>
          <w:trHeight w:val="188"/>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line="189" w:lineRule="exact"/>
              <w:rPr>
                <w:sz w:val="20"/>
                <w:szCs w:val="20"/>
                <w:color w:val="auto"/>
              </w:rPr>
            </w:pPr>
            <w:r>
              <w:rPr>
                <w:rFonts w:ascii="Arial" w:cs="Arial" w:eastAsia="Arial" w:hAnsi="Arial"/>
                <w:sz w:val="18"/>
                <w:szCs w:val="18"/>
                <w:color w:val="auto"/>
              </w:rPr>
              <w:t>President, Chief Executive Officer and Director (Principal</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 Hope</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Mel Hope</w:t>
            </w:r>
          </w:p>
        </w:tc>
        <w:tc>
          <w:tcPr>
            <w:tcW w:w="0" w:type="dxa"/>
            <w:vAlign w:val="bottom"/>
          </w:tcPr>
          <w:p>
            <w:pPr>
              <w:spacing w:after="0"/>
              <w:rPr>
                <w:sz w:val="1"/>
                <w:szCs w:val="1"/>
                <w:color w:val="auto"/>
              </w:rPr>
            </w:pPr>
          </w:p>
        </w:tc>
      </w:tr>
      <w:tr>
        <w:trPr>
          <w:trHeight w:val="188"/>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 (Principal Financial Officer and</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type w:val="continuous"/>
        </w:sectPr>
      </w:pPr>
    </w:p>
    <w:bookmarkStart w:id="39" w:name="page40"/>
    <w:bookmarkEnd w:id="39"/>
    <w:p>
      <w:pPr>
        <w:ind w:left="10360"/>
        <w:spacing w:after="0"/>
        <w:rPr>
          <w:sz w:val="20"/>
          <w:szCs w:val="20"/>
          <w:color w:val="auto"/>
        </w:rPr>
      </w:pPr>
      <w:r>
        <w:rPr>
          <w:rFonts w:ascii="Arial" w:cs="Arial" w:eastAsia="Arial" w:hAnsi="Arial"/>
          <w:sz w:val="15"/>
          <w:szCs w:val="15"/>
          <w:b w:val="1"/>
          <w:bCs w:val="1"/>
          <w:color w:val="auto"/>
        </w:rPr>
        <w:t>Exhibit 31.1</w:t>
      </w:r>
    </w:p>
    <w:p>
      <w:pPr>
        <w:spacing w:after="0" w:line="273" w:lineRule="exact"/>
        <w:rPr>
          <w:sz w:val="20"/>
          <w:szCs w:val="20"/>
          <w:color w:val="auto"/>
        </w:rPr>
      </w:pPr>
    </w:p>
    <w:p>
      <w:pPr>
        <w:jc w:val="center"/>
        <w:spacing w:after="0" w:line="267" w:lineRule="auto"/>
        <w:rPr>
          <w:sz w:val="20"/>
          <w:szCs w:val="20"/>
          <w:color w:val="auto"/>
        </w:rPr>
      </w:pPr>
      <w:r>
        <w:rPr>
          <w:rFonts w:ascii="Arial" w:cs="Arial" w:eastAsia="Arial" w:hAnsi="Arial"/>
          <w:sz w:val="17"/>
          <w:szCs w:val="17"/>
          <w:b w:val="1"/>
          <w:bCs w:val="1"/>
          <w:color w:val="auto"/>
        </w:rPr>
        <w:t>Certification of Principal Executive Officer Pursuant to Exchange Act Rule 13a-14(a)/15d-14(a)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 Christopher A. Tomasso, certify that:</w:t>
      </w:r>
    </w:p>
    <w:p>
      <w:pPr>
        <w:spacing w:after="0" w:line="263"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52" w:lineRule="exact"/>
        <w:rPr>
          <w:rFonts w:ascii="Arial" w:cs="Arial" w:eastAsia="Arial" w:hAnsi="Arial"/>
          <w:sz w:val="18"/>
          <w:szCs w:val="18"/>
          <w:color w:val="auto"/>
        </w:rPr>
      </w:pPr>
    </w:p>
    <w:p>
      <w:pPr>
        <w:ind w:left="660" w:hanging="328"/>
        <w:spacing w:after="0" w:line="345"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660" w:hanging="328"/>
        <w:spacing w:after="0" w:line="260"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7"/>
          <w:szCs w:val="17"/>
          <w:color w:val="auto"/>
        </w:rPr>
      </w:pPr>
    </w:p>
    <w:p>
      <w:pPr>
        <w:jc w:val="both"/>
        <w:ind w:left="980" w:hanging="324"/>
        <w:spacing w:after="0" w:line="25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7"/>
          <w:szCs w:val="17"/>
          <w:color w:val="auto"/>
        </w:rPr>
      </w:pPr>
    </w:p>
    <w:p>
      <w:pPr>
        <w:ind w:left="980" w:hanging="324"/>
        <w:spacing w:after="0" w:line="26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8"/>
          <w:szCs w:val="18"/>
          <w:color w:val="auto"/>
        </w:rPr>
      </w:pPr>
    </w:p>
    <w:p>
      <w:pPr>
        <w:ind w:left="660" w:hanging="328"/>
        <w:spacing w:after="0" w:line="291"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980" w:hanging="324"/>
        <w:spacing w:after="0" w:line="274"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980" w:hanging="324"/>
        <w:spacing w:after="0" w:line="274"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Date: August 1, 2023</w:t>
      </w:r>
      <w:r>
        <w:rPr>
          <w:sz w:val="20"/>
          <w:szCs w:val="20"/>
          <w:color w:val="auto"/>
        </w:rPr>
        <w:tab/>
      </w:r>
      <w:r>
        <w:rPr>
          <w:rFonts w:ascii="Arial" w:cs="Arial" w:eastAsia="Arial" w:hAnsi="Arial"/>
          <w:sz w:val="15"/>
          <w:szCs w:val="15"/>
          <w:u w:val="single" w:color="auto"/>
          <w:color w:val="auto"/>
        </w:rPr>
        <w:t>/s/ Christopher A. Tomasso</w:t>
      </w:r>
    </w:p>
    <w:p>
      <w:pPr>
        <w:spacing w:after="0" w:line="15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Christopher A. Tomasso</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4" w:right="339" w:bottom="1440" w:gutter="0" w:footer="0" w:header="0"/>
        </w:sectPr>
      </w:pPr>
    </w:p>
    <w:bookmarkStart w:id="40" w:name="page41"/>
    <w:bookmarkEnd w:id="40"/>
    <w:p>
      <w:pPr>
        <w:ind w:left="10360"/>
        <w:spacing w:after="0"/>
        <w:rPr>
          <w:sz w:val="20"/>
          <w:szCs w:val="20"/>
          <w:color w:val="auto"/>
        </w:rPr>
      </w:pPr>
      <w:r>
        <w:rPr>
          <w:rFonts w:ascii="Arial" w:cs="Arial" w:eastAsia="Arial" w:hAnsi="Arial"/>
          <w:sz w:val="15"/>
          <w:szCs w:val="15"/>
          <w:b w:val="1"/>
          <w:bCs w:val="1"/>
          <w:color w:val="auto"/>
        </w:rPr>
        <w:t>Exhibit 31.2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 Mel Hope, certify that:</w:t>
      </w:r>
    </w:p>
    <w:p>
      <w:pPr>
        <w:spacing w:after="0" w:line="263"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52" w:lineRule="exact"/>
        <w:rPr>
          <w:rFonts w:ascii="Arial" w:cs="Arial" w:eastAsia="Arial" w:hAnsi="Arial"/>
          <w:sz w:val="18"/>
          <w:szCs w:val="18"/>
          <w:color w:val="auto"/>
        </w:rPr>
      </w:pPr>
    </w:p>
    <w:p>
      <w:pPr>
        <w:ind w:left="660" w:hanging="328"/>
        <w:spacing w:after="0" w:line="326"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76"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jc w:val="both"/>
        <w:ind w:left="980" w:hanging="324"/>
        <w:spacing w:after="0" w:line="26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7"/>
          <w:szCs w:val="17"/>
          <w:color w:val="auto"/>
        </w:rPr>
      </w:pPr>
    </w:p>
    <w:p>
      <w:pPr>
        <w:ind w:left="980" w:hanging="324"/>
        <w:spacing w:after="0" w:line="276"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660" w:hanging="328"/>
        <w:spacing w:after="0" w:line="308"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980" w:hanging="324"/>
        <w:spacing w:after="0" w:line="274"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Date: August 1, 2023</w:t>
      </w:r>
      <w:r>
        <w:rPr>
          <w:sz w:val="20"/>
          <w:szCs w:val="20"/>
          <w:color w:val="auto"/>
        </w:rPr>
        <w:tab/>
      </w:r>
      <w:r>
        <w:rPr>
          <w:rFonts w:ascii="Arial" w:cs="Arial" w:eastAsia="Arial" w:hAnsi="Arial"/>
          <w:sz w:val="15"/>
          <w:szCs w:val="15"/>
          <w:u w:val="single" w:color="auto"/>
          <w:color w:val="auto"/>
        </w:rPr>
        <w:t>/s/ Mel Hope</w:t>
      </w:r>
    </w:p>
    <w:p>
      <w:pPr>
        <w:spacing w:after="0" w:line="15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Mel Hope</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414"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on Form 10-Q of First Watch Restaurant Group, Inc. (the “Company”) for the quarter ended June 25, 2023,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Christopher A. Tomasso</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2023-08-01T06:16:25Z</dcterms:created>
  <dcterms:modified xsi:type="dcterms:W3CDTF">2023-08-01T06:16:25Z</dcterms:modified>
</cp:coreProperties>
</file>