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FIRST WATCH RESTAURANT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Neuberger Berman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2,229,285.00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2,258,285.00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2,258,285.00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Neuberger Berman Investment Advisers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2,229,069.00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2,258,069.00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2,258,069.00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70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60" w:top="111" w:right="4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WATCH RESTAURANT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8725 PENDERY PLACE, suite 201, BRADENTON, FL, 34201.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480"/>
        <w:spacing w:after="0" w:line="309" w:lineRule="auto"/>
        <w:rPr>
          <w:sz w:val="20"/>
          <w:szCs w:val="20"/>
          <w:color w:val="auto"/>
        </w:rPr>
      </w:pPr>
      <w:r>
        <w:rPr>
          <w:rFonts w:ascii="Times New Roman" w:cs="Times New Roman" w:eastAsia="Times New Roman" w:hAnsi="Times New Roman"/>
          <w:sz w:val="22"/>
          <w:szCs w:val="22"/>
          <w:color w:val="auto"/>
        </w:rPr>
        <w:t>Neuberger Berman Group LLC Neuberger Berman Investment Advisers LLC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1290 Avenue of the Americas New York, NY 10104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2,258,285 Neuberger Berman Trust Co N.A., Neuberger Berman Trust Co of Delaware N.A., Neuberger Berman Asia Ltd., Neuberger Berman Canada ULC,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and Neuberger Trust Holdings LLC controls Neuberger Berman Trust Co N.A., Neuberger Berman Asia Ltd., Neuberger Berman Canada ULC, Neuberger Berman Trust Co of Delaware N.A. and Neuberger Berman Investment Advisers LLC and certain affiliated persons. This report is not an admission that any of these entities are the beneficial owner of the securities covered by this report and each of Neuberger Berman Group LLC, Neuberger Berman Investment Advisers Holdings LLC, Neuberger Trust Holdings</w:t>
      </w:r>
    </w:p>
    <w:p>
      <w:pPr>
        <w:sectPr>
          <w:pgSz w:w="11900" w:h="16838" w:orient="portrait"/>
          <w:cols w:equalWidth="0" w:num="1">
            <w:col w:w="11120"/>
          </w:cols>
          <w:pgMar w:left="360" w:top="111" w:right="419" w:bottom="0" w:gutter="0" w:footer="0" w:header="0"/>
          <w:type w:val="continuous"/>
        </w:sectPr>
      </w:pPr>
    </w:p>
    <w:bookmarkStart w:id="3" w:name="page4"/>
    <w:bookmarkEnd w:id="3"/>
    <w:p>
      <w:pPr>
        <w:ind w:left="920" w:right="80"/>
        <w:spacing w:after="0" w:line="246" w:lineRule="auto"/>
        <w:rPr>
          <w:sz w:val="20"/>
          <w:szCs w:val="20"/>
          <w:color w:val="auto"/>
        </w:rPr>
      </w:pPr>
      <w:r>
        <w:rPr>
          <w:rFonts w:ascii="Times New Roman" w:cs="Times New Roman" w:eastAsia="Times New Roman" w:hAnsi="Times New Roman"/>
          <w:sz w:val="21"/>
          <w:szCs w:val="21"/>
          <w:color w:val="auto"/>
        </w:rPr>
        <w:t>LLC, Neuberger Berman Trust Co N.A., Neuberger Berman Asia Ltd., Neuberger Berman Canada ULC, Neuberger Berman Trust Co of Delaware N.A. and Neuberger Berman Investment Advisers LLC and certain affiliated persons disclaim beneficial ownership of the securities covered by this statement pursuant to Exchange Act Rule 13d-4. The information in this filing reports securities of the issuer that may be deemed to be beneficially owned by Neuberger Berman Group LLC, Neuberger Berman Investment Advisers Holdings LLC, Neuberger Trust Holdings LLC, Neuberger Berman Trust Co N.A., Neuberger Berman Asia Ltd., Neuberger Berman Canada ULC, Neuberger Berman Trust Co of Delaware N.A. and Neuberger Berman Investment Advisers LLC ("NBG Filers"). The securities of the issuer, if any, that may be deemed to be beneficially owned by NB Alternatives Advisers LLC and other subsidiaries of Neuberger Berman Group LLC that are separated from the NBG Filers by an information barrier in accordance with SEC Release No. 34-39538 (January 12, 1998) are not reflected in this filing.</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3.7 %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2,229,285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2,258,285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Neuberger Berman Group LLC</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 Cetron</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Brad Cetron / Managing Director</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Neuberger Berman Investment Advisers LLC</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 Cetron</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Brad Cetron / Managing Director</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3080"/>
        <w:spacing w:after="0"/>
        <w:tabs>
          <w:tab w:leader="none" w:pos="41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06/04/2026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2026-06-04T14:30:35Z</dcterms:created>
  <dcterms:modified xsi:type="dcterms:W3CDTF">2026-06-04T14:30:35Z</dcterms:modified>
</cp:coreProperties>
</file>