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September 12, 2022</w:t>
      </w:r>
    </w:p>
    <w:p>
      <w:pPr>
        <w:spacing w:after="0" w:line="59" w:lineRule="exact"/>
        <w:rPr>
          <w:sz w:val="24"/>
          <w:szCs w:val="24"/>
          <w:color w:val="auto"/>
        </w:rPr>
      </w:pPr>
    </w:p>
    <w:p>
      <w:pPr>
        <w:ind w:left="9260"/>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7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14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First Watch Restaurant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-306705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5" w:lineRule="exact"/>
        <w:rPr>
          <w:sz w:val="24"/>
          <w:szCs w:val="24"/>
          <w:color w:val="auto"/>
        </w:rPr>
      </w:pPr>
    </w:p>
    <w:tbl>
      <w:tblPr>
        <w:tblLayout w:type="fixed"/>
        <w:tblInd w:w="1020" w:type="dxa"/>
        <w:tblCellMar>
          <w:top w:w="0" w:type="dxa"/>
          <w:left w:w="0" w:type="dxa"/>
          <w:bottom w:w="0" w:type="dxa"/>
          <w:right w:w="0" w:type="dxa"/>
        </w:tblCellMar>
      </w:tblPr>
      <w:tr>
        <w:trPr>
          <w:trHeight w:val="194"/>
        </w:trPr>
        <w:tc>
          <w:tcPr>
            <w:tcW w:w="2860" w:type="dxa"/>
            <w:vAlign w:val="bottom"/>
          </w:tcPr>
          <w:p>
            <w:pPr>
              <w:jc w:val="center"/>
              <w:ind w:right="84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5812</w:t>
            </w:r>
          </w:p>
        </w:tc>
        <w:tc>
          <w:tcPr>
            <w:tcW w:w="2420" w:type="dxa"/>
            <w:vAlign w:val="bottom"/>
          </w:tcPr>
          <w:p>
            <w:pPr>
              <w:jc w:val="center"/>
              <w:ind w:left="925"/>
              <w:spacing w:after="0"/>
              <w:rPr>
                <w:sz w:val="20"/>
                <w:szCs w:val="20"/>
                <w:color w:val="auto"/>
              </w:rPr>
            </w:pPr>
            <w:r>
              <w:rPr>
                <w:rFonts w:ascii="Times New Roman" w:cs="Times New Roman" w:eastAsia="Times New Roman" w:hAnsi="Times New Roman"/>
                <w:sz w:val="16"/>
                <w:szCs w:val="16"/>
                <w:b w:val="1"/>
                <w:bCs w:val="1"/>
                <w:color w:val="auto"/>
              </w:rPr>
              <w:t>82-4271369</w:t>
            </w:r>
          </w:p>
        </w:tc>
      </w:tr>
      <w:tr>
        <w:trPr>
          <w:trHeight w:val="149"/>
        </w:trPr>
        <w:tc>
          <w:tcPr>
            <w:tcW w:w="2860" w:type="dxa"/>
            <w:vAlign w:val="bottom"/>
          </w:tcPr>
          <w:p>
            <w:pPr>
              <w:jc w:val="center"/>
              <w:ind w:right="84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20" w:type="dxa"/>
            <w:vAlign w:val="bottom"/>
          </w:tcPr>
          <w:p>
            <w:pPr>
              <w:jc w:val="center"/>
              <w:ind w:left="92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60" w:type="dxa"/>
            <w:vAlign w:val="bottom"/>
          </w:tcPr>
          <w:p>
            <w:pPr>
              <w:jc w:val="center"/>
              <w:ind w:right="84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20" w:type="dxa"/>
            <w:vAlign w:val="bottom"/>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4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8725 Pendery Place, Suite 201,</w:t>
      </w:r>
    </w:p>
    <w:p>
      <w:pPr>
        <w:spacing w:after="0" w:line="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Bradenton, FL 34201</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(941) 907-9800</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Christopher A. Tomasso</w:t>
      </w:r>
    </w:p>
    <w:p>
      <w:pPr>
        <w:spacing w:after="0" w:line="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President, Chief Executive Officer and Director</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8725 Pendery Place, Suite 201,</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Bradenton, FL 34201</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(941) 907-9800</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9" w:lineRule="exact"/>
        <w:rPr>
          <w:sz w:val="24"/>
          <w:szCs w:val="24"/>
          <w:color w:val="auto"/>
        </w:rPr>
      </w:pPr>
    </w:p>
    <w:tbl>
      <w:tblPr>
        <w:tblLayout w:type="fixed"/>
        <w:tblInd w:w="960" w:type="dxa"/>
        <w:tblCellMar>
          <w:top w:w="0" w:type="dxa"/>
          <w:left w:w="0" w:type="dxa"/>
          <w:bottom w:w="0" w:type="dxa"/>
          <w:right w:w="0" w:type="dxa"/>
        </w:tblCellMar>
      </w:tblPr>
      <w:tr>
        <w:trPr>
          <w:trHeight w:val="214"/>
        </w:trPr>
        <w:tc>
          <w:tcPr>
            <w:tcW w:w="2700" w:type="dxa"/>
            <w:vAlign w:val="bottom"/>
          </w:tcPr>
          <w:p>
            <w:pPr>
              <w:spacing w:after="0"/>
              <w:rPr>
                <w:sz w:val="18"/>
                <w:szCs w:val="18"/>
                <w:color w:val="auto"/>
              </w:rPr>
            </w:pPr>
          </w:p>
        </w:tc>
        <w:tc>
          <w:tcPr>
            <w:tcW w:w="4100" w:type="dxa"/>
            <w:vAlign w:val="bottom"/>
          </w:tcPr>
          <w:p>
            <w:pPr>
              <w:ind w:left="162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tc>
        <w:tc>
          <w:tcPr>
            <w:tcW w:w="2620" w:type="dxa"/>
            <w:vAlign w:val="bottom"/>
          </w:tcPr>
          <w:p>
            <w:pPr>
              <w:spacing w:after="0"/>
              <w:rPr>
                <w:sz w:val="18"/>
                <w:szCs w:val="18"/>
                <w:color w:val="auto"/>
              </w:rPr>
            </w:pPr>
          </w:p>
        </w:tc>
      </w:tr>
      <w:tr>
        <w:trPr>
          <w:trHeight w:val="274"/>
        </w:trPr>
        <w:tc>
          <w:tcPr>
            <w:tcW w:w="2700" w:type="dxa"/>
            <w:vAlign w:val="bottom"/>
          </w:tcPr>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Alexander D. Lynch, Esq.</w:t>
            </w: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Jay Wolszczak, Esq.</w:t>
            </w:r>
          </w:p>
        </w:tc>
        <w:tc>
          <w:tcPr>
            <w:tcW w:w="2620" w:type="dxa"/>
            <w:vAlign w:val="bottom"/>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Marc D. Jaffe, Esq.</w:t>
            </w:r>
          </w:p>
        </w:tc>
      </w:tr>
      <w:tr>
        <w:trPr>
          <w:trHeight w:val="203"/>
        </w:trPr>
        <w:tc>
          <w:tcPr>
            <w:tcW w:w="2700" w:type="dxa"/>
            <w:vAlign w:val="bottom"/>
          </w:tcPr>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Ashley J. Butler, Esq.</w:t>
            </w: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Chief Legal Officer, General Counsel and</w:t>
            </w:r>
          </w:p>
        </w:tc>
        <w:tc>
          <w:tcPr>
            <w:tcW w:w="2620" w:type="dxa"/>
            <w:vAlign w:val="bottom"/>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Ian D. Schuman, Esq.</w:t>
            </w:r>
          </w:p>
        </w:tc>
      </w:tr>
      <w:tr>
        <w:trPr>
          <w:trHeight w:val="203"/>
        </w:trPr>
        <w:tc>
          <w:tcPr>
            <w:tcW w:w="2700" w:type="dxa"/>
            <w:vAlign w:val="bottom"/>
          </w:tcPr>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Weil, Gotshal &amp; Manges LLP</w:t>
            </w: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Secretary</w:t>
            </w:r>
          </w:p>
        </w:tc>
        <w:tc>
          <w:tcPr>
            <w:tcW w:w="2620" w:type="dxa"/>
            <w:vAlign w:val="bottom"/>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Peter J. Sluka, Esq.</w:t>
            </w:r>
          </w:p>
        </w:tc>
      </w:tr>
      <w:tr>
        <w:trPr>
          <w:trHeight w:val="203"/>
        </w:trPr>
        <w:tc>
          <w:tcPr>
            <w:tcW w:w="2700" w:type="dxa"/>
            <w:vAlign w:val="bottom"/>
          </w:tcPr>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767 Fifth Avenue</w:t>
            </w: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8725 Pendery Place, Suite 201,</w:t>
            </w:r>
          </w:p>
        </w:tc>
        <w:tc>
          <w:tcPr>
            <w:tcW w:w="2620" w:type="dxa"/>
            <w:vAlign w:val="bottom"/>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John J. Slater, Esq.</w:t>
            </w:r>
          </w:p>
        </w:tc>
      </w:tr>
      <w:tr>
        <w:trPr>
          <w:trHeight w:val="203"/>
        </w:trPr>
        <w:tc>
          <w:tcPr>
            <w:tcW w:w="2700" w:type="dxa"/>
            <w:vAlign w:val="bottom"/>
          </w:tcPr>
          <w:p>
            <w:pPr>
              <w:jc w:val="center"/>
              <w:ind w:right="559"/>
              <w:spacing w:after="0"/>
              <w:rPr>
                <w:sz w:val="20"/>
                <w:szCs w:val="20"/>
                <w:color w:val="auto"/>
              </w:rPr>
            </w:pPr>
            <w:r>
              <w:rPr>
                <w:rFonts w:ascii="Times New Roman" w:cs="Times New Roman" w:eastAsia="Times New Roman" w:hAnsi="Times New Roman"/>
                <w:sz w:val="16"/>
                <w:szCs w:val="16"/>
                <w:b w:val="1"/>
                <w:bCs w:val="1"/>
                <w:color w:val="auto"/>
                <w:w w:val="99"/>
              </w:rPr>
              <w:t>New York, New York 10153</w:t>
            </w: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Bradenton, FL 34201</w:t>
            </w:r>
          </w:p>
        </w:tc>
        <w:tc>
          <w:tcPr>
            <w:tcW w:w="2620" w:type="dxa"/>
            <w:vAlign w:val="bottom"/>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Latham &amp; Watkins LLP</w:t>
            </w:r>
          </w:p>
        </w:tc>
      </w:tr>
      <w:tr>
        <w:trPr>
          <w:trHeight w:val="203"/>
        </w:trPr>
        <w:tc>
          <w:tcPr>
            <w:tcW w:w="2700" w:type="dxa"/>
            <w:vAlign w:val="bottom"/>
          </w:tcPr>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(212) 310-8000 (Phone)</w:t>
            </w: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(941) 907-9800</w:t>
            </w:r>
          </w:p>
        </w:tc>
        <w:tc>
          <w:tcPr>
            <w:tcW w:w="2620" w:type="dxa"/>
            <w:vAlign w:val="bottom"/>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1271 Avenue of the Americas</w:t>
            </w:r>
          </w:p>
        </w:tc>
      </w:tr>
      <w:tr>
        <w:trPr>
          <w:trHeight w:val="203"/>
        </w:trPr>
        <w:tc>
          <w:tcPr>
            <w:tcW w:w="2700" w:type="dxa"/>
            <w:vAlign w:val="bottom"/>
          </w:tcPr>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(212) 310-8007 (Fax)</w:t>
            </w:r>
          </w:p>
        </w:tc>
        <w:tc>
          <w:tcPr>
            <w:tcW w:w="4100" w:type="dxa"/>
            <w:vAlign w:val="bottom"/>
          </w:tcPr>
          <w:p>
            <w:pPr>
              <w:spacing w:after="0"/>
              <w:rPr>
                <w:sz w:val="17"/>
                <w:szCs w:val="17"/>
                <w:color w:val="auto"/>
              </w:rPr>
            </w:pPr>
          </w:p>
        </w:tc>
        <w:tc>
          <w:tcPr>
            <w:tcW w:w="2620" w:type="dxa"/>
            <w:vAlign w:val="bottom"/>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w w:val="99"/>
              </w:rPr>
              <w:t>New York, New York 10020</w:t>
            </w:r>
          </w:p>
        </w:tc>
      </w:tr>
      <w:tr>
        <w:trPr>
          <w:trHeight w:val="212"/>
        </w:trPr>
        <w:tc>
          <w:tcPr>
            <w:tcW w:w="27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620" w:type="dxa"/>
            <w:vAlign w:val="bottom"/>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(212) 906-1894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98425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3"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w:t>
      </w:r>
      <w:r>
        <w:rPr>
          <w:rFonts w:ascii="Times New Roman" w:cs="Times New Roman" w:eastAsia="Times New Roman" w:hAnsi="Times New Roman"/>
          <w:sz w:val="16"/>
          <w:szCs w:val="16"/>
          <w:color w:val="auto"/>
        </w:rPr>
        <w:t>: As soon as practicable after the effective date of this Registration Statement.</w:t>
      </w:r>
    </w:p>
    <w:p>
      <w:pPr>
        <w:spacing w:after="0" w:line="48" w:lineRule="exact"/>
        <w:rPr>
          <w:sz w:val="24"/>
          <w:szCs w:val="24"/>
          <w:color w:val="auto"/>
        </w:rPr>
      </w:pPr>
    </w:p>
    <w:p>
      <w:pPr>
        <w:ind w:left="120" w:right="28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15" w:lineRule="exact"/>
        <w:rPr>
          <w:sz w:val="24"/>
          <w:szCs w:val="24"/>
          <w:color w:val="auto"/>
        </w:rPr>
      </w:pPr>
    </w:p>
    <w:p>
      <w:pPr>
        <w:ind w:left="120" w:right="20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5" w:lineRule="exact"/>
        <w:rPr>
          <w:sz w:val="24"/>
          <w:szCs w:val="24"/>
          <w:color w:val="auto"/>
        </w:rPr>
      </w:pPr>
    </w:p>
    <w:p>
      <w:pPr>
        <w:ind w:left="120" w:right="10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ind w:left="120" w:right="8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5" w:lineRule="exact"/>
        <w:rPr>
          <w:sz w:val="24"/>
          <w:szCs w:val="24"/>
          <w:color w:val="auto"/>
        </w:rPr>
      </w:pPr>
    </w:p>
    <w:p>
      <w:pPr>
        <w:ind w:left="120" w:right="380" w:firstLine="440"/>
        <w:spacing w:after="0" w:line="27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254"/>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6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 w:lineRule="exact"/>
        <w:rPr>
          <w:sz w:val="24"/>
          <w:szCs w:val="24"/>
          <w:color w:val="auto"/>
        </w:rPr>
      </w:pPr>
    </w:p>
    <w:p>
      <w:pPr>
        <w:ind w:left="120" w:right="36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86995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5" w:lineRule="exact"/>
        <w:rPr>
          <w:sz w:val="24"/>
          <w:szCs w:val="24"/>
          <w:color w:val="auto"/>
        </w:rPr>
      </w:pPr>
    </w:p>
    <w:p>
      <w:pPr>
        <w:ind w:left="120" w:right="20" w:firstLine="440"/>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46990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60"/>
          </w:cols>
          <w:pgMar w:left="320" w:top="226"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is not complete and may be changed. The selling stockholders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FF4338"/>
        </w:rPr>
        <w:t>Subject to Completion, Dated September 12, 2022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19685</wp:posOffset>
            </wp:positionV>
            <wp:extent cx="2486025" cy="131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602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4,500,000 Shares</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First Watch Restaurant Group, Inc.</w:t>
      </w:r>
    </w:p>
    <w:p>
      <w:pPr>
        <w:spacing w:after="0" w:line="1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178435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6"/>
          <w:szCs w:val="16"/>
          <w:color w:val="auto"/>
        </w:rPr>
        <w:t>The selling stockholders named in this prospectus are offering 4,500,000 shares of common stock of First Watch Restaurant Group, Inc. (the “Company”). We are not selling any shares of common stock under this prospectus and we will not receive any proceeds from the sale of common stock to be offered by the selling stockholders. See “Use of Proceeds.”</w:t>
      </w:r>
    </w:p>
    <w:p>
      <w:pPr>
        <w:spacing w:after="0" w:line="69" w:lineRule="exact"/>
        <w:rPr>
          <w:sz w:val="20"/>
          <w:szCs w:val="20"/>
          <w:color w:val="auto"/>
        </w:rPr>
      </w:pPr>
    </w:p>
    <w:p>
      <w:pPr>
        <w:ind w:left="120" w:firstLine="440"/>
        <w:spacing w:after="0" w:line="298" w:lineRule="auto"/>
        <w:rPr>
          <w:sz w:val="20"/>
          <w:szCs w:val="20"/>
          <w:color w:val="auto"/>
        </w:rPr>
      </w:pPr>
      <w:r>
        <w:rPr>
          <w:rFonts w:ascii="Times New Roman" w:cs="Times New Roman" w:eastAsia="Times New Roman" w:hAnsi="Times New Roman"/>
          <w:sz w:val="16"/>
          <w:szCs w:val="16"/>
          <w:color w:val="auto"/>
        </w:rPr>
        <w:t>Our common stock is listed on the Nasdaq Global Select Market (“Nasdaq”) under the symbol “FWRG.” On September 9, 2022, the last sale price of our common stock as reported on Nasdaq was $18.49 per share.</w:t>
      </w:r>
    </w:p>
    <w:p>
      <w:pPr>
        <w:spacing w:after="0" w:line="56" w:lineRule="exact"/>
        <w:rPr>
          <w:sz w:val="20"/>
          <w:szCs w:val="20"/>
          <w:color w:val="auto"/>
        </w:rPr>
      </w:pPr>
    </w:p>
    <w:p>
      <w:pPr>
        <w:jc w:val="both"/>
        <w:ind w:left="120" w:right="260" w:firstLine="440"/>
        <w:spacing w:after="0" w:line="281" w:lineRule="auto"/>
        <w:rPr>
          <w:sz w:val="20"/>
          <w:szCs w:val="20"/>
          <w:color w:val="auto"/>
        </w:rPr>
      </w:pPr>
      <w:r>
        <w:rPr>
          <w:rFonts w:ascii="Times New Roman" w:cs="Times New Roman" w:eastAsia="Times New Roman" w:hAnsi="Times New Roman"/>
          <w:sz w:val="16"/>
          <w:szCs w:val="16"/>
          <w:color w:val="auto"/>
        </w:rPr>
        <w:t>We are an “emerging growth company” and a “smaller reporting company” as defined under the federal securities laws and, as such, will be subject to reduced public company reporting requirements. This prospectus complies with the requirements that apply to an issuer that is an “emerging growth company” and a “smaller reporting company.” See “Prospectus Summary — Implications of Being an Emerging Growth Company and a Smaller Reporting Company.”</w:t>
      </w:r>
    </w:p>
    <w:p>
      <w:pPr>
        <w:spacing w:after="0" w:line="69" w:lineRule="exact"/>
        <w:rPr>
          <w:sz w:val="20"/>
          <w:szCs w:val="20"/>
          <w:color w:val="auto"/>
        </w:rPr>
      </w:pPr>
    </w:p>
    <w:p>
      <w:pPr>
        <w:ind w:left="120" w:right="80" w:firstLine="440"/>
        <w:spacing w:after="0" w:line="271" w:lineRule="auto"/>
        <w:rPr>
          <w:sz w:val="20"/>
          <w:szCs w:val="20"/>
          <w:color w:val="auto"/>
        </w:rPr>
      </w:pPr>
      <w:r>
        <w:rPr>
          <w:rFonts w:ascii="Times New Roman" w:cs="Times New Roman" w:eastAsia="Times New Roman" w:hAnsi="Times New Roman"/>
          <w:sz w:val="16"/>
          <w:szCs w:val="16"/>
          <w:color w:val="auto"/>
        </w:rPr>
        <w:t>Following the closing of this offering, Advent (as defined on page 14 of this prospectus) will indirectly beneficially own approximately 71.5% of our outstanding common stock, or approximately 70.4% if the underwriters’ option to purchase additional shares is fully exercised. As a result, Advent will beneficially own shares sufficient for majority votes over all matters requiring stockholder votes and will be able to exercise significant voting influence over fundamental and significant corporate matters and transactions. Therefore, after the completion of this offering, we expect to remain a “controlled company” within the meaning of the corporate governance standards of Nasdaq. See “Risk Factors — Risks Related to this Offering and Ownership of Our Common Stock,” “Management — Director Independence and Controlled Company Exemption” and “Principal and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134620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2" w:lineRule="exact"/>
        <w:rPr>
          <w:sz w:val="20"/>
          <w:szCs w:val="20"/>
          <w:color w:val="auto"/>
        </w:rPr>
      </w:pPr>
    </w:p>
    <w:p>
      <w:pPr>
        <w:ind w:left="120" w:right="560" w:firstLine="440"/>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risk.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26 to read about factors you should consider before buying shares of our common stock.</w:t>
      </w:r>
    </w:p>
    <w:p>
      <w:pPr>
        <w:spacing w:after="0" w:line="57" w:lineRule="exact"/>
        <w:rPr>
          <w:sz w:val="20"/>
          <w:szCs w:val="20"/>
          <w:color w:val="auto"/>
        </w:rPr>
      </w:pPr>
    </w:p>
    <w:p>
      <w:pPr>
        <w:ind w:left="120" w:right="28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178"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60" w:type="dxa"/>
            <w:vAlign w:val="bottom"/>
          </w:tcPr>
          <w:p>
            <w:pPr>
              <w:spacing w:after="0"/>
              <w:rPr>
                <w:sz w:val="15"/>
                <w:szCs w:val="15"/>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offering price</w:t>
            </w:r>
          </w:p>
        </w:tc>
        <w:tc>
          <w:tcPr>
            <w:tcW w:w="15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484"/>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Underwriting discount (1)</w:t>
            </w:r>
          </w:p>
        </w:tc>
        <w:tc>
          <w:tcPr>
            <w:tcW w:w="2180" w:type="dxa"/>
            <w:vAlign w:val="bottom"/>
            <w:gridSpan w:val="2"/>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84"/>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before expenses, to the selling stockholders</w:t>
            </w:r>
          </w:p>
        </w:tc>
        <w:tc>
          <w:tcPr>
            <w:tcW w:w="218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r>
    </w:tbl>
    <w:p>
      <w:pPr>
        <w:spacing w:after="0" w:line="108" w:lineRule="exact"/>
        <w:rPr>
          <w:sz w:val="20"/>
          <w:szCs w:val="20"/>
          <w:color w:val="auto"/>
        </w:rPr>
      </w:pPr>
    </w:p>
    <w:p>
      <w:pPr>
        <w:ind w:left="540" w:hanging="424"/>
        <w:spacing w:after="0"/>
        <w:tabs>
          <w:tab w:leader="none" w:pos="5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refer you to “Underwriting,” beginning on page 58 of this prospectus, for additional information regarding total underwriter compensation.</w:t>
      </w:r>
    </w:p>
    <w:p>
      <w:pPr>
        <w:spacing w:after="0" w:line="127" w:lineRule="exact"/>
        <w:rPr>
          <w:sz w:val="20"/>
          <w:szCs w:val="20"/>
          <w:color w:val="auto"/>
        </w:rPr>
      </w:pPr>
    </w:p>
    <w:p>
      <w:pPr>
        <w:ind w:left="120" w:right="80" w:firstLine="440"/>
        <w:spacing w:after="0" w:line="275" w:lineRule="auto"/>
        <w:rPr>
          <w:sz w:val="20"/>
          <w:szCs w:val="20"/>
          <w:color w:val="auto"/>
        </w:rPr>
      </w:pPr>
      <w:r>
        <w:rPr>
          <w:rFonts w:ascii="Times New Roman" w:cs="Times New Roman" w:eastAsia="Times New Roman" w:hAnsi="Times New Roman"/>
          <w:sz w:val="16"/>
          <w:szCs w:val="16"/>
          <w:color w:val="auto"/>
        </w:rPr>
        <w:t>To the extent that the underwriters sell more than 4,500,000 shares of common stock, the selling stockholders have granted to the underwriters an option to purchase up to an additional 675,000 shares from the selling stockholders at the public offering price less the underwriting discount. We will not receive any proceeds from the sale of shares of our common stock by the selling stockholders, including if the underwriters exercise their option to purchase additional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133350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3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b w:val="1"/>
          <w:bCs w:val="1"/>
          <w:color w:val="auto"/>
        </w:rPr>
        <w:t>BofA Securities</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Jefferies</w:t>
      </w:r>
    </w:p>
    <w:p>
      <w:pPr>
        <w:spacing w:after="0" w:line="125" w:lineRule="exact"/>
        <w:rPr>
          <w:sz w:val="20"/>
          <w:szCs w:val="20"/>
          <w:color w:val="auto"/>
        </w:rPr>
      </w:pPr>
    </w:p>
    <w:p>
      <w:pPr>
        <w:sectPr>
          <w:pgSz w:w="11900" w:h="16838" w:orient="portrait"/>
          <w:cols w:equalWidth="0" w:num="3">
            <w:col w:w="3740" w:space="720"/>
            <w:col w:w="3800" w:space="720"/>
            <w:col w:w="2120"/>
          </w:cols>
          <w:pgMar w:left="320" w:top="455" w:right="479" w:bottom="1440" w:gutter="0" w:footer="0" w:header="0"/>
          <w:type w:val="continuous"/>
        </w:sectPr>
      </w:pPr>
    </w:p>
    <w:p>
      <w:pPr>
        <w:ind w:left="1980"/>
        <w:spacing w:after="0"/>
        <w:rPr>
          <w:sz w:val="20"/>
          <w:szCs w:val="20"/>
          <w:color w:val="auto"/>
        </w:rPr>
      </w:pPr>
      <w:r>
        <w:rPr>
          <w:rFonts w:ascii="Times New Roman" w:cs="Times New Roman" w:eastAsia="Times New Roman" w:hAnsi="Times New Roman"/>
          <w:sz w:val="16"/>
          <w:szCs w:val="16"/>
          <w:b w:val="1"/>
          <w:bCs w:val="1"/>
          <w:color w:val="auto"/>
        </w:rPr>
        <w:t>The underwriters expect to deliver the shares against payment in New York, New York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 2022.</w:t>
      </w:r>
    </w:p>
    <w:p>
      <w:pPr>
        <w:spacing w:after="0" w:line="138" w:lineRule="exact"/>
        <w:rPr>
          <w:sz w:val="20"/>
          <w:szCs w:val="20"/>
          <w:color w:val="auto"/>
        </w:rPr>
      </w:pPr>
    </w:p>
    <w:p>
      <w:pPr>
        <w:sectPr>
          <w:pgSz w:w="11900" w:h="16838" w:orient="portrait"/>
          <w:cols w:equalWidth="0" w:num="2">
            <w:col w:w="8180" w:space="640"/>
            <w:col w:w="2280"/>
          </w:cols>
          <w:pgMar w:left="320" w:top="455" w:right="479" w:bottom="1440" w:gutter="0" w:footer="0" w:header="0"/>
          <w:type w:val="continuous"/>
        </w:sectPr>
      </w:pPr>
    </w:p>
    <w:p>
      <w:pPr>
        <w:ind w:left="4060"/>
        <w:spacing w:after="0"/>
        <w:rPr>
          <w:sz w:val="20"/>
          <w:szCs w:val="20"/>
          <w:color w:val="auto"/>
        </w:rPr>
      </w:pPr>
      <w:r>
        <w:rPr>
          <w:rFonts w:ascii="Times New Roman" w:cs="Times New Roman" w:eastAsia="Times New Roman" w:hAnsi="Times New Roman"/>
          <w:sz w:val="16"/>
          <w:szCs w:val="16"/>
          <w:b w:val="1"/>
          <w:bCs w:val="1"/>
          <w:color w:val="auto"/>
        </w:rPr>
        <w:t>The date of this prospectus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 2022.</w:t>
      </w:r>
    </w:p>
    <w:p>
      <w:pPr>
        <w:sectPr>
          <w:pgSz w:w="11900" w:h="16838" w:orient="portrait"/>
          <w:cols w:equalWidth="0" w:num="2">
            <w:col w:w="6060" w:space="680"/>
            <w:col w:w="4360"/>
          </w:cols>
          <w:pgMar w:left="320" w:top="455" w:right="47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215265</wp:posOffset>
            </wp:positionV>
            <wp:extent cx="4980305" cy="66776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80305" cy="667766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215265</wp:posOffset>
            </wp:positionV>
            <wp:extent cx="5006340" cy="67036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06340" cy="670369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215265</wp:posOffset>
            </wp:positionV>
            <wp:extent cx="5023485" cy="6729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23485" cy="672909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215265</wp:posOffset>
            </wp:positionV>
            <wp:extent cx="5014595" cy="6755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14595" cy="675513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215265</wp:posOffset>
            </wp:positionV>
            <wp:extent cx="5040630" cy="676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40630" cy="676338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215265</wp:posOffset>
            </wp:positionV>
            <wp:extent cx="5134610" cy="68408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34610" cy="68408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215265</wp:posOffset>
            </wp:positionV>
            <wp:extent cx="5134610" cy="68408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34610" cy="68408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66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60" w:type="dxa"/>
            <w:vAlign w:val="bottom"/>
            <w:gridSpan w:val="18"/>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The Offering</w:t>
            </w:r>
          </w:p>
        </w:tc>
        <w:tc>
          <w:tcPr>
            <w:tcW w:w="560" w:type="dxa"/>
            <w:vAlign w:val="bottom"/>
            <w:tcBorders>
              <w:top w:val="single" w:sz="8" w:color="0000EE"/>
            </w:tcBorders>
            <w:gridSpan w:val="4"/>
          </w:tcPr>
          <w:p>
            <w:pPr>
              <w:spacing w:after="0"/>
              <w:rPr>
                <w:sz w:val="17"/>
                <w:szCs w:val="17"/>
                <w:color w:val="auto"/>
              </w:rPr>
            </w:pPr>
          </w:p>
        </w:tc>
        <w:tc>
          <w:tcPr>
            <w:tcW w:w="914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Summary Historical Consolidated Financial And Other Data</w:t>
            </w:r>
          </w:p>
        </w:tc>
        <w:tc>
          <w:tcPr>
            <w:tcW w:w="630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0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414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52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948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9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Management</w:t>
            </w:r>
          </w:p>
        </w:tc>
        <w:tc>
          <w:tcPr>
            <w:tcW w:w="972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0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Principal and Selling Stockholders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Material Indebtedness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26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800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Shares Eligible for Future Sale</w:t>
            </w:r>
          </w:p>
        </w:tc>
        <w:tc>
          <w:tcPr>
            <w:tcW w:w="844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U.S. Federal Income Tax Considerations for Non-U.S. Holders</w:t>
            </w:r>
          </w:p>
        </w:tc>
        <w:tc>
          <w:tcPr>
            <w:tcW w:w="54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10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966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1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2860" w:type="dxa"/>
            <w:vAlign w:val="bottom"/>
            <w:gridSpan w:val="1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or in any free writing prospectus we may specifically authorize to be delivered or made available to you. Neither we, the selling stockholders nor the underwriters (or any of our or their respective affiliates) have authorized anyone to provide any information other than that contained, or incorporated by reference, in this prospectus or in any free writing prospectus prepared by or on behalf of us or to which we have referred you. Neither we, the selling stockholders nor the underwriters (or any of our or their respective affiliates) take any responsibility for, and can provide no assurance as to the reliability of, any other information that others may give you. We, the selling stockholders and the underwriters (or any of our or their respective affiliates) are not making an offer to sell these securities in any jurisdiction where the offer or sale is not permitted. You should assume that the information appearing, or being incorporated by reference, in this prospectus or any free writing prospectus is accurate only as of its date, regardless of its time of delivery or the time of any sale of shares of our common stock. Our business, financial condition, results of operations and prospects may have changed since that date.</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permitted under the rules of the SEC, this prospectus incorporates important business information that is contained in documents that we file with the SEC, but that is not included in or delivered with this prospectus. You may obtain copies of these documents, without charge, from the website maintained by the SEC at www.sec.gov, as well as from other sources. See “Where You Can Find More Information” and “Incorporation of Certain Documents by Reference” in this 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121" w:lineRule="exact"/>
        <w:rPr>
          <w:sz w:val="20"/>
          <w:szCs w:val="20"/>
          <w:color w:val="auto"/>
        </w:rPr>
      </w:pPr>
    </w:p>
    <w:p>
      <w:pPr>
        <w:ind w:left="120" w:right="100" w:firstLine="440"/>
        <w:spacing w:after="0" w:line="236" w:lineRule="auto"/>
        <w:rPr>
          <w:sz w:val="20"/>
          <w:szCs w:val="20"/>
          <w:color w:val="auto"/>
        </w:rPr>
      </w:pPr>
      <w:r>
        <w:rPr>
          <w:rFonts w:ascii="Times New Roman" w:cs="Times New Roman" w:eastAsia="Times New Roman" w:hAnsi="Times New Roman"/>
          <w:sz w:val="18"/>
          <w:szCs w:val="18"/>
          <w:color w:val="auto"/>
        </w:rPr>
        <w:t xml:space="preserve">We and our subsidiaries own or have the rights to various trademarks, trade names, service marks and copyrights, including the following: “First Watch,” “You First,” “Yeah, It’s Fresh!” and various logos used in association with these terms. Solely for convenience, the trademarks, trade names, service marks and copyrights referred to herein are listed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symbols, but such references are not intended to indicate, in any way, that we, or the applicable owner, will not assert, to the fullest extent under applicable law, our or their, as applicable, rights to these trademarks, trade names, service marks and copyrights. Other trademarks, trade names, service marks or copyrights appearing in this prospectus are the property of their respective owners.</w:t>
      </w:r>
    </w:p>
    <w:p>
      <w:pPr>
        <w:spacing w:after="0" w:line="1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and Industry Information</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Unless otherwise indicated, market data and industry for information used throughout this prospectus is based on management’s knowledge of the industry and the good faith estimates of management. We also relied, to the extent available, upon independent industry surveys and publications and other publicly available information prepared by a number of sources, including third-party industry sources, such as a market report titled “Restaurant, Food &amp; Beverage Market Research Handbook 2020-2021” published in September 2019 by Richard K. Miller &amp; Associates (“RKMA”), information published by the NPD Group and a five-year longitudinal study of employee surveys on Glassdoor published in August 2022 by William Blair. All of the market data and industry information used in this prospectus involves a number of assumptions and limitations, and you are cautioned not to give undue weight to such estimates. Although we believe that these sources are reliable, neither we, the selling stockholders nor the underwriters can guarantee the accuracy or completeness of this information and neither we, the selling stockholders nor the underwriters have independently verified this information. While we believe the estimated market position, market opportunity and market size information included in this prospectus is generally reliable, such information, which is derived in part from management’s estimates and beliefs, is inherently uncertain and imprecise. Projections, assumptions and estimates of our future performance and the future performance of the industry in which we operate are necessarily subject to a high degree of uncertainty and risk due to a variety of factors, including those described in “Risk Factors,” “Cautionary Note Regarding Forward-Looking Statements” and elsewhere in this prospectus. These and other factors could cause results to differ materially from those expressed in our estimates and beliefs and in the estimates prepared by independent parties.</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Financial Presentation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use a 52- or 53-week fiscal year ending on the last Sunday of each calendar year. All references to fiscal 2021, fiscal 2020 and fiscal 2019 reflect the results of the 52-week fiscal year ended December 26, 2021, the 52-week fiscal year ended December 27, 2020 and the 52-week fiscal year ended December 29, 2019, respectively. Our fiscal quarters are comprised of 13 weeks each, except for fiscal years consisting of 53 weeks for which the fourth quarter will consist of 14 weeks, and end on the 13th Sunday of each quarter (14th Sunday of the fourth quarter, when applicable). Our consolidated financial statements have been prepared in U.S. dollars and in accordance with generally accepted accounting principles in the United States of America (“GAAP”). We report financial and operating information in one segment.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Average Unit Volume (“AUV”)</w:t>
      </w:r>
    </w:p>
    <w:p>
      <w:pPr>
        <w:spacing w:after="0" w:line="119"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AUV is the total restaurant sales (excluding gift card breakage) recognized in the comparable restaurant base, which we define as the number of company-owned First Watch branded restaurants open for 18 months or longer as of the beginning of the fiscal year (“Comparable Restaurant Base”), divided by the number of restaurants in the Comparable Restaurant Base during the period.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Cash-on-Cash Return</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Cash-on-Cash Return is defined as restaurant level operating profit (excluding gift card breakage and deferred rent (income) expense) in the third year of operation (months 25-36 of operation) for our company-owned restaurants divided by their cash build-out expenses, net of landlord incentives. Restaurant level operating profit represents restaurant sales, less restaurant operating expenses, which include food and beverage costs, labor and other related expenses, other restaurant operating expenses, pre-opening expenses and occupancy expenses. Restaurant level operating profit excludes corporate level expenses and other items that we do not consider in our evaluation of ongoing core operating performance of our restaurants as identified in the reconciliation of income (loss) from operations, the most directly comparable GAAP measure, to restaurant level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profit, included in “Prospectus Summary — Summary Historical Consolidated Financial and Other Data.”</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Franchise-owned New Restaurant Openings (“Franchise-owned NROs”)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Franchise-owned NROs are the number of new franchise-owned First Watch restaurants commencing operations during the period.</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New Restaurant Openings (“NROs”)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NROs are the number of new company-owned First Watch restaurants commencing operations during the period.</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Same-Restaurant Sales Growth</w:t>
      </w:r>
    </w:p>
    <w:p>
      <w:pPr>
        <w:spacing w:after="0" w:line="119"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Same-restaurant sales growth is the percentage change in year-over-year restaurant sales (excluding gift card breakage) for the Comparable Restaurant Base. For fiscal 2021, fiscal 2020 and fiscal 2019, there were 269 restaurants, 212 restaurants and 168 restaurants, respectively, in our Comparable Restaurant Base. For the twenty-six weeks ended June 26, 2022 and the twenty-six weeks ended June 27, 2021, there were 304 restaurants and 270 restaurants, respectively, in our Comparable Restaurant Base. Measuring our same-restaurant sales growth allows management to evaluate the performance of our existing restaurant base. We believe this measure is useful for investors to provide a consistent comparison of restaurant sales results and trends across periods within our core, established restaurant base, unaffected by results of store openings, closings, and other transitional changes.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Same-Restaurant Traffic Growth</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Same-restaurant traffic growth is the percentage change in traffic counts as compared to the same period in the prior year using the Comparable Restaurant Base. For fiscal 2021, fiscal 2020 and fiscal 2019, there were 269 restaurants, 212 restaurants and 168 restaurants, respectively, in our Comparable Restaurant Base. For the twenty-six weeks ended June 26, 2022 and the twenty-six weeks ended June 27, 2021, there were 304 restaurants and 270 restaurants, respectively, in our Comparable Restaurant Base. Measuring our same-restaurant traffic growth allows management to evaluate the performance of our existing restaurant base. We believe this measure is useful for investors because an increase in same-restaurant traffic provides an indicator as to the development of our brand and the effectiveness of our marketing strategy.</w:t>
      </w:r>
    </w:p>
    <w:p>
      <w:pPr>
        <w:spacing w:after="0" w:line="293" w:lineRule="exact"/>
        <w:rPr>
          <w:sz w:val="20"/>
          <w:szCs w:val="20"/>
          <w:color w:val="auto"/>
        </w:rPr>
      </w:pPr>
    </w:p>
    <w:p>
      <w:pPr>
        <w:ind w:left="120" w:right="2540"/>
        <w:spacing w:after="0" w:line="409" w:lineRule="auto"/>
        <w:rPr>
          <w:sz w:val="20"/>
          <w:szCs w:val="20"/>
          <w:color w:val="auto"/>
        </w:rPr>
      </w:pPr>
      <w:r>
        <w:rPr>
          <w:rFonts w:ascii="Times New Roman" w:cs="Times New Roman" w:eastAsia="Times New Roman" w:hAnsi="Times New Roman"/>
          <w:sz w:val="18"/>
          <w:szCs w:val="18"/>
          <w:i w:val="1"/>
          <w:iCs w:val="1"/>
          <w:color w:val="auto"/>
        </w:rPr>
        <w:t xml:space="preserve">System-wide New Restaurant Openings (“System-wide NROs”) </w:t>
      </w:r>
      <w:r>
        <w:rPr>
          <w:rFonts w:ascii="Times New Roman" w:cs="Times New Roman" w:eastAsia="Times New Roman" w:hAnsi="Times New Roman"/>
          <w:sz w:val="18"/>
          <w:szCs w:val="18"/>
          <w:color w:val="auto"/>
        </w:rPr>
        <w:t>System-wide NROs are the number of NROs and Franchise-owned NROs commencing operations during the period.</w:t>
      </w:r>
    </w:p>
    <w:p>
      <w:pPr>
        <w:spacing w:after="0" w:line="1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System-wide restaurants (“System-wide restaurants”)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System-wide restaurants is the total number of First Watch restaurants, including all company-owned and franchise-owned restaurants.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System-wide sales</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System-wide sales consist of restaurant sales from our company-owned restaurants and franchise-owned restaurants. We do not recognize the restaurant sales from our franchised restaurants as revenue.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audited consolidated financial statements included in our annual report on Form 10-K for the fiscal year ended December 26, 2021 (the “Annual Report”) for a description of our revenue recognition policy.</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80"/>
          </w:cols>
          <w:pgMar w:left="320" w:top="455"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331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4331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i w:val="1"/>
          <w:iCs w:val="1"/>
          <w:color w:val="auto"/>
        </w:rPr>
        <w:t>This summary highlights information appearing elsewhere in this prospectus or documents incorporated by reference herein. This summary is not complete and does not contain all of the information that you should consider before making a decision to participate in the offering. You should carefully read the entire prospectus, including the information presented under “Risk Factors” and the information that is incorporated in this prospectus by reference to our Annual Report (including, without limitation, matters discussed under the headings “Risk Factors” and “Management’s Discussion and Analysis of Financial Condition and Results of Operations” and in our audited consolidated financial statements and related notes) and our quarterly reports on Form 10-Q for the quarterly periods ended March 27, 2022 and June 26, 2022 filed with the SEC on May 10, 2022 and August 9, 2022, respectively (the “Quarterly Reports”) (including, without limitation, matters discussed under the headings “Risk Factors” and “Management’s Discussion and Analysis of Financial Condition and Results of Operations” and in our unaudited interim consolidated financial statements and related notes) before making an investment decision. Unless the context requires otherwise, references to “our company,” “the Company,” “we,” “us,” “our” and “First Watch” refer to First Watch Restaurant Group, Inc. and its direct and indirect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We Are First Watch</w:t>
      </w:r>
    </w:p>
    <w:p>
      <w:pPr>
        <w:spacing w:after="0" w:line="121" w:lineRule="exact"/>
        <w:rPr>
          <w:sz w:val="20"/>
          <w:szCs w:val="20"/>
          <w:color w:val="auto"/>
        </w:rPr>
      </w:pPr>
    </w:p>
    <w:p>
      <w:pPr>
        <w:ind w:left="300" w:right="100" w:firstLine="426"/>
        <w:spacing w:after="0" w:line="254" w:lineRule="auto"/>
        <w:rPr>
          <w:sz w:val="20"/>
          <w:szCs w:val="20"/>
          <w:color w:val="auto"/>
        </w:rPr>
      </w:pPr>
      <w:r>
        <w:rPr>
          <w:rFonts w:ascii="Times New Roman" w:cs="Times New Roman" w:eastAsia="Times New Roman" w:hAnsi="Times New Roman"/>
          <w:sz w:val="18"/>
          <w:szCs w:val="18"/>
          <w:color w:val="auto"/>
        </w:rPr>
        <w:t>We are First Watch — an award-winning daytime restaurant concept serving made-to-order breakfast, brunch and lunch using fresh ingredients. Since our founding in 1983, we have built our brand on our commitment to operational excellence, our “You First” culture and our culinary mission centered around a fresh, innovative menu that is continuously evolving. These foundational brand pillars have established First Watch as the largest and fastest growing concept in daytime dining (“Daytime Dining”) — an emerging restaurant segment that is differentiated from legacy segments by operating exclusively during daytime hours with a progressive on-trend chef-driven menu. Our one shift, from 7:00 a.m. to 2:30 p.m., and one main menu enable us to optimize restaurant operations and attract and retain employees who are passionate about hospitality and drawn to our “No Night Shifts Ever” approach. This differentiation has driven high employee satisfaction and retention, and strong consumer demand and operating performance as evidenced by our strong sales and traffic performance in fiscal 2021 and fiscal 2022. This strength in performance also built upon our 28 consecutive quarters of same-</w:t>
      </w:r>
    </w:p>
    <w:p>
      <w:pPr>
        <w:spacing w:after="0" w:line="29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674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4674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 xml:space="preserve">restaurant sales growth from fiscal 2013 to fiscal 2019 and positive annual same-restaurant traffic growth from fiscal 2014 to fiscal 2019. In January 2020, we were recognized as “America’s Favorite Restaurant Brand” in </w:t>
      </w:r>
      <w:r>
        <w:rPr>
          <w:rFonts w:ascii="Times New Roman" w:cs="Times New Roman" w:eastAsia="Times New Roman" w:hAnsi="Times New Roman"/>
          <w:sz w:val="18"/>
          <w:szCs w:val="18"/>
          <w:i w:val="1"/>
          <w:iCs w:val="1"/>
          <w:color w:val="auto"/>
        </w:rPr>
        <w:t>Market Force’s</w:t>
      </w:r>
      <w:r>
        <w:rPr>
          <w:rFonts w:ascii="Times New Roman" w:cs="Times New Roman" w:eastAsia="Times New Roman" w:hAnsi="Times New Roman"/>
          <w:sz w:val="18"/>
          <w:szCs w:val="18"/>
          <w:color w:val="auto"/>
        </w:rPr>
        <w:t xml:space="preserve"> annual consumer study and as one of three industry finalists for Black Box Intelligence’s 2020 Best Practices award. In 2022, we were also awarded with ADP’s prestigious Culture at Work award and we were also named a Most Loved Workplace by Newsweek.</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Promise: Yeah, It’s Fresh!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00" w:right="80" w:firstLine="426"/>
        <w:spacing w:after="0" w:line="238" w:lineRule="auto"/>
        <w:rPr>
          <w:sz w:val="20"/>
          <w:szCs w:val="20"/>
          <w:color w:val="auto"/>
        </w:rPr>
      </w:pPr>
      <w:r>
        <w:rPr>
          <w:rFonts w:ascii="Times New Roman" w:cs="Times New Roman" w:eastAsia="Times New Roman" w:hAnsi="Times New Roman"/>
          <w:sz w:val="18"/>
          <w:szCs w:val="18"/>
          <w:color w:val="auto"/>
        </w:rPr>
        <w:t>At First Watch, we take a creative approach to Daytime Dining led by a focus on and commitment to freshness. Each item is made-to-order and prepared with care — you will not find microwave ovens, heat lamps or deep fryers in our kitchens. Every morning, we arrive at the crack of dawn to slice and juice fresh fruits and vegetables, bake muffins, brew our fresh coffee and whip up our French Toast batter from scratch. Our award-winning chef-driven menu includes elevated executions of classic favorites for breakfast, lunch and brunch, along with First Watch-specific specialties such as our protein-packed Quinoa Power Bowl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Farmstand Breakfast Tacos, Avocado Toast, Morning Meditation (juiced in-house daily), our Pomegranate Sunrise, Chickichangas and our famous Million Dollar Bacon. While our menu constantly evolves, our focus on — and commitment to — freshness never wavers.</w:t>
      </w:r>
    </w:p>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Mission: You First</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For nearly 40 years, we have cultivated an organizational culture built on our mission of “You First,” which puts serving others above all else. As a company, we put our employees first and empower them to do whatever it takes to put our customers first. We give back in meaningful ways to the local communities in which we operate and also support national and international causes we care about, such as our Project Sunrise partnership that supports women-owned coffee farms in Colombia, which in turn empowers them to reinvest in their communities. Our “You First” mission, in addition to our quality of life advantage inherent in our single-shift operating model, has led us to be recognized as an employer of choice in our industry, according to a five-year longitudinal study of employee surveys on Glassdoor published in August 2022 by William Blair. We believe</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963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5963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this unique approach and operating model have enabled us to retain and attract the best and brightest employees in the industry and are key factors in our ability to meet the growing demand we are seeing across the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Proven Record of Sustained Growth</w:t>
      </w:r>
    </w:p>
    <w:p>
      <w:pPr>
        <w:spacing w:after="0" w:line="121"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We have delivered nearly four decades of sales and unit growth as a result of our broad brand appeal, compelling economic proposition and difficult-to-replicate business model. We have achieved consistent growth in total System-wide restaurants to 449 as of June 26, 2022, from 277 restaurants in fiscal 2015.</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Over the six-year period ended December 29, 2019 (prior to the emergence of the COVID-19 pandemic), we:</w:t>
      </w:r>
    </w:p>
    <w:p>
      <w:pPr>
        <w:spacing w:after="0" w:line="131" w:lineRule="exact"/>
        <w:rPr>
          <w:sz w:val="20"/>
          <w:szCs w:val="20"/>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Consistently delivered same-restaurant sales growth, averaging 6.3% annually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Consistently achieved positive annual same-restaurant traffic growth, averaging 1.4% annually</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Over the five-year period ended December 29, 2019 (prior to the emergence of the COVID-19 pandemic), we:</w:t>
      </w:r>
    </w:p>
    <w:p>
      <w:pPr>
        <w:spacing w:after="0" w:line="131" w:lineRule="exact"/>
        <w:rPr>
          <w:sz w:val="20"/>
          <w:szCs w:val="20"/>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Consistently increased AUVs by 25.7%, from $1.3 million in fiscal 2015 to $1.6 million in fiscal 2019</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Consistently opened new company-owned restaurants with an average Cash-on-Cash Return of 50.8%</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fiscal 2021 and through the twenty-six weeks ended June 26, 2022, we have continued to grow:</w:t>
      </w:r>
    </w:p>
    <w:p>
      <w:pPr>
        <w:spacing w:after="0" w:line="131" w:lineRule="exact"/>
        <w:rPr>
          <w:sz w:val="20"/>
          <w:szCs w:val="20"/>
          <w:color w:val="auto"/>
        </w:rPr>
      </w:pPr>
    </w:p>
    <w:p>
      <w:pPr>
        <w:jc w:val="center"/>
        <w:ind w:left="5580" w:right="1140" w:hanging="4755"/>
        <w:spacing w:after="0" w:line="657" w:lineRule="auto"/>
        <w:tabs>
          <w:tab w:leader="none" w:pos="123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AUV for fiscal 2021 grew to $1.8 million and our fiscal 2022 NROs realized average annualized sales of $2.2 million 3</w:t>
      </w:r>
    </w:p>
    <w:p>
      <w:pPr>
        <w:sectPr>
          <w:pgSz w:w="11900" w:h="16838" w:orient="portrait"/>
          <w:cols w:equalWidth="0" w:num="1">
            <w:col w:w="10840"/>
          </w:cols>
          <w:pgMar w:left="320" w:top="455" w:right="7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7075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7075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52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Same-restaurant sales growth and same-restaurant traffic growth for the twenty-six weeks ended June 26, 2022 were 19.7% and 14.4%, respectively</w:t>
      </w:r>
    </w:p>
    <w:p>
      <w:pPr>
        <w:spacing w:after="0" w:line="67"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compared to 2019, same-restaurant sales growth and same-restaurant traffic growth were 28.1% and 5.5%, respectively, for the twenty-six weeks ended June 26,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According to Nation’s Restaurant News, in 2019, First Watch was the fastest-growing full-service restaurant concept in the United States, based on year-over-year System-wide sales growth metrics, and in 2020 and 2021, FSR Magazine identified First Watch as the fastest-growing full-service restaurant chain based on unit growth. Despite the economic turbulence created by the COVID-19 pandemic, we opened 42 System-wide restaurants in fiscal 2020. We also opened 31 System-wide restaurants in fiscal 2021, and we expect to open 38-48 System-wide restaurants in fiscal 2022. Our NROs have performed exceptionally well, averaging over $2.0 million in annualized sales, evidencing our compelling business momentum and ability to successfully grow our footprint. Our NRO pipeline is robust and we have strong confidence in our ability to meet our growth plan.</w:t>
      </w:r>
    </w:p>
    <w:p>
      <w:pPr>
        <w:spacing w:after="0" w:line="189"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At June 26, 2022, our franchisees operated 99 of First Watch’s 449 System-wide restaurants, of which 55 are currently subject to our option to purchase using previously agreed upon purchase formulae. As an element of our growth strategy, from time to time we have acquired restaurants from our franchisees.</w:t>
      </w:r>
    </w:p>
    <w:p>
      <w:pPr>
        <w:spacing w:after="0" w:line="176"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Following 2020’s COVID-related turbulence, First Watch experienced a rapid recovery. Starting in March 2021, we began to consistently report positive same-restaurant sales growth measured against pre-COVID results, including 5.9%, 13.4%, 14.8% and 19.7% same-restaurant sales growth in March, April, May and June of 2021, respectively, relative to March, April, May and June of 2019, respectively. Our momentum had continued into the third quarter of fiscal 2021 with same-restaurant sales for the month of July up 64.9% over 2020 and up</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9415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49415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80"/>
        <w:spacing w:after="0" w:line="282" w:lineRule="auto"/>
        <w:rPr>
          <w:sz w:val="20"/>
          <w:szCs w:val="20"/>
          <w:color w:val="auto"/>
        </w:rPr>
      </w:pPr>
      <w:r>
        <w:rPr>
          <w:rFonts w:ascii="Times New Roman" w:cs="Times New Roman" w:eastAsia="Times New Roman" w:hAnsi="Times New Roman"/>
          <w:sz w:val="18"/>
          <w:szCs w:val="18"/>
          <w:color w:val="auto"/>
        </w:rPr>
        <w:t>20.2% over 2019 and the month of August was up 45.2% over 2020 and up 17.0% over 2019. Similarly, our traffic in those months was up 5.1% and up 2.0% in July and August of 2021 over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Long-Term Consumer Trends in Our Favor</w:t>
      </w:r>
    </w:p>
    <w:p>
      <w:pPr>
        <w:spacing w:after="0" w:line="121" w:lineRule="exact"/>
        <w:rPr>
          <w:sz w:val="20"/>
          <w:szCs w:val="20"/>
          <w:color w:val="auto"/>
        </w:rPr>
      </w:pPr>
    </w:p>
    <w:p>
      <w:pPr>
        <w:ind w:left="300" w:right="320" w:firstLine="426"/>
        <w:spacing w:after="0" w:line="282" w:lineRule="auto"/>
        <w:rPr>
          <w:sz w:val="20"/>
          <w:szCs w:val="20"/>
          <w:color w:val="auto"/>
        </w:rPr>
      </w:pPr>
      <w:r>
        <w:rPr>
          <w:rFonts w:ascii="Times New Roman" w:cs="Times New Roman" w:eastAsia="Times New Roman" w:hAnsi="Times New Roman"/>
          <w:sz w:val="18"/>
          <w:szCs w:val="18"/>
          <w:color w:val="auto"/>
        </w:rPr>
        <w:t>We believe that we are well-positioned to continue to benefit from the confluence of a number of long-term multi-generational consumer trends: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Increasing Morning Meal Occasions.</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The morning meal (Breakfast and morning Snack) has been the only foodservice daypart with consistent year-over-year growth for the last eight years, according to RKMA, and a recent 2022 study on Breakfast Away From Home, conducted by Technomic, projects a 7.3% compound annual growth rate from 2021 through 2024. Moreover, according to NPD Group, 78% of breakfasts are still being prepared at home during 2019, which provides a long-term opportunity for our future growth. We believe that the broad appeal of our menu and the quality of our ingredients give us a competitive advantage over many alternatives that offer breakfast and lunch. We believe that migration from dense urban to suburban areas, where most of our restaurants are located, will result in increased traffic and brand awareness. Changes in work-from-home routines have kept people in suburban areas for larger portions of the day, expanding First Watch’s exposure to an incremental customer base.</w:t>
      </w:r>
    </w:p>
    <w:p>
      <w:pPr>
        <w:spacing w:after="0" w:line="2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320" w:top="455" w:right="6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392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63392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Demand for Fresh, Healthy Food.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According to RKMA, almost two thirds of consumers consider a healthy menu an important factor in their restaurant choice and according to the NPD Group, 60% of consumers say they want more protein in their diet. Our freshly made food, with simple, high-quality, protein-rich ingredients, such as cage-free eggs and quinoa, aligns well with these consumer trends. According to Market Force data in January 2020, First Watch scored 36 and 23 points higher than the second place breakfast brand in categories of healthy choices and food quality, respectively.</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Consumers Want “On-Demand” Dining.</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Consumers want the ability to order what they want and when they want it without regard to traditional daypart conventions. Increasingly busy schedules, the rise of the “gig” economy, flexible job hours and growth of remote workers, trends magnified by the COVID-19 pandemic, are powering demand for convenient, fast and flexible Daytime Dining offerings from our all-day menu, for which traditional rigid breakfast and lunch dayparts were not designed. Our analysis of the Google search trend index for breakfast locations shows a significant increase of searches from 2015 through 2022, which reinforces our growth opportunity.</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We Are Disrupting a Massive Category</w:t>
      </w:r>
    </w:p>
    <w:p>
      <w:pPr>
        <w:spacing w:after="0" w:line="121"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color w:val="auto"/>
        </w:rPr>
        <w:t>As consumer needs have evolved, so have we. Our “Urban Farm” positioning provides a creative, farm-fresh breakfast, brunch and lunch menu in a warm and rustic yet contemporary atmosphere, creating an energizing Daytime Dining experience that resonates with consumers. We enjoy broad appeal to a customer base that includes the morning traditionalists as well as a growing segment of younger, healthier and more affluent customers. These digital-centric consumers care about food and quality, are willing to pay more, and report higher advocacy for and share of visits to First Watch. There is no other concept with an offering similar to ours at a comparable scale. Our operating hours encompass breakfast, brunch and lunch, which represent 63% of all restaurant sales in the U.S. according to RKMA. Our business model and our scale position us for continued growth within this massive category.</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320" w:top="455" w:right="6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274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Unrelenting Commitment to Fresh Ingredients and Culinary Innovation</w:t>
      </w:r>
    </w:p>
    <w:p>
      <w:pPr>
        <w:spacing w:after="0" w:line="121"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Our creative, on-trend menu and seasonal offerings define the culinary voice of our brand and highlight our commitment to quality and freshness. We believe this commitment is a key differentiator between First Watch and larger restaurant concepts that have failed to evolve. When we say, “Yeah, It’s Fresh,” we mean it. While many established restaurant concepts are outsourcing a large part of the preparation of their food, we still do much of it in-house in each restaurant every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That commitment to quality and freshness is further evidenced throughout our award-winning menu with ingredients such as cage-free eggs, organic mixed greens and all-natural chicken, just to name a few. Our highly-curated menu of approximately 60 entrée items — small relative to most in our industry — features a thoughtful balance of classic favorites prepared and presented in an elevated way using high-quality ingredients, along with innovative and interesting specialty dishes that take the consumer on a culinary exploration.</w:t>
      </w:r>
    </w:p>
    <w:p>
      <w:pPr>
        <w:spacing w:after="0" w:line="180"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Our creativity and innovation extend beyond today’s offerings and into our overall menu strategy. Successful platform introductions such as our Fresh Juice program and Shareables, which include menu items such as Million Dollar Bacon and Holey Donuts, were added in the past few years, adding incremental revenue opportunities while enhancing our culinary credibility. We have seen our Fresh Juice and Shareables platforms rise from 9.6% and 3.4% of customers purchasing in the fourth fiscal quarter ended December 30, 2018, respectively, to 18.3% and 5.5% in the second fiscal quarter of 2022 (or, with respect to our Shareables platform, 5.5% for the twenty-six weeks ended June 26, 2022, compared to 1.9% in fiscal 2017) and our per person average over that same period rose from $12.02 to $15.08.</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One Shift, One Menu, One Focus</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believe that our compelling business model, built around “One Shift, One Menu, One Focus” affords us competitive advantages. Our single-shift restaurant hours, by design, result in “No Night Shifts Ever.” This helps make us an employer of choice in the foodservice industry, which we believe allows us to attract superior talent, retain employees longer and create a unifying organizational culture. Our single menu, throughout the day and across all restaurants in our system, streamlines our supply chain and restaurant operations, simplifies our employee training and provides for a consistent customer experience. Our singular emphasis on Daytime Dining gives us the clarity of purpose to relentlessly focus on delivering a superior experience.</w:t>
      </w:r>
    </w:p>
    <w:p>
      <w:pPr>
        <w:spacing w:after="0" w:line="2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320" w:top="455" w:right="6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21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542163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“You First” Culture Elevates Employee and Customer Satisfaction</w:t>
      </w:r>
    </w:p>
    <w:p>
      <w:pPr>
        <w:spacing w:after="0" w:line="121" w:lineRule="exact"/>
        <w:rPr>
          <w:sz w:val="20"/>
          <w:szCs w:val="20"/>
          <w:color w:val="auto"/>
        </w:rPr>
      </w:pPr>
    </w:p>
    <w:p>
      <w:pPr>
        <w:ind w:left="300" w:right="1020" w:firstLine="426"/>
        <w:spacing w:after="0" w:line="282" w:lineRule="auto"/>
        <w:rPr>
          <w:sz w:val="20"/>
          <w:szCs w:val="20"/>
          <w:color w:val="auto"/>
        </w:rPr>
      </w:pPr>
      <w:r>
        <w:rPr>
          <w:rFonts w:ascii="Times New Roman" w:cs="Times New Roman" w:eastAsia="Times New Roman" w:hAnsi="Times New Roman"/>
          <w:sz w:val="18"/>
          <w:szCs w:val="18"/>
          <w:color w:val="auto"/>
        </w:rPr>
        <w:t>Our “You First” culture is palpable at every level of our organization. Our hiring, training and retention strategies empower our approximately 10,000 employees, united by our culture, to deliver superior customer experiences.</w:t>
      </w:r>
    </w:p>
    <w:p>
      <w:pPr>
        <w:spacing w:after="0" w:line="162" w:lineRule="exact"/>
        <w:rPr>
          <w:sz w:val="20"/>
          <w:szCs w:val="20"/>
          <w:color w:val="auto"/>
        </w:rPr>
      </w:pPr>
    </w:p>
    <w:p>
      <w:pPr>
        <w:ind w:left="300" w:right="220" w:firstLine="426"/>
        <w:spacing w:after="0" w:line="254" w:lineRule="auto"/>
        <w:rPr>
          <w:sz w:val="20"/>
          <w:szCs w:val="20"/>
          <w:color w:val="auto"/>
        </w:rPr>
      </w:pPr>
      <w:r>
        <w:rPr>
          <w:rFonts w:ascii="Times New Roman" w:cs="Times New Roman" w:eastAsia="Times New Roman" w:hAnsi="Times New Roman"/>
          <w:sz w:val="18"/>
          <w:szCs w:val="18"/>
          <w:color w:val="auto"/>
        </w:rPr>
        <w:t>Our training programs share our legacy and culture of operating excellence. We have established a training facility at our corporate headquarters named the F.A.R.M. (First Watch Academy of Restaurant Management), to which we invite managers-in-training for a week-long brand experience where they learn everything from our history and cultural pillars to leadership and management tools. We have enhanced this training program to also focus on building a more diverse and inclusive team. In addition, managers-in-training also complete a comprehensive 10-week C.A.F.E. (Culture and Food Experience) training program in the restaurants, alongside experienced managers. New hourly employees participate in at least three days of initial onboarding training and shadowing. Our general managers and directors of operations conduct in-restaurant training for our staff who also train online through our Virtual Learning Academy. We have always believed our employees are our greatest asset, and we continually receive recognition for this “You First” approach.</w:t>
      </w:r>
    </w:p>
    <w:p>
      <w:pPr>
        <w:spacing w:after="0" w:line="97" w:lineRule="exact"/>
        <w:rPr>
          <w:sz w:val="20"/>
          <w:szCs w:val="20"/>
          <w:color w:val="auto"/>
        </w:rPr>
      </w:pPr>
    </w:p>
    <w:p>
      <w:pPr>
        <w:ind w:left="1240" w:right="16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First Watch ranked first in Market Force’s Composite Loyalty Index metric, evidencing the compelling level of satisfaction amongst our customers.</w:t>
      </w:r>
    </w:p>
    <w:p>
      <w:pPr>
        <w:spacing w:after="0" w:line="67" w:lineRule="exact"/>
        <w:rPr>
          <w:rFonts w:ascii="Times New Roman" w:cs="Times New Roman" w:eastAsia="Times New Roman" w:hAnsi="Times New Roman"/>
          <w:sz w:val="18"/>
          <w:szCs w:val="18"/>
          <w:color w:val="auto"/>
        </w:rPr>
      </w:pPr>
    </w:p>
    <w:p>
      <w:pPr>
        <w:ind w:left="1240" w:right="440" w:hanging="415"/>
        <w:spacing w:after="0" w:line="312"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2022, a five-year longitudinal study of employee surveys on Glassdoor published by William Blair ranked us #1 for work/life balance and we were in the top 10 in overall employee satisfaction, among casual dining concepts in both 2021 and 2022.</w:t>
      </w:r>
    </w:p>
    <w:p>
      <w:pPr>
        <w:spacing w:after="0" w:line="45" w:lineRule="exact"/>
        <w:rPr>
          <w:rFonts w:ascii="Times New Roman" w:cs="Times New Roman" w:eastAsia="Times New Roman" w:hAnsi="Times New Roman"/>
          <w:sz w:val="17"/>
          <w:szCs w:val="17"/>
          <w:color w:val="auto"/>
        </w:rPr>
      </w:pPr>
    </w:p>
    <w:p>
      <w:pPr>
        <w:ind w:left="1240" w:right="30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we were awarded ADP’s prestigious Culture At Work award — recognizing First Watch amongst its portfolio of 990,000 clients.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Newsweek recognized First Watch as a “Most Loved Workplace.”</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Track Record of Resilience and Exceptional Same-Restaurant Traffic and Sales Growth</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Our strong brand combined with growing awareness, broad consumer appeal and excellence in execution have created outstanding and consistent performance over time. Over the five-year fiscal period ended December 29, 2019, our same-restaurant sales growth was positive every year, averaging 6.8% annually, and our same-restaurant traffic growth was 1.5%. During 2021, we experienced recovery of our in-restaurant dining sales and continued to build on the strength of our operating performance generating an increase in same-restaurant sales growth driven primarily by same-restaurant traffic growth and in the second fiscal quarter of 2022, our financial results reflect the continued momentum of our strong operating performance with same-restaurant sales growth of 13.4% (30.2% relative to the second fiscal quarter of 2019) and same-restaurant traffic growth of 8.1% (7.4% relative to the second fiscal quarter of 2019).</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Strong Restaurant Productivity and Proven Portability</w:t>
      </w:r>
    </w:p>
    <w:p>
      <w:pPr>
        <w:spacing w:after="0" w:line="121" w:lineRule="exact"/>
        <w:rPr>
          <w:sz w:val="20"/>
          <w:szCs w:val="20"/>
          <w:color w:val="auto"/>
        </w:rPr>
      </w:pPr>
    </w:p>
    <w:p>
      <w:pPr>
        <w:ind w:left="300" w:right="80" w:firstLine="426"/>
        <w:spacing w:after="0" w:line="289" w:lineRule="auto"/>
        <w:rPr>
          <w:sz w:val="20"/>
          <w:szCs w:val="20"/>
          <w:color w:val="auto"/>
        </w:rPr>
      </w:pPr>
      <w:r>
        <w:rPr>
          <w:rFonts w:ascii="Times New Roman" w:cs="Times New Roman" w:eastAsia="Times New Roman" w:hAnsi="Times New Roman"/>
          <w:sz w:val="17"/>
          <w:szCs w:val="17"/>
          <w:color w:val="auto"/>
        </w:rPr>
        <w:t>The success of our brand is reflected in our restaurant-level performance and Cash-on-Cash Return. Through the twenty-six weeks ended June 26, 2022, our existing restaurants have generated annualized average sales of $2.0 million and in a single shift (seven and a half hours daily), comparable to many restaurants open for several shifts or in some cases around the clock. We have demonstrated the portability of our model by</w:t>
      </w:r>
    </w:p>
    <w:p>
      <w:pPr>
        <w:spacing w:after="0" w:line="26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320" w:top="455" w:right="6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331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64331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82" w:lineRule="auto"/>
        <w:rPr>
          <w:sz w:val="20"/>
          <w:szCs w:val="20"/>
          <w:color w:val="auto"/>
        </w:rPr>
      </w:pPr>
      <w:r>
        <w:rPr>
          <w:rFonts w:ascii="Times New Roman" w:cs="Times New Roman" w:eastAsia="Times New Roman" w:hAnsi="Times New Roman"/>
          <w:sz w:val="18"/>
          <w:szCs w:val="18"/>
          <w:color w:val="auto"/>
        </w:rPr>
        <w:t>successfully operating restaurants in 28 states. Restaurants in our top decile span ten different states and 18 different designated market areas. Our fiscal 2021 and fiscal 2022 NROs realized average annualized sales of $2.2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Experienced, Passionate Leadership Team and Deep Bench of Talent</w:t>
      </w:r>
    </w:p>
    <w:p>
      <w:pPr>
        <w:spacing w:after="0" w:line="121" w:lineRule="exact"/>
        <w:rPr>
          <w:sz w:val="20"/>
          <w:szCs w:val="20"/>
          <w:color w:val="auto"/>
        </w:rPr>
      </w:pPr>
    </w:p>
    <w:p>
      <w:pPr>
        <w:ind w:left="300" w:firstLine="426"/>
        <w:spacing w:after="0" w:line="272" w:lineRule="auto"/>
        <w:rPr>
          <w:sz w:val="20"/>
          <w:szCs w:val="20"/>
          <w:color w:val="auto"/>
        </w:rPr>
      </w:pPr>
      <w:r>
        <w:rPr>
          <w:rFonts w:ascii="Times New Roman" w:cs="Times New Roman" w:eastAsia="Times New Roman" w:hAnsi="Times New Roman"/>
          <w:sz w:val="17"/>
          <w:szCs w:val="17"/>
          <w:color w:val="auto"/>
        </w:rPr>
        <w:t>Our team is led by passionate executives who have an extensive mix of experience in our brand and with other leading consumer facing businesses. Christopher A. Tomasso, our President, Chief Executive Officer and Director, has more than 25 years of industry experience and joined First Watch in 2006. Mr. Tomasso sets the strategic vision and brand positioning for the company, while enhancing its organizational culture.</w:t>
      </w:r>
    </w:p>
    <w:p>
      <w:pPr>
        <w:spacing w:after="0" w:line="2" w:lineRule="exact"/>
        <w:rPr>
          <w:sz w:val="20"/>
          <w:szCs w:val="20"/>
          <w:color w:val="auto"/>
        </w:rPr>
      </w:pPr>
    </w:p>
    <w:p>
      <w:pPr>
        <w:ind w:left="300" w:right="40"/>
        <w:spacing w:after="0" w:line="252" w:lineRule="auto"/>
        <w:rPr>
          <w:sz w:val="20"/>
          <w:szCs w:val="20"/>
          <w:color w:val="auto"/>
        </w:rPr>
      </w:pPr>
      <w:r>
        <w:rPr>
          <w:rFonts w:ascii="Times New Roman" w:cs="Times New Roman" w:eastAsia="Times New Roman" w:hAnsi="Times New Roman"/>
          <w:sz w:val="18"/>
          <w:szCs w:val="18"/>
          <w:color w:val="auto"/>
        </w:rPr>
        <w:t>Mr. Tomasso was recognized with FSR Reader’s Choice Award as one of two top C-Suite Executives in 2021. Henry Melville Hope, III, our Chief Financial Officer and Treasurer, has more than 37 years of public accounting and industry experience including serving as Chief Financial Officer of large, successful public and private companies. We have a deep bench of talent throughout the organization. Our executives and key employees average more than 15 years of industry experience and our restaurant general managers have an average tenure at First Watch of five years. In addition, we have dozens of fully-trained, tested, high-performing managers positioned throughout our system who are poised to step into the general manager role as we execute our growth strategy and open new restaurants.</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We Will Continue to Grow Sales and Profits</w:t>
      </w:r>
    </w:p>
    <w:p>
      <w:pPr>
        <w:spacing w:after="0" w:line="121"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While we are proud of our success in having grown sales and restaurant level operating profit consistently for many years prior to the pandemic, our focus is on the future. We believe our continued growth will come from opening new restaurants in existing and new geographies and driving traffic and building sales at our existing restaurants as new customers discover First Watch and regulars come and enjoy us more frequently. We are even more confident in our growth strategies based on the consumer reaction to our brand and strong resurgence we have seen since 2020.</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Grow Our Brand Footprint by Consistently Opening New Restaurants</w:t>
      </w:r>
    </w:p>
    <w:p>
      <w:pPr>
        <w:spacing w:after="0" w:line="121" w:lineRule="exact"/>
        <w:rPr>
          <w:sz w:val="20"/>
          <w:szCs w:val="20"/>
          <w:color w:val="auto"/>
        </w:rPr>
      </w:pPr>
    </w:p>
    <w:p>
      <w:pPr>
        <w:ind w:left="300" w:right="60" w:firstLine="426"/>
        <w:spacing w:after="0" w:line="256" w:lineRule="auto"/>
        <w:rPr>
          <w:sz w:val="20"/>
          <w:szCs w:val="20"/>
          <w:color w:val="auto"/>
        </w:rPr>
      </w:pPr>
      <w:r>
        <w:rPr>
          <w:rFonts w:ascii="Times New Roman" w:cs="Times New Roman" w:eastAsia="Times New Roman" w:hAnsi="Times New Roman"/>
          <w:sz w:val="18"/>
          <w:szCs w:val="18"/>
          <w:color w:val="auto"/>
        </w:rPr>
        <w:t>First Watch has grown from 277 restaurants in fiscal 2015 to 449 System-wide restaurants as of June 26, 2022 while increasing annual AUV from $1.3 million in fiscal 2015 to $1.8 million in fiscal 2021 and achieving positive same-restaurant sales growth and traffic except for fiscal 2020. We believe we have significant potential to expand our presence within all the states in which we currently operate as well as new ones and have a significant opportunity to build density both in existing and new markets. Our deeply experienced restaurant development team in partnership with a third-party real estate analytics firm conducted an in-depth study that concludes we have the potential for more than 2,200 locations in the United States.</w:t>
      </w:r>
    </w:p>
    <w:p>
      <w:pPr>
        <w:spacing w:after="0" w:line="2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320" w:top="455" w:right="6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620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65620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Restaurant Count by State as of June 26,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First Watch remained committed to invest in growth throughout 2020 and 2021 and continued to open new restaurants. Our new restaurants have a flexible box size of approximately 3,000-6,600 square feet, which allows us to grow our footprint in several different locations. We opened 42 System-wide restaurants in fiscal 2020. We opened 31 System-wide restaurants in fiscal 2021, and we expect to open 38-48 System-wide restaurants in fiscal 2022. Our NROs have performed exceptionally well, averaging over $2.0 million in annualized sales, evidencing our compelling business momentum and ability to successfully grow our footprint. Our NRO pipeline is robust and we have strong confidence in our ability to meet our growth plan.</w:t>
      </w:r>
    </w:p>
    <w:p>
      <w:pPr>
        <w:spacing w:after="0" w:line="187"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We employ a comprehensive, data-driven real estate approval process to select and develop every new site. In selecting new locations, we combine rigorous data on specific market characteristics, demographics, and growth, with a deep expertise that takes into account brand impact and opportunity of individual market and sites. Every new restaurant further drives brand awareness and creates meaningful marketing buzz when we open in new markets. We intend to leverage our rigorous real estate site selection process to open more than 130 company-owned restaurants from 2022 through 2024. While our existing franchisees are committed to developing restaurants in the future, we expect company-owned restaurants will be the primary growth driver of our footprint over the long term. In addition, 55 franchise-owned restaurants are currently subject to our option to purchase at previously agreed upon purchase formulae.</w:t>
      </w:r>
    </w:p>
    <w:p>
      <w:pPr>
        <w:spacing w:after="0" w:line="189"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The new unit economics of our restaurants are highly attractive, with net capital investment ranging between $0.9 million and $1.4 million in 2022. We target our NRO performance to average third-year annualized sales of $2.3 million, third-year restaurant operating profit margin of approximately 18% to 20%, and third-year Cash-on-Cash Returns above 35%. The current 2022 annualized sales of our NROs opened since 2020 is $2.2 million and our NROs opened since 2015 which have operated for at least three years realized average third-year restaurant level operating profit margins of 16.2% and Cash-on-Cash Returns of 37.7%, respectively, despite the impacts of the COVID-19 pandemic.</w:t>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320" w:top="455" w:right="6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1617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41617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Drive Restaurant Traffic and Build Sales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have a significant runway to continue to grow traffic and restaurant sales by executing against a defined set of strategies.</w:t>
      </w:r>
    </w:p>
    <w:p>
      <w:pPr>
        <w:spacing w:after="0" w:line="127" w:lineRule="exact"/>
        <w:rPr>
          <w:sz w:val="20"/>
          <w:szCs w:val="20"/>
          <w:color w:val="auto"/>
        </w:rPr>
      </w:pPr>
    </w:p>
    <w:p>
      <w:pPr>
        <w:ind w:left="1240" w:hanging="415"/>
        <w:spacing w:after="0" w:line="254"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Continued Menu Innovation. </w:t>
      </w:r>
      <w:r>
        <w:rPr>
          <w:rFonts w:ascii="Times New Roman" w:cs="Times New Roman" w:eastAsia="Times New Roman" w:hAnsi="Times New Roman"/>
          <w:sz w:val="18"/>
          <w:szCs w:val="18"/>
          <w:color w:val="auto"/>
        </w:rPr>
        <w:t>We continuously evolve our offering to keep our menu fresh and exciting yet operationally efficient.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implement changes to our menu every 10 weeks, and our chef-led culinary innovation team maintains a keen awareness of emerging culinary trends and immerses themselves in the marketplace through frequent culinary inspiration tours using experiences to develop a robust pipeline of exciting new recipes and menu offerings. We intend to drive continued incremental customer spending through our five highly-anticipated seasonal menus and the introduction of new menu platforms similar to our introductions of Fresh Juices and Shareables. For fiscal 2021, 8.3% of customers purchased items from our seasonal menu, 15.7% purchased Fresh Juices and 6.2% purchased Shareables. We expect menu innovation to continue to provide incremental growth opportunities in the future. We believe that Fresh Juices and Shareables represent important incremental revenue opportunities, with Fresh Juices improving our operating margins with approximately $29.0 million in sales for fiscal 2021 and Shareables providing a valuable opportunity for incremental sales with menu mix as high as 6.2% of guests.</w:t>
      </w:r>
    </w:p>
    <w:p>
      <w:pPr>
        <w:spacing w:after="0" w:line="90" w:lineRule="exact"/>
        <w:rPr>
          <w:rFonts w:ascii="Times New Roman" w:cs="Times New Roman" w:eastAsia="Times New Roman" w:hAnsi="Times New Roman"/>
          <w:sz w:val="18"/>
          <w:szCs w:val="18"/>
          <w:color w:val="auto"/>
        </w:rPr>
      </w:pPr>
    </w:p>
    <w:p>
      <w:pPr>
        <w:ind w:left="1240" w:hanging="415"/>
        <w:spacing w:after="0" w:line="253"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Offer Alcohol as Only First Watch Can. </w:t>
      </w:r>
      <w:r>
        <w:rPr>
          <w:rFonts w:ascii="Times New Roman" w:cs="Times New Roman" w:eastAsia="Times New Roman" w:hAnsi="Times New Roman"/>
          <w:sz w:val="18"/>
          <w:szCs w:val="18"/>
          <w:color w:val="auto"/>
        </w:rPr>
        <w:t>The alcoholic beverage offerings at First Watch are unique and reflect our culinary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innovation in combining fresh juices and ingredients with a variety of liquors. At the end of fiscal 2019, early tests showed that offering alcoholic beverages where practical throughout our system was a highly-incremental new sales growth platform, opening up new occasions for our consumers to enjoy dining out and allowing us to reach new demographics. During the COVID19 pandemic, we accelerated this initiative to better position the First Watch brand upon recovery as we learned that customers joining us for breakfast or lunch were at times interested in making the meal more of a celebration. As of June 26, 2022, our alcohol menu is offered in 341 System-wide restaurants with clear plans to continue the expansion to all restaurants where feasible. Since the rollout in fiscal 2020, the presence of alcohol on our menu has lifted overall dine-in beverage attachment in restaurants where it is served, by approximately 145 basis points when compared to restaurants where we do not offer alcohol, confirming the incrementality of the offering. Further, for the second fiscal quarter of 2022, alcohol accounted for 2.7% of in-restaurant sales at company-owned restaurants, with 5.1% of guests purchasing alcohol where offered in our restaurants, and increased the average in-restaurant customer spend by $0.42 as compared to our restaurants that do not offer alcohol. These incremental alcohol sales are highly profitable. More importantly, we remain confident in the long-term opportunity to innovate within this platform to further elevate the social occasion of breakfast, brunch and lunch. Similar to the launch of our Fresh Juice and Shareables platforms, we are optimistic that increasing consumer awareness and excitement, including through new items and</w:t>
      </w: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020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line="282" w:lineRule="auto"/>
        <w:rPr>
          <w:sz w:val="20"/>
          <w:szCs w:val="20"/>
          <w:color w:val="auto"/>
        </w:rPr>
      </w:pPr>
      <w:r>
        <w:rPr>
          <w:rFonts w:ascii="Times New Roman" w:cs="Times New Roman" w:eastAsia="Times New Roman" w:hAnsi="Times New Roman"/>
          <w:sz w:val="18"/>
          <w:szCs w:val="18"/>
          <w:color w:val="auto"/>
        </w:rPr>
        <w:t>promotions, around alcohol will drive new, additional occasions and broaden our appeal to a new demographic seeking an experiential occasion.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40" w:right="100" w:hanging="415"/>
        <w:spacing w:after="0" w:line="254"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Convenience and Increased Accessibility through Our Off-Premises Offering. </w:t>
      </w:r>
      <w:r>
        <w:rPr>
          <w:rFonts w:ascii="Times New Roman" w:cs="Times New Roman" w:eastAsia="Times New Roman" w:hAnsi="Times New Roman"/>
          <w:sz w:val="18"/>
          <w:szCs w:val="18"/>
          <w:color w:val="auto"/>
        </w:rPr>
        <w:t>During the COVID-19 pandemic, we integrated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into our business to enhance customer access and enable off-premises consumption. In fiscal 2019, off-premises sales accounted for approximately $2,000 in average weekly sales per restaurant. We have now built the foundation to optimize the off-premises opportunity through our digital channels (both through direct ordering as well as third-party delivery). These off-premises platforms, now available in all restaurants, have grown four-fold since fiscal 2019 and accounted for more than 20% of average weekly sales per restaurant during the second fiscal quarter of 2022. Even as our dining room sales recovered, off-premises sales remained strong, indicating continued customer demand. We see future opportunity to refine and grow this demand largely by focusing on in-restaurant infrastructure, especially in our new restaurant prototypes. We have seen encouraging results in NROs from innovations such as dedicated make lines and to-go rooms, separate entrances and dedicated parking spots to enhance the experience of both our off-premises and dine-in customers.</w:t>
      </w:r>
    </w:p>
    <w:p>
      <w:pPr>
        <w:spacing w:after="0" w:line="90" w:lineRule="exact"/>
        <w:rPr>
          <w:rFonts w:ascii="Times New Roman" w:cs="Times New Roman" w:eastAsia="Times New Roman" w:hAnsi="Times New Roman"/>
          <w:sz w:val="18"/>
          <w:szCs w:val="18"/>
          <w:color w:val="auto"/>
        </w:rPr>
      </w:pPr>
    </w:p>
    <w:p>
      <w:pPr>
        <w:ind w:left="1240" w:hanging="415"/>
        <w:spacing w:after="0" w:line="241"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 Our Brand Awareness. </w:t>
      </w:r>
      <w:r>
        <w:rPr>
          <w:rFonts w:ascii="Times New Roman" w:cs="Times New Roman" w:eastAsia="Times New Roman" w:hAnsi="Times New Roman"/>
          <w:sz w:val="18"/>
          <w:szCs w:val="18"/>
          <w:color w:val="auto"/>
        </w:rPr>
        <w:t>We believe First Watch is still in the early stages of our life cycle, as consumers in our existing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markets continue to discover the First Watch brand. For nearly 40 years, First Watch has grown primarily through word-of-mouth as our service, menu and environment created ardent fans as evident in our numerous local awards and customer satisfaction scores. In January 2020, First Watch was named “America’s Favorite Restaurant Brand” by Market Force. This study evaluated restaurants across multiple sectors and based its ranking on customer recommendations and brand satisfaction. This strong customer affinity was also highlighted in a recent 2021 national study where First Watch ranked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in net promoter score among the country’s 74 largest restaurant brands and comparable to the industry’s most highly regarded names. Despite this, brand awareness remains low as indicated by a 2021 nationally represented survey where only 11% were aware of First Watch. The combination of both high customer satisfaction and opportunity for growing awareness highlights strong potential for the brand.</w:t>
      </w: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320" w:top="455" w:right="6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13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As our development of new restaurants continues, we believe the increased penetration in new and existing markets will contribute to higher brand awareness. While we believe that organic growth of awareness contributes more to our local feel, we also recognize the future potential of strategically applying advertising dollars in appropriate channels to accelerate this opportunity. Our advertising costs represented approximately 1% of total revenues in 2021. We intend to grow our brand awareness primarily through increased investment in cost-efficient digital channels in order to further leverage our first party, owned, customer data to target and reach the right audiences that will lead to higher conversion and higher return on investment. We have successfully piloted these investment initiatives and remain confident that this approach provides further growth opportunity to build traffic and sales.</w:t>
      </w:r>
    </w:p>
    <w:p>
      <w:pPr>
        <w:spacing w:after="0" w:line="185" w:lineRule="exact"/>
        <w:rPr>
          <w:sz w:val="20"/>
          <w:szCs w:val="20"/>
          <w:color w:val="auto"/>
        </w:rPr>
      </w:pPr>
    </w:p>
    <w:p>
      <w:pPr>
        <w:ind w:left="300" w:right="40" w:firstLine="426"/>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Deliver an Excellent On-Premise Dining Experience. </w:t>
      </w:r>
      <w:r>
        <w:rPr>
          <w:rFonts w:ascii="Times New Roman" w:cs="Times New Roman" w:eastAsia="Times New Roman" w:hAnsi="Times New Roman"/>
          <w:sz w:val="17"/>
          <w:szCs w:val="17"/>
          <w:color w:val="auto"/>
        </w:rPr>
        <w:t>Excellence in restaurant-level execution, recognized by customers and reinforced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hundreds of accolades we have received, increases the visit frequency of our customer, promotes trial by new consumers and ultimately encourages loyalty. We have received hundreds of awards from local and national media outlets that we believe matter to consumers — including being named one of TripAdvisor’s Best Restaurant Chains in 2019. While off-premises dining has emerged as a sizeable use occasion for many customers cautious to eat outside their homes, we believe that our unwavering focus will remain on delivering an amazing dining experience in our restaurants to every customer in every visit. We aim to continue to leverage our “One Shift, One Menu, One Focus” model to stay distinguishably different from our competitors by executing on delivering a superior dining experience every day to further drive traffic and build sales.</w:t>
      </w:r>
    </w:p>
    <w:p>
      <w:pPr>
        <w:spacing w:after="0" w:line="171" w:lineRule="exact"/>
        <w:rPr>
          <w:sz w:val="20"/>
          <w:szCs w:val="20"/>
          <w:color w:val="auto"/>
        </w:rPr>
      </w:pPr>
    </w:p>
    <w:p>
      <w:pPr>
        <w:ind w:left="300" w:right="580" w:firstLine="42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Additional Platforms and Initiatives. </w:t>
      </w:r>
      <w:r>
        <w:rPr>
          <w:rFonts w:ascii="Times New Roman" w:cs="Times New Roman" w:eastAsia="Times New Roman" w:hAnsi="Times New Roman"/>
          <w:sz w:val="18"/>
          <w:szCs w:val="18"/>
          <w:color w:val="auto"/>
        </w:rPr>
        <w:t>We have seen the opportunity, over time, to selectively evolve our concept and offerings via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implementation of key strategies and initiatives. Future initiatives include:</w:t>
      </w:r>
    </w:p>
    <w:p>
      <w:pPr>
        <w:spacing w:after="0" w:line="60" w:lineRule="exact"/>
        <w:rPr>
          <w:sz w:val="20"/>
          <w:szCs w:val="20"/>
          <w:color w:val="auto"/>
        </w:rPr>
      </w:pPr>
    </w:p>
    <w:p>
      <w:pPr>
        <w:ind w:left="1240" w:right="100" w:hanging="415"/>
        <w:spacing w:after="0" w:line="25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Weekday Occasions</w:t>
      </w:r>
      <w:r>
        <w:rPr>
          <w:rFonts w:ascii="Times New Roman" w:cs="Times New Roman" w:eastAsia="Times New Roman" w:hAnsi="Times New Roman"/>
          <w:sz w:val="18"/>
          <w:szCs w:val="18"/>
          <w:color w:val="auto"/>
        </w:rPr>
        <w:t>: We believe that we have the opportunity to significantly increase market share by driving incremental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visits during the weekday dayparts through the evolution of our menu with fresh, convenient and differentiated offerings. As a result of an evolving consumer landscape, there has been a significant migration of people from urban to suburban areas, where a meaningful portion of our restaurants exist. This migration, coupled with an increasing work-from-home trend, presents First Watch with an incremental customer opportunity during the weekday business hours which we believe will further propel growth. With the presence of our off-premises channels and the opportunity to apply targeted marketing, we believe the weekday occasion holds future opportunity to build sales and traffic.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731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240" w:right="20" w:hanging="415"/>
        <w:spacing w:after="0" w:line="254"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Customer Technology &amp; Customer Data: </w:t>
      </w:r>
      <w:r>
        <w:rPr>
          <w:rFonts w:ascii="Times New Roman" w:cs="Times New Roman" w:eastAsia="Times New Roman" w:hAnsi="Times New Roman"/>
          <w:sz w:val="18"/>
          <w:szCs w:val="18"/>
          <w:color w:val="auto"/>
        </w:rPr>
        <w:t>As we fast-tracked the implementation of our off-premises platforms in fiscal 2020, we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took the opportunity to accelerate the implementation of customer data acquisition systems in order to better inform the habits and behaviors of our customers. With the large increase in remote digital orders, we also sought to digitize in-restaurant orders for the purpose of creating an omnichannel view of the First Watch customer. By integrating remote waitlist, remote orders, tokenized credit card transactions and WiFi into one system, we now have the ability to better understand trial, frequency and customer lifetime value. Since the establishment of these systems, we have gathered customer information for 9.6 million unique customer profiles, 4 million of which are opted into communication. The advancements in these foundational systems provide future opportunity for targeted communication and the development of more advanced customer relationship management systems aimed at growing customer frequency.</w:t>
      </w:r>
    </w:p>
    <w:p>
      <w:pPr>
        <w:spacing w:after="0" w:line="93" w:lineRule="exact"/>
        <w:rPr>
          <w:rFonts w:ascii="Times New Roman" w:cs="Times New Roman" w:eastAsia="Times New Roman" w:hAnsi="Times New Roman"/>
          <w:sz w:val="18"/>
          <w:szCs w:val="18"/>
          <w:color w:val="auto"/>
        </w:rPr>
      </w:pPr>
    </w:p>
    <w:p>
      <w:pPr>
        <w:ind w:left="1240" w:right="60" w:hanging="415"/>
        <w:spacing w:after="0" w:line="254"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Restaurant Technology Unlocking Throughput &amp; Capacity: </w:t>
      </w:r>
      <w:r>
        <w:rPr>
          <w:rFonts w:ascii="Times New Roman" w:cs="Times New Roman" w:eastAsia="Times New Roman" w:hAnsi="Times New Roman"/>
          <w:sz w:val="18"/>
          <w:szCs w:val="18"/>
          <w:color w:val="auto"/>
        </w:rPr>
        <w:t>For nearly 40 years, we grew organically from an intense focus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people and service, delivering a unique restaurant experience that has been difficult for competitors to duplicate at scale. The introduction of our off-premises platform laid a strong foundation for certain technologies that will now unlock further in-restaurant innovation, enabling greater peak hour throughput and capacity, thus the ability to serve more demand. In many of our restaurants, we experience more weekend demand than we are currently able to serve, indicated by extended wait times during peak hours. Through new technological tools to enable optimal seating configurations, lower table turn times and more efficient kitchen order routing, we believe that we have the opportunity to achieve higher peak hour sales. Most key among these opportunities is the installation of kitchen display screens, a core technology system in the industry, to our back-of-house to automate our order routing. We remain confident that the addition of this technology will unlock greater efficiency within our kitchens and raise our ability to serve more of our unfulfilled demand.</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Sponsor</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Founded in 1984, Advent International Corporation (“Advent”) has invested in more than 395 private equity transactions in 41 countries and as of March 31, 2022, had $75.9 billion in assets under management. Advent’s current portfolio comprises investments across five</w:t>
      </w:r>
    </w:p>
    <w:p>
      <w:pPr>
        <w:ind w:left="300" w:right="200"/>
        <w:spacing w:after="0" w:line="260" w:lineRule="auto"/>
        <w:rPr>
          <w:sz w:val="20"/>
          <w:szCs w:val="20"/>
          <w:color w:val="auto"/>
        </w:rPr>
      </w:pPr>
      <w:r>
        <w:rPr>
          <w:rFonts w:ascii="Times New Roman" w:cs="Times New Roman" w:eastAsia="Times New Roman" w:hAnsi="Times New Roman"/>
          <w:sz w:val="18"/>
          <w:szCs w:val="18"/>
          <w:color w:val="auto"/>
        </w:rPr>
        <w:t>sectors — Retail, Consumer &amp; Leisure; Business and Financial Services; Healthcare; Industrial and Technology. The Advent team includes more than 270 investment professionals across Europe, North America, Latin America and Asia.</w:t>
      </w:r>
    </w:p>
    <w:p>
      <w:pPr>
        <w:spacing w:after="0" w:line="181" w:lineRule="exact"/>
        <w:rPr>
          <w:sz w:val="20"/>
          <w:szCs w:val="20"/>
          <w:color w:val="auto"/>
        </w:rPr>
      </w:pPr>
    </w:p>
    <w:p>
      <w:pPr>
        <w:ind w:left="300" w:right="280" w:firstLine="426"/>
        <w:spacing w:after="0" w:line="261" w:lineRule="auto"/>
        <w:rPr>
          <w:sz w:val="20"/>
          <w:szCs w:val="20"/>
          <w:color w:val="auto"/>
        </w:rPr>
      </w:pPr>
      <w:r>
        <w:rPr>
          <w:rFonts w:ascii="Times New Roman" w:cs="Times New Roman" w:eastAsia="Times New Roman" w:hAnsi="Times New Roman"/>
          <w:sz w:val="18"/>
          <w:szCs w:val="18"/>
          <w:color w:val="auto"/>
        </w:rPr>
        <w:t>Following the closing of this offering, funds managed by Advent are expected to own approximately 71.5% of our outstanding common stock, or approximately 70.4% if the underwriters’ option to purchase additional shares is fully exercised. As a result, Advent is able to exercise significant voting influence over fundamental and significant corporate matters and transactions. See “Risk Factors — Risks Related to this Offering and Ownership of Our Common Stock” and “Principal and Selling Stockholders.”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Initial Public Offering and Debt Refinancing</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 xml:space="preserve">On September 30, 2021, the Company’s registration statement on Form S-1 related to its initial public offering (“IPO”) was declared effective and the Company’s common stock began trading on the Nasdaq on October 1, 2021. On October 5, 2021, the Company completed its IPO, pursuant to which 10,877,850 shares of common stock were sold at the IPO price of $18.00 per share, which included the full exercise by the underwriters of their option to purchase up to an additional 1,418,850 shares of common stock. The Company received aggregate net proceeds of $182.1 million after deducting underwriting discounts and commissions of $13.7 million. All of the Company’s outstanding shares of preferred stock were automatically converted into 3,156,812 shares of common stock immediately prior to and in connection with the consummation of the IPO. See Note 1, </w:t>
      </w:r>
      <w:r>
        <w:rPr>
          <w:rFonts w:ascii="Times New Roman" w:cs="Times New Roman" w:eastAsia="Times New Roman" w:hAnsi="Times New Roman"/>
          <w:sz w:val="18"/>
          <w:szCs w:val="18"/>
          <w:i w:val="1"/>
          <w:iCs w:val="1"/>
          <w:color w:val="auto"/>
        </w:rPr>
        <w:t>Nature of Business and Organization</w:t>
      </w:r>
      <w:r>
        <w:rPr>
          <w:rFonts w:ascii="Times New Roman" w:cs="Times New Roman" w:eastAsia="Times New Roman" w:hAnsi="Times New Roman"/>
          <w:sz w:val="18"/>
          <w:szCs w:val="18"/>
          <w:color w:val="auto"/>
        </w:rPr>
        <w:t>, in the notes to the audited consolidated financial statements incorporated by reference to our Annual Report for additional information.</w:t>
      </w:r>
    </w:p>
    <w:p>
      <w:pPr>
        <w:spacing w:after="0" w:line="3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320" w:top="455" w:right="6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820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firstLine="426"/>
        <w:spacing w:after="0" w:line="281" w:lineRule="auto"/>
        <w:rPr>
          <w:sz w:val="20"/>
          <w:szCs w:val="20"/>
          <w:color w:val="auto"/>
        </w:rPr>
      </w:pPr>
      <w:r>
        <w:rPr>
          <w:rFonts w:ascii="Times New Roman" w:cs="Times New Roman" w:eastAsia="Times New Roman" w:hAnsi="Times New Roman"/>
          <w:sz w:val="17"/>
          <w:szCs w:val="17"/>
          <w:color w:val="auto"/>
        </w:rPr>
        <w:t>On October 6, 2021, FWR Holding Corporation, one of our indirect subsidiaries, entered into the New Credit Agreement (as defined in “Description of Material Indebtedness”), which provides for (i) the $100.0 million New Term Facility (as defined in “Description of Material Indebtedness”) and (ii) the $75.0 million New Revolving Credit Facility (as defined in “Description of Material Indebtedness”), which was undrawn at June 26, 2022. The loans under the New Facilities (as defined in “Description of Material Indebtedness”) mature on October 6, 2026.</w:t>
      </w:r>
    </w:p>
    <w:p>
      <w:pPr>
        <w:spacing w:after="0" w:line="164"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The aggregate net proceeds from our IPO, the proceeds from the New Term Facility (as defined in “Description of Material Indebtedness”) and cash on hand were used to repay in full the outstanding borrowings under our previous senior credit facilities.</w:t>
      </w:r>
    </w:p>
    <w:p>
      <w:pPr>
        <w:spacing w:after="0" w:line="162" w:lineRule="exact"/>
        <w:rPr>
          <w:sz w:val="20"/>
          <w:szCs w:val="20"/>
          <w:color w:val="auto"/>
        </w:rPr>
      </w:pPr>
    </w:p>
    <w:p>
      <w:pPr>
        <w:ind w:left="300" w:right="260" w:firstLine="426"/>
        <w:spacing w:after="0" w:line="261" w:lineRule="auto"/>
        <w:rPr>
          <w:sz w:val="20"/>
          <w:szCs w:val="20"/>
          <w:color w:val="auto"/>
        </w:rPr>
      </w:pPr>
      <w:r>
        <w:rPr>
          <w:rFonts w:ascii="Times New Roman" w:cs="Times New Roman" w:eastAsia="Times New Roman" w:hAnsi="Times New Roman"/>
          <w:sz w:val="18"/>
          <w:szCs w:val="18"/>
          <w:color w:val="auto"/>
        </w:rPr>
        <w:t xml:space="preserve">See “Description of Material Indebtedness” elsewhere in this prospectus, “Part II. Item 7. Management’s Discussion and Analysis of Financial Condition and Results of Operations — Liquidity and Capital Resources” and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the audited consolidated financial statements in our Annual Report and “Part I. Item 2. Management’s Discussion and Analysis of Financial Condition and Results of Operations — Liquidity and Capital Resources” in our Quarterly Reports, which are incorporated by reference herein.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First Watch Restaurant Group, Inc. was incorporated in Delaware on August 10, 2017, under the name AI Fresh Super Holdco, Inc. We changed our name on December 20, 2019 to First Watch Restaurant Group, Inc. Our principal executive offices are located at 8725 Pendery Place, Suite 201, Bradenton, FL 34201, and our telephone number is (941) 907-9800. Our corporate website address is www.firstwatch.com. Our corporate website and the information contained on, or that can be accessed through, the website is not deemed to be incorporated by reference in, and is not considered part of, this prospectus. You should not rely on any such information in making your decision whether to purchase our common stock.</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Investing in our common stock involves a number of risks. These risks represent challenges to the successful implementation of our strategy and the growth of our business. Some of these risks are:</w:t>
      </w:r>
    </w:p>
    <w:p>
      <w:pPr>
        <w:spacing w:after="0" w:line="67" w:lineRule="exact"/>
        <w:rPr>
          <w:sz w:val="20"/>
          <w:szCs w:val="20"/>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the COVID-19 pandemic or other infectious diseases;</w:t>
      </w:r>
    </w:p>
    <w:p>
      <w:pPr>
        <w:spacing w:after="0" w:line="130"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ongoing hostility between Russia and Ukraine and the related impact on macroeconomic conditions, including inflation, as a result of such conflict or other related events;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vulnerability to changes in economic conditions and consumer preferences;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open new restaurants or establish new markets; our inability to effectively manage our growth;</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negative impacts on sales at our and our franchisees’ restaurants as a result of our opening new restaurants;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visitors to any of the retail centers, lifestyle centers, or entertainment centers where our restaurants are located;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expected same-restaurant sales growth;</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marketing programs and limited time new offerings;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of food;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unprofitability or closure of new restaurants or lower than previously experienced performance in existing restaurants;</w:t>
      </w:r>
    </w:p>
    <w:p>
      <w:pPr>
        <w:spacing w:after="0" w:line="33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40"/>
          </w:cols>
          <w:pgMar w:left="320" w:top="455" w:right="7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73336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73336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effectively for customers;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financial performance of our franchisees;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control over our franchisees’ operations;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good relationships with our franchisees;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 with our franchisees;</w:t>
      </w:r>
    </w:p>
    <w:p>
      <w:pPr>
        <w:spacing w:after="0" w:line="130" w:lineRule="exact"/>
        <w:rPr>
          <w:rFonts w:ascii="Times New Roman" w:cs="Times New Roman" w:eastAsia="Times New Roman" w:hAnsi="Times New Roman"/>
          <w:sz w:val="18"/>
          <w:szCs w:val="18"/>
          <w:color w:val="auto"/>
        </w:rPr>
      </w:pPr>
    </w:p>
    <w:p>
      <w:pPr>
        <w:ind w:left="1240" w:right="700" w:hanging="415"/>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our system-wide restaurant base in the southeast portion of the United States; damage to our reputation and negative publicity;</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or failure to recognize, respond to and effectively manage the accelerated impact of social media;</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number of suppliers and distributors for several of our frequently used ingredients;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system failures or breaches of our network security;</w:t>
      </w:r>
    </w:p>
    <w:p>
      <w:pPr>
        <w:spacing w:after="0" w:line="130"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federal and state laws and regulations relating to privacy, data protection, advertising and consumer protection, or the expansion of current or the enactment of new laws or regulations relating to privacy, data protection, advertising and consumer protection;</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liability with respect to our gift cards under the property laws of some states;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enforce and maintain our trademarks and protect our other intellectual property;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with respect to intellectual property assets;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executive officers and certain other key employees;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identify qualified individuals for our workforce;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obtain or to properly verify the employment eligibility of our employees;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our corporate culture as we grow;</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unionization activities among our employees;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labor law proceedings;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or increased labor costs or health care costs;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leasing property subject to long-term and non-cancelable leases;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sale of alcoholic beverages;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our internal controls over financial reporting;</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costly and complex compliance with federal, state and local laws;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applicable to us;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vulnerability to natural disasters, unusual weather conditions, pandemic outbreaks, political events, war and terrorism;</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additional capital to support business growth;</w:t>
      </w:r>
    </w:p>
    <w:p>
      <w:pPr>
        <w:spacing w:after="0" w:line="130"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failure to comply with covenants under the New Credit Agreement (as defined in “Description of Material Indebtedness”);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of Advent may differ from those of public stockholders.</w:t>
      </w:r>
    </w:p>
    <w:p>
      <w:pPr>
        <w:spacing w:after="0" w:line="225" w:lineRule="exact"/>
        <w:rPr>
          <w:sz w:val="20"/>
          <w:szCs w:val="20"/>
          <w:color w:val="auto"/>
        </w:rPr>
      </w:pPr>
    </w:p>
    <w:p>
      <w:pPr>
        <w:ind w:left="300" w:right="360" w:firstLine="426"/>
        <w:spacing w:after="0" w:line="282" w:lineRule="auto"/>
        <w:rPr>
          <w:sz w:val="20"/>
          <w:szCs w:val="20"/>
          <w:color w:val="auto"/>
        </w:rPr>
      </w:pPr>
      <w:r>
        <w:rPr>
          <w:rFonts w:ascii="Times New Roman" w:cs="Times New Roman" w:eastAsia="Times New Roman" w:hAnsi="Times New Roman"/>
          <w:sz w:val="18"/>
          <w:szCs w:val="18"/>
          <w:color w:val="auto"/>
        </w:rPr>
        <w:t>For a discussion of these and other risks you should consider before making an investment in our common stock, see the section entitled “Risk Factors.”</w:t>
      </w: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320" w:top="455" w:right="6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79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right="340" w:firstLine="426"/>
        <w:spacing w:after="0" w:line="261" w:lineRule="auto"/>
        <w:rPr>
          <w:sz w:val="20"/>
          <w:szCs w:val="20"/>
          <w:color w:val="auto"/>
        </w:rPr>
      </w:pPr>
      <w:r>
        <w:rPr>
          <w:rFonts w:ascii="Times New Roman" w:cs="Times New Roman" w:eastAsia="Times New Roman" w:hAnsi="Times New Roman"/>
          <w:sz w:val="18"/>
          <w:szCs w:val="18"/>
          <w:color w:val="auto"/>
        </w:rPr>
        <w:t>As a company with less than $1.07 billion in gross revenue during our last fiscal year, we qualify as an “emerging growth company” as defined in the Jumpstart Our Business Startups Act (the “JOBS Act”). An emerging growth company may take advantage of specified reduced reporting and other regulatory requirements for up to five years that are otherwise applicable generally to public companies. These provisions include, among other matters:</w:t>
      </w:r>
    </w:p>
    <w:p>
      <w:pPr>
        <w:spacing w:after="0" w:line="85" w:lineRule="exact"/>
        <w:rPr>
          <w:sz w:val="20"/>
          <w:szCs w:val="20"/>
          <w:color w:val="auto"/>
        </w:rPr>
      </w:pPr>
    </w:p>
    <w:p>
      <w:pPr>
        <w:ind w:left="1240" w:right="320" w:hanging="415"/>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to present only two years of audited financial statements and only two years of related Management’s Discussion and Analysis of Financial Condition and Results of Operations;</w:t>
      </w:r>
    </w:p>
    <w:p>
      <w:pPr>
        <w:spacing w:after="0" w:line="67"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auditor attestation requirement on the effectiveness of our system of internal controls over financial reporting pursuant to the Sarbanes-Oxley Act of 2002, as amended (the “Sarbanes-Oxley Act”);</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adoption of new or revised financial accounting standards until they would apply to private companies;</w:t>
      </w:r>
    </w:p>
    <w:p>
      <w:pPr>
        <w:spacing w:after="0" w:line="130" w:lineRule="exact"/>
        <w:rPr>
          <w:rFonts w:ascii="Times New Roman" w:cs="Times New Roman" w:eastAsia="Times New Roman" w:hAnsi="Times New Roman"/>
          <w:sz w:val="18"/>
          <w:szCs w:val="18"/>
          <w:color w:val="auto"/>
        </w:rPr>
      </w:pPr>
    </w:p>
    <w:p>
      <w:pPr>
        <w:ind w:left="1240" w:right="240" w:hanging="415"/>
        <w:spacing w:after="0" w:line="266"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compliance with any new requirements adopted by the Public Company Accounting Oversight Board (“PCAOB”) requiring mandatory audit firm rotation or a supplement to the auditor’s report in which the auditor would be required to provide additional information about the audit and the financial statements of the issuer;</w:t>
      </w:r>
    </w:p>
    <w:p>
      <w:pPr>
        <w:spacing w:after="0" w:line="81" w:lineRule="exact"/>
        <w:rPr>
          <w:rFonts w:ascii="Times New Roman" w:cs="Times New Roman" w:eastAsia="Times New Roman" w:hAnsi="Times New Roman"/>
          <w:sz w:val="18"/>
          <w:szCs w:val="18"/>
          <w:color w:val="auto"/>
        </w:rPr>
      </w:pPr>
    </w:p>
    <w:p>
      <w:pPr>
        <w:ind w:left="1240" w:right="980" w:hanging="415"/>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requirement to seek non-binding advisory votes on executive compensation and golden parachute arrangements;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executive compensation arrangements.</w:t>
      </w:r>
    </w:p>
    <w:p>
      <w:pPr>
        <w:spacing w:after="0" w:line="225" w:lineRule="exact"/>
        <w:rPr>
          <w:sz w:val="20"/>
          <w:szCs w:val="20"/>
          <w:color w:val="auto"/>
        </w:rPr>
      </w:pPr>
    </w:p>
    <w:p>
      <w:pPr>
        <w:ind w:left="300" w:right="20" w:firstLine="426"/>
        <w:spacing w:after="0" w:line="270" w:lineRule="auto"/>
        <w:rPr>
          <w:sz w:val="20"/>
          <w:szCs w:val="20"/>
          <w:color w:val="auto"/>
        </w:rPr>
      </w:pPr>
      <w:r>
        <w:rPr>
          <w:rFonts w:ascii="Times New Roman" w:cs="Times New Roman" w:eastAsia="Times New Roman" w:hAnsi="Times New Roman"/>
          <w:sz w:val="17"/>
          <w:szCs w:val="17"/>
          <w:color w:val="auto"/>
        </w:rPr>
        <w:t>We will remain an emerging growth company until the last day of the fiscal year following the fifth anniversary of the completion of our IPO unless, (1) prior to that time, we have more than $1.07 billion in annual gross revenue, (2) we have a market value for our common stock held by non-affiliates of more than $700 million as of the last day of our second fiscal quarter of the fiscal year and, as a consequence, are deemed to be a “large accelerated filer,” as defined in Rule 12b-2 promulgated under the Securities Exchange Act of 1934, as amended (the “Exchange Act”), or</w:t>
      </w:r>
    </w:p>
    <w:p>
      <w:pPr>
        <w:spacing w:after="0" w:line="3" w:lineRule="exact"/>
        <w:rPr>
          <w:sz w:val="20"/>
          <w:szCs w:val="20"/>
          <w:color w:val="auto"/>
        </w:rPr>
      </w:pPr>
    </w:p>
    <w:p>
      <w:pPr>
        <w:ind w:left="300" w:hanging="2"/>
        <w:spacing w:after="0" w:line="253" w:lineRule="auto"/>
        <w:tabs>
          <w:tab w:leader="none" w:pos="5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 more than $1.0 billion of non-convertible debt over a three-year period, whether or not issued in a registered offering. We have availed ourselves of the reduced reporting obligations with respect to audited financial statements and related Management’s Discussion and Analysis of Financial Condition and Results of Operations and executive compensation disclosure in this prospectus and expect to continue to avail ourselves of the reduced reporting obligations available to emerging growth companies in future filings.</w:t>
      </w:r>
    </w:p>
    <w:p>
      <w:pPr>
        <w:spacing w:after="0" w:line="189"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of 1933 (the “Securities Act”) for complying with new or revised accounting standards. An emerging growth company can, therefore, delay the adoption of certain accounting standards until those standards would otherwise apply to private companies. However, we are choosing to “opt out” of that extended transition period and, as a result, we plan to comply with new and revised accounting standards on the relevant dates on which adoption of those standards is required for non-emerging growth companies.</w:t>
      </w:r>
    </w:p>
    <w:p>
      <w:pPr>
        <w:spacing w:after="0" w:line="3" w:lineRule="exact"/>
        <w:rPr>
          <w:sz w:val="20"/>
          <w:szCs w:val="20"/>
          <w:color w:val="auto"/>
        </w:rPr>
      </w:pPr>
    </w:p>
    <w:p>
      <w:pPr>
        <w:ind w:left="300" w:right="120"/>
        <w:spacing w:after="0" w:line="260" w:lineRule="auto"/>
        <w:rPr>
          <w:sz w:val="20"/>
          <w:szCs w:val="20"/>
          <w:color w:val="auto"/>
        </w:rPr>
      </w:pPr>
      <w:r>
        <w:rPr>
          <w:rFonts w:ascii="Times New Roman" w:cs="Times New Roman" w:eastAsia="Times New Roman" w:hAnsi="Times New Roman"/>
          <w:sz w:val="18"/>
          <w:szCs w:val="18"/>
          <w:color w:val="auto"/>
        </w:rPr>
        <w:t>Section 107 of the JOBS Act provides that our decision to opt out of the extended transition period for complying with new or revised accounting standards is irrevocable.</w:t>
      </w:r>
    </w:p>
    <w:p>
      <w:pPr>
        <w:spacing w:after="0" w:line="18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As a result of our decision to avail ourselves of certain provisions of the JOBS Act, the information that we provide may be different from what you may receive from other public companies in which you hold an equity interest. In addition, it is possible that some investors will find our common stock less attractive as a result of our elections, which may cause a less active trading market for our common stock and more volatility in our stock price.</w:t>
      </w:r>
    </w:p>
    <w:p>
      <w:pPr>
        <w:spacing w:after="0" w:line="2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320" w:top="455" w:right="6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1558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970" cy="2155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was less than $250 million as of the last business day of our most recently completed second fiscal quarter. We may continue to be a smaller reporting company after this offering if either (1) the market value of our stock held by non-affiliates is less than $250 million as of the last business day of the second fiscal quarter of such year or (2) our annual revenue was less than $100 million during the most recently completed fiscal year and the market value of our stock held by non-affiliates is less than $700 million as of the last business day of the second fiscal quarter of such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and, similar to emerging growth companies, smaller reporting companies have reduced disclosure obligations regarding executive compensation.</w:t>
      </w:r>
    </w:p>
    <w:p>
      <w:pPr>
        <w:spacing w:after="0" w:line="188"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For risks related to our status as an emerging growth company and a smaller reporting company, see “Risk Factors — Risks Related to the Offering and Ownership of Our Common Stock — We are an “emerging growth company” and a “smaller reporting company” and the reduced disclosure requirements applicable to emerging growth companies and smaller reporting companies may make our common stock less attractive to investors.”</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320" w:top="455" w:right="6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30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970" cy="57302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920"/>
          </w:cols>
          <w:pgMar w:left="320" w:top="455" w:right="65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Issuer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First Watch Restaurant Group, Inc.</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4,500,000 shares of common stock (5,175,000 shares if the underwriters exercise their option to purchase additional shares in full)</w:t>
      </w:r>
    </w:p>
    <w:p>
      <w:pPr>
        <w:spacing w:after="0" w:line="189" w:lineRule="exact"/>
        <w:rPr>
          <w:sz w:val="20"/>
          <w:szCs w:val="20"/>
          <w:color w:val="auto"/>
        </w:rPr>
      </w:pPr>
    </w:p>
    <w:p>
      <w:pPr>
        <w:sectPr>
          <w:pgSz w:w="11900" w:h="16838" w:orient="portrait"/>
          <w:cols w:equalWidth="0" w:num="2">
            <w:col w:w="3920" w:space="420"/>
            <w:col w:w="6580"/>
          </w:cols>
          <w:pgMar w:left="320" w:top="455" w:right="659" w:bottom="1440" w:gutter="0" w:footer="0" w:header="0"/>
          <w:type w:val="continuous"/>
        </w:sectPr>
      </w:pPr>
    </w:p>
    <w:p>
      <w:pPr>
        <w:ind w:left="380" w:right="3980" w:hanging="78"/>
        <w:spacing w:after="0" w:line="282" w:lineRule="auto"/>
        <w:rPr>
          <w:sz w:val="20"/>
          <w:szCs w:val="20"/>
          <w:color w:val="auto"/>
        </w:rPr>
      </w:pPr>
      <w:r>
        <w:rPr>
          <w:rFonts w:ascii="Times New Roman" w:cs="Times New Roman" w:eastAsia="Times New Roman" w:hAnsi="Times New Roman"/>
          <w:sz w:val="18"/>
          <w:szCs w:val="18"/>
          <w:color w:val="auto"/>
        </w:rPr>
        <w:t>Common stock to be outstanding prior to and after this 59,080,348 shares of common stock offering</w:t>
      </w:r>
    </w:p>
    <w:p>
      <w:pPr>
        <w:spacing w:after="0" w:line="202" w:lineRule="exact"/>
        <w:rPr>
          <w:sz w:val="20"/>
          <w:szCs w:val="20"/>
          <w:color w:val="auto"/>
        </w:rPr>
      </w:pPr>
    </w:p>
    <w:p>
      <w:pPr>
        <w:ind w:left="4340" w:right="160" w:hanging="4034"/>
        <w:spacing w:after="0" w:line="266" w:lineRule="auto"/>
        <w:rPr>
          <w:sz w:val="20"/>
          <w:szCs w:val="20"/>
          <w:color w:val="auto"/>
        </w:rPr>
      </w:pPr>
      <w:r>
        <w:rPr>
          <w:rFonts w:ascii="Times New Roman" w:cs="Times New Roman" w:eastAsia="Times New Roman" w:hAnsi="Times New Roman"/>
          <w:sz w:val="18"/>
          <w:szCs w:val="18"/>
          <w:color w:val="auto"/>
        </w:rPr>
        <w:t>Option to purchase additional shares of common stock The underwriters have an option to purchase an additional 675,000 shares of common stock from the selling stockholders. The underwriters can exercise this option at any time within 30 days from the date of this prospectus.</w:t>
      </w:r>
    </w:p>
    <w:p>
      <w:pPr>
        <w:sectPr>
          <w:pgSz w:w="11900" w:h="16838" w:orient="portrait"/>
          <w:cols w:equalWidth="0" w:num="1">
            <w:col w:w="10920"/>
          </w:cols>
          <w:pgMar w:left="320" w:top="455" w:right="659" w:bottom="1440" w:gutter="0" w:footer="0" w:header="0"/>
          <w:type w:val="continuous"/>
        </w:sectPr>
      </w:pP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stockholders will receive all of the proceeds from the sale of our common stock in this offering. We will not receive any proceeds from the sale of shares of common stock by the selling stockholders. See “Use of Proceeds.”</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Dividend policy</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We do not anticipate paying any dividends on our common stock for the foreseeable future; however, we may change this policy in the future. See “Dividend Policy.”</w:t>
      </w:r>
    </w:p>
    <w:p>
      <w:pPr>
        <w:spacing w:after="0" w:line="189"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See the “Risk Factors” section of this prospectus beginning on page 26 for a discussion of factors you should carefully consider before investing in our common stock.</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Our common stock is listed on Nasdaq under the symbol “FWRG.”</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50" w:lineRule="exact"/>
        <w:rPr>
          <w:sz w:val="20"/>
          <w:szCs w:val="20"/>
          <w:color w:val="auto"/>
        </w:rPr>
      </w:pPr>
    </w:p>
    <w:p>
      <w:pPr>
        <w:ind w:left="300" w:right="500" w:firstLine="426"/>
        <w:spacing w:after="0" w:line="282" w:lineRule="auto"/>
        <w:rPr>
          <w:sz w:val="20"/>
          <w:szCs w:val="20"/>
          <w:color w:val="auto"/>
        </w:rPr>
      </w:pPr>
      <w:r>
        <w:rPr>
          <w:rFonts w:ascii="Times New Roman" w:cs="Times New Roman" w:eastAsia="Times New Roman" w:hAnsi="Times New Roman"/>
          <w:sz w:val="18"/>
          <w:szCs w:val="18"/>
          <w:color w:val="auto"/>
        </w:rPr>
        <w:t>Except as otherwise indicated, the number of shares of our common stock outstanding after this offering is based on 59,080,348 shares outstanding as of August 5, 2022 and:</w:t>
      </w:r>
    </w:p>
    <w:p>
      <w:pPr>
        <w:spacing w:after="0" w:line="67" w:lineRule="exact"/>
        <w:rPr>
          <w:sz w:val="20"/>
          <w:szCs w:val="20"/>
          <w:color w:val="auto"/>
        </w:rPr>
      </w:pPr>
    </w:p>
    <w:p>
      <w:pPr>
        <w:ind w:left="1240" w:right="20" w:hanging="415"/>
        <w:spacing w:after="0" w:line="312" w:lineRule="auto"/>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4,238,120 shares of our common stock issuable upon the exercise of outstanding stock options at a weighted average exercise price of $9.47 per share, which stock options were granted under our 2017 Omnibus Equity Incentive Plan (the “2017 Plan”);</w:t>
      </w:r>
    </w:p>
    <w:p>
      <w:pPr>
        <w:spacing w:after="0" w:line="45" w:lineRule="exact"/>
        <w:rPr>
          <w:rFonts w:ascii="Times New Roman" w:cs="Times New Roman" w:eastAsia="Times New Roman" w:hAnsi="Times New Roman"/>
          <w:sz w:val="17"/>
          <w:szCs w:val="17"/>
          <w:color w:val="auto"/>
        </w:rPr>
      </w:pPr>
    </w:p>
    <w:p>
      <w:pPr>
        <w:ind w:left="1240" w:right="180" w:hanging="415"/>
        <w:spacing w:after="0" w:line="266"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38,311 shares of our common stock underlying restricted stock units and 993,581 of our common stock issuable upon the exercise of outstanding stock options at a weighted average exercise price of $12.58 per share, in each case, that were granted under the First Watch Restaurant Group, Inc. 2021 Equity Incentive Plan (the “2021 Plan”); and</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an aggregate of 3,002,180 shares of our common stock that will be available for future equity awards under the 2021 Plan</w:t>
      </w:r>
    </w:p>
    <w:p>
      <w:pPr>
        <w:spacing w:after="0" w:line="33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320" w:top="455" w:right="6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159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8970" cy="58159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HISTORICAL CONSOLIDATED FINANCIAL AND OTHER DATA</w:t>
      </w:r>
    </w:p>
    <w:p>
      <w:pPr>
        <w:spacing w:after="0" w:line="229" w:lineRule="exact"/>
        <w:rPr>
          <w:sz w:val="20"/>
          <w:szCs w:val="20"/>
          <w:color w:val="auto"/>
        </w:rPr>
      </w:pPr>
    </w:p>
    <w:p>
      <w:pPr>
        <w:ind w:left="300" w:right="280" w:firstLine="426"/>
        <w:spacing w:after="0" w:line="254" w:lineRule="auto"/>
        <w:rPr>
          <w:sz w:val="20"/>
          <w:szCs w:val="20"/>
          <w:color w:val="auto"/>
        </w:rPr>
      </w:pPr>
      <w:r>
        <w:rPr>
          <w:rFonts w:ascii="Times New Roman" w:cs="Times New Roman" w:eastAsia="Times New Roman" w:hAnsi="Times New Roman"/>
          <w:sz w:val="18"/>
          <w:szCs w:val="18"/>
          <w:color w:val="auto"/>
        </w:rPr>
        <w:t>The following tables set forth our summary historical consolidated financial and other data for the periods as of the dates indicated. We derived the historical summary consolidated statements of operations data and consolidated statements of cash flows data for the twenty-six weeks ended June 26, 2022 and June 27, 2021 and the consolidated balance sheet data as of June 26, 2022 from the unaudited interim consolidated financial statements and related notes thereto incorporated by reference to our Quarterly Report for the quarterly period ended June 26, 2022 filed with the SEC on August 9, 2022 (the “Q2 2022 Quarterly Report”). We derived the historical summary consolidated statements of operations data and consolidated statements of cash flows data for fiscal 2021, fiscal 2020 and fiscal 2019 from the audited consolidated financial statements and related notes thereto incorporated by reference to our Annual Report. We have prepared the unaudited interim consolidated financial statements on the same basis as the audited consolidated financial statements and have included all adjustments necessary for the fair statement of the consolidated financial statements for the interim periods presented.</w:t>
      </w:r>
    </w:p>
    <w:p>
      <w:pPr>
        <w:spacing w:after="0" w:line="188" w:lineRule="exact"/>
        <w:rPr>
          <w:sz w:val="20"/>
          <w:szCs w:val="20"/>
          <w:color w:val="auto"/>
        </w:rPr>
      </w:pPr>
    </w:p>
    <w:p>
      <w:pPr>
        <w:ind w:left="300" w:right="420" w:firstLine="426"/>
        <w:spacing w:after="0" w:line="266" w:lineRule="auto"/>
        <w:rPr>
          <w:sz w:val="20"/>
          <w:szCs w:val="20"/>
          <w:color w:val="auto"/>
        </w:rPr>
      </w:pPr>
      <w:r>
        <w:rPr>
          <w:rFonts w:ascii="Times New Roman" w:cs="Times New Roman" w:eastAsia="Times New Roman" w:hAnsi="Times New Roman"/>
          <w:sz w:val="18"/>
          <w:szCs w:val="18"/>
          <w:color w:val="auto"/>
        </w:rPr>
        <w:t>Our historical results are not necessarily indicative of future results of operations. You should read the information set forth below together with the audited consolidated financial statements and the related notes thereto included in our Annual Report and the unaudited consolidated financial statements and the related notes thereto included in the Q2 2022 Quarterly Report.</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June 26,</w:t>
            </w:r>
          </w:p>
        </w:tc>
        <w:tc>
          <w:tcPr>
            <w:tcW w:w="120" w:type="dxa"/>
            <w:vAlign w:val="bottom"/>
          </w:tcPr>
          <w:p>
            <w:pPr>
              <w:spacing w:after="0"/>
              <w:rPr>
                <w:sz w:val="10"/>
                <w:szCs w:val="10"/>
                <w:color w:val="auto"/>
              </w:rPr>
            </w:pPr>
          </w:p>
        </w:tc>
        <w:tc>
          <w:tcPr>
            <w:tcW w:w="720" w:type="dxa"/>
            <w:vAlign w:val="bottom"/>
          </w:tcPr>
          <w:p>
            <w:pPr>
              <w:jc w:val="right"/>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June 27,</w:t>
            </w:r>
          </w:p>
        </w:tc>
        <w:tc>
          <w:tcPr>
            <w:tcW w:w="18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70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70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70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30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w w:val="79"/>
              </w:rPr>
              <w:t>share</w:t>
            </w:r>
          </w:p>
        </w:tc>
        <w:tc>
          <w:tcPr>
            <w:tcW w:w="100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and per share</w:t>
            </w:r>
          </w:p>
        </w:tc>
        <w:tc>
          <w:tcPr>
            <w:tcW w:w="700" w:type="dxa"/>
            <w:vAlign w:val="bottom"/>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w w:val="83"/>
              </w:rPr>
              <w:t>data)</w:t>
            </w:r>
          </w:p>
        </w:tc>
        <w:tc>
          <w:tcPr>
            <w:tcW w:w="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 sales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$352,351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$ 277,054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$592,343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$337,433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$429,309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Franchise revenues</w:t>
            </w: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357,565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281,132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601,193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342,388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436,373</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5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Restaurant operating expenses (exclusive of depreciation and amortization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shown below):</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 costs</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84,622</w:t>
            </w: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60,512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134,201</w:t>
            </w:r>
          </w:p>
        </w:tc>
        <w:tc>
          <w:tcPr>
            <w:tcW w:w="18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76,975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100,689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Labor and other related expenses</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113,829</w:t>
            </w: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85,999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189,167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120,380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148,537</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restaurant operating expenses</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56,076</w:t>
            </w: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45,443</w:t>
            </w:r>
          </w:p>
        </w:tc>
        <w:tc>
          <w:tcPr>
            <w:tcW w:w="100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94,847</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61,821</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55,573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 expenses</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29,227</w:t>
            </w: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27,066</w:t>
            </w:r>
          </w:p>
        </w:tc>
        <w:tc>
          <w:tcPr>
            <w:tcW w:w="100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55,433</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49,450</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 expenses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41,505</w:t>
            </w: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27,341</w:t>
            </w:r>
          </w:p>
        </w:tc>
        <w:tc>
          <w:tcPr>
            <w:tcW w:w="100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70,388</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46,322</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16,623</w:t>
            </w: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15,762</w:t>
            </w:r>
          </w:p>
        </w:tc>
        <w:tc>
          <w:tcPr>
            <w:tcW w:w="100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32,379</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30,725</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28,027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Impairments and loss on disposal of assets</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234</w:t>
            </w: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163</w:t>
            </w:r>
          </w:p>
        </w:tc>
        <w:tc>
          <w:tcPr>
            <w:tcW w:w="100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381</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315</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expenses (income), net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(1,156)</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473,929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(2,132)</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(12,605)</w:t>
            </w:r>
          </w:p>
        </w:tc>
        <w:tc>
          <w:tcPr>
            <w:tcW w:w="100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(20,099)</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(22,815)</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279</w:t>
            </w: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321</w:t>
            </w:r>
          </w:p>
        </w:tc>
        <w:tc>
          <w:tcPr>
            <w:tcW w:w="100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(1,774)</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483</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0" w:type="dxa"/>
            <w:vAlign w:val="bottom"/>
            <w:tcBorders>
              <w:bottom w:val="single" w:sz="8" w:color="auto"/>
            </w:tcBorders>
          </w:tcPr>
          <w:p>
            <w:pPr>
              <w:spacing w:after="0"/>
              <w:rPr>
                <w:sz w:val="14"/>
                <w:szCs w:val="14"/>
                <w:color w:val="auto"/>
              </w:rPr>
            </w:pPr>
          </w:p>
        </w:tc>
        <w:tc>
          <w:tcPr>
            <w:tcW w:w="5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58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01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8970" cy="59016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26, 2022</w:t>
            </w: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27, 2021</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1420" w:type="dxa"/>
            <w:vAlign w:val="bottom"/>
            <w:gridSpan w:val="4"/>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8"/>
              </w:rPr>
              <w:t>thousands, except share</w:t>
            </w:r>
          </w:p>
        </w:tc>
        <w:tc>
          <w:tcPr>
            <w:tcW w:w="92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and per share</w:t>
            </w:r>
          </w:p>
        </w:tc>
        <w:tc>
          <w:tcPr>
            <w:tcW w:w="48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w w:val="89"/>
              </w:rPr>
              <w:t>data)</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10,960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(69,554)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(57,891)</w:t>
            </w: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(3,613)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(2,110)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19,873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26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32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 and total</w:t>
            </w: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3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(2,107)</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(49,681)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(45,472)</w:t>
            </w:r>
          </w:p>
        </w:tc>
      </w:tr>
      <w:tr>
        <w:trPr>
          <w:trHeight w:val="198"/>
        </w:trPr>
        <w:tc>
          <w:tcPr>
            <w:tcW w:w="20" w:type="dxa"/>
            <w:vAlign w:val="bottom"/>
          </w:tcPr>
          <w:p>
            <w:pPr>
              <w:spacing w:after="0"/>
              <w:rPr>
                <w:sz w:val="17"/>
                <w:szCs w:val="17"/>
                <w:color w:val="auto"/>
              </w:rPr>
            </w:pPr>
          </w:p>
        </w:tc>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(loss) per common share –</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Pr>
          <w:p>
            <w:pPr>
              <w:spacing w:after="0"/>
              <w:rPr>
                <w:sz w:val="20"/>
                <w:szCs w:val="20"/>
                <w:color w:val="auto"/>
              </w:rPr>
            </w:pP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r>
      <w:tr>
        <w:trPr>
          <w:trHeight w:val="198"/>
        </w:trPr>
        <w:tc>
          <w:tcPr>
            <w:tcW w:w="20" w:type="dxa"/>
            <w:vAlign w:val="bottom"/>
          </w:tcPr>
          <w:p>
            <w:pPr>
              <w:spacing w:after="0"/>
              <w:rPr>
                <w:sz w:val="17"/>
                <w:szCs w:val="17"/>
                <w:color w:val="auto"/>
              </w:rPr>
            </w:pPr>
          </w:p>
        </w:tc>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per common share –</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0.12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r>
      <w:tr>
        <w:trPr>
          <w:trHeight w:val="198"/>
        </w:trPr>
        <w:tc>
          <w:tcPr>
            <w:tcW w:w="20" w:type="dxa"/>
            <w:vAlign w:val="bottom"/>
          </w:tcPr>
          <w:p>
            <w:pPr>
              <w:spacing w:after="0"/>
              <w:rPr>
                <w:sz w:val="17"/>
                <w:szCs w:val="17"/>
                <w:color w:val="auto"/>
              </w:rPr>
            </w:pPr>
          </w:p>
        </w:tc>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outstanding – basic</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6"/>
              </w:rPr>
              <w:t>59,053,219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45,013,784</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6"/>
              </w:rPr>
              <w:t>48,213,995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w w:val="98"/>
              </w:rPr>
              <w:t>45,013,784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45,013,784</w:t>
            </w:r>
          </w:p>
        </w:tc>
        <w:tc>
          <w:tcPr>
            <w:tcW w:w="26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outstanding –diluted</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59,933,003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45,560,575</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48,213,995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w w:val="98"/>
              </w:rPr>
              <w:t>45,013,784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45,013,784</w:t>
            </w:r>
          </w:p>
        </w:tc>
        <w:tc>
          <w:tcPr>
            <w:tcW w:w="260" w:type="dxa"/>
            <w:vAlign w:val="bottom"/>
            <w:shd w:val="clear" w:color="auto" w:fill="CCEEFF"/>
          </w:tcPr>
          <w:p>
            <w:pPr>
              <w:spacing w:after="0"/>
              <w:rPr>
                <w:sz w:val="20"/>
                <w:szCs w:val="20"/>
                <w:color w:val="auto"/>
              </w:rPr>
            </w:pPr>
          </w:p>
        </w:tc>
      </w:tr>
      <w:tr>
        <w:trPr>
          <w:trHeight w:val="194"/>
        </w:trPr>
        <w:tc>
          <w:tcPr>
            <w:tcW w:w="20" w:type="dxa"/>
            <w:vAlign w:val="bottom"/>
          </w:tcPr>
          <w:p>
            <w:pPr>
              <w:spacing w:after="0"/>
              <w:rPr>
                <w:sz w:val="16"/>
                <w:szCs w:val="16"/>
                <w:color w:val="auto"/>
              </w:rPr>
            </w:pPr>
          </w:p>
        </w:tc>
        <w:tc>
          <w:tcPr>
            <w:tcW w:w="32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Data </w:t>
            </w:r>
            <w:r>
              <w:rPr>
                <w:rFonts w:ascii="Times New Roman" w:cs="Times New Roman" w:eastAsia="Times New Roman" w:hAnsi="Times New Roman"/>
                <w:sz w:val="18"/>
                <w:szCs w:val="18"/>
                <w:color w:val="auto"/>
              </w:rPr>
              <w:t>(in thousands)</w:t>
            </w: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31,812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30,428</w:t>
            </w:r>
          </w:p>
        </w:tc>
        <w:tc>
          <w:tcPr>
            <w:tcW w:w="24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62,971</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(18,364)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21,465</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(26,945)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(19,524)</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(35,682)</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(26,974)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(82,389)</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(3,165)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(1,717)</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(14,271)</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73,314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55,761</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Restaurant sales (in thousands)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352,351</w:t>
            </w:r>
          </w:p>
        </w:tc>
        <w:tc>
          <w:tcPr>
            <w:tcW w:w="3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277,054</w:t>
            </w:r>
          </w:p>
        </w:tc>
        <w:tc>
          <w:tcPr>
            <w:tcW w:w="24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592,343</w:t>
            </w:r>
          </w:p>
        </w:tc>
        <w:tc>
          <w:tcPr>
            <w:tcW w:w="38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337,433</w:t>
            </w:r>
          </w:p>
        </w:tc>
        <w:tc>
          <w:tcPr>
            <w:tcW w:w="4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429,309</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System-wide sales (in thousands)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445,357</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350,596</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750,674</w:t>
            </w:r>
          </w:p>
        </w:tc>
        <w:tc>
          <w:tcPr>
            <w:tcW w:w="3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426,303</w:t>
            </w:r>
          </w:p>
        </w:tc>
        <w:tc>
          <w:tcPr>
            <w:tcW w:w="4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558,397</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Same-restaurant sales growth</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AUV (1) (in thousands)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3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1,119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System-wide restaurants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409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Company-owned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Franchise-owned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 margin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margin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EBITDA(a) (in thousands)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37,153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35,182</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66,301</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(5,744)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38,099</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Margin(a)</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r>
      <w:tr>
        <w:trPr>
          <w:trHeight w:val="198"/>
        </w:trPr>
        <w:tc>
          <w:tcPr>
            <w:tcW w:w="20" w:type="dxa"/>
            <w:vAlign w:val="bottom"/>
          </w:tcPr>
          <w:p>
            <w:pPr>
              <w:spacing w:after="0"/>
              <w:rPr>
                <w:sz w:val="17"/>
                <w:szCs w:val="17"/>
                <w:color w:val="auto"/>
              </w:rPr>
            </w:pPr>
          </w:p>
        </w:tc>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Restaurant level operating profit (in</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thousands)(b)</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66,518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55,990</w:t>
            </w:r>
          </w:p>
        </w:tc>
        <w:tc>
          <w:tcPr>
            <w:tcW w:w="2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115,404</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28,236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74,530</w:t>
            </w:r>
          </w:p>
        </w:tc>
        <w:tc>
          <w:tcPr>
            <w:tcW w:w="26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Restaurant level operating profit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margin(b)</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 expense (income) (2)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(1,807)</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(2,011)</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10,087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260" w:type="dxa"/>
            <w:vAlign w:val="bottom"/>
            <w:shd w:val="clear" w:color="auto" w:fill="CCEEFF"/>
          </w:tcPr>
          <w:p>
            <w:pPr>
              <w:spacing w:after="0"/>
              <w:rPr>
                <w:sz w:val="18"/>
                <w:szCs w:val="18"/>
                <w:color w:val="auto"/>
              </w:rPr>
            </w:pPr>
          </w:p>
        </w:tc>
      </w:tr>
    </w:tbl>
    <w:p>
      <w:pPr>
        <w:spacing w:after="0" w:line="171" w:lineRule="exact"/>
        <w:rPr>
          <w:sz w:val="20"/>
          <w:szCs w:val="20"/>
          <w:color w:val="auto"/>
        </w:rPr>
      </w:pPr>
    </w:p>
    <w:p>
      <w:pPr>
        <w:ind w:left="720" w:hanging="422"/>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unit volume presented for comparable restaurant base on an annual basis only.</w:t>
      </w:r>
    </w:p>
    <w:p>
      <w:pPr>
        <w:spacing w:after="0" w:line="27" w:lineRule="exact"/>
        <w:rPr>
          <w:rFonts w:ascii="Times New Roman" w:cs="Times New Roman" w:eastAsia="Times New Roman" w:hAnsi="Times New Roman"/>
          <w:sz w:val="18"/>
          <w:szCs w:val="18"/>
          <w:color w:val="auto"/>
        </w:rPr>
      </w:pPr>
    </w:p>
    <w:p>
      <w:pPr>
        <w:ind w:left="720" w:right="220" w:hanging="422"/>
        <w:spacing w:after="0" w:line="26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non-cash portion of straight-line rent expense recorded within occupancy expenses and general and administrative expenses on the Consolidated Statements of Operations and Comprehensive Income (Loss).</w:t>
      </w:r>
    </w:p>
    <w:p>
      <w:pPr>
        <w:spacing w:after="0" w:line="3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320" w:top="455" w:right="6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82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200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June 26, 2022</w:t>
            </w:r>
          </w:p>
        </w:tc>
      </w:tr>
      <w:tr>
        <w:trPr>
          <w:trHeight w:val="142"/>
        </w:trPr>
        <w:tc>
          <w:tcPr>
            <w:tcW w:w="4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8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53,566</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78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1,080,248</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debt (c)</w:t>
            </w:r>
          </w:p>
        </w:tc>
        <w:tc>
          <w:tcPr>
            <w:tcW w:w="178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103,479</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78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563,126</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(d)</w:t>
            </w:r>
          </w:p>
        </w:tc>
        <w:tc>
          <w:tcPr>
            <w:tcW w:w="178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(22,851)</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78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517,122</w:t>
            </w:r>
          </w:p>
        </w:tc>
        <w:tc>
          <w:tcPr>
            <w:tcW w:w="100" w:type="dxa"/>
            <w:vAlign w:val="bottom"/>
            <w:shd w:val="clear" w:color="auto" w:fill="CCEEFF"/>
          </w:tcPr>
          <w:p>
            <w:pPr>
              <w:spacing w:after="0"/>
              <w:rPr>
                <w:sz w:val="18"/>
                <w:szCs w:val="18"/>
                <w:color w:val="auto"/>
              </w:rPr>
            </w:pPr>
          </w:p>
        </w:tc>
      </w:tr>
    </w:tbl>
    <w:p>
      <w:pPr>
        <w:spacing w:after="0" w:line="171" w:lineRule="exact"/>
        <w:rPr>
          <w:sz w:val="20"/>
          <w:szCs w:val="20"/>
          <w:color w:val="auto"/>
        </w:rPr>
      </w:pPr>
    </w:p>
    <w:p>
      <w:pPr>
        <w:ind w:left="720" w:right="20" w:hanging="422"/>
        <w:spacing w:after="0" w:line="254"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as presented in this prospectus are supplemental measures of our performance that are neither required by, nor presented in accordance with GAAP. Adjusted EBITDA and Adjusted EBITDA Margin are not measurements of our financial performance under GAAP and should not be considered as an alternative to net income (loss), income (loss) from operations, or any other performance measures derived in accordance with GAAP, or as alternatives to cash flow from operating activities as a measure of our liquidity. Adjusted EBITDA represents net income (loss) before depreciation and amortization, interest expense, income taxes and items that we do not consider in our evaluation of ongoing core operating performance as identified in the reconciliation of net income (loss), the most directly comparable measure under GAAP, to Adjusted EBITDA. Adjusted EBITDA as shown is not adjusted to reflect the impact of pre-opening expenses or deferred rent (income) expense. Adjusted EBITDA Margin represents Adjusted EBITDA as a percentage of total revenues.</w:t>
      </w:r>
    </w:p>
    <w:p>
      <w:pPr>
        <w:spacing w:after="0" w:line="188" w:lineRule="exact"/>
        <w:rPr>
          <w:rFonts w:ascii="Times New Roman" w:cs="Times New Roman" w:eastAsia="Times New Roman" w:hAnsi="Times New Roman"/>
          <w:sz w:val="18"/>
          <w:szCs w:val="18"/>
          <w:color w:val="auto"/>
        </w:rPr>
      </w:pPr>
    </w:p>
    <w:p>
      <w:pPr>
        <w:ind w:left="7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uses Adjusted EBITDA and Adjusted EBITDA Margin (i) as factors in evaluating management’s performance when determining incentive compensation, (ii) to evaluate our operating results and the effectiveness of our business strategies and (iii) internally as benchmarks to compare our performance to that of our competitors. The use of Adjusted EBITDA and Adjusted EBITDA Margin as performance measures permit a comparative assessment of our operating performance relative to our performance based on our GAAP results, while isolating the effects of some items that are either nonrecurring in nature or vary from period to period without any correlation to our ongoing core operating performance.</w:t>
      </w:r>
    </w:p>
    <w:p>
      <w:pPr>
        <w:spacing w:after="0" w:line="187" w:lineRule="exact"/>
        <w:rPr>
          <w:rFonts w:ascii="Times New Roman" w:cs="Times New Roman" w:eastAsia="Times New Roman" w:hAnsi="Times New Roman"/>
          <w:sz w:val="18"/>
          <w:szCs w:val="18"/>
          <w:color w:val="auto"/>
        </w:rPr>
      </w:pPr>
    </w:p>
    <w:p>
      <w:pPr>
        <w:ind w:left="720"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or similar non-GAAP measures are frequently used by securities analysts, investors and other interested parties as supplemental measures of financial performance within our industry. Management believes that Adjusted EBITDA and Adjusted EBITDA Margin provide investors with additional transparency of our operations.</w:t>
      </w:r>
    </w:p>
    <w:p>
      <w:pPr>
        <w:spacing w:after="0" w:line="175" w:lineRule="exact"/>
        <w:rPr>
          <w:rFonts w:ascii="Times New Roman" w:cs="Times New Roman" w:eastAsia="Times New Roman" w:hAnsi="Times New Roman"/>
          <w:sz w:val="18"/>
          <w:szCs w:val="18"/>
          <w:color w:val="auto"/>
        </w:rPr>
      </w:pPr>
    </w:p>
    <w:p>
      <w:pPr>
        <w:ind w:left="720" w:right="2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presentation of Adjusted EBITDA and Adjusted EBITDA Margin should not be construed to imply that our future results will be unaffected by these items. Adjusted EBITDA and Adjusted EBITDA Margin have important limitations as analytical tools, and you should not consider them in isolation or as substitutes for analysis of our results as reported under GAAP. Some of these limitations are:</w:t>
      </w:r>
    </w:p>
    <w:p>
      <w:pPr>
        <w:spacing w:after="0" w:line="81" w:lineRule="exact"/>
        <w:rPr>
          <w:rFonts w:ascii="Times New Roman" w:cs="Times New Roman" w:eastAsia="Times New Roman" w:hAnsi="Times New Roman"/>
          <w:sz w:val="18"/>
          <w:szCs w:val="18"/>
          <w:color w:val="auto"/>
        </w:rPr>
      </w:pPr>
    </w:p>
    <w:p>
      <w:pPr>
        <w:ind w:left="1640" w:right="620" w:hanging="289"/>
        <w:spacing w:after="0" w:line="282" w:lineRule="auto"/>
        <w:tabs>
          <w:tab w:leader="none" w:pos="16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do not reflect our cash expenditures or future requirements for capital expenditures or contractual commitments;</w:t>
      </w:r>
    </w:p>
    <w:p>
      <w:pPr>
        <w:spacing w:after="0" w:line="67"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do not reflect changes in, or cash requirements for our working capital needs;</w:t>
      </w:r>
    </w:p>
    <w:p>
      <w:pPr>
        <w:spacing w:after="0" w:line="130" w:lineRule="exact"/>
        <w:rPr>
          <w:rFonts w:ascii="Times New Roman" w:cs="Times New Roman" w:eastAsia="Times New Roman" w:hAnsi="Times New Roman"/>
          <w:sz w:val="18"/>
          <w:szCs w:val="18"/>
          <w:color w:val="auto"/>
        </w:rPr>
      </w:pPr>
    </w:p>
    <w:p>
      <w:pPr>
        <w:ind w:left="1640" w:right="240" w:hanging="289"/>
        <w:spacing w:after="0" w:line="282" w:lineRule="auto"/>
        <w:tabs>
          <w:tab w:leader="none" w:pos="16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do not adjust for all non-cash income or expense items that are reflected in our Consolidated Statements of Cash Flows;</w:t>
      </w:r>
    </w:p>
    <w:p>
      <w:pPr>
        <w:spacing w:after="0" w:line="67" w:lineRule="exact"/>
        <w:rPr>
          <w:rFonts w:ascii="Times New Roman" w:cs="Times New Roman" w:eastAsia="Times New Roman" w:hAnsi="Times New Roman"/>
          <w:sz w:val="18"/>
          <w:szCs w:val="18"/>
          <w:color w:val="auto"/>
        </w:rPr>
      </w:pPr>
    </w:p>
    <w:p>
      <w:pPr>
        <w:ind w:left="1640" w:right="280" w:hanging="289"/>
        <w:spacing w:after="0" w:line="282" w:lineRule="auto"/>
        <w:tabs>
          <w:tab w:leader="none" w:pos="16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is a non-cash charge, the assets being depreciated will often have to be replaced in the future, Adjusted EBITDA and Adjusted EBITDA Margin do not reflect any cash requirements for such replacements;</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320" w:top="455" w:right="6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7075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8970" cy="67075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40" w:right="500" w:hanging="289"/>
        <w:spacing w:after="0" w:line="282" w:lineRule="auto"/>
        <w:tabs>
          <w:tab w:leader="none" w:pos="1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do not reflect the impact of stock-based compensation on our results of operations;</w:t>
      </w:r>
    </w:p>
    <w:p>
      <w:pPr>
        <w:spacing w:after="0" w:line="67" w:lineRule="exact"/>
        <w:rPr>
          <w:rFonts w:ascii="Times New Roman" w:cs="Times New Roman" w:eastAsia="Times New Roman" w:hAnsi="Times New Roman"/>
          <w:sz w:val="18"/>
          <w:szCs w:val="18"/>
          <w:color w:val="auto"/>
        </w:rPr>
      </w:pPr>
    </w:p>
    <w:p>
      <w:pPr>
        <w:ind w:left="1640" w:right="420" w:hanging="289"/>
        <w:spacing w:after="0" w:line="282" w:lineRule="auto"/>
        <w:tabs>
          <w:tab w:leader="none" w:pos="1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do not reflect the interest expense, or the cash requirements necessary to service interest or principal payments on our debt;</w:t>
      </w:r>
    </w:p>
    <w:p>
      <w:pPr>
        <w:spacing w:after="0" w:line="67" w:lineRule="exact"/>
        <w:rPr>
          <w:rFonts w:ascii="Times New Roman" w:cs="Times New Roman" w:eastAsia="Times New Roman" w:hAnsi="Times New Roman"/>
          <w:sz w:val="18"/>
          <w:szCs w:val="18"/>
          <w:color w:val="auto"/>
        </w:rPr>
      </w:pPr>
    </w:p>
    <w:p>
      <w:pPr>
        <w:ind w:left="1640" w:right="260" w:hanging="289"/>
        <w:spacing w:after="0" w:line="282" w:lineRule="auto"/>
        <w:tabs>
          <w:tab w:leader="none" w:pos="1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do not reflect our income tax expense (benefit) or the cash requirements to pay our income taxes; and</w:t>
      </w:r>
    </w:p>
    <w:p>
      <w:pPr>
        <w:spacing w:after="0" w:line="67" w:lineRule="exact"/>
        <w:rPr>
          <w:rFonts w:ascii="Times New Roman" w:cs="Times New Roman" w:eastAsia="Times New Roman" w:hAnsi="Times New Roman"/>
          <w:sz w:val="18"/>
          <w:szCs w:val="18"/>
          <w:color w:val="auto"/>
        </w:rPr>
      </w:pPr>
    </w:p>
    <w:p>
      <w:pPr>
        <w:ind w:left="1640" w:right="600" w:hanging="289"/>
        <w:spacing w:after="0" w:line="282" w:lineRule="auto"/>
        <w:tabs>
          <w:tab w:leader="none" w:pos="1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and Adjusted EBITDA Margin differently than we do, limiting their usefulness as comparative measures.</w:t>
      </w:r>
    </w:p>
    <w:p>
      <w:pPr>
        <w:spacing w:after="0" w:line="162" w:lineRule="exact"/>
        <w:rPr>
          <w:sz w:val="20"/>
          <w:szCs w:val="20"/>
          <w:color w:val="auto"/>
        </w:rPr>
      </w:pPr>
    </w:p>
    <w:p>
      <w:pPr>
        <w:ind w:left="720" w:right="140"/>
        <w:spacing w:after="0" w:line="266" w:lineRule="auto"/>
        <w:rPr>
          <w:sz w:val="20"/>
          <w:szCs w:val="20"/>
          <w:color w:val="auto"/>
        </w:rPr>
      </w:pPr>
      <w:r>
        <w:rPr>
          <w:rFonts w:ascii="Times New Roman" w:cs="Times New Roman" w:eastAsia="Times New Roman" w:hAnsi="Times New Roman"/>
          <w:sz w:val="18"/>
          <w:szCs w:val="18"/>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76" w:lineRule="exact"/>
        <w:rPr>
          <w:sz w:val="20"/>
          <w:szCs w:val="20"/>
          <w:color w:val="auto"/>
        </w:rPr>
      </w:pPr>
    </w:p>
    <w:p>
      <w:pPr>
        <w:ind w:left="720" w:right="100"/>
        <w:spacing w:after="0" w:line="266" w:lineRule="auto"/>
        <w:rPr>
          <w:sz w:val="20"/>
          <w:szCs w:val="20"/>
          <w:color w:val="auto"/>
        </w:rPr>
      </w:pPr>
      <w:r>
        <w:rPr>
          <w:rFonts w:ascii="Times New Roman" w:cs="Times New Roman" w:eastAsia="Times New Roman" w:hAnsi="Times New Roman"/>
          <w:sz w:val="18"/>
          <w:szCs w:val="18"/>
          <w:color w:val="auto"/>
        </w:rPr>
        <w:t>In evaluating Adjusted EBITDA and Adjusted EBITDA Margin, you should be aware that in the future we may incur expenses similar to those adjusted for in the reconciliation of Net income (loss) and Net income (loss) margin, the most directly comparable GAAP measures, to Adjusted EBITDA and Adjusted EBITDA margin as follows:</w:t>
      </w:r>
    </w:p>
    <w:p>
      <w:pPr>
        <w:spacing w:after="0" w:line="196" w:lineRule="exact"/>
        <w:rPr>
          <w:sz w:val="20"/>
          <w:szCs w:val="20"/>
          <w:color w:val="auto"/>
        </w:rPr>
      </w:pPr>
    </w:p>
    <w:tbl>
      <w:tblPr>
        <w:tblLayout w:type="fixed"/>
        <w:tblInd w:w="72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June 26,</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June 27,</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79"/>
              </w:rPr>
              <w:t>(in thousands)</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7,347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1,763</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(49,681)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(45,472)</w:t>
            </w: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16,623</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15,762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32,379</w:t>
            </w:r>
          </w:p>
        </w:tc>
        <w:tc>
          <w:tcPr>
            <w:tcW w:w="100" w:type="dxa"/>
            <w:vAlign w:val="bottom"/>
          </w:tcPr>
          <w:p>
            <w:pPr>
              <w:spacing w:after="0"/>
              <w:rPr>
                <w:sz w:val="18"/>
                <w:szCs w:val="18"/>
                <w:color w:val="auto"/>
              </w:rPr>
            </w:pPr>
          </w:p>
        </w:tc>
        <w:tc>
          <w:tcPr>
            <w:tcW w:w="10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30,725</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28,027</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12,605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20,099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22,815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20,080</w:t>
            </w: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tcPr>
          <w:p>
            <w:pPr>
              <w:spacing w:after="0"/>
              <w:rPr>
                <w:sz w:val="18"/>
                <w:szCs w:val="18"/>
                <w:color w:val="auto"/>
              </w:rPr>
            </w:pPr>
          </w:p>
        </w:tc>
        <w:tc>
          <w:tcPr>
            <w:tcW w:w="10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(19,873)</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(12,419)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29,715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32,240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52,848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(16,014)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(9,784)</w:t>
            </w:r>
          </w:p>
        </w:tc>
        <w:tc>
          <w:tcPr>
            <w:tcW w:w="0" w:type="dxa"/>
            <w:vAlign w:val="bottom"/>
          </w:tcPr>
          <w:p>
            <w:pPr>
              <w:spacing w:after="0"/>
              <w:rPr>
                <w:sz w:val="1"/>
                <w:szCs w:val="1"/>
                <w:color w:val="auto"/>
              </w:rPr>
            </w:pPr>
          </w:p>
        </w:tc>
      </w:tr>
      <w:tr>
        <w:trPr>
          <w:trHeight w:val="198"/>
        </w:trPr>
        <w:tc>
          <w:tcPr>
            <w:tcW w:w="46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IPO-readiness and strategic transition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costs (1)</w:t>
            </w:r>
          </w:p>
        </w:tc>
        <w:tc>
          <w:tcPr>
            <w:tcW w:w="10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1,179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2,402</w:t>
            </w:r>
          </w:p>
        </w:tc>
        <w:tc>
          <w:tcPr>
            <w:tcW w:w="100" w:type="dxa"/>
            <w:vAlign w:val="bottom"/>
          </w:tcPr>
          <w:p>
            <w:pPr>
              <w:spacing w:after="0"/>
              <w:rPr>
                <w:sz w:val="20"/>
                <w:szCs w:val="20"/>
                <w:color w:val="auto"/>
              </w:rPr>
            </w:pPr>
          </w:p>
        </w:tc>
        <w:tc>
          <w:tcPr>
            <w:tcW w:w="10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10,012</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5,102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8,596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tcPr>
          <w:p>
            <w:pPr>
              <w:spacing w:after="0"/>
              <w:rPr>
                <w:sz w:val="18"/>
                <w:szCs w:val="18"/>
                <w:color w:val="auto"/>
              </w:rPr>
            </w:pPr>
          </w:p>
        </w:tc>
        <w:tc>
          <w:tcPr>
            <w:tcW w:w="108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expenses (income), net (3)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198"/>
        </w:trPr>
        <w:tc>
          <w:tcPr>
            <w:tcW w:w="46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Impairments and loss on disposal of</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assets (4)</w:t>
            </w:r>
          </w:p>
        </w:tc>
        <w:tc>
          <w:tcPr>
            <w:tcW w:w="10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0"/>
                <w:szCs w:val="20"/>
                <w:color w:val="auto"/>
              </w:rPr>
            </w:pPr>
          </w:p>
        </w:tc>
        <w:tc>
          <w:tcPr>
            <w:tcW w:w="10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33,596</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Recruiting and relocation costs (5)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Severance costs (6)</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8"/>
                <w:szCs w:val="18"/>
                <w:color w:val="auto"/>
              </w:rPr>
            </w:pPr>
          </w:p>
        </w:tc>
        <w:tc>
          <w:tcPr>
            <w:tcW w:w="10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COVID-19 – related charges (7)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4,749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37,153</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35,182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66,301</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4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38,099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357,565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281,132</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5"/>
              </w:rPr>
              <w:t>601,193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w w:val="99"/>
              </w:rPr>
              <w:t>342,388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436,373</w:t>
            </w: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margin</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10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 margin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1240" w:right="40" w:hanging="523"/>
        <w:spacing w:after="0" w:line="272" w:lineRule="auto"/>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costs related to the assessment and redesign of our systems and processes. In 2021, the costs also include information technology support and external professional service costs incurred in connection with IPO-readiness efforts. These costs are recorded within general and administrative expenses on the Consolidated Statements of Operations and Comprehensive Income (Loss).</w:t>
      </w:r>
    </w:p>
    <w:p>
      <w:pPr>
        <w:spacing w:after="0" w:line="1" w:lineRule="exact"/>
        <w:rPr>
          <w:rFonts w:ascii="Times New Roman" w:cs="Times New Roman" w:eastAsia="Times New Roman" w:hAnsi="Times New Roman"/>
          <w:sz w:val="17"/>
          <w:szCs w:val="17"/>
          <w:color w:val="auto"/>
        </w:rPr>
      </w:pPr>
    </w:p>
    <w:p>
      <w:pPr>
        <w:ind w:left="1240" w:right="960" w:hanging="523"/>
        <w:spacing w:after="0" w:line="260"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stock-based compensation expense which is recorded in general and administrative expenses on the Consolidated Statements of Operations and Comprehensive Income (Loss).</w:t>
      </w:r>
    </w:p>
    <w:p>
      <w:pPr>
        <w:spacing w:after="0" w:line="3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320" w:top="455" w:right="6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967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8970" cy="49676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60" w:hanging="523"/>
        <w:spacing w:after="0" w:line="254" w:lineRule="auto"/>
        <w:tabs>
          <w:tab w:leader="none" w:pos="12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revaluations of contingent consideration payable to previous stockholders for tax savings generated through the use of federal and state loss carryforwards and general business credits that had been accumulated from operations prior to August 2017, (ii) gains or losses associated with lease or contract terminations, (iii) costs incurred in connection with the acquisition of franchise-owned restaurants, (iv) costs incurred in connection with the conversion of certain restaurants to company-owned restaurants operating under the First Watch trade name and (v) costs related to restaurant closures.</w:t>
      </w:r>
    </w:p>
    <w:p>
      <w:pPr>
        <w:spacing w:after="0" w:line="3" w:lineRule="exact"/>
        <w:rPr>
          <w:rFonts w:ascii="Times New Roman" w:cs="Times New Roman" w:eastAsia="Times New Roman" w:hAnsi="Times New Roman"/>
          <w:sz w:val="18"/>
          <w:szCs w:val="18"/>
          <w:color w:val="auto"/>
        </w:rPr>
      </w:pPr>
    </w:p>
    <w:p>
      <w:pPr>
        <w:ind w:left="1240" w:right="740" w:hanging="523"/>
        <w:spacing w:after="0" w:line="250" w:lineRule="auto"/>
        <w:tabs>
          <w:tab w:leader="none" w:pos="12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impairments recognized on intangible assets and fixed assets as well as costs related to the disposal of assets due to retirements, replacements or certain restaurant closures.</w:t>
      </w:r>
    </w:p>
    <w:p>
      <w:pPr>
        <w:ind w:left="1240" w:right="240" w:hanging="523"/>
        <w:spacing w:after="0" w:line="250" w:lineRule="auto"/>
        <w:tabs>
          <w:tab w:leader="none" w:pos="12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incurred for hiring qualified individuals as we assessed the redesign of our systems and processes. These costs are recorded within general and administrative expenses on the Consolidated Statements of Operations and Comprehensive Income (Loss).</w:t>
      </w:r>
    </w:p>
    <w:p>
      <w:pPr>
        <w:spacing w:after="0" w:line="1" w:lineRule="exact"/>
        <w:rPr>
          <w:rFonts w:ascii="Times New Roman" w:cs="Times New Roman" w:eastAsia="Times New Roman" w:hAnsi="Times New Roman"/>
          <w:sz w:val="18"/>
          <w:szCs w:val="18"/>
          <w:color w:val="auto"/>
        </w:rPr>
      </w:pPr>
    </w:p>
    <w:p>
      <w:pPr>
        <w:ind w:left="1240" w:right="1100" w:hanging="523"/>
        <w:spacing w:after="0" w:line="250" w:lineRule="auto"/>
        <w:tabs>
          <w:tab w:leader="none" w:pos="12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costs are recorded in general and administrative expenses on the Consolidated Statements of Operations and Comprehensive Income (Loss).</w:t>
      </w:r>
    </w:p>
    <w:p>
      <w:pPr>
        <w:ind w:left="1240" w:right="220" w:hanging="523"/>
        <w:spacing w:after="0" w:line="250" w:lineRule="auto"/>
        <w:tabs>
          <w:tab w:leader="none" w:pos="12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costs incurred in connection with the economic impact of the COVID-19 pandemic, which primarily includes inventory obsolescence and spoilage, compensation for employees upon furlough and return from furlough, health insurance costs paid for furloughed employees, net of employee retention credit and costs incurred to amend certain financial commitments.</w:t>
      </w:r>
    </w:p>
    <w:p>
      <w:pPr>
        <w:spacing w:after="0" w:line="1" w:lineRule="exact"/>
        <w:rPr>
          <w:rFonts w:ascii="Times New Roman" w:cs="Times New Roman" w:eastAsia="Times New Roman" w:hAnsi="Times New Roman"/>
          <w:sz w:val="18"/>
          <w:szCs w:val="18"/>
          <w:color w:val="auto"/>
        </w:rPr>
      </w:pPr>
    </w:p>
    <w:p>
      <w:pPr>
        <w:ind w:left="720" w:hanging="422"/>
        <w:spacing w:after="0" w:line="251"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level operating profit and restaurant level operating profit margin are non-GAAP supplemental measures of operating performance of our restaurants that are neither required by, nor presented in accordance with GAAP, and should not be considered as a substitute for analysis of our results as reported under GAAP. Restaurant level operating profit represents restaurant sales less restaurant operating expenses, which include food and beverage costs, labor and other related expenses, other restaurant operating expenses, pre-opening expenses and occupancy expenses. In addition, restaurant level operating profit excludes corporate-level expenses and items that we do not consider in our evaluation of ongoing core operating performance. Restaurant level operating profit and restaurant level operating profit margin are not indicative of our overall results, and because they exclude corporate-level expenses, do not accrue directly to the benefit of our stockholders. We will continue to incur such expenses in the future. Restaurant level operating profit margin represents restaurant level operating profit as a percentage of restaurant sales.</w:t>
      </w:r>
    </w:p>
    <w:p>
      <w:pPr>
        <w:spacing w:after="0" w:line="85" w:lineRule="exact"/>
        <w:rPr>
          <w:rFonts w:ascii="Times New Roman" w:cs="Times New Roman" w:eastAsia="Times New Roman" w:hAnsi="Times New Roman"/>
          <w:sz w:val="18"/>
          <w:szCs w:val="18"/>
          <w:color w:val="auto"/>
        </w:rPr>
      </w:pPr>
    </w:p>
    <w:p>
      <w:pPr>
        <w:ind w:left="7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level operating profit and restaurant level operating profit margin are important measures we use to evaluate the performance and profitability of each operating restaurant, individually and in the aggregate. Additionally, restaurant level operating profit and restaurant level operating profit margin or similar non GAAP financial measures are frequently used by analysts, investors and other interested parties to evaluate companies in our industry. We believe that restaurant level operating profit and restaurant level operating profit margin, when used in conjunction with GAAP financial measures, provide useful information about our operating results, identify operational trends and allow for greater transparency with respect to key metrics used by us in our financial and operational decision making. We use restaurant level operating profit and restaurant level operating profit margin to make decisions regarding future spending and other operational decisions. Our calculations of restaurant level operating profit and restaurant level operating profit margin may not be comparable to similar measures reported by other companies, have limitations as analytical tools and should not be considered as a substitute for the analysis of our results as a whole as reported under GAAP.</w:t>
      </w:r>
    </w:p>
    <w:p>
      <w:pPr>
        <w:spacing w:after="0" w:line="3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20"/>
          </w:cols>
          <w:pgMar w:left="320" w:top="455" w:right="6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8133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8970" cy="48133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60"/>
        <w:spacing w:after="0" w:line="282" w:lineRule="auto"/>
        <w:rPr>
          <w:sz w:val="20"/>
          <w:szCs w:val="20"/>
          <w:color w:val="auto"/>
        </w:rPr>
      </w:pPr>
      <w:r>
        <w:rPr>
          <w:rFonts w:ascii="Times New Roman" w:cs="Times New Roman" w:eastAsia="Times New Roman" w:hAnsi="Times New Roman"/>
          <w:sz w:val="18"/>
          <w:szCs w:val="18"/>
          <w:color w:val="auto"/>
        </w:rPr>
        <w:t>A reconciliation of Income (Loss) from operations and Income (Loss) from operations margin, the most directly comparable GAAP financial measures, to restaurant level operating profit and restaurant level operating profit margin is as follows:</w:t>
      </w:r>
    </w:p>
    <w:p>
      <w:pPr>
        <w:spacing w:after="0" w:line="182" w:lineRule="exact"/>
        <w:rPr>
          <w:sz w:val="20"/>
          <w:szCs w:val="20"/>
          <w:color w:val="auto"/>
        </w:rPr>
      </w:pPr>
    </w:p>
    <w:tbl>
      <w:tblPr>
        <w:tblLayout w:type="fixed"/>
        <w:tblInd w:w="72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June 26,</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June 27,</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12,813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16,157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22,243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(47,222)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(37,556)</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Franchise revenues</w:t>
            </w: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(5,214)</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(8,850)</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(4,955)</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(7,064)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41,505</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27,341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70,388</w:t>
            </w: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46,322</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55,818</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16,623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32,379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30,725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28,027</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expenses (income), net (1)</w:t>
            </w: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(1,156)</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Impairments and loss on disposal of assets (2)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33,596</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COVID-19 – related charges (3)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3,309</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 level operating profit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66,518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55,990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115,404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28,236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74,530</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Restaurant sales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352,351</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277,054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592,343</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337,433</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429,309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 margin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Restaurant level operating profit margin</w:t>
            </w:r>
          </w:p>
        </w:tc>
        <w:tc>
          <w:tcPr>
            <w:tcW w:w="1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240" w:right="80" w:hanging="523"/>
        <w:spacing w:after="0" w:line="254" w:lineRule="auto"/>
        <w:tabs>
          <w:tab w:leader="none" w:pos="12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revaluations of contingent consideration payable to previous stockholders for tax savings generated through the use of federal and state loss carryforwards and general business credits that had been accumulated from operations prior to August 2017, (ii) gains or losses associated with lease or contract terminations, (iii) costs incurred in connection with the acquisition of franchise-owned restaurants, (iv) costs incurred in connection with the conversion of certain restaurants to company-owned restaurants operating under the First Watch trade name and (v) costs related to restaurant closures.</w:t>
      </w:r>
    </w:p>
    <w:p>
      <w:pPr>
        <w:spacing w:after="0" w:line="3" w:lineRule="exact"/>
        <w:rPr>
          <w:rFonts w:ascii="Times New Roman" w:cs="Times New Roman" w:eastAsia="Times New Roman" w:hAnsi="Times New Roman"/>
          <w:sz w:val="18"/>
          <w:szCs w:val="18"/>
          <w:color w:val="auto"/>
        </w:rPr>
      </w:pPr>
    </w:p>
    <w:p>
      <w:pPr>
        <w:ind w:left="1240" w:right="760" w:hanging="523"/>
        <w:spacing w:after="0" w:line="250" w:lineRule="auto"/>
        <w:tabs>
          <w:tab w:leader="none" w:pos="12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impairments recognized on intangible assets and fixed assets as well as costs related to the disposal of assets due to retirements, replacements or certain restaurant closures.</w:t>
      </w:r>
    </w:p>
    <w:p>
      <w:pPr>
        <w:ind w:left="1240" w:right="140" w:hanging="523"/>
        <w:spacing w:after="0" w:line="250" w:lineRule="auto"/>
        <w:tabs>
          <w:tab w:leader="none" w:pos="12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costs incurred in connection with the economic impact of the COVID-19 pandemic, which primarily includes inventory obsolescence and spoilage, compensation for employees upon furlough and return from furlough, and health insurance costs paid for furloughed employees, net of employee retention credit.</w:t>
      </w:r>
    </w:p>
    <w:p>
      <w:pPr>
        <w:spacing w:after="0" w:line="1" w:lineRule="exact"/>
        <w:rPr>
          <w:rFonts w:ascii="Times New Roman" w:cs="Times New Roman" w:eastAsia="Times New Roman" w:hAnsi="Times New Roman"/>
          <w:sz w:val="18"/>
          <w:szCs w:val="18"/>
          <w:color w:val="auto"/>
        </w:rPr>
      </w:pPr>
    </w:p>
    <w:p>
      <w:pPr>
        <w:jc w:val="both"/>
        <w:ind w:left="720" w:right="220" w:hanging="422"/>
        <w:spacing w:after="0" w:line="250"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Total debt includes the current and long-term debt, excluding unamortized debt discount and deferred issuance costs. See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the audited consolidated financial statements incorporated by reference to our Annual Report for additional information. Also, see “Description of Material Indebtedness.”</w:t>
      </w:r>
    </w:p>
    <w:p>
      <w:pPr>
        <w:spacing w:after="0" w:line="1"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working capital as current assets less current liabilities.</w:t>
      </w:r>
    </w:p>
    <w:p>
      <w:pPr>
        <w:spacing w:after="0" w:line="32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0"/>
          </w:cols>
          <w:pgMar w:left="320" w:top="455" w:right="6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You should carefully consider each of the following risk factors, together with the other information contained in this prospectus and the information incorporated by reference herein, including “Management’s Discussion and Analysis of Financial Condition and Results of Operations” as well as the other information set forth under “Risk Factors” contained in our Annual Report and our Quarterly Reports, and our audited consolidated financial statements and related notes contained in our Annual Report, before investing in our common stock. The occurrence of any of the risks described below and under “Risk Factors” in our Annual Report and our Quarterly Reports could materially and adversely affect our business, prospects, financial condition, results of operations and cash flow, in which case the trading price of our common stock could decline and you could lose all or part of your investment. Additional risks and uncertainties not presently known to us or that we currently deem immaterial may also impair our business, prospects, financial condition, results of operations and cash flow. See “Cautionary Note Regarding Forward-Looking Statements.”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have a material adverse effect on the market price of our common stock.</w:t>
      </w:r>
    </w:p>
    <w:p>
      <w:pPr>
        <w:spacing w:after="0" w:line="121"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In the future, we may attempt to obtain financing or to further increase our capital resources by issuing additional shares of our common stock or by offering debt or other equity securities, including senior or subordinated notes, debt securities convertible into equity or shares of preferred stock.</w:t>
      </w:r>
    </w:p>
    <w:p>
      <w:pPr>
        <w:spacing w:after="0" w:line="14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Any future debt financing could involve restrictive covenants relating to our capital-raising activities and other financial and operational matters, which might make it more difficult for us to obtain additional capital and to pursue business opportunities, including potential acquisitions. Moreover, if we issue debt securities, the debt holders would have rights to make claims on our assets senior to the rights of our holders of our common stock. The issuance of additional shares of our common stock or other equity securities or securities convertible into equity may dilute the economic and voting rights of our existing stockholders or reduce the market price of our common stock or both. Debt securities convertible into equity could be subject to adjustments in the conversion ratio pursuant to which certain events may increase the number of equity securities issuable upon conversion. Preferred shares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have a material adverse effect on the amount, timing, or nature of our future offerings. Thus, holders of our common stock bear the risk that our future offerings may reduce the market price of our common stock and dilute their stockholdings in us.</w:t>
      </w:r>
    </w:p>
    <w:p>
      <w:pPr>
        <w:spacing w:after="0" w:line="298"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ownership of our common stock continues to be highly concentrated, it may prevent you and other minority stockholders from influencing significant corporate decisions and may result in conflicts of interest.</w:t>
      </w:r>
    </w:p>
    <w:p>
      <w:pPr>
        <w:spacing w:after="0" w:line="5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Following the closing of this offering, Advent will indirectly beneficially own approximately 71.5% of our outstanding common stock, or approximately 70.4% if the underwriters’ option to purchase additional shares is fully exercised. As a result, Advent will beneficially own shares sufficient for majority votes over all matters requiring stockholder votes, including: the election of directors; mergers, consolidations and acquisitions; the sale of all or substantially all of our assets and other decisions affecting our capital structure; amendments to our certificate of incorporation or our bylaws; and our winding up and dissolution.</w:t>
      </w:r>
    </w:p>
    <w:p>
      <w:pPr>
        <w:spacing w:after="0" w:line="183"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This concentration of ownership may delay, deter or prevent acts that would be favored by our other stockholders. The interests of Advent may not always coincide with our interests or the interests of our other stockholders. This concentration of ownership may also have the effect of delaying, preventing or deterring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change in control of us. Also, Advent may seek to cause us to take courses of action that, in its judgment, could enhance its investment in us, but which might involve risks to our other stockholders or adversely affect us or our other stockholders, including investors in this offering. As a result, the market price of our common stock could decline or stockholders might not receive a premium over the then-current market price of our common stock upon a change in control. In addition, this concentration of share ownership may adversely affect the trading price of our common stock because investors may perceive disadvantages in owning shares in a company with significant stockholders. See “Principal and Selling Stockholders” and “Description of Capital Stock — Anti-takeover Provisions.”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 a controlled company, we are not subject to all of the corporate governance rules of Nasdaq.</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are considered a “controlled company” under the rules of Nasdaq. Controlled companies are exempt from the corporate governance rules requiring that listed companies have (i) a majority of the board of directors (the “Board”) consist of “independent” directors under the listing standards of Nasdaq, (ii) independent director oversight of director nominations and (iii) a compensation committee composed entirely of independent directors. Although we are eligible to use some or all of these exemptions, our Board is comprised of a majority of independent directors, and our nominating and corporate governance committee and compensation committee consist entirely of independent directors. However, if we are to use some or all of these exemptions in the future, you may not have the same protections afforded to stockholders of companies that are subject to all of the corporate governance requirements of Nasdaq. See “Management.”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dividends on our common stock in the foreseeable future.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do not expect to declare or pay any cash or other dividends in the foreseeable future on our common stock because we intend to use cash flow generated by operations to grow our business. FWR Holding Corporation, our wholly-owned indirect subsidiary, is the borrower under the New Credit Agreement (as defined in “Description of Material Indebtedness”). The New Credit Agreement restricts FWR Holding Corporation’s ability to pay cash dividends and, because we are a holding company that does not conduct any business operations of our own, our ability to pay cash dividends on our common stock is dependent upon cash dividends and distributions and other transfers from our subsidiaries, including FWR Holding Corporation. We or our subsidiaries may also enter into other credit agreements or other borrowing arrangements in the future that restrict or limit our ability to pay cash dividends on our common stock. As a result, you may not receive any return on an investment in our common stock unless you sell our common stock for a price greater than that which you paid for it. See “Dividend Policy.”</w:t>
      </w:r>
    </w:p>
    <w:p>
      <w:pPr>
        <w:spacing w:after="0" w:line="296"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results of operations may fluctuate significantly and could fall below the expectations of securities analysts and investors due to seasonality and other factors, some of which are beyond our control, resulting in a decline in our stock price.</w:t>
      </w:r>
    </w:p>
    <w:p>
      <w:pPr>
        <w:spacing w:after="0" w:line="5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quarterly results of operations may fluctuate due principally to seasonal factors and the timing of holidays. Accordingly, results for any one quarter are not necessarily indicative of results to be expected for any other quarter or for any year and same-restaurant sales growth for any particular future period may decrease. In addition, as we expand our number of restaurants in cold weather climates, the seasonality of our business may be amplified. In the future, results of operations may fall below the expectations of securities analysts and investors. In that event, the price of our common stock could be adversely impacted.</w:t>
      </w:r>
    </w:p>
    <w:p>
      <w:pPr>
        <w:spacing w:after="0" w:line="28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5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a “smaller reporting company” as defined under the rules promulgated under the Securities Act. As an emerging growth company and a smaller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reporting company, we may follow reduced disclosure requirements and do not have to make all of the disclosures that public companies that are not emerging growth companies or smaller reporting companies do. To the extent that we continue to qualify as a “smaller reporting company,” as such term is defined in Rule 12b-2 under the Exchange Act, after we cease to qualify as an emerging growth company, we will continue to be permitted to make certain reduced disclosures in our periodic reports and other documents that we file with the SEC.</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As a result of our decision to avail ourselves of certain provisions of the JOBS Act, the information that we provide may be different from what you may receive from other public companies in which you hold an equity interest. We cannot predict if investors will find our common stock less attractive as a result of our decision to take advantage of some or all of the reduced disclosure requirements available to emerging growth companies or smaller reporting companies. If some investors find our common stock less attractive as a result, there may be a less active trading market for our common stock and our stock price may be more volatile.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inaccurate or unfavorable research about our business, our stock price and trading volume could decline.</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If one or more analysts ceases coverage of our company or fails to publish reports on us regularly, we could lose visibility in the financial markets, which in turn could cause our stock price or trading volume to decline. Moreover, if our results of operations do not meet the expectations of the investor community, or one or more of the analysts who cover our company downgrade our stock, our stock price could decline. As a result, you may not be able to sell shares of our common stock at prices equal to or greater than the price of common stock sold in this offering.</w:t>
      </w:r>
    </w:p>
    <w:p>
      <w:pPr>
        <w:spacing w:after="0" w:line="287"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may be volatile, which could result in rapid and substantial losses for our stockholders, and you may lose all or part of your investment.</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Shares of our common stock sold in this offering may experience significant volatility on Nasdaq. An active, liquid and orderly market for our common stock may not be sustained, which could depress the trading price of our common stock or cause it to be highly volatile or subject to wide fluctuations. The market price of our common stock may fluctuate or may decline significantly in the future and you could lose all or part of your investment. Some of the factors that could negatively affect our share price or result in fluctuations in the price or trading volume of our common stock include:</w:t>
      </w:r>
    </w:p>
    <w:p>
      <w:pPr>
        <w:spacing w:after="0" w:line="89"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or annual results of operations;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earnings estimates (if provided) or differences between our actual results of operations and those expected by investors and analysts;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customer traffic due to illness, quarantine or government or self-imposed restrictions placed on our restaurants’ operations;</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spending behaviors (e.g. continued practice of social distancing, decrease in consumer confidence in general macroeconomic conditions and a decrease in consumer discretionary spending);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contents of published research reports about us or our industry or the failure of securities analysts to cover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increased indebtedness we may incur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others and developments affecting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stockholders;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judicial pronouncements interpreting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or reports by the press or investment community with respect to us or our industry in general;</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dispositions, strategic relationships, joint ventures or capital commitments; and</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political and economic conditions, including local conditions in the markets in which we operate, as well as global geopolitical tensions.</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These broad market and industry factors may decrease the market price of our common stock, regardless of our actual financial performance. The stock market in general has from time to time experienced extreme price and volume fluctuations,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 which could have a material adverse effect on our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could be negatively affected by sales of substantial amounts of our common stock in the public markets.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After this offering, we will have 59,080,348 shares of common stock outstanding. Of our issued and outstanding shares, all of the shares of common stock sold in this offering is freely transferable, except for any shares held by our “affiliates,” as that term is defined in Rule 144 under the Securities Act. Following the closing of this offering, approximately 71.5% of our outstanding common stock, or approximately 70.4% if the underwriters exercise their option to purchase additional shares in full, will be indirectly beneficially owned by Advent, and can be resold into the public markets in the future in accordance with the requirements of Rule 144. See “Shares Eligible For Future Sale.”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certain of our officers, directors and the selling stockholders have agreed, subject to specified exceptions, not to directly or indirectly:</w:t>
      </w:r>
    </w:p>
    <w:p>
      <w:pPr>
        <w:spacing w:after="0" w:line="131" w:lineRule="exact"/>
        <w:rPr>
          <w:sz w:val="20"/>
          <w:szCs w:val="20"/>
          <w:color w:val="auto"/>
        </w:rPr>
      </w:pPr>
    </w:p>
    <w:p>
      <w:pPr>
        <w:ind w:left="1080" w:right="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offer, contract or grant any option to sell (including any short sale), pledge, transfer, establish an open “put equivalent position” within the meaning of Rule 16a-1(h) under the Exchange Act,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dispose of any shares of common stock, options or warrants to acquire shares of common stock, or securities exchangeable or exercisable for or convertible into shares of common stock currently or hereafter owned either of record or beneficially,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 intention to do any of the foregoing for a period of 75 days after the date of this prospectus without the prior written</w:t>
      </w:r>
    </w:p>
    <w:p>
      <w:pPr>
        <w:spacing w:after="0" w:line="27" w:lineRule="exact"/>
        <w:rPr>
          <w:sz w:val="20"/>
          <w:szCs w:val="20"/>
          <w:color w:val="auto"/>
        </w:rPr>
      </w:pPr>
    </w:p>
    <w:p>
      <w:pPr>
        <w:ind w:left="1080"/>
        <w:spacing w:after="0"/>
        <w:tabs>
          <w:tab w:leader="none" w:pos="2760" w:val="left"/>
        </w:tabs>
        <w:rPr>
          <w:sz w:val="20"/>
          <w:szCs w:val="20"/>
          <w:color w:val="auto"/>
        </w:rPr>
      </w:pPr>
      <w:r>
        <w:rPr>
          <w:rFonts w:ascii="Times New Roman" w:cs="Times New Roman" w:eastAsia="Times New Roman" w:hAnsi="Times New Roman"/>
          <w:sz w:val="18"/>
          <w:szCs w:val="18"/>
          <w:color w:val="auto"/>
        </w:rPr>
        <w:t>consent of</w:t>
      </w:r>
      <w:r>
        <w:rPr>
          <w:sz w:val="20"/>
          <w:szCs w:val="20"/>
          <w:color w:val="auto"/>
        </w:rPr>
        <w:tab/>
      </w:r>
      <w:r>
        <w:rPr>
          <w:rFonts w:ascii="Times New Roman" w:cs="Times New Roman" w:eastAsia="Times New Roman" w:hAnsi="Times New Roman"/>
          <w:sz w:val="16"/>
          <w:szCs w:val="16"/>
          <w:color w:val="auto"/>
        </w:rPr>
        <w:t>.</w:t>
      </w:r>
    </w:p>
    <w:p>
      <w:pPr>
        <w:spacing w:after="0" w:line="207"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This restriction terminates after the close of trading of the common stock on and including the 75th day after the date of this prospectus. BofA Securities, Inc., Goldman Sachs &amp; Co. LLC and Jefferies LLC may, in their sole discretion and at any time or from time to time before the termination of the 75-day period release all or any portion of the securities subject to lock-up agreements. See “Underwriting — No Sales of Similar Securities.”</w:t>
      </w:r>
    </w:p>
    <w:p>
      <w:pPr>
        <w:spacing w:after="0" w:line="158"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or the possibility that such sales may occur, may cause the market price of our common stock to decrease. A decline in the price of our common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might impede our ability to raise capital through the issuance of additional common stock or other equity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future issuance of additional common stock in connection with the 2021 Plan and the 2017 Plan will dilute all other stockholdings.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an aggregate of 232,647,460 shares of common stock authorized but unissued and not reserved for issuance under the 2021 Plan and 2017 Plan. Additionally, the 2021 Plan contains an “evergreen provision,” pursuant to which the aggregate number of shares available for issuance under the plan will automatically increase on the first day of each fiscal year, beginning in fiscal 2023. While we do not intend to grant any further awards under the 2017 Plan, we may issue all the shares underlying the awards granted under the 2017 Plan and all of the shares authorized for issuance under the 2021 Plan without any action or approval by our stockholders, subject to certain exceptions. Any common stock issued in connection with the 2021 Plan or the 2017 Plan would dilute the ownership percentage held by existing stockholders.</w:t>
      </w:r>
    </w:p>
    <w:p>
      <w:pPr>
        <w:spacing w:after="0" w:line="291" w:lineRule="exact"/>
        <w:rPr>
          <w:sz w:val="20"/>
          <w:szCs w:val="20"/>
          <w:color w:val="auto"/>
        </w:rPr>
      </w:pPr>
    </w:p>
    <w:p>
      <w:pPr>
        <w:ind w:left="120"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our tax obligations and effective tax rate and realization of our deferred tax assets may result in volatility of our results of operations.</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income taxes in various U.S. jurisdictions. We record tax expense based on our estimates of future payments, which may in the future include reserves for uncertain tax positions in multiple tax jurisdictions, and valuation allowances related to certain net deferred tax assets. At any one time, many tax years may be subject to audit by various taxing jurisdictions. The results of these audits and negotiations with taxing authorities may affect the ultimate settlement of these issues. We expect that throughout the year there could be ongoing variability in our quarterly tax rates as events occur and exposures are evaluated.</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our effective tax rate in a given financial reporting period may be materially impacted by a variety of factors including, but not limited to, changes in the mix and level of earnings, varying tax rates in the different jurisdictions in which we operate, fluctuations in the valuation allowance or by changes to existing accounting rules or regulations. Further, tax laws are subject to change, including as provided in recently enacted U.S. tax legislation, which, among other things, included a 15% minimum tax on the adjusted financial statement income of certain corporations.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Other new legislation may be enacted in the future that could negatively impact our current or future tax structure and effective tax rates. We are currently unable to predict whether such changes will occur. If such changes are enacted or implemented, we are currently unable to predict the ultimate impact on our business.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This prospectus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“Part II. Item 7. Management’s Discussion and Analysis of Financial Condition and Results of Operations” in our Annual Report and “Part I. Item 2. Management’s Discussion and Analysis of Financial Condition and Results of Operations” in our Quarterly Reports.</w:t>
      </w:r>
    </w:p>
    <w:p>
      <w:pPr>
        <w:spacing w:after="0" w:line="168"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89"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the COVID-19 pandemic or other infectious diseases;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ongoing hostility between Russia and Ukraine and the related impact on macroeconomic conditions, including inflation, as a result of such conflict or other related events;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vulnerability to changes in economic conditions and consumer preferences;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open new restaurants or establish new markets; our inability to effectively manage our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negative impacts on sales at our and our franchisees’ restaurants as a result of our opening new restaurants;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visitors to any of the retail centers, lifestyle centers, or entertainment centers where our restaurants are located;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expected same-restaurant sales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marketing programs and limited time new offerings;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of food;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unprofitability or closure of new restaurants or lower than previously experienced performance in existing restaurants;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effectively for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financial performance of our franchisees;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control over our franchisees’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good relationships with our franchisees;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 with our franchisees;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our system-wide restaurant base in the southeast portion of the United States; damage to our reputation and negative publicity;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or failure to recognize, respond to and effectively manage the accelerated impact of social media;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number of suppliers and distributors for several of our frequently used ingredients;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system failures or breaches of our network security;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federal and state laws and regulations relating to privacy, data protection, advertising and consumer protection, or the expansion of current or the enactment of new laws or regulations relating to privacy, data protection, advertising and consumer protection;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liability with respect to our gift cards under the property laws of some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enforce and maintain our trademarks and protect our other intellectual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with respect to intellectual property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executive officers and certain other key employees;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identify qualified individuals for our workforce;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obtain or to properly verify the employment eligibility of our employees;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our corporate culture as we grow;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unionization activities among our employees;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labor law proceedings;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or increased labor costs or health care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leasing property subject to long-term and non-cancelable leases;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sale of alcoholic beverages;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our internal controls over financial reporting;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costly and complex compliance with federal, state and local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applicable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vulnerability to natural disasters, unusual weather conditions, pandemic outbreaks, political events, war and terrorism;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additional capital to support business growth;</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failure to comply with covenants under the New Credit Agreement (as defined in “Description of Material Indebtedness”);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of Advent may differ from those of public stockholders.</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See “Risk Factors” for a further description of these and other factors. For the reasons described above, we caution you against relying on any forward-looking statements, which should also be read in conjunction with the other cautionary statements that are included elsewhere in this prospectus. Any forward-looking statement made by us in this prospectus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320" w:top="455" w:right="5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All shares of our common stock offered by this prospectus will be sold by the selling stockholders. We will not receive any proceeds from the sale of shares of common stock by the selling stockholders. We have agreed to pay certain expenses related to this offering, which we estimate to be approximately $1,500,000.</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5"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do not currently intend to pay cash dividends on our common stock in the foreseeable future. However, in the future, subject to the factors described below and our future liquidity and capitalization, we may change this policy and choose to pay dividends.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a holding company that does not conduct any business operations of our own. As a result, our ability to pay cash dividends on our common stock is dependent upon cash dividends and distributions and other transfers from our subsidiaries, including FWR Holding Corporation. The ability of FWR Holding Corporation to pay dividends is currently restricted by the terms of the New Credit Agreement (as defined in “Description of Material Indebtedness”). We may also enter into other credit agreements or other borrowing arrangements in the future that restrict or limit our ability to pay cash dividends on our common stock.</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under Delaware law, our Board may declare dividends only to the extent of our surplus (which is defined as total assets at fair market value minus total liabilities, minus statutory capital) or, if there is no surplus, out of our net profits for the then current and/or immediately preceding fiscal year.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future determination to pay dividends will be at the discretion of our Board and will take into account:</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ability of FWR Holding Corporation to pay dividends in the New Credit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business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earnings, financial condition, and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restrictions;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factors as our Board may deem relevant.</w:t>
      </w:r>
    </w:p>
    <w:p>
      <w:pPr>
        <w:spacing w:after="0" w:line="225"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See “Risk Factors — Risks Related to this Offering and Ownership of Our Common Stock — We do not anticipate paying any dividends on our common stock in the foreseeable future,” “Description of Material Indebtedness,” and “Description of Capital Stock” appearing elsewhere in this prospectus, “Part II. Item 7. Management’s Discussion and Analysis of Financial Condition and Results of Operations — Liquidity and Capital Resources” in our Annual Report and “Part I. Item 2. Management’s Discussion and Analysis of Financial Condition and Results of Operations — Results of Operations — Liquidity and Capital Resources” in our Quarterly Reports.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names and ages, as of June 26, 2022, of the individuals who will serve as our executive officers and members of our Board at the time of the offering.</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4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220" w:type="dxa"/>
            <w:vAlign w:val="bottom"/>
          </w:tcPr>
          <w:p>
            <w:pPr>
              <w:spacing w:after="0"/>
              <w:rPr>
                <w:sz w:val="19"/>
                <w:szCs w:val="19"/>
                <w:color w:val="auto"/>
              </w:rPr>
            </w:pPr>
          </w:p>
        </w:tc>
        <w:tc>
          <w:tcPr>
            <w:tcW w:w="5280" w:type="dxa"/>
            <w:vAlign w:val="bottom"/>
          </w:tcPr>
          <w:p>
            <w:pPr>
              <w:ind w:left="236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13"/>
        </w:trPr>
        <w:tc>
          <w:tcPr>
            <w:tcW w:w="4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A. Tomasso</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Borders>
              <w:top w:val="single" w:sz="8" w:color="CCEEFF"/>
            </w:tcBorders>
            <w:shd w:val="clear" w:color="auto" w:fill="CCEEFF"/>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Henry Melville Hope, III</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Wolszczak</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Legal Officer, General Counsel and Secretary</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Daniel Jones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Operations Officer</w:t>
            </w: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Hartman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Laura Sorensen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People Officer</w:t>
            </w: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Calum Middleton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Strategy Officer</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Ralph Alvarez</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and Chairman of the Board</w:t>
            </w: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Julie M.B. Bradley</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Tricia Glynn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Kussell</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Stephanie Lilak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Lisa Price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White</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Christopher A. Tomasso</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Mr. Tomasso has served as a director since December 2019, and has served as our President and Chief Executive Officer since August 2017 and December 2019, respectively. Mr. Tomasso has also served as director, president and chief executive officer of First Watch Restaurants, Inc., a wholly-owned subsidiary of the Company, since October 2017, December 2015 and June 2018, respectively. In addition, Mr. Tomasso served as chief marketing officer of First Watch Restaurants, Inc. from August 2006 to December 2015.</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Tomasso’s management, investment, marketing, and corporate strategy expertise make him well qualified to serve as a director.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Henry Melville Hope, III</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Mr. Hope has served as our Chief Financial Officer and Treasurer since December 2019. Mr. Hope has also served as chief financial officer, executive vice president and treasurer of First Watch Restaurants, Inc., a wholly-owned subsidiary of the Company, since July 2018, and as a director of First Watch Restaurants, Inc. since June 2021. Prior to joining us, Mr. Hope served as managing director and chief operating officer of Genesis Real Estate Advisers, LLC from March 2016 to August 2018, as managing director of Blue Plate Development and Consulting, LLC from May 2014 to February 2016 and as chief financial officer of Popeyes Louisiana Kitchen, Inc. from February 2008 to May 2014.</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Jay Wolszczak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Wolszczak has served as our Chief Legal Officer since May 2022 and as our General Counsel and Secretary since December 2019.</w:t>
      </w:r>
    </w:p>
    <w:p>
      <w:pPr>
        <w:spacing w:after="0" w:line="27"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Mr. Wolszczak has also served as chief legal officer, general counsel and secretary of First Watch Restaurants, Inc., a wholly-owned subsidiary of the Company, since May 2018. Previously, Mr. Wolszczak worked at Hard Rock Café International (USA), Inc. from October 1997 to April 2018 where he most recently served as general counsel.</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John Daniel Jones</w:t>
      </w:r>
    </w:p>
    <w:p>
      <w:pPr>
        <w:spacing w:after="0" w:line="121"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Mr. Jones has served as our Chief Operations Officer since October 2021. Prior thereto, Mr. Jones served as chief operating officer of CAVA Mezze Grill from August 2016 to September 2021 and worked at Starbucks Coffee Co. from August 2002 to August 2016, where he most recently served as regional director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Eric Hartman</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Mr. Hartman has served as Chief Development Officer of First Watch Restaurants, Inc., a wholly-owned subsidiary of the Company, since November 2016. In addition, Mr. Hartman founded the business SEVA Development Services LLC and served as its president from January 2014 to November 2016, and worked at Bloomin’ Brands, Inc. from August 2001 to January 2014 where he most recently served as vice president of real estate and development.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Laura Sorensen</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Ms. Sorensen has served as Chief People Officer of First Watch Restaurants, Inc., a wholly-owned subsidiary of the Company, since August 2016. Prior to joining us, Ms. Sorensen worked at Darden Restaurants from June 2010 to August 2016 where she most recently served as senior vice president of human resources for LongHorn Steakhouse.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Calum Middleton</w:t>
      </w:r>
    </w:p>
    <w:p>
      <w:pPr>
        <w:spacing w:after="0" w:line="121" w:lineRule="exact"/>
        <w:rPr>
          <w:sz w:val="20"/>
          <w:szCs w:val="20"/>
          <w:color w:val="auto"/>
        </w:rPr>
      </w:pPr>
    </w:p>
    <w:p>
      <w:pPr>
        <w:jc w:val="both"/>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Mr. Middleton has served as Chief Strategy Officer of First Watch Restaurants, Inc., a wholly-owned subsidiary of the Company, since June 2021. Mr. Middleton also served as senior vice president of finance of First Watch Restaurants, Inc. from January 2019 to June 2021, vice president of finance from February 2018 to January 2019 and director of financial planning &amp; analysis of First Watch Restaurants, Inc. from March 2015 to February 2018.</w:t>
      </w:r>
    </w:p>
    <w:p>
      <w:pPr>
        <w:spacing w:after="0" w:line="2"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Prior to joining us, he worked at Star2Star Communications, LLC from November 2012 to January 2015 where he most recently served as senior vice president of financial planning and analysis.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Ralph Alvarez</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Mr. Alvarez has served as a director and as chairman of the Board since December 2019. Mr. Alvarez has served as an operating partner of Advent since July 2017. Previously, Mr. Alvarez served as the executive chairman of Skylark Co., Ltd. from January 2013 to March 2018, as a director of Realogy Holdings Corp. from August 2013 until May 2018 and as a director of Dunkin’ Brands Group from May 2012 until December 2020. Mr. Alvarez currently serves as a director of Lowe’s Companies, Inc., Traeger, Inc. and Eli Lilly &amp; Company.</w:t>
      </w:r>
    </w:p>
    <w:p>
      <w:pPr>
        <w:spacing w:after="0" w:line="1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Mr. Alvarez’s qualifications to serve on our Board include his extensive management expertise and leadership experience on several boards of directors across multiple industries.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Julie M.B. Bradley</w:t>
      </w:r>
    </w:p>
    <w:p>
      <w:pPr>
        <w:spacing w:after="0" w:line="121"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Ms. Bradley has served as a director since January 2020. Ms. Bradley served as chief financial officer, chief accounting officer and treasurer of TripAdvisor, Inc. from 2011 to 2015. Ms. Bradley served as a director of Constant Contact, Inc. from 2015 to 2016, as a director of Wayfair Inc. from 2012 to May 2021, and as a director of Blue Apron Holdings, Inc. from 2015 to October 2020. Ms. Bradley currently serves as a director of GoodRx Holdings, Inc. since August 2020, of ContextLogic Inc. since October 2020 and of BitSight Technologies, Inc. since April 2022.</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Ms. Bradley’s qualifications to serve on our Board include her extensive operational and financial management and leadership expertise in public companies.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Tricia Glynn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Ms. Glynn has served as a director since August 2017. Ms. Glynn has also served as a managing director of Advent since October 2016 and as a director of Olaplex, Inc. since January 2020 and Orveon, Inc. since December 2021. Previously, she served as principal of Bain Capital Private Equity from August 2004 to July 2016. Ms. Glynn served as a director of lululemon athletica inc. from August 2017 to June 2021 and of Burlington Stores, Inc. from August 2012 to June 2018.</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Ms. Glynn’s qualifications to serve on our Board include her extensive management, investment, and leadership expertise in public companies.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William Kussell</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Mr. Kussell has served as a director since December 2019. He has served as an operating partner of Advent since February 2010. Mr. Kussell served as chairman of the board of directors of Bojangles’, Inc. from August 2011 to January 2019, and as a director of Extended Stay America, Inc. from June 2010 until June 2016.</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Mr. Kussell’s qualifications to serve on our Board include his extensive management expertise and leadership experience on boards of directors across multiple industries.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Stephanie Lilak</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Ms. Lilak has served as a director since June 2022. Ms. Lilak has served as the chief people officer of Bumble Inc., an online dating application, since November 2021. Previously, Ms. Lilak was senior vice president, chief human resources officer at Dunkin’ Brands Group, Inc. from July 2019 to November 2021. Prior to Dunkin’ Brands, Ms. Lilak spent 23 years with General Mills Inc., in roles of increasing responsibility. She served as vice president, human resources for the North America Retail Segment from January 2016 until July 2019.</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Ms. Lilak’s qualifications to serve on our Board include her extensive human resources management experience and leadership expertise.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Lisa Price</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Ms. Price has served as a director since September 2020. Ms. Price founded the haircare and beauty products company Carol’s Daughter in 1993, which was acquired by L’Oreal in 2014. Ms. Price continues to hold an executive role helping with product development, marketing and creative direction of Carol’s Daughter.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Ms. Price’s qualifications to serve on our Board include her extensive management experience and leadership expertise.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Michael White</w:t>
      </w:r>
    </w:p>
    <w:p>
      <w:pPr>
        <w:spacing w:after="0" w:line="121"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Mr. White has served as a director since April 2019. He has served as principal of Advent since January 2021. Previously, Mr. White served as vice president of Advent from January 2019 to January 2021 and vice president of TPG Inc., a leading global alternative asset manager, from August 2016 to December 2018. Mr. White has served as a director of Olaplex, Inc. since January 2020 and Orveon, Inc. since December 2021.</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White’s qualifications to serve on our Board include his extensive investment and management expertise.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business and affairs are managed by or under the direction of our Board. Our amended and restated certificate of incorporation provides that the total number of directors constituting our Board shall be at least one, or such larger number as may be fixed from time to time by resolution of at least a majority of directors then in office. Contemporaneously with this offering, our Board is currently composed of 8 directors.</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is divided into three classes, with one class being elected at each annual meeting of stockholders. Each class is as nearly equal in number as possible, with one class being elected each year to serve a staggered three-year term. The Class I directors, whose terms will expire at the 2025 Annual Meeting of Stockholders, are William Kussell, Stephanie Lilak and Lisa Price. The Class II directors, whose terms will expire at the 2023 Annual Meeting of Stockholders, are Julie M.B. Bradley and Michael White. The Class III directors, whose terms will expire at the 2024 Annual Meeting of Stockholders, are Ralph Alvarez, Tricia Glynn and Christopher A. Tomasso. See “Description of Capital Stock — Anti-takeover Provisions.”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 and Controlled Company Exemption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considered a “controlled company” within the meaning of Nasdaq rules. “Controlled companies” under those rules are companies of which more than 50% of the voting power for the election of directors is held by an individual, a group or another company. On this basis, we have availed ourselves of the “controlled company” exemption under the corporate governance rules of Nasdaq. Accordingly, we are not required to have a majority of “independent directors” on our Board as defined under the rules of Nasdaq nor are we required to have a compensation committee and a nominating and corporate governance committee composed entirely of independent directors. The “controlled company” exemption does not modify the independence requirements for the audit committee, which require that our audit committee be composed of at least three members, a majority of whom were required to be independent within 90 days of our IPO, and each of whom must be independent within one year of our IPO. Notwithstanding the availability of the controlled company exemption, our Board is composed of a majority of independent directors and our compensation committee and nominating and corporate governance committee are composed entirely of independent directors. Our Board has affirmatively determined that each of Ralph Alvarez, Julie M.B. Bradley, Tricia Glynn, William Kussell, Stephanie Lilak, Lisa Price and Michael White are independent directors under the applicable rules of Nasdaq. Christopher A. Tomasso, our President and CEO, is not considered an independent director under Nasdaq rules.</w:t>
      </w:r>
    </w:p>
    <w:p>
      <w:pPr>
        <w:spacing w:after="0" w:line="19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If at any time we cease to be a “controlled company” under the rules of Nasdaq, our Board will take all action necessary to comply with Nasdaq corporate governance rules, including as applicable appointing a majority of independent directors to the Board and establishing certain committees composed entirely of independent directors, subject to a permitted “phase-in” period.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Board has established an audit committee, compensation committee, and a nominating and corporate governance committee. Each committee operates under a charter that has been approved by our Board and has the composition and responsibilities described below. Members serve on these committees until their resignations or until otherwise determined by our Board. The charter of each committee is available on our website.</w:t>
      </w:r>
    </w:p>
    <w:p>
      <w:pPr>
        <w:spacing w:after="0" w:line="172"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The primary purposes of our audit committee are to produce the annual report of the audit committee required by the rules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 and assist the Board’s oversight of the accounting and financial reporting processes of the Company and the Company’s compliance with legal and regulatory requirements, including:</w:t>
      </w:r>
    </w:p>
    <w:p>
      <w:pPr>
        <w:spacing w:after="0" w:line="80"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audits of our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of our financial statements;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process relating to risk management and the conduct and systems of internal controls over financial reporting and disclosure controls and procedures;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engagement, compensation, independence and performance of our independent auditor, and the independent auditor’s conduct of the annual audit of the Company’s financial statements and any other services provided to the Company;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internal audit function.</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audit committee is currently composed of Ralph Alvarez, Julie M.B. Bradley, William Kussell, Stephanie Lilak and Michael White. Julie M.B. Bradley serves as chairperson of the audit committee. Each of Ralph Alvarez, Julie M.B. Bradley and Michael White qualifies as an “audit committee financial expert” as such term has been defined by the SEC in Item 407(d) of Regulation S-K. Our Board has affirmatively determined that Ralph Alvarez, Julie M.B. Bradley, William Kussell and Stephanie Lilak meet the definition of an “independent director” for the purposes of serving on the audit committee under applicable Nasdaq rules and Rule 10A-3 under the Exchange Act. We intend to comply with these independence requirements for all members of the audit committee within the time periods specified under such rules. The audit committee is governed by a charter that complies with the rules of Nasdaq.</w:t>
      </w:r>
    </w:p>
    <w:p>
      <w:pPr>
        <w:spacing w:after="0" w:line="185" w:lineRule="exact"/>
        <w:rPr>
          <w:sz w:val="20"/>
          <w:szCs w:val="20"/>
          <w:color w:val="auto"/>
        </w:rPr>
      </w:pPr>
    </w:p>
    <w:p>
      <w:pPr>
        <w:ind w:left="12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Nominating and Corporate Governance Committee. </w:t>
      </w:r>
      <w:r>
        <w:rPr>
          <w:rFonts w:ascii="Times New Roman" w:cs="Times New Roman" w:eastAsia="Times New Roman" w:hAnsi="Times New Roman"/>
          <w:sz w:val="17"/>
          <w:szCs w:val="17"/>
          <w:color w:val="auto"/>
        </w:rPr>
        <w:t>The primary purposes of our nominating and corporate governance committee are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recommend candidates for appointment to the Board and to assist the Board in its oversight of the Company’s corporate governance practices, including:</w:t>
      </w:r>
    </w:p>
    <w:p>
      <w:pPr>
        <w:spacing w:after="0" w:line="41" w:lineRule="exact"/>
        <w:rPr>
          <w:sz w:val="20"/>
          <w:szCs w:val="20"/>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screening individuals qualified to serve as directors, and recommending to the Board candidates for nomination for election at the annual meeting of stockholders or to fill Board vacancies;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recommending to the Board and reviewing the Company’s corporate governance guidelines;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and overseeing the annual self-evaluation of the Board and its committees; and</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on a regular basis the overall corporate governance of the Company and recommending improvements to the Board where appropriate.</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is currently composed of Ralph Alvarez, Tricia Glynn and Lisa Price, each of whom have been determined by the Board to be independent directors under the applicable rules of Nasdaq. Tricia Glynn will serve as chairperson of the nominating and corporate governance committee. The nominating and corporate governance committee is governed by a charter that complies with the rules of Nasdaq.</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The primary purposes of our compensation committee are to produce the annual report of the compensation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by the rules of the SEC and to assist the Board in overseeing our employee compensation policies and practices, including:</w:t>
      </w:r>
    </w:p>
    <w:p>
      <w:pPr>
        <w:spacing w:after="0" w:line="64" w:lineRule="exact"/>
        <w:rPr>
          <w:sz w:val="20"/>
          <w:szCs w:val="20"/>
          <w:color w:val="auto"/>
        </w:rPr>
      </w:pPr>
    </w:p>
    <w:p>
      <w:pPr>
        <w:ind w:left="1080" w:right="1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approving and recommending to the Board for its approval executive officer compensation arrangements, plans, policies and programs;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recommending to the Board for its approval Company-wide and executive bonus plans or programs and equity-based compensation plans.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is currently composed of Ralph Alvarez, Tricia Glynn and Stephanie Lilak, each of whom have been determined by the Board to be independent directors under the applicable rules of Nasdaq. Tricia Glynn serves as chairperson of the compensation committee. The compensation committee is governed by a charter that complies with the rules of Nasdaq.</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members of our Compensation Committee during the year ended December 26, 2021 were Ralph Alvarez and Tricia Glynn. During fiscal 2021, none of our executive officers served (i) as a member of the compensation committee or board of directors of another entity, one of whose executive officers served on our compensation committee, or (ii) as a member of the compensation committee of another entity, one of whose executive officers served on our Board.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we will indemnify our directors and officers to the fullest extent permitted by the Delaware General Corporate Law (the “DGCL”).</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executive officers and directors. The indemnification agreements provide the executive officers and directors with contractual rights to indemnification, expense advancement and reimbursement, to the fullest extent permitted under the DGCL, subject to certain exceptions contained in those agreements.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Ethics and Business Conduct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directors, executive officers and employees that complies with the rules and regulations of Nasdaq. A copy of the code is available on our website located at https://investors.firstwatch.com/corporate-governance/governance-documents, under “Policies and Guidelines.” You also may obtain, without charge, a printed copy of the Code of Ethics and Business Conduct by sending a written request to: First Watch Restaurant Group, Inc., 8725 Pendery Place, Ste. 201, Bradenton, FL 34201, Attention: Legal Department. We intend to satisfy the disclosure requirement regarding any amendments to or waivers from our code for our principal executive officer, principal financial officer, principal accounting officer or controller, or persons performing similar functions by posting such information on our website promptly following the date of the amendment or waiver.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Board has adopted corporate governance guidelines in accordance with the corporate governance rules of Nasdaq that serve as a flexible framework within which our Board and its committees operate. These guidelines cover a number of areas including the duties and responsibilities of the Board, director independence, Board leadership structure, executive sessions, Chief Executive Officer evaluations, management development and succession planning, director nomination, qualification and election, director orientation and continuing education, Board agenda, materials, information and presentations, director access to senior managers and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independent advisers, Board communication with stockholders and others, standing board committees, director compensation and annual board and committee performance evaluations. A copy of our corporate governance guidelines is posted on our website located at https://investors.firstwatch.com/corporate-governance/governance-documents, under “Policies and Guidelines.”</w:t>
      </w:r>
    </w:p>
    <w:p>
      <w:pPr>
        <w:spacing w:after="0" w:line="10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740"/>
          </w:cols>
          <w:pgMar w:left="320" w:top="455" w:right="8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22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as of August 5, 2022 regarding the beneficial ownership of our common stock as adjusted to give effect to this offering by:</w:t>
      </w:r>
    </w:p>
    <w:p>
      <w:pPr>
        <w:spacing w:after="0" w:line="67"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who is known by us to own beneficially more than 5%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our Board and each of our named executive officers (“NEOs”);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of our Board and our executive officers as a group.</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Beneficial ownership of shares is determined under rules of the SEC and generally includes any shares over which a person exercises sole 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shared voting or investment power. Except as noted by footnote, and subject to community property laws where applicable, we believe based on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provided to us that the persons and entities named in the table below have sole voting and investment power with respect to all shares of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shown as beneficially owned by them. Percentage of beneficial ownership is based on shares of common stock outstanding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August 5, 2022. Shares of common stock subject to options currently exercisable or exercisable within 60 days of the date of this prospectus are deemed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be outstanding and beneficially owned by the person holding the options for the purposes of computing the percentage of beneficial ownership of that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person and any group of which that person is a member, but are not deemed outstanding for the purpose of computing the percentage of beneficial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ownership for any other person. Except as otherwise indicated, the persons named in the table below have sole voting and investment power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 to all shares of capital stock held by them. Unless otherwise indicated, the address for each holder listed below is 8725 Pendery Place, Suite 201,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Bradenton, FL 34201.</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204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20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240" w:type="dxa"/>
            <w:vAlign w:val="bottom"/>
            <w:gridSpan w:val="4"/>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224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this offering (assuming no</w:t>
            </w:r>
          </w:p>
        </w:tc>
        <w:tc>
          <w:tcPr>
            <w:tcW w:w="204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240" w:type="dxa"/>
            <w:vAlign w:val="bottom"/>
            <w:gridSpan w:val="4"/>
            <w:vMerge w:val="continue"/>
          </w:tcPr>
          <w:p>
            <w:pPr>
              <w:spacing w:after="0"/>
              <w:rPr>
                <w:sz w:val="12"/>
                <w:szCs w:val="12"/>
                <w:color w:val="auto"/>
              </w:rPr>
            </w:pPr>
          </w:p>
        </w:tc>
        <w:tc>
          <w:tcPr>
            <w:tcW w:w="224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 the option to</w:t>
            </w:r>
          </w:p>
        </w:tc>
        <w:tc>
          <w:tcPr>
            <w:tcW w:w="204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this offering assuming full</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24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before</w:t>
            </w:r>
          </w:p>
        </w:tc>
        <w:tc>
          <w:tcPr>
            <w:tcW w:w="224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purchase additional</w:t>
            </w:r>
          </w:p>
        </w:tc>
        <w:tc>
          <w:tcPr>
            <w:tcW w:w="204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 the option to</w:t>
            </w:r>
          </w:p>
        </w:tc>
        <w:tc>
          <w:tcPr>
            <w:tcW w:w="0" w:type="dxa"/>
            <w:vAlign w:val="bottom"/>
          </w:tcPr>
          <w:p>
            <w:pPr>
              <w:spacing w:after="0"/>
              <w:rPr>
                <w:sz w:val="1"/>
                <w:szCs w:val="1"/>
                <w:color w:val="auto"/>
              </w:rPr>
            </w:pPr>
          </w:p>
        </w:tc>
      </w:tr>
      <w:tr>
        <w:trPr>
          <w:trHeight w:val="173"/>
        </w:trPr>
        <w:tc>
          <w:tcPr>
            <w:tcW w:w="11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2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1120" w:type="dxa"/>
            <w:vAlign w:val="bottom"/>
            <w:gridSpan w:val="2"/>
          </w:tcPr>
          <w:p>
            <w:pPr>
              <w:jc w:val="center"/>
              <w:ind w:left="59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purchase additional shares</w:t>
            </w:r>
          </w:p>
        </w:tc>
        <w:tc>
          <w:tcPr>
            <w:tcW w:w="0" w:type="dxa"/>
            <w:vAlign w:val="bottom"/>
          </w:tcPr>
          <w:p>
            <w:pPr>
              <w:spacing w:after="0"/>
              <w:rPr>
                <w:sz w:val="1"/>
                <w:szCs w:val="1"/>
                <w:color w:val="auto"/>
              </w:rPr>
            </w:pPr>
          </w:p>
        </w:tc>
      </w:tr>
      <w:tr>
        <w:trPr>
          <w:trHeight w:val="117"/>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12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440" w:type="dxa"/>
            <w:vAlign w:val="bottom"/>
          </w:tcPr>
          <w:p>
            <w:pPr>
              <w:spacing w:after="0"/>
              <w:rPr>
                <w:sz w:val="10"/>
                <w:szCs w:val="10"/>
                <w:color w:val="auto"/>
              </w:rPr>
            </w:pPr>
          </w:p>
        </w:tc>
        <w:tc>
          <w:tcPr>
            <w:tcW w:w="112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440" w:type="dxa"/>
            <w:vAlign w:val="bottom"/>
          </w:tcPr>
          <w:p>
            <w:pPr>
              <w:spacing w:after="0"/>
              <w:rPr>
                <w:sz w:val="10"/>
                <w:szCs w:val="10"/>
                <w:color w:val="auto"/>
              </w:rPr>
            </w:pPr>
          </w:p>
        </w:tc>
        <w:tc>
          <w:tcPr>
            <w:tcW w:w="112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500" w:type="dxa"/>
            <w:vAlign w:val="bottom"/>
            <w:gridSpan w:val="2"/>
            <w:vMerge w:val="continue"/>
          </w:tcPr>
          <w:p>
            <w:pPr>
              <w:spacing w:after="0"/>
              <w:rPr>
                <w:sz w:val="12"/>
                <w:szCs w:val="12"/>
                <w:color w:val="auto"/>
              </w:rPr>
            </w:pPr>
          </w:p>
        </w:tc>
        <w:tc>
          <w:tcPr>
            <w:tcW w:w="11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112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11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112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11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9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82"/>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of beneficial owner</w:t>
            </w:r>
          </w:p>
        </w:tc>
        <w:tc>
          <w:tcPr>
            <w:tcW w:w="332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90"/>
        </w:trPr>
        <w:tc>
          <w:tcPr>
            <w:tcW w:w="45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Funds managed by Advent International Corporation (1)</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46,739,784</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79.1%</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42,239,784</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71.5%</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41,564,784</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NEOs and directors:</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A. Tomasso (2)</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972,373</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972,373</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972,373</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Henry Melville Hope, III (3)</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145,975</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145,975</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145,975</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Hartman (4)</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208,113</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208,113</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208,113</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Ralph Alvarez (5)</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504,869</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504,869</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504,869</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Julie M.B. Bradley (6)</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23,017</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23,017</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23,017</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Tricia Glynn (7)</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Kussell (8)</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224,743</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224,743</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224,743</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Stephanie Lilak</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Price (9)</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24,553</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24,553</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24,553</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White (7)</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45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 officers as a group (13</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persons)</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2,516,465</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4.1%</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2,516,465</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4.1%</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2,516,465</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540" w:right="4600" w:hanging="5424"/>
        <w:spacing w:after="0" w:line="454" w:lineRule="auto"/>
        <w:tabs>
          <w:tab w:leader="none" w:pos="5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our outstanding common stock. 42</w:t>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5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(i) 2,801,208 shares of common stock held by Advent International GPE VIII Limited Partnership; (ii) 3,040,469 shares of common stock held by Advent International GPE VIII-B-1 Limited Partnership; (iii) 2,267,020 shares of common stock held by Advent International GPE VIII-B-2 Limited Partnership; (iv) 3,539,978 shares of common stock held by Advent International GPE VIII-B-3 Limited Partnership; (v) 8,543,936 shares of common stock held by Advent International GPE VIII-B Limited Partnership; (vi) 1,395,510 shares of common stock held by Advent International GPE VIII-C Limited Partnership; (vii) 1,193,501 shares of common stock held by Advent International GPE VIII-D Limited Partnership; (viii) 353,680 shares of common stock held by Advent International GPE VIII-F Limited Partnership; (ix) 3,133,388 shares of common stock held by Advent International GPE VIII-H Limited Partnership; (x) 2,913,665 shares of common stock held by Advent International GPE VIII-I Limited Partnership; (xi) 2,863,279 shares of common stock held by Advent International GPE VIII-J Limited Partnership (the funds set forth in the foregoing clauses (i)-(xi), the “Advent VIII Luxembourg Funds”); (xii) 6,570,631 shares of common stock held by Advent International GPE VIII-A Limited Partnership; (xiii) 1,329,140 shares of common stock held by Advent International GPE VIII-E Limited Partnership; (xiv) 2,254,307 shares of common stock held by Advent International GPE VIII-G Limited Partnership; (xv) 1,343,488 shares of common stock held by Advent International GPE VIII-K Limited Partnership; (xvi) 1,220,984 shares of common stock held by Advent International GPE VIII-L Limited Partnership (the funds set forth in the foregoing clauses (xii)-(xvi), the “Advent VIII Cayman Funds”); (xvii) 103,389 shares of common stock held by Advent Partners GPE VIII Limited Partnership; (xviii) 644,355 shares of common stock held by Advent Partners GPE VIII Cayman Limited Partnership; (xix) 124,235 shares of common stock held by Advent Partners GPE VIII-A Limited Partnership; (xx) 85,955 shares of common stock held by Advent Partners GPE VIII-A Cayman Limited Partnership; and (xxi) 1,017,666 shares of common stock held by Advent Partners GPE VIII-B Cayman Limited Partnership (the funds set forth in the foregoing clauses (xvii)-(xxi), the “Advent VIII Partners Funds”).</w:t>
      </w:r>
    </w:p>
    <w:p>
      <w:pPr>
        <w:spacing w:after="0" w:line="84" w:lineRule="exact"/>
        <w:rPr>
          <w:sz w:val="20"/>
          <w:szCs w:val="20"/>
          <w:color w:val="auto"/>
        </w:rPr>
      </w:pPr>
    </w:p>
    <w:p>
      <w:pPr>
        <w:jc w:val="both"/>
        <w:ind w:left="560" w:right="40"/>
        <w:spacing w:after="0" w:line="261" w:lineRule="auto"/>
        <w:rPr>
          <w:sz w:val="20"/>
          <w:szCs w:val="20"/>
          <w:color w:val="auto"/>
        </w:rPr>
      </w:pPr>
      <w:r>
        <w:rPr>
          <w:rFonts w:ascii="Times New Roman" w:cs="Times New Roman" w:eastAsia="Times New Roman" w:hAnsi="Times New Roman"/>
          <w:sz w:val="18"/>
          <w:szCs w:val="18"/>
          <w:color w:val="auto"/>
        </w:rPr>
        <w:t>GPE VIII GP S.à r.l. is the general partner of the Advent VIII Luxembourg Funds. GPE VIII GP Limited Partnership is the general partner of the Advent VIII Cayman Funds. AP GPE VIII GP Limited Partnership is the general partner of the Advent VIII Partners Funds. Advent International GPE VIII, LLC is the manager of GPE VIII GP S.à r.l. and the general partner of each of GPE VIII GP Limited Partnership and AP GPE VIII GP Limited Partnership.</w:t>
      </w:r>
    </w:p>
    <w:p>
      <w:pPr>
        <w:spacing w:after="0" w:line="72"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Advent is the manager of Advent International GPE VIII, LLC and may be deemed to have voting and dispositive power over the shares held by the Advent VIII Luxembourg Funds, the Advent VIII Cayman Funds and the Advent VIII Partners Funds. Investment decisions by Advent are made by a number of individuals currently comprised of John L. Maldonado, David M. Mussafer and Bryan M. Taylor. The address of each of the entities and individuals named in this footnote is c/o Advent International Corporation, Prudential Tower, 800 Boylston St., Suite 3300, Boston, MA 02199.</w:t>
      </w:r>
    </w:p>
    <w:p>
      <w:pPr>
        <w:spacing w:after="0" w:line="3" w:lineRule="exact"/>
        <w:rPr>
          <w:sz w:val="20"/>
          <w:szCs w:val="20"/>
          <w:color w:val="auto"/>
        </w:rPr>
      </w:pPr>
    </w:p>
    <w:p>
      <w:pPr>
        <w:ind w:left="540" w:right="18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759,605 shares of common stock held by Mr. Tomasso that are issuable upon exercise of stock options that are currently exercisable or are exercisable within 60 days.</w:t>
      </w:r>
    </w:p>
    <w:p>
      <w:pPr>
        <w:ind w:left="540" w:right="16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142,975 shares of common stock held by Mr. Hope that are issuable upon exercise of stock options that are currently exercisable or are exercisable within 60 days.</w:t>
      </w:r>
    </w:p>
    <w:p>
      <w:pPr>
        <w:ind w:left="540" w:right="18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180,858 shares of common stock held by Mr. Hartman that are issuable upon exercise of stock options that are currently exercisable or are exercisable within 60 days.</w:t>
      </w:r>
    </w:p>
    <w:p>
      <w:pPr>
        <w:ind w:left="54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121,010 shares of common stock held by Mr. Alvarez that are issuable upon exercise of stock options that are currently exercisable or are exercisable within 60 days.</w:t>
      </w:r>
    </w:p>
    <w:p>
      <w:pPr>
        <w:ind w:left="540" w:right="6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23,017 shares of common stock held by Ms. Bradley that are issuable upon exercise of stock options that are currently exercisable or are exercisable within 60 days.</w:t>
      </w:r>
    </w:p>
    <w:p>
      <w:pPr>
        <w:ind w:left="540" w:right="6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Glynn and Mr. White are employees of Advent but do not have voting or dispositive power over any shares deemed to be beneficially owned by Advent.</w:t>
      </w:r>
    </w:p>
    <w:p>
      <w:pPr>
        <w:ind w:left="540" w:right="100" w:hanging="424"/>
        <w:spacing w:after="0" w:line="26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72,343 shares of common stock held by Mr. Kussell that are issuable upon exercise of stock options that are currently exercisable or are exercisable within 60 days. Also includes 57,007 shares of</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80"/>
          </w:cols>
          <w:pgMar w:left="320" w:top="455" w:right="4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line="261" w:lineRule="auto"/>
        <w:rPr>
          <w:sz w:val="20"/>
          <w:szCs w:val="20"/>
          <w:color w:val="auto"/>
        </w:rPr>
      </w:pPr>
      <w:r>
        <w:rPr>
          <w:rFonts w:ascii="Times New Roman" w:cs="Times New Roman" w:eastAsia="Times New Roman" w:hAnsi="Times New Roman"/>
          <w:sz w:val="18"/>
          <w:szCs w:val="18"/>
          <w:color w:val="auto"/>
        </w:rPr>
        <w:t>common stock held by the Melanie Kussell Irrevocable Trust of 2014 and 57,007 shares of common stock held by the David Kussell Irrevocable Trust of 2014.</w:t>
      </w:r>
    </w:p>
    <w:p>
      <w:pPr>
        <w:ind w:left="540" w:right="140" w:hanging="424"/>
        <w:spacing w:after="0" w:line="260"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24,553 shares of common stock held by Ms. Price that are issuable upon exercise of stock options that are currently exercisable or are exercisable within 60 days.</w:t>
      </w:r>
    </w:p>
    <w:p>
      <w:pPr>
        <w:spacing w:after="0" w:line="1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60"/>
          </w:cols>
          <w:pgMar w:left="320" w:top="455" w:right="6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MATERIAL INDEBTEDNESS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Facilities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FWR Holding Corporation, a Delaware corporation and a wholly-owned indirect subsidiary of the Company (the “Borrower”), is the borrower under that certain Credit Agreement dated as of October 6, 2021 (the “New Credit Agreement”), which provides for (i) a $100.0 million term loan A facility that was drawn in full on October 6, 2021 (the “New Term Facility” and the loans thereunder, the “New Term Loans”), and (ii) a $75.0 million revolving credit facility which was undrawn at June 26, 2022 (the “New Revolving Credit Facility” and together with the New Term Facility, the “New Facilities”).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and Fees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Borrowings under the New Facilities bear interest, at the Borrower’s option, at a rate per annum equal to either (i) the base rate plus a margin of between 125 and 200 basis points depending on the Total Rent Adjusted Net Leverage Ratio (as defined below) or (ii) the London interbank offer rate (“LIBOR”) plus a margin of between 225 and 300 basis points depending on the Total Rent Adjusted Net Leverage Ratio. The New Credit Agreement contains LIBOR replacement language, pursuant to which the New Credit Agreement may be amended to replace LIBOR with a secured overnight financing rate or another alternate benchmark rate upon the occurrence of certain LIBOR cessation events.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fees are required to be paid under the New Credit Agreement:</w:t>
      </w:r>
    </w:p>
    <w:p>
      <w:pPr>
        <w:spacing w:after="0" w:line="131" w:lineRule="exact"/>
        <w:rPr>
          <w:sz w:val="20"/>
          <w:szCs w:val="20"/>
          <w:color w:val="auto"/>
        </w:rPr>
      </w:pPr>
    </w:p>
    <w:p>
      <w:pPr>
        <w:ind w:left="1080" w:right="1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unused commitment fee to each revolving lender on the undrawn commitments under the New Revolving Credit Facility at a rate per annum of between 25 and 50 basis points, depending on the Total Rent Adjusted Net Leverage Ratio, payable quarterly in arrears;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participation fee to each revolving lender at a rate equal to the applicable LIBOR margin for revolving loans on the daily face amount of such revolving lender’s letter of credit exposure, payable quarterly in arrears;</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fronting fee (not to exceed 12.5 basis points per annum) to each issuing bank on the daily face amount of such issuing bank’s letter of credit exposure, payable quarterly in arrears, and such issuing bank’s standard fees with respect to the issuance, amendment, renewal or extension of letters of credit or processing of drawings thereunder;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administrative agency fee payable to Bank of America, N.A., as administrative agent.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Voluntary Prepayments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Subject to certain notice requirements, the Borrower may voluntarily prepay outstanding loans under the New Facilities in whole or in part without premium or penalty other than customary “breakage” costs with respect to LIBOR loans.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Amortization; Mandatory Prepayments; Final Maturity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New Term Facility is subject to amortization of principal, payable in quarterly installments on the last business day of each fiscal quarter, equal to (i) 2.50% of the original principal amount of the term loans in fiscal year ended December 25, 2022, (ii) 5.00% of the original principal amount of the term loans in fiscal year ended December 31, 2023, (iii) 5.00% of the original principal amount of the term loans in fiscal year ended December 29, 2024, (iv) 7.50% of the original principal amount of the term loans in fiscal year ended</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60"/>
          </w:cols>
          <w:pgMar w:left="320" w:top="455" w:right="5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December 28, 2025 and (v) 10.00% of the original principal amount of the term loans in fiscal year ended December 27, 2026. The remaining aggregate principal amount outstanding (together with accrued and unpaid interest on the principal amount) under the New Term Facility is payable at the maturity of the New Term Facility.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the New Credit Agreement requires mandatory prepayments of the New Term Loans with:</w:t>
      </w:r>
    </w:p>
    <w:p>
      <w:pPr>
        <w:spacing w:after="0" w:line="131" w:lineRule="exact"/>
        <w:rPr>
          <w:sz w:val="20"/>
          <w:szCs w:val="20"/>
          <w:color w:val="auto"/>
        </w:rPr>
      </w:pPr>
    </w:p>
    <w:p>
      <w:pPr>
        <w:ind w:left="1080" w:right="6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of the net cash proceeds of certain asset sales and/or insurance/condemnation events above a threshold amount, subject to reinvestment rights and other exceptions;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of the net cash proceeds of any issuance or incurrence of debt that is not permitted by the New Credit Agreement.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New Facilities mature on October 6, 2026.</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Guarantors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obligations of the Borrower under the New Credit Agreement are guaranteed by AI Fresh Parent, Inc., a Delaware corporation and a wholly-owned direct subsidiary of the Company, and each wholly-owned domestic restricted subsidiary of the Borrower, subject to certain exceptions. Certain future-formed or acquired wholly owned domestic restricted subsidiaries of the Borrower will also be required to guarantee the obligations under the New Credit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Security</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the Borrower under the New Credit Agreement are secured by first-priority security interests in substantially all of the assets of the Borrower and the guarantors, subject to permitted liens and other exceptions.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 Representations and Warranties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New Credit Agreement contains customary affirmative covenants (including reporting obligations, transactions with affiliates and nature of business) and negative covenants and requires the Borrower to make customary representations and warranties at certain times set forth in the New Credit Agreement. The negative covenants, among other things and subject to certain exceptions, limit the ability of the Borrower and its restricted subsidiaries to:</w:t>
      </w:r>
    </w:p>
    <w:p>
      <w:pPr>
        <w:spacing w:after="0" w:line="85"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in respect of equity of the Borrower;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payments in respect of material subordinated, junior secured and/or unsecured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burdensome agreements with negative pledge clauses or restrictions on subsidiary distributions;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including acquisitions, loans, and advances;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liquidate, or dissolve;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change the terms of the documentation governing certain restricted debt.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Covenants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New Credit Agreement, the Borrower is required to maintain, on a consolidated basis, both (a) a maximum ratio of (i) consolidated total net debt of the Borrower and its restricted subsidiaries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hanging="4"/>
        <w:spacing w:after="0" w:line="255" w:lineRule="auto"/>
        <w:tabs>
          <w:tab w:leader="none" w:pos="3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of the Borrower and its restricted subsidiaries plus consolidated cash rent expense, in each case, with certain adjustments set forth in the New Credit Agreement (the “Total Rent Adjusted Net Leverage Ratio”), and (b) a minimum fixed charge coverage ratio of (i) consolidated EBITDA of the Borrower and its restricted subsidiaries plus consolidated cash rent expense, in each case, with certain adjustments set forth in the New Credit Agreement to (ii) consolidated fixed charges of the Borrower and its restricted subsidiaries, in each case, subject to customary “equity cure” rights and other terms as set forth in the New Credit Agreement and tested as of the last day of each fiscal quarter. The Borrower’s ability to borrow under the New Revolving Credit Facility is subject to the absence of a default or event of default under the New Credit Agreement, including the Borrower’s compliance with these financial covenants.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New Credit Agreement contains customary events of default, subject in certain circumstances to specified grace periods, thresholds and exceptions, including, among others, payment defaults, cross-defaults to certain material indebtedness, covenant defaults, material inaccuracy of representations and warranties, bankruptcy events, material judgments, material defects with respect to guarantees and collateral and change of control. If an event of default occurs, the lenders would be entitled to take various actions, including acceleration of the loans and termination of the commitments under the New Credit Agreement, foreclosure on collateral and all other remedial actions available to a secured creditor. Failure to pay certain amounts owing under the New Credit Agreement may result in an increased interest rate equal to 2.00% per annum plus, in the case of overdue principal or interest of any loan or unreimbursed letter of credit disbursement, the rate of interest otherwise applicable to the relevant loan or letter of credit disbursement or, in the case of any other amount, the rate applicable to revolving loans that bear interest by reference to the base rate.</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320" w:top="455" w:right="5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(i) the material terms of our amended and restated certificate of incorporation and amended and restated bylaws and (ii) certain applicable provisions of Delaware law. We refer you to our amended and restated certificate of incorporation and amended and restated bylaws, copies of which will be filed as exhibits to the registration statement of which this prospectus is a part.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300,000,000 shares of common stock, par value $0.01 per share and 10,000,000 shares of preferred stock, par value $0.01 per share. Following the consummation of this offering, 59,080,348 shares of common stock and no shares of preferred stock shall be outstanding. Unless our Board determines otherwise, we will issue all shares of our capital stock in uncertificated form.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our common stock are entitled to the rights set forth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At any meeting of stockholders at which directors are to be elected, directors will be elected by a plurality of the votes cast by the holders of shares present in person or represented by proxy at the meeting and entitled to vote on the election of directors. Our stockholders do not have cumulative voting rights. Except as otherwise provided in our amended and restated certificate of incorporation, our bylaws or as required by law, all matters to be voted on by our stockholders other than matters relating to the election and removal of directors must be approved by a majority of the shares present in person or represented by proxy at the meeting and voting on the subject matter.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common stock share equally in any dividend declared by our Board, subject to the rights of the holders of any outstanding preferred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distribution of assets or winding up of our affairs, holders of our common stock would be entitled to share ratably in our assets that are legally available for distribution to stockholders after payment of liabilities. If we have any preferred stock outstanding at such time, holders of the preferred stock may be entitled to distribution and/or liquidation preferences. In either such case, we must pay the applicable distribution to the holders of our preferred stock before we may pay distributions to the holders of our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Certain of our existing stockholders have certain registration rights with respect to our common stock pursuant to a registration rights agreement.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Rights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stockholders have no preemptive or other rights to subscribe for additional shares. There are no redemption, conversion or sinking fund provisions applicable to our common stock. All holders of our common stock are entitled to share equally on a share-for-share basis in any assets available for distribution to common stockholders upon our liquidation, dissolution or winding up. All outstanding shares are, and all shares offered by this prospectus will be, when sold, validly issued, fully paid and non-assessable.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Our Board is authorized to provide for the issuance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our stockholders. Any preferred stock so issued may rank senior to our common stock with respect to the payment of dividends or amounts upon liquidation, dissolution or winding up, or both. In addition, any such shares of preferred stock may have class or series voting rights. The issuance of preferred stock may have the effect of delaying, deferring or preventing a change in control of our company without further action by the stockholders and may adversely affect the voting and other rights of the holders of our common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delay, defer or discourage transactions involving an actual or potential change in control of us or change in our management. We expect that these provisions, which are summarized below, will discourage coercive takeover practices or inadequate takeover bids. These provisions are designed to encourage persons seeking to acquire control of us to first negotiate with our Board, which we believe may result in an improvement of the terms of any such acquisition in favor of our stockholders. However, they also give our Board the power to discourage transactions that some stockholders may favor, including transactions in which stockholders might otherwise receive a premium for their shares or transactions that our stockholders might otherwise deem to be in their best interests. Accordingly, these provisions could adversely affect the price of our common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Board is divided into three classes, Class I, Class II and Class III, with members of each class serving staggered three-year terms. Our amended and restated certificate of incorporation provides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Our amended and restated certificate of incorporation and our amended and restated bylaws also provide that a director may be removed by the affirmative vote of the holders of a majority of the voting power of our outstanding shares of capital stock entitled to vote generally in the election of directors, voting together as a single class, and only for cause so long as our Board is classified. Any vacancy on our Board, including a vacancy resulting from an enlargement of our Board, may be filled only by vote of a majority of our directors then in office. Our classified Board could have the effect of delaying or discouraging an acquisition of us or a change in our management.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 and Advance Notice Requirements for Stockholder Meetings, Nominations and Proposals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that special meetings of the stockholders may be called only upon the request of a majority of our Board, the Chairperson of our Board or the Chief Executive Officer. Our amended and restated bylaws prohibit the conduct of any business at an annual or special meeting other than as specified in the notice for such meeting or otherwise brought before the meeting by or at the direction of the Board or a duly authorized committee or authorized officer to whom the Board or committee delegated such authority. These provisions may have the effect of deferring, delaying or discouraging hostile takeovers or changes in control or management of our company.</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and the nomination of candidates for election as directors, other than nominations made by or at the direction of our Board or a committee of our Board. In order for any matter to be “properly brought” before a meeting,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stockholder will have to comply with these advance notice requirements of directors, which may be filled only by a vote of a majority of directors then in office, even though less than a quorum, and not by the stockholders. Our amended and restated bylaws allow the presiding officer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obtain control of our company.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Stockholder Action by Written Consent</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provide that after the time that Advent collectively owns less than 50% of our then outstanding common stock, subject to the rights of any holders of preferred stock to act by written consent instead of a meeting, stockholder action may be taken only at an annual meeting or special meeting of stockholders and may not be taken by written consent instead of a meeting. Failure to satisfy any of the requirements for a stockholder meeting could delay, prevent or invalidate stockholder action.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DGCL</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provisions of Section 203 of the DGCL, which relate to business combinations with interested stockholders, do not apply to us. Section 203 of the DGCL prohibits a publicly held Delaware corporation from engaging in a business combination transaction with an interested stockholder (a stockholder who owns more than 15% of our common stock) for a period of three years after the interested stockholder became such unless the transaction fits within an applicable exemption, such as Board approval of the business combination or the transaction that resulted in such stockholder becoming an interested stockholder. These provisions apply even if the business combination could be considered beneficial by some stockholders. Our amended and restated certificate of incorporation contains provisions that have the same effect as Section 203 of the DGCL and provides that Advent, their respective affiliates or successors, their transferees, and any group as to which such persons are party do not constitute interested stockholders for purposes of these provisions for so long as they collectively own, directly or indirectly, 10% or more of the voting power of our then outstanding shares of voting stock. Although we have elected to opt out of the statute’s provisions, we could elect to be subject to Section 203 in the future.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to Bylaws and Certificate of Incorporation</w:t>
      </w:r>
    </w:p>
    <w:p>
      <w:pPr>
        <w:spacing w:after="0" w:line="121" w:lineRule="exact"/>
        <w:rPr>
          <w:sz w:val="20"/>
          <w:szCs w:val="20"/>
          <w:color w:val="auto"/>
        </w:rPr>
      </w:pPr>
    </w:p>
    <w:p>
      <w:pPr>
        <w:ind w:left="120" w:right="20" w:firstLine="440"/>
        <w:spacing w:after="0" w:line="276" w:lineRule="auto"/>
        <w:rPr>
          <w:sz w:val="20"/>
          <w:szCs w:val="20"/>
          <w:color w:val="auto"/>
        </w:rPr>
      </w:pPr>
      <w:r>
        <w:rPr>
          <w:rFonts w:ascii="Times New Roman" w:cs="Times New Roman" w:eastAsia="Times New Roman" w:hAnsi="Times New Roman"/>
          <w:sz w:val="17"/>
          <w:szCs w:val="17"/>
          <w:color w:val="auto"/>
        </w:rPr>
        <w:t>Any amendment to our amended and restated certificate of incorporation must first be approved by a majority of our Board and if required by law, thereafter be approved by a majority of the outstanding shares entitled to vote on the amendment. Our amended and restated bylaws may be amended</w:t>
      </w:r>
    </w:p>
    <w:p>
      <w:pPr>
        <w:spacing w:after="0" w:line="1" w:lineRule="exact"/>
        <w:rPr>
          <w:sz w:val="20"/>
          <w:szCs w:val="20"/>
          <w:color w:val="auto"/>
        </w:rPr>
      </w:pPr>
    </w:p>
    <w:p>
      <w:pPr>
        <w:ind w:left="120" w:right="460" w:hanging="4"/>
        <w:spacing w:after="0" w:line="255" w:lineRule="auto"/>
        <w:tabs>
          <w:tab w:leader="none" w:pos="3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affirmative vote of a majority of the directors then in office, without further stockholder action or (y) by the affirmative vote of at least a majority of the voting power of the then outstanding shares entitled to vote generally in the election of directors, voting together as a single class, without further action by our Board.</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Renouncement of Corporate Opportunity</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except as may be expressly agreed in writing between our company and Advent, we renounce any interest or expectancy in, or in being offered an opportunity to participate in, any business opportunity that may from time to time be presented to and that may be a business opportunity for Advent or any of its managers, officers, directors, agents stockholders, members, partners, affiliates, and subsidiaries (other than our company and its subsidiaries) (“Exempted Persons”), even if the opportunity is one that we might reasonably have pursued or had the ability or desire to pursue if granted the opportunity to do so. No such Exempted Persons are liable to us for breach of any fiduciary or other duty, as a director or officer or otherwise, by reason of the fact that such person, acting in good faith, pursues or acquires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any such business opportunity, directs any such business opportunity to another person or fails to present any such business opportunity, or information regarding any such business opportunity, to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2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an alternative forum, the Court of Chancery of the State of Delaware or, if the Court of Chancery lacks jurisdiction, a state court located within the State of Delaware or the federal district court for the District of Delaware, shall, to the fullest extent permitted by law, be the sole and exclusive forum for any (i) derivative action or proceeding brought on our behalf, (ii) action asserting a claim of breach of a fiduciary duty or other wrongdoing by any current or former director, officer, employee, agent or stockholder to us or our stockholders, (iii) action asserting a claim arising pursuant to any provision of the DGCL, our amended and restated certificate of incorporation or our amended and restated bylaws or as to which the DGCL confers jurisdiction on the Court of Chancery of the State of Delaware, or</w:t>
      </w:r>
    </w:p>
    <w:p>
      <w:pPr>
        <w:spacing w:after="0" w:line="5" w:lineRule="exact"/>
        <w:rPr>
          <w:sz w:val="20"/>
          <w:szCs w:val="20"/>
          <w:color w:val="auto"/>
        </w:rPr>
      </w:pPr>
    </w:p>
    <w:p>
      <w:pPr>
        <w:ind w:left="120" w:right="40" w:hanging="4"/>
        <w:spacing w:after="0" w:line="255" w:lineRule="auto"/>
        <w:tabs>
          <w:tab w:leader="none" w:pos="42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governed by the internal affairs doctrine of the law of the State of Delaware. Our amended and restated certificate of incorporation also provides that the foregoing exclusive forum provision does not apply to actions brought to enforce any liability or duty created by the Securities Act or Exchange Act, or any other claim or cause of action for which the federal courts have exclusive jurisdiction.</w:t>
      </w:r>
    </w:p>
    <w:p>
      <w:pPr>
        <w:spacing w:after="0" w:line="18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also provides that, unless we consent in writing to an alternative forum, the federal district courts of the United States of America shall be the sole and exclusive forum for the resolution of any action asserting a claim arising under the Securities Act of 1933, as amended, or the rules and regulations promulgated thereunder. Pursuant to the Exchange Act, claims arising thereunder must be brought in federal district courts of the United States of America.</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also provides that any person or entity purchasing or otherwise acquiring any interest in shares of our capital stock will be deemed to have notice of and consented to this choice of forum provision. These exclusive forum provisions may have the effect of discouraging lawsuits against our directors and officers.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Nasdaq under the symbol “FWRG.”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Future sales of our common stock in the public market, or the perception that sales may occur, could materially adversely affect the prevailing market price of our common stock at such time and our ability to raise equity capital in the future.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of Restricted Securities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consummation of this offering, we will have 59,080,348 shares of our common stock outstanding. Of these shares, all shares sold in the IPO and all shares sold in this offering will be freely tradable without further restriction or registration under the Securities Act, except that any shares purchased by our affiliates may generally only be sold in compliance with Rule 144, which is described below. Of the remaining outstanding shares, 43,702,498 shares are deemed “restricted securities” under the Securities Act.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Arrangements and Registration Rights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connection with this offering, we, certain of our officers, our directors and the selling stockholders will enter into lock-up agreements that</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restrict the sale of our securities for up to 75 days after the date of this prospectus, subject to certain exceptions or an extension in certain circumstances.</w:t>
      </w:r>
    </w:p>
    <w:p>
      <w:pPr>
        <w:spacing w:after="0" w:line="20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we entered into a registration rights agreement in connection with the IPO pursuant to which certain stockholders will have the right, subject to certain conditions, to require us to register the sale of their shares of our common stock under federal securities laws. If these stockholders exercise this right, our other existing stockholders may require us to register their registrable securities.</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Following the lock-up periods described above, all of the shares of our common stock that are restricted securities or are held by our affiliates as of the date of this prospectus will be eligible for sale in the public market in compliance with Rule 144 under the Securities Act.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shares of our common stock sold in this offering will generally be freely transferable without restriction or further registration under the Securities Act, except that any shares of our common stock held by an “affiliate” of ours may not be resold publicly except in compliance with the registration requirements of the Securities Act or under an exemption under Rule 144 or otherwise. Rule 144 permits our common stock that has been acquired by a person who is an affiliate of ours, or has been an affiliate of ours within the past three months, to be sold into the market in an amount that does not exceed, during any three-month period, the greater of:</w:t>
      </w:r>
    </w:p>
    <w:p>
      <w:pPr>
        <w:spacing w:after="0" w:line="89"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of the total number of shares of our common stock outstanding;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our common stock for the four calendar weeks prior to the sale.</w:t>
      </w:r>
    </w:p>
    <w:p>
      <w:pPr>
        <w:spacing w:after="0" w:line="225"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Such sales are also subject to specific manner of sale provisions, a six-month holding period requirement, notice requirements and the availability of current public information about us.</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Approximately 14,324,099 shares of our common stock that are not subject to lock-up arrangements will be eligible for sale under Rule 144 immediately upon the closing.</w:t>
      </w:r>
    </w:p>
    <w:p>
      <w:pPr>
        <w:spacing w:after="0" w:line="162" w:lineRule="exact"/>
        <w:rPr>
          <w:sz w:val="20"/>
          <w:szCs w:val="20"/>
          <w:color w:val="auto"/>
        </w:rPr>
      </w:pPr>
    </w:p>
    <w:p>
      <w:pPr>
        <w:jc w:val="both"/>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Rule 144 also provides that a person who is not deemed to have been an affiliate of ours at any time during the three months preceding a sale, and who has for at least six months beneficially owned shares of our common stock that are restricted securities, will be entitled to freely sell such shares of our common stock subject only to the availability of current public information regarding us. A person who is not deemed to have been an affiliate</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80"/>
          </w:cols>
          <w:pgMar w:left="320" w:top="455"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of ours at any time during the three months preceding a sale, and who has beneficially owned for at least one year shares of our common stock that are restricted securities, will be entitled to freely sell such shares of our common stock under Rule 144 without regard to the current public information requirements of Rule 144.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Registration Statements</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filed a registration statement on Form S-8 under the Securities Act on September 30, 2021, which became effective upon filing, to register 4,034,072 shares of our common stock to be issued or reserved for issuance under the 2021 Plan. Shares granted under the 2021 Plan and registered under such registration statement are available for sale in the open market, unless such shares are subject to vesting restrictions with us or the lock-up restrictions described above.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NON-U.S. HOLDERS</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following is a general discussion of the material U.S. federal income tax consequences to non-U.S. holders (as defined herein) of the purchase, ownership and disposition of our common stock. This discussion does not provide a complete analysis of all potential U.S. federal income tax considerations relating thereto. This description is based on the U.S. Internal Revenue Code of 1986, as amended (the “Code”), existing and proposed U.S. Treasury regulations promulgated thereunder, administrative pronouncements, judicial decisions, and interpretations of the foregoing, all as of the date hereof and all of which are subject to change, possibly with retroactive effect. This discussion is limited to non-U.S. holders (as defined herein) who hold shares of our common stock as capital assets within the meaning of Section 1221 of the Code (generally for investment). Moreover, this discussion is for general information only and does not address all of the tax consequences that may be relevant to you in light of your particular circumstances, nor does it discuss special tax provisions, which may apply to you if you are a holder who is subject to special treatment under U.S. federal income tax laws, such as certain financial institutions or financial services entities, insurance companies, tax-exempt entities or governmental organizations, tax-qualified retirement plans, “qualified foreign pension funds” (and entities all of the interests of which are held by qualified foreign pension funds), dealers in securities or currencies, persons who have elected to mark securities to market, entities that are treated as partnerships or other pass-through entities for U.S. federal income tax purposes (and partners or beneficial owners thereof), foreign branches, “controlled foreign corporations,” “passive foreign investment companies,” former U.S. citizens or long-term residents, holders that acquired our common stock in a compensatory transaction, holders subject to special tax accounting rules as a result of any item of gross income with respect to our common stock being taken into account in an applicable financial statement, corporations that accumulate earnings to avoid U.S. federal income tax, persons deemed to sell common stock under the constructive sale provisions of the Code, and persons that hold common stock as part of a straddle, hedge, conversion transaction, or other integrated investment. In addition, this discussion does not address estate or gift taxes, the alternative minimum tax, the Medicare tax on certain investment income or any state, local or foreign taxes or any U.S. federal tax laws other than U.S. federal income tax laws.</w:t>
      </w:r>
    </w:p>
    <w:p>
      <w:pPr>
        <w:spacing w:after="0" w:line="19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You are urged to consult with your own tax advisor concerning the U.S. federal income tax consequences of acquiring, owning and disposing of our common stock, as well as the application of any state, local, or foreign income and other tax laws or tax treaties.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section, a “non-U.S. holder” is a beneficial owner of our common stock that is not,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that is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have the authority to control all substantial decisions of the trust or (ii) it has a valid election in effect under applicable U.S. Treasury regulations to be treated as a domestic trust.</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If a partnership or other entity treated as a pass-through entity for U.S. federal income tax purposes is a holder of our common stock, the tax treatment of a partner in the partnership or an owner of the other pass-through entity will depend upon the status of the partner or owner and the activities of the partnership or other pass-through entity. Any partnership or other pass-through entity, and any partner in such a partnership or owner of such a pass-through entity, holding shares of our common stock should consult its own tax advisor as to the particular U.S. federal income tax consequences applicable to it.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INVESTORS CONSIDERING THE PURCHASE OF OUR COMMON STOCK SHOULD CONSULT THEIR TAX ADVISORS REGARDING THE APPLICATION OF U.S. FEDERAL INCOME TAX LAWS TO THEIR PARTICULAR SITUATIONS AND THE CONSEQUENCES OF OTHER FEDERAL, STATE, LOCAL AND FOREIGN TAX LAWS, AND APPLICABLE TAX TREATIES.</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 on Common Stock</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Although we do not currently anticipate doing so in the foreseeable future (as discussed in the section entitled “Dividend Policy”), if we do pay distributions on shares of our common stock,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or other disposition of our common stock. See “— Dispositions of Common Stock.”</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Any dividend paid to a non-U.S. holder on our common stock will generally be subject to U.S. federal withholding tax at a 30% rate, subject to the discussion below regarding effectively connected income. The withholding tax might not apply, however, or might apply at a reduced rate, under the terms of an applicable income tax treaty between the United States and the non-U.S. holder’s country of residence. You should consult your own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 valid Internal Revenue Service (“IRS”) Form W-8BEN or IRS Form W-8BEN-E (or other applicable form), as applicable, to us or our paying agent. If the non-U.S. holder holds the stock through a financial institution or other agent acting on the non-U.S. holder’s behalf, the non-U.S. holder will be required to provide appropriate documentation to the agent. The non-U.S. holder’s agent will then be required to provide certification to us or our paying agent, either directly or through other intermediaries. Even if our current or accumulated earnings and profits are less than the amount of the distribution, the applicable withholding agent may elect to treat the entire distribution as a dividend for U.S. federal tax purposes. A non-U.S. holder that does not timely furnish the required documentation, but that qualifies for a reduced treaty rate, generally may obtain a refund of any excess amounts withheld by timely filing an appropriate claim for refund with the IRS.</w:t>
      </w:r>
    </w:p>
    <w:p>
      <w:pPr>
        <w:spacing w:after="0" w:line="190"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(or, in certain cases involving individual holders, a fixed base) maintained by the non-U.S. holder in the United States, are generally not subject to such withholding tax. To obtain this exemption, a non-U.S. holder must provide the applicable withholding agent with a valid IRS Form W-8ECI (or applicable successor form) properly certifying such exemption. Such effectively connected dividends, although generally not subject to withholding tax (provided certain certification and disclosure requirements are satisfied), are taxed at the same graduated rates applicable to U.S. persons, net of certain deductions and credits. In addition to the graduated tax described above, such effectively connected dividends received by corporate non-U.S. holders may also be subject to a branch profits tax at a rate of 30% or such lower rate as may be specified by an applicable income tax treaty.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Dispositions of Common Stock</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below on backup withholding and other withholding requirements, gain realized by a non-U.S. holder on a sale, exchange or other disposition of our common stock generally will not be subject to U.S. federal income or withholding tax, unless:</w:t>
      </w:r>
    </w:p>
    <w:p>
      <w:pPr>
        <w:spacing w:after="0" w:line="67" w:lineRule="exact"/>
        <w:rPr>
          <w:sz w:val="20"/>
          <w:szCs w:val="20"/>
          <w:color w:val="auto"/>
        </w:rPr>
      </w:pPr>
    </w:p>
    <w:p>
      <w:pPr>
        <w:ind w:left="1080" w:right="2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 is effectively connected with the conduct by the non-U.S. holder of a U.S. trade or business and (ii) if required by an applicable income tax treaty between the United States and the non-U.S.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140"/>
        <w:spacing w:after="0" w:line="282" w:lineRule="auto"/>
        <w:rPr>
          <w:sz w:val="20"/>
          <w:szCs w:val="20"/>
          <w:color w:val="auto"/>
        </w:rPr>
      </w:pPr>
      <w:r>
        <w:rPr>
          <w:rFonts w:ascii="Times New Roman" w:cs="Times New Roman" w:eastAsia="Times New Roman" w:hAnsi="Times New Roman"/>
          <w:sz w:val="18"/>
          <w:szCs w:val="18"/>
          <w:color w:val="auto"/>
        </w:rPr>
        <w:t>holder’s country of residence, is attributable to a permanent establishment (or, in certain cases involving individual holders, a fixed base) maintained by the non-U.S. holder in the United States (in which case the special rules described below apply),</w:t>
      </w:r>
    </w:p>
    <w:p>
      <w:pPr>
        <w:spacing w:after="0" w:line="67" w:lineRule="exact"/>
        <w:rPr>
          <w:sz w:val="20"/>
          <w:szCs w:val="20"/>
          <w:color w:val="auto"/>
        </w:rPr>
      </w:pPr>
    </w:p>
    <w:p>
      <w:pPr>
        <w:ind w:left="1080" w:right="80" w:hanging="424"/>
        <w:spacing w:after="0" w:line="261"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or more days in the taxable year of such disposition and certain other conditions are met (in which case the gain would be subject to a flat 30% tax, or such reduced rate as may be specified by an applicable income tax treaty, which may be offset by certain U.S. source capital losses, provided the non-U.S holder has timely filed U.S. federal income tax returns with respect to such losses), or</w:t>
      </w:r>
    </w:p>
    <w:p>
      <w:pPr>
        <w:spacing w:after="0" w:line="85"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(a “USRPHC”) for U.S. federal income tax purposes at any time during the shorter of the five-year period ending on the date of disposition of our common stock and the non-U.S. holder’s holding period for our common stock.</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Generally, a corporation is a USRPHC if the fair market value of its “United States real property interests” equals 50% or more of the sum of the fair market value of (a) its worldwide real property interests and (b) its other assets used or held for use in a trade or business. The tax relating to a disposition of stock in a USRPHC does not apply to a non-U.S. holder whose holdings, actual and constructive, amount to 5% or less of our common stock at all times during the applicable period, provided that our common stock is regularly traded on an established securities market. No assurance can be provided that our stock will be regularly traded on an established securities market at all times for purposes of the rules described above. Although there can be no assurances in this regard, we believe we have not been and are not currently a USRPHC, and do not anticipate being a USRPHC in the future. You should consult your tax advisor about the consequences that could result if we have been, are or become a USRPHC.</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any gain from the sale, exchange or other disposition of our common stock (1) is effectively connected with a U.S. trade or business conducted by a non-U.S. holder and (2) if required by an applicable income tax treaty between the United States and the non-U.S. holder’s country of residence, is attributable to a permanent establishment (or, in certain cases involving individuals, a fixed base) maintained by such non-U.S. holder in the United States, then the gain generally will be subject to U.S. federal income tax at the same graduated rates applicable to U.S. persons, net of certain deductions and credits. In addition to the graduated tax described above, such effectively connected gain realized by corporate non-U.S. holders may also be subject to a branch profits tax at a rate of 30% or such lower rate as may be specified by an applicable income tax treaty.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ind w:left="120" w:right="160" w:firstLine="440"/>
        <w:spacing w:after="0" w:line="274" w:lineRule="auto"/>
        <w:rPr>
          <w:sz w:val="20"/>
          <w:szCs w:val="20"/>
          <w:color w:val="auto"/>
        </w:rPr>
      </w:pPr>
      <w:r>
        <w:rPr>
          <w:rFonts w:ascii="Times New Roman" w:cs="Times New Roman" w:eastAsia="Times New Roman" w:hAnsi="Times New Roman"/>
          <w:sz w:val="17"/>
          <w:szCs w:val="17"/>
          <w:color w:val="auto"/>
        </w:rPr>
        <w:t>Any dividends that are paid to a non-U.S. holder must be reported annually to the IRS and to the non-U.S. holder. Copies of these information returns also may be made available to the tax authorities of the country in which the non-U.S. holder resides under the provisions of various treaties or agreements for the exchange of information. Dividends paid on our common stock and the gross proceeds from a taxable disposition of our common stock may be subject to additional information reporting and may also be subject to U.S. federal backup withholding if such non-U.S. holder fails to comply with applicable U.S. information reporting and certification requirements. Provision of an IRS Form W-8 appropriate to the non-U.S. holder’s circumstances will generally satisfy the certification requirements necessary to avoid the additional information reporting and backup withholding.</w:t>
      </w:r>
    </w:p>
    <w:p>
      <w:pPr>
        <w:spacing w:after="0" w:line="17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so withheld under the backup withholding rules will be refunded by the IRS or credited against the non-U.S. holder’s U.S. federal income tax liability, provided that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Withholding Taxes</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(separate and apart from, but without duplication of, the withholding tax described above) at a rate of 30% on payments of U.S.-source dividends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(including our dividends) paid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imposed under FATCA may also apply to gross proceeds from the sale or other disposition of domestic corporate stock (including our stock); although, under proposed U.S. Treasury regulations published on December 18, 2018, no withholding would apply to such gross proceeds. The preamble to such proposed regulations specifies that taxpayers (including withholding agents) are permitted to rely on the proposed regulations pending finalization. An intergovernmental agreement between the United States and an applicable foreign jurisdiction may modify these requirements. Accordingly, the entity through which our common stock is held may affect the determination of whether such withholding is required. If FATCA withholding is imposed, a beneficial owner that is not a foreign financial institution generally will be entitled to a refund of any amounts withheld by filing a U.S. federal income tax return containing the required information (which may entail significant administrative burden). Non-U.S. holders should consult their tax advisors regarding the effects of FATCA on their investment in our common stock.</w:t>
      </w:r>
    </w:p>
    <w:p>
      <w:pPr>
        <w:spacing w:after="0" w:line="296" w:lineRule="exact"/>
        <w:rPr>
          <w:sz w:val="20"/>
          <w:szCs w:val="20"/>
          <w:color w:val="auto"/>
        </w:rPr>
      </w:pPr>
    </w:p>
    <w:p>
      <w:pPr>
        <w:ind w:left="120"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PRECEDING DISCUSSION OF U.S. FEDERAL INCOME TAX CONSIDERATIONS IS FOR GENERAL INFORMATION ONLY. IT IS NOT TAX ADVICE. EACH PROSPECTIVE INVESTOR SHOULD CONSULT ITS TAX ADVISOR REGARDING THE PARTICULAR U.S. FEDERAL, STATE, LOCAL AND FOREIGN TAX CONSEQUENCES OF PURCHASING, HOLDING AND DISPOSING OF OUR COMMON STOCK, INCLUDING THE CONSEQUENCES OF ANY PROPOSED CHANGE IN APPLICABLE LAWS, INTERGOVERNMENTAL AGREEMENTS OR TAX TREATIES.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40"/>
          </w:cols>
          <w:pgMar w:left="320" w:top="455" w:right="5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selling stockholders are offering the shares of common stock described in this prospectus through a number of underwriters. BofA Securities, Inc., Goldman Sachs &amp; Co. LLC and Jefferies LLC are acting as representatives of each of the underwriters named below. Subject to the terms and conditions set forth in an underwriting agreement among us, the selling stockholders and the underwriters, the selling stockholders have agreed to sell to the underwriters, and each of the underwriters has agreed, severally and not jointly, to purchase from the selling stockholders, the number of shares of common stock set forth opposite its name below.</w:t>
      </w:r>
    </w:p>
    <w:p>
      <w:pPr>
        <w:spacing w:after="0" w:line="19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6400" w:type="dxa"/>
            <w:vAlign w:val="bottom"/>
          </w:tcPr>
          <w:p>
            <w:pPr>
              <w:ind w:left="58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65"/>
        </w:trPr>
        <w:tc>
          <w:tcPr>
            <w:tcW w:w="780" w:type="dxa"/>
            <w:vAlign w:val="bottom"/>
            <w:tcBorders>
              <w:bottom w:val="single" w:sz="8" w:color="auto"/>
            </w:tcBorders>
            <w:vMerge w:val="continue"/>
          </w:tcPr>
          <w:p>
            <w:pPr>
              <w:spacing w:after="0"/>
              <w:rPr>
                <w:sz w:val="13"/>
                <w:szCs w:val="13"/>
                <w:color w:val="auto"/>
              </w:rPr>
            </w:pPr>
          </w:p>
        </w:tc>
        <w:tc>
          <w:tcPr>
            <w:tcW w:w="6400" w:type="dxa"/>
            <w:vAlign w:val="bottom"/>
          </w:tcPr>
          <w:p>
            <w:pPr>
              <w:ind w:left="5860"/>
              <w:spacing w:after="0" w:line="160"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0</wp:posOffset>
            </wp:positionV>
            <wp:extent cx="4749165"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142875</wp:posOffset>
            </wp:positionV>
            <wp:extent cx="474916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drawing>
          <wp:anchor simplePos="0" relativeHeight="251657728" behindDoc="1" locked="0" layoutInCell="0" allowOverlap="1">
            <wp:simplePos x="0" y="0"/>
            <wp:positionH relativeFrom="column">
              <wp:posOffset>1196340</wp:posOffset>
            </wp:positionH>
            <wp:positionV relativeFrom="paragraph">
              <wp:posOffset>417195</wp:posOffset>
            </wp:positionV>
            <wp:extent cx="4749165"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drawing>
          <wp:anchor simplePos="0" relativeHeight="251657728" behindDoc="1" locked="0" layoutInCell="0" allowOverlap="1">
            <wp:simplePos x="0" y="0"/>
            <wp:positionH relativeFrom="column">
              <wp:posOffset>1196340</wp:posOffset>
            </wp:positionH>
            <wp:positionV relativeFrom="paragraph">
              <wp:posOffset>691515</wp:posOffset>
            </wp:positionV>
            <wp:extent cx="4749165"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1880" w:type="dxa"/>
        <w:tblCellMar>
          <w:top w:w="0" w:type="dxa"/>
          <w:left w:w="0" w:type="dxa"/>
          <w:bottom w:w="0" w:type="dxa"/>
          <w:right w:w="0" w:type="dxa"/>
        </w:tblCellMar>
      </w:tblPr>
      <w:tr>
        <w:trPr>
          <w:trHeight w:val="40"/>
        </w:trPr>
        <w:tc>
          <w:tcPr>
            <w:tcW w:w="6440" w:type="dxa"/>
            <w:vAlign w:val="bottom"/>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03"/>
        </w:trPr>
        <w:tc>
          <w:tcPr>
            <w:tcW w:w="6440" w:type="dxa"/>
            <w:vAlign w:val="bottom"/>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040" w:type="dxa"/>
            <w:vAlign w:val="bottom"/>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4,500,000</w:t>
            </w:r>
          </w:p>
        </w:tc>
      </w:tr>
      <w:tr>
        <w:trPr>
          <w:trHeight w:val="20"/>
        </w:trPr>
        <w:tc>
          <w:tcPr>
            <w:tcW w:w="6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and the selling stockholders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representatives have advised us and the selling stockholders that the underwriters propose initially to offer the shares to the public at the</w:t>
      </w:r>
    </w:p>
    <w:p>
      <w:pPr>
        <w:spacing w:after="0" w:line="27" w:lineRule="exact"/>
        <w:rPr>
          <w:sz w:val="20"/>
          <w:szCs w:val="20"/>
          <w:color w:val="auto"/>
        </w:rPr>
      </w:pPr>
    </w:p>
    <w:p>
      <w:pPr>
        <w:ind w:left="120"/>
        <w:spacing w:after="0"/>
        <w:tabs>
          <w:tab w:leader="none" w:pos="10120" w:val="left"/>
        </w:tabs>
        <w:rPr>
          <w:sz w:val="20"/>
          <w:szCs w:val="20"/>
          <w:color w:val="auto"/>
        </w:rPr>
      </w:pPr>
      <w:r>
        <w:rPr>
          <w:rFonts w:ascii="Times New Roman" w:cs="Times New Roman" w:eastAsia="Times New Roman" w:hAnsi="Times New Roman"/>
          <w:sz w:val="18"/>
          <w:szCs w:val="18"/>
          <w:color w:val="auto"/>
        </w:rPr>
        <w:t>public offering price set forth on the cover page of this prospectus and to dealers at that price less a concession not in excess of $</w:t>
      </w:r>
      <w:r>
        <w:rPr>
          <w:sz w:val="20"/>
          <w:szCs w:val="20"/>
          <w:color w:val="auto"/>
        </w:rPr>
        <w:tab/>
      </w:r>
      <w:r>
        <w:rPr>
          <w:rFonts w:ascii="Times New Roman" w:cs="Times New Roman" w:eastAsia="Times New Roman" w:hAnsi="Times New Roman"/>
          <w:sz w:val="17"/>
          <w:szCs w:val="17"/>
          <w:color w:val="auto"/>
        </w:rPr>
        <w:t>per share.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After the initial offering, the public offering price, concession or any other term of the offering may be changed.</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 and proceeds before expenses to the selling stockholders. The information assumes either no exercise or full exercise by the underwriters of their option to purchase additional shares.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520" w:type="dxa"/>
            <w:vAlign w:val="bottom"/>
          </w:tcPr>
          <w:p>
            <w:pPr>
              <w:spacing w:after="0"/>
              <w:rPr>
                <w:sz w:val="13"/>
                <w:szCs w:val="13"/>
                <w:color w:val="auto"/>
              </w:rPr>
            </w:pPr>
          </w:p>
        </w:tc>
        <w:tc>
          <w:tcPr>
            <w:tcW w:w="68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136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With Option</w:t>
            </w: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0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1760" w:type="dxa"/>
            <w:vAlign w:val="bottom"/>
            <w:gridSpan w:val="2"/>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the selling stockholders</w:t>
            </w:r>
          </w:p>
        </w:tc>
        <w:tc>
          <w:tcPr>
            <w:tcW w:w="1760" w:type="dxa"/>
            <w:vAlign w:val="bottom"/>
            <w:gridSpan w:val="2"/>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$1,500,000 and are payable by us and the selling stockholders. We and the selling stockholders have also agreed to reimburse the underwriters for certain of their expenses incurred in connection with this offering in an amount up to $35,000.</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121"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have granted an option to the underwriters, exercisable for 30 days after the date of this prospectus, to purchase up to 675,000 additional 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the selling stockholders and our executive officers and directors have agreed not to sell or transfer any common stock or securities convertible into, exchangeable for, exercisable for, or repayable with common stock, for 75 days after the date of this prospectus without first obtaining the written consent of BofA Securities, Inc., Goldman Sachs &amp; Co. LLC and Jefferies LLC. Specifically, we and these other persons have agreed, with certain limited exceptions, not to directly or indirectly:</w:t>
      </w:r>
    </w:p>
    <w:p>
      <w:pPr>
        <w:spacing w:after="0" w:line="85"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or contract to sell any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option or contract to purchase any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option or contract to sell any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option, right or warrant for the sale of any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 or otherwise dispose of or transfer any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demand that we file or make a confidential submission of a registration statement related to the common stock, or</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6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under the symbol “FWRG.”</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and Short Positions</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in the over-the-counter market or otherwise.</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Neither we, the selling stockholders nor any of the underwriters make any representation or prediction as to the direction or magnitude of any effect that the transactions described above may have on the price of our common stock. In addition, neither we, the selling stockholders nor any of the underwriters make any representation that the representatives will engage in these transactions or that these transactions, once commenced, will not be discontinued without notice.</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underwriters and selling group members may engage in passive market making transactions in the common stock on the Nasdaq Global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and dealers are not required to engage in passive market making and may end passive market making activities at any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offering, certain of the underwriters or securities dealers may distribute prospectuses by electronic means, such as e-mail.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Some of the underwriters and their affiliates have engaged in, and may in the future engage in, investment banking and other commercial dealings in the ordinary course of business with us or our affiliates. They have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received, or may in the future receive, customary fees and commissions for these transactions. In that regard, certain of the underwriters or their respective affiliates are acting as administrative agent, collateral agent and lenders under our New Credit Agreement. All shares of our common stock offered by this prospectus will be sold by the selling stockholders and we will not receive any proceeds from the sale of shares of common stock by the selling stockholders. Therefore, none of the proceeds from this offering will be used to repay, all or in part, the New Credit Agreement.</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89" w:lineRule="exact"/>
        <w:rPr>
          <w:sz w:val="20"/>
          <w:szCs w:val="20"/>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 provided that no such offer of shares shall require the Company or any underwriter to publish a prospectus pursuant to Article 3 of the Prospectus Regulation or supplement a prospectus pursuant to Article 23 of the Prospectus Regulation.</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Each person in a Relevant State who initially acquires any shares or to whom any offer is made will be deemed to have represented, acknowledged and agreed to and with the Company and the underwriters that it is a qualified investor within the meaning of the Prospectus Regulation.</w:t>
      </w:r>
    </w:p>
    <w:p>
      <w:pPr>
        <w:spacing w:after="0" w:line="16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has been obtained to each such proposed offer or resale.</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acknowledgements and agreements.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55"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relation to the United Kingdom (“UK”), no shares have been offered or will be offered pursuant to the offering to the public in the UK prior to the publication of a prospectus in relation to the shares which has been approved by the Financial Conduct Authority in the UK in accordance with the UK Prospectus Regulation and the Financial Services and Markets Act 2000, as amended (“FSMA”), except that offers of shares may be made to the public in the UK at any time under the following exemptions under the UK Prospectus Regulation and the FSMA:</w:t>
      </w:r>
    </w:p>
    <w:p>
      <w:pPr>
        <w:spacing w:after="0" w:line="85" w:lineRule="exact"/>
        <w:rPr>
          <w:sz w:val="20"/>
          <w:szCs w:val="20"/>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w:t>
      </w:r>
    </w:p>
    <w:p>
      <w:pPr>
        <w:spacing w:after="0" w:line="130"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representatives for any such offer; or</w:t>
      </w:r>
    </w:p>
    <w:p>
      <w:pPr>
        <w:spacing w:after="0" w:line="67"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in other circumstances falling within section 86 of the FSMA, provided that no such offer of shares shall require the Company or any underwriter to publish a prospectus pursuant to Section 85 of the FSMA or Article 3 of the UK Prospectus Regulation or supplement a prospectus pursuant to Article 23 of the UK Prospectus Regulation.</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Each person in the UK who initially acquires any shares or to whom any offer is made will be deemed to have represented, acknowledged and agreed to and with the Company and the underwriters that it is a qualified investor within the meaning of the UK Prospectus Regulation.</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representatives has been obtained to each such proposed offer or resale.</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acknowledgements and agreements.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the UK means the communication in any form and by any means of sufficient information on the terms of the offer and any shares to be offered so as to enable an investor to decide to purchase or subscribe for any shares, the expression “UK Prospectus Regulation” means Regulation (EU) 2017/1129 as it forms part of domestic law by virtue of the European Union (Withdrawal) Act 2018, and the expression “FSMA” means the Financial Services and Markets Act 2000, as amended.</w:t>
      </w:r>
    </w:p>
    <w:p>
      <w:pPr>
        <w:spacing w:after="0" w:line="180"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FSMA) in connection with the issue or sale of any securities may otherwise lawfully be communicated or caused</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60"/>
          </w:cols>
          <w:pgMar w:left="320" w:top="455" w:right="5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relates to an exempt offer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0"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1080" w:right="100" w:hanging="532"/>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jc w:val="both"/>
        <w:ind w:left="1080" w:right="320" w:hanging="532"/>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60"/>
        <w:spacing w:after="0" w:line="282" w:lineRule="auto"/>
        <w:rPr>
          <w:sz w:val="20"/>
          <w:szCs w:val="20"/>
          <w:color w:val="auto"/>
        </w:rPr>
      </w:pPr>
      <w:r>
        <w:rPr>
          <w:rFonts w:ascii="Times New Roman" w:cs="Times New Roman" w:eastAsia="Times New Roman" w:hAnsi="Times New Roman"/>
          <w:sz w:val="18"/>
          <w:szCs w:val="18"/>
          <w:color w:val="auto"/>
        </w:rPr>
        <w:t>beneficiaries’ rights and interest (howsoever described) in that trust shall not be transferred within six months after that corporation or that trust has acquired the shares pursuant to an offer made under Section 275 of the SFA except:</w:t>
      </w:r>
    </w:p>
    <w:p>
      <w:pPr>
        <w:spacing w:after="0" w:line="67" w:lineRule="exact"/>
        <w:rPr>
          <w:sz w:val="20"/>
          <w:szCs w:val="20"/>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of the SFA;</w:t>
      </w:r>
    </w:p>
    <w:p>
      <w:pPr>
        <w:spacing w:after="0" w:line="11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shares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xml:space="preserve">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Pursuant to section 3A.3 (or, in the case of securities issued or guaranteed by the government of a non-Canadian jurisdiction, section 3A.4)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Weil, Gotshal &amp; Manges LLP, New York, New York, has passed upon the validity of the common stock offered hereby on behalf of us. Certain legal matters will be passed upon on behalf of the underwriters by Latham &amp; Watkins LLP.</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fiscal year ended December 26, 2021 have been so incorporated in reliance on the report of PricewaterhouseCoopers LLP, an independent registered public accounting firm, given on the authority of said firm as experts in auditing and accounting.</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First Watch Restaurant Group, Inc.’s initial public offering, PricewaterhouseCoopers LLP (“PwC”) completed an independence assessment to evaluate the services and relationships with the Company and its affiliates that may bear on PwC’s independence under the SEC and PCAOB independence rules for the audit period commencing December 31, 2018. PwC informed the Company that, commencing in February 2020 and continuing through June 2020, a PwC member firm was engaged to provide permissible tax compliance services to a portfolio company controlled by Advent, which currently is the majority equity holder of the Company, pursuant to a contingent fee of approximately $40,000. The existence of the contingent fee is not in accordance with the SEC and PCAOB auditor independence rules.</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PwC provided an overview of the facts and circumstances surrounding the contingent fee arrangement to our audit committee and management, including the entity involved, the fees earned and other relevant factors. Considering the facts presented, our audit committee and PwC have concluded that the contingent fee would not impair PwC’s application of objective and impartial judgment on any matters encompassed within the audit engagement performed by PwC for our financial statements as of and for the fiscal year ended December 27, 2020, and that no reasonable investor would conclude otherwise.</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our common stock offered by this prospectus. For purposes of this section, the term registration statement means the original registration statement and any and all amendments including the schedules and exhibits to the original registration statement or any amendment. This prospectus, filed as part of the registration statement, does not contain all of the information set forth in the registration statement or the exhibits and schedules thereto as permitted by the rules and regulations of the SEC. For further information about us and our common stock, you should refer to the registration statement, including the exhibits. This prospectus summarizes provisions that we consider material of certain contracts and other documents to which we refer you. Because the summaries may not contain all of the information that you may find important, you should review the full text of those documents.</w:t>
      </w:r>
    </w:p>
    <w:p>
      <w:pPr>
        <w:spacing w:after="0" w:line="187"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This registration statement, including its exhibits and schedules, will be filed with the SEC. The SEC maintains a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from which interested persons can electronically access the registration statement, including the exhibits and schedules to the registration statement, and the annual, quarterly and current reports, proxy statements and other information that we file with the SEC.</w:t>
      </w:r>
    </w:p>
    <w:p>
      <w:pPr>
        <w:spacing w:after="0" w:line="17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 and reporting requirements of the Exchange Act and file annual, quarterly and current reports, proxy statements and other information with the SEC. You can request copies of these documents, for a copying fee, by writing to the SEC. We intend to furnish our stockholders with annual reports containing financial statements audited by our independent auditors.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not authorized anyone to give you any information or to make any representations about us or the transactions we discuss in this prospectus other than those contained in this prospectus. If you are given any information or representations about these matters that is not discussed in this prospectus, you must not rely on that information. This prospectus is not an offer to sell or a solicitation of an offer to buy securities anywhere or to anyone where or to whom we are not permitted to offer or sell securities under applicable law.</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40"/>
          </w:cols>
          <w:pgMar w:left="320" w:top="455" w:right="5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“incorporating by reference” into this prospectus certain information that we have filed with the SEC, which means that we are disclosing important information to you by referring you to that document we have filed separately with the SEC. The documents that have been incorporated by reference are an important part of the prospectus, and you should review that information in order to understand the nature of any investment by you in the common stock. Any statement contained in a document or report incorporated or deemed to be incorporated herein by reference shall be deemed to be modified or superseded for purposes of this prospectus to the extent that a statement contained herein or in any subsequently filed document or report that also is or is deemed to be incorporated by reference herein modifies or supersedes such statement. Any such statement so modified or superseded shall not be deemed, except as so modified or superseded, to constitute a part of this prospectus. We are incorporating by reference the documents listed below:</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This prospectus incorporates by reference the following (excluding any portions of such documents that have been “furnished” but not “filed” for purposes of the Exchange Act, unless otherwise expressly identified in such filings as being incorporated by reference into this prospectus):</w:t>
      </w:r>
    </w:p>
    <w:p>
      <w:pPr>
        <w:spacing w:after="0" w:line="67"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4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26, 2021, filed with the SEC on March 23, 2022;</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27, 2022 filed with the SEC on </w:t>
      </w:r>
      <w:hyperlink r:id="rId142">
        <w:r>
          <w:rPr>
            <w:rFonts w:ascii="Times New Roman" w:cs="Times New Roman" w:eastAsia="Times New Roman" w:hAnsi="Times New Roman"/>
            <w:sz w:val="18"/>
            <w:szCs w:val="18"/>
            <w:u w:val="single" w:color="auto"/>
            <w:color w:val="0000EE"/>
          </w:rPr>
          <w:t>May 10,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our Quarterly Report on Form 10-Q for the quarter ended June 26, 2022 filed with the SEC on </w:t>
      </w:r>
      <w:hyperlink r:id="rId143">
        <w:r>
          <w:rPr>
            <w:rFonts w:ascii="Times New Roman" w:cs="Times New Roman" w:eastAsia="Times New Roman" w:hAnsi="Times New Roman"/>
            <w:sz w:val="18"/>
            <w:szCs w:val="18"/>
            <w:u w:val="single" w:color="auto"/>
            <w:color w:val="0000EE"/>
          </w:rPr>
          <w:t>August 9, 2022</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Schedule 14A, filed with the SEC on </w:t>
      </w:r>
      <w:hyperlink r:id="rId144">
        <w:r>
          <w:rPr>
            <w:rFonts w:ascii="Times New Roman" w:cs="Times New Roman" w:eastAsia="Times New Roman" w:hAnsi="Times New Roman"/>
            <w:sz w:val="18"/>
            <w:szCs w:val="18"/>
            <w:u w:val="single" w:color="auto"/>
            <w:color w:val="0000EE"/>
          </w:rPr>
          <w:t>April 11, 2022</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53"/>
        </w:numPr>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October 6,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26,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21,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 19,</w:t>
        </w:r>
      </w:hyperlink>
      <w:r>
        <w:rPr>
          <w:rFonts w:ascii="Times New Roman" w:cs="Times New Roman" w:eastAsia="Times New Roman" w:hAnsi="Times New Roman"/>
          <w:sz w:val="18"/>
          <w:szCs w:val="18"/>
          <w:color w:val="auto"/>
        </w:rPr>
        <w:t xml:space="preserve"> </w:t>
      </w:r>
      <w:hyperlink r:id="rId145">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46">
        <w:r>
          <w:rPr>
            <w:rFonts w:ascii="Times New Roman" w:cs="Times New Roman" w:eastAsia="Times New Roman" w:hAnsi="Times New Roman"/>
            <w:sz w:val="18"/>
            <w:szCs w:val="18"/>
            <w:u w:val="single" w:color="auto"/>
            <w:color w:val="0000EE"/>
          </w:rPr>
          <w:t>September 7, 2022</w:t>
        </w:r>
      </w:hyperlink>
      <w:hyperlink r:id="rId145">
        <w:r>
          <w:rPr>
            <w:rFonts w:ascii="Times New Roman" w:cs="Times New Roman" w:eastAsia="Times New Roman" w:hAnsi="Times New Roman"/>
            <w:sz w:val="18"/>
            <w:szCs w:val="18"/>
            <w:color w:val="000000"/>
          </w:rPr>
          <w:t>.</w:t>
        </w:r>
      </w:hyperlink>
    </w:p>
    <w:p>
      <w:pPr>
        <w:spacing w:after="0" w:line="162" w:lineRule="exact"/>
        <w:rPr>
          <w:rFonts w:ascii="Times New Roman" w:cs="Times New Roman" w:eastAsia="Times New Roman" w:hAnsi="Times New Roman"/>
          <w:sz w:val="18"/>
          <w:szCs w:val="18"/>
          <w:color w:val="0000EE"/>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are also incorporating by reference additional documents that we file with the SEC pursuant to Sections 13(a), 13(c), 14 or 15(d) of the Exchange Act, after the date of this prospectus through the completion of the offering. We are not, however, incorporating by reference any documents or portions thereof, whether specifically listed above or filed in the future, that are not deemed “filed” with the SEC, including any information furnished pursuant to Items 2.02 or 7.01 of Form 8-K or certain exhibits furnished pursuant to Item 9.01 of Form 8-K.</w:t>
      </w:r>
    </w:p>
    <w:p>
      <w:pPr>
        <w:spacing w:after="0" w:line="180" w:lineRule="exact"/>
        <w:rPr>
          <w:rFonts w:ascii="Times New Roman" w:cs="Times New Roman" w:eastAsia="Times New Roman" w:hAnsi="Times New Roman"/>
          <w:sz w:val="18"/>
          <w:szCs w:val="18"/>
          <w:color w:val="0000EE"/>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Statements contained in this prospectus as to the contents of any contract or other document referred to in this prospectus do not purport to be complete, and, where reference is made to the particular provisions of such contract or other document, such provisions are qualified in all respects by reference to all of the provisions of such contract or other document.</w:t>
      </w:r>
    </w:p>
    <w:p>
      <w:pPr>
        <w:spacing w:after="0" w:line="176" w:lineRule="exact"/>
        <w:rPr>
          <w:rFonts w:ascii="Times New Roman" w:cs="Times New Roman" w:eastAsia="Times New Roman" w:hAnsi="Times New Roman"/>
          <w:sz w:val="18"/>
          <w:szCs w:val="18"/>
          <w:color w:val="0000EE"/>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You may obtain copies of these documents free of charge on our website, https://investors.firstwatch.com/, as soon as reasonably practicable after they have been filed with the SEC and through the SEC’s website, http://www.sec.gov. You may also obtain such documents by submitting a written request either to the Chief Legal Officer, General Counsel and Secretary, First Watch Restaurant Group, Inc., 8725 Pendery Place, Suite 201, Bradenton, FL 34201, or to investorrelations@firstwatch.com, or an oral request by calling the Company’s Chief Legal Officer, General Counsel and Secretary at</w:t>
      </w:r>
    </w:p>
    <w:p>
      <w:pPr>
        <w:spacing w:after="0" w:line="3" w:lineRule="exact"/>
        <w:rPr>
          <w:rFonts w:ascii="Times New Roman" w:cs="Times New Roman" w:eastAsia="Times New Roman" w:hAnsi="Times New Roman"/>
          <w:sz w:val="18"/>
          <w:szCs w:val="18"/>
          <w:color w:val="0000EE"/>
        </w:rPr>
      </w:pPr>
    </w:p>
    <w:p>
      <w:pPr>
        <w:ind w:left="120" w:right="60" w:hanging="4"/>
        <w:spacing w:after="0" w:line="255" w:lineRule="auto"/>
        <w:tabs>
          <w:tab w:leader="none" w:pos="5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907-9800. The Company will provide to each person, including any beneficial owner, to whom a prospectus is delivered, a copy of any or all of the reports that have been incorporated by reference in the prospectus contained in the registration statement but not delivered with the prospectus upon oral or written request, at no cost to the requester, by contacting the Company as noted above.</w:t>
      </w:r>
    </w:p>
    <w:p>
      <w:pPr>
        <w:spacing w:after="0" w:line="118"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80"/>
          </w:cols>
          <w:pgMar w:left="320" w:top="455" w:right="4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4,500,000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344170</wp:posOffset>
            </wp:positionV>
            <wp:extent cx="2486025" cy="131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248602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753110</wp:posOffset>
            </wp:positionV>
            <wp:extent cx="14744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60"/>
        <w:spacing w:after="0"/>
        <w:tabs>
          <w:tab w:leader="none" w:pos="4440" w:val="left"/>
          <w:tab w:leader="none" w:pos="8960" w:val="left"/>
        </w:tabs>
        <w:rPr>
          <w:sz w:val="20"/>
          <w:szCs w:val="20"/>
          <w:color w:val="auto"/>
        </w:rPr>
      </w:pPr>
      <w:r>
        <w:rPr>
          <w:rFonts w:ascii="Times New Roman" w:cs="Times New Roman" w:eastAsia="Times New Roman" w:hAnsi="Times New Roman"/>
          <w:sz w:val="22"/>
          <w:szCs w:val="22"/>
          <w:b w:val="1"/>
          <w:bCs w:val="1"/>
          <w:color w:val="auto"/>
        </w:rPr>
        <w:t>BofA Securities</w:t>
      </w:r>
      <w:r>
        <w:rPr>
          <w:sz w:val="20"/>
          <w:szCs w:val="20"/>
          <w:color w:val="auto"/>
        </w:rPr>
        <w:tab/>
      </w:r>
      <w:r>
        <w:rPr>
          <w:rFonts w:ascii="Times New Roman" w:cs="Times New Roman" w:eastAsia="Times New Roman" w:hAnsi="Times New Roman"/>
          <w:sz w:val="22"/>
          <w:szCs w:val="22"/>
          <w:b w:val="1"/>
          <w:bCs w:val="1"/>
          <w:color w:val="auto"/>
        </w:rPr>
        <w:t>Goldman Sachs &amp; Co. LLC</w:t>
      </w:r>
      <w:r>
        <w:rPr>
          <w:sz w:val="20"/>
          <w:szCs w:val="20"/>
          <w:color w:val="auto"/>
        </w:rPr>
        <w:tab/>
      </w:r>
      <w:r>
        <w:rPr>
          <w:rFonts w:ascii="Times New Roman" w:cs="Times New Roman" w:eastAsia="Times New Roman" w:hAnsi="Times New Roman"/>
          <w:sz w:val="21"/>
          <w:szCs w:val="21"/>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 2022</w:t>
      </w:r>
    </w:p>
    <w:p>
      <w:pPr>
        <w:spacing w:after="0" w:line="200" w:lineRule="exact"/>
        <w:rPr>
          <w:sz w:val="20"/>
          <w:szCs w:val="20"/>
          <w:color w:val="auto"/>
        </w:rPr>
      </w:pPr>
    </w:p>
    <w:p>
      <w:pPr>
        <w:spacing w:after="0" w:line="349" w:lineRule="exact"/>
        <w:rPr>
          <w:sz w:val="20"/>
          <w:szCs w:val="20"/>
          <w:color w:val="auto"/>
        </w:rPr>
      </w:pPr>
    </w:p>
    <w:p>
      <w:pPr>
        <w:ind w:left="1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Until</w:t>
      </w:r>
      <w:r>
        <w:rPr>
          <w:sz w:val="20"/>
          <w:szCs w:val="20"/>
          <w:color w:val="auto"/>
        </w:rPr>
        <w:tab/>
      </w:r>
      <w:r>
        <w:rPr>
          <w:rFonts w:ascii="Times New Roman" w:cs="Times New Roman" w:eastAsia="Times New Roman" w:hAnsi="Times New Roman"/>
          <w:sz w:val="18"/>
          <w:szCs w:val="18"/>
          <w:b w:val="1"/>
          <w:bCs w:val="1"/>
          <w:color w:val="auto"/>
        </w:rPr>
        <w:t>, 2022 (25 days after the date of this prospectus), all dealers that buy, sell or trade in shares of these securities, whether or not</w:t>
      </w:r>
    </w:p>
    <w:p>
      <w:pPr>
        <w:spacing w:after="0" w:line="31"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b w:val="1"/>
          <w:bCs w:val="1"/>
          <w:color w:val="auto"/>
        </w:rPr>
        <w:t>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401320</wp:posOffset>
            </wp:positionV>
            <wp:extent cx="6995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469900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PART II — 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costs and expenses, other than the underwriting discount, paid or payable by us in connection with the sale of the common stock being registered. All amounts shown are estimates except for the SEC registration fee and the FINRA filing fee.</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 Paid</w:t>
            </w:r>
          </w:p>
        </w:tc>
      </w:tr>
      <w:tr>
        <w:trPr>
          <w:trHeight w:val="173"/>
        </w:trPr>
        <w:tc>
          <w:tcPr>
            <w:tcW w:w="6500" w:type="dxa"/>
            <w:vAlign w:val="bottom"/>
          </w:tcPr>
          <w:p>
            <w:pPr>
              <w:spacing w:after="0"/>
              <w:rPr>
                <w:sz w:val="15"/>
                <w:szCs w:val="15"/>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or to be Paid</w:t>
            </w:r>
          </w:p>
        </w:tc>
      </w:tr>
      <w:tr>
        <w:trPr>
          <w:trHeight w:val="209"/>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14,674</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sky qualification fees and expenses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825,000</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8,600</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87,966</w:t>
            </w:r>
          </w:p>
        </w:tc>
      </w:tr>
      <w:tr>
        <w:trPr>
          <w:trHeight w:val="216"/>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Indemnification of Officers and Directors.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Registrant is governed by the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97"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The Registrant’s amended and restated bylaws authorizes the indemnification of its officers and directors, consistent with Section 145 of the DGCL, as amended. The Registrant has entered into indemnification agreements with each of its directors and executive officers. These agreements, among other things, require the Registrant to indemnify each director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the Registrant, arising out of the person’s services as a director or executive officer.</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Reference is made to Section 102(b)(7) of the DGCL, which enables a corporation in its original certificate of incorporation or an amendment thereto to eliminate or limit the personal liability of a director for violations of the director’s fiduciary duty, except (i) for any breach of the director’s duty of loyalty to the corporation or its stockholders, (ii) for acts or omissions not in good faith or which involve intentional misconduct or a knowing violation of law, (iii) pursuant to Section 174 of the DGCL, which provides for liability of directors for unlawful payments of dividends of unlawful stock purchase or redemptions or (iv) for any transaction from which a director derived an improper personal benefit.</w:t>
      </w:r>
    </w:p>
    <w:p>
      <w:pPr>
        <w:spacing w:after="0" w:line="183"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Registrant maintains standard policies of insurance that provide coverage (i) to its directors and officers against loss rising from claims made by reason of breach of duty or other wrongful act and (ii) to the Registrant with respect to indemnification payments that it may make to such directors and officers.</w:t>
      </w:r>
    </w:p>
    <w:p>
      <w:pPr>
        <w:spacing w:after="0" w:line="176"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proposed form of underwriting agreement to be filed as Exhibit 1.1 to this Registration Statement provides for indemnification to the Registrant’s directors and officers by the underwriters against certain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jc w:val="both"/>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The following sets forth information regarding all unregistered securities sold by the Registrant in transactions that were exempt from the requirements of the Securities Act in the last three years and does not give effect to the 11.838-for-1 stock split of our common stock effected on September 20, 2021 prior to our IPO:</w:t>
      </w:r>
    </w:p>
    <w:p>
      <w:pPr>
        <w:spacing w:after="0" w:line="81" w:lineRule="exact"/>
        <w:rPr>
          <w:sz w:val="20"/>
          <w:szCs w:val="20"/>
          <w:color w:val="auto"/>
        </w:rPr>
      </w:pPr>
    </w:p>
    <w:p>
      <w:pPr>
        <w:ind w:left="1080" w:right="62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2019, the Registrant granted options to 10 employees to purchase an aggregate of 39,670 shares of its common stock at an exercise price of $150 per share.</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July 2019 through April 2020, the Registrant granted options to seven employees and directors to purchase an aggregate of 42,107 shares of its common stock at an exercise price of $160 per share.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September 2020 through February 2021, the Registrant granted options to seven employees and directors to purchase an aggregate of 23,834 shares of its common stock at an exercise price of $150 per share.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14, 2020, the Registrant sold 258,745.8805 shares of preferred stock to AI Fresh Holdings Limited Partnership for an aggregate purchase price of $38,811,882.08, at a price of $150 per share.</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24, 2020, the Registrant sold 7,920.7861 shares of preferred stock to AI Fresh Holdings Limited Partnership for an aggregate purchase price of $1,188,117.92, at a price of $150 per share.</w:t>
      </w:r>
    </w:p>
    <w:p>
      <w:pPr>
        <w:spacing w:after="0" w:line="16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offers, sales and issuances of the preferred stock listed above were exempt from registration under the Securities Act under Section 4(a)(2) of the Securities Act or Regulation D promulgated thereunder as transactions by an issuer not involving a public offering. The shares of common stock in all of the transactions listed above were issued or will be issued in reliance upon Section 4(2) of the Securities Act or Rule 701 promulgated under Section 3(b) of the Securities Act as the sale of such securities did not or will not involve a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the Registrant, to information about the Registrant.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380" w:type="dxa"/>
            <w:vAlign w:val="bottom"/>
            <w:gridSpan w:val="20"/>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7"/>
        </w:trPr>
        <w:tc>
          <w:tcPr>
            <w:tcW w:w="720" w:type="dxa"/>
            <w:vAlign w:val="bottom"/>
            <w:tcBorders>
              <w:bottom w:val="single" w:sz="8" w:color="auto"/>
            </w:tcBorders>
          </w:tcPr>
          <w:p>
            <w:pPr>
              <w:jc w:val="right"/>
              <w:ind w:right="172"/>
              <w:spacing w:after="0" w:line="160" w:lineRule="exact"/>
              <w:rPr>
                <w:sz w:val="20"/>
                <w:szCs w:val="20"/>
                <w:color w:val="auto"/>
              </w:rPr>
            </w:pPr>
            <w:r>
              <w:rPr>
                <w:rFonts w:ascii="Times New Roman" w:cs="Times New Roman" w:eastAsia="Times New Roman" w:hAnsi="Times New Roman"/>
                <w:sz w:val="14"/>
                <w:szCs w:val="14"/>
                <w:b w:val="1"/>
                <w:bCs w:val="1"/>
                <w:color w:val="auto"/>
              </w:rPr>
              <w:t>No.</w:t>
            </w: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380" w:type="dxa"/>
            <w:vAlign w:val="bottom"/>
            <w:gridSpan w:val="2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1.1</w:t>
            </w:r>
          </w:p>
        </w:tc>
        <w:tc>
          <w:tcPr>
            <w:tcW w:w="600" w:type="dxa"/>
            <w:vAlign w:val="bottom"/>
          </w:tcPr>
          <w:p>
            <w:pPr>
              <w:spacing w:after="0"/>
              <w:rPr>
                <w:sz w:val="23"/>
                <w:szCs w:val="23"/>
                <w:color w:val="auto"/>
              </w:rPr>
            </w:pPr>
          </w:p>
        </w:tc>
        <w:tc>
          <w:tcPr>
            <w:tcW w:w="962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Form of Underwriting Agreement.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c>
          <w:tcPr>
            <w:tcW w:w="600" w:type="dxa"/>
            <w:vAlign w:val="bottom"/>
          </w:tcPr>
          <w:p>
            <w:pPr>
              <w:spacing w:after="0"/>
              <w:rPr>
                <w:sz w:val="24"/>
                <w:szCs w:val="24"/>
                <w:color w:val="auto"/>
              </w:rPr>
            </w:pPr>
          </w:p>
        </w:tc>
        <w:tc>
          <w:tcPr>
            <w:tcW w:w="962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Amended and Restated Certificate of Incorporation of First Watch Restaurant Group, Inc. (incorporated by reference to Exhibit 3.1 to</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20" w:type="dxa"/>
            <w:vAlign w:val="bottom"/>
            <w:gridSpan w:val="29"/>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the Current Report on Form 8-K filed on October 6, 2021).</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c>
          <w:tcPr>
            <w:tcW w:w="600" w:type="dxa"/>
            <w:vAlign w:val="bottom"/>
          </w:tcPr>
          <w:p>
            <w:pPr>
              <w:spacing w:after="0"/>
              <w:rPr>
                <w:sz w:val="24"/>
                <w:szCs w:val="24"/>
                <w:color w:val="auto"/>
              </w:rPr>
            </w:pPr>
          </w:p>
        </w:tc>
        <w:tc>
          <w:tcPr>
            <w:tcW w:w="958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Amended and Restated Bylaws of First Watch Restaurant Group, Inc. (incorporated by reference to Exhibit 3.2 to the Current Report</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on Form 8-K filed on October 6, 2021).</w:t>
              </w:r>
            </w:hyperlink>
          </w:p>
        </w:tc>
        <w:tc>
          <w:tcPr>
            <w:tcW w:w="67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c>
          <w:tcPr>
            <w:tcW w:w="600" w:type="dxa"/>
            <w:vAlign w:val="bottom"/>
          </w:tcPr>
          <w:p>
            <w:pPr>
              <w:spacing w:after="0"/>
              <w:rPr>
                <w:sz w:val="24"/>
                <w:szCs w:val="24"/>
                <w:color w:val="auto"/>
              </w:rPr>
            </w:pPr>
          </w:p>
        </w:tc>
        <w:tc>
          <w:tcPr>
            <w:tcW w:w="93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Form of Certificate of Common Stock (incorporated by reference to Exhibit 4.1 to the Company’s Form S-1 filed on September 7,</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60" w:type="dxa"/>
            <w:vAlign w:val="bottom"/>
            <w:gridSpan w:val="2"/>
          </w:tcPr>
          <w:p>
            <w:pPr>
              <w:ind w:left="600"/>
              <w:spacing w:after="0" w:line="196" w:lineRule="exact"/>
              <w:rPr>
                <w:rFonts w:ascii="Times New Roman" w:cs="Times New Roman" w:eastAsia="Times New Roman" w:hAnsi="Times New Roman"/>
                <w:sz w:val="18"/>
                <w:szCs w:val="18"/>
                <w:color w:val="0000EE"/>
                <w:w w:val="94"/>
              </w:rPr>
            </w:pPr>
            <w:hyperlink r:id="rId160">
              <w:r>
                <w:rPr>
                  <w:rFonts w:ascii="Times New Roman" w:cs="Times New Roman" w:eastAsia="Times New Roman" w:hAnsi="Times New Roman"/>
                  <w:sz w:val="18"/>
                  <w:szCs w:val="18"/>
                  <w:color w:val="0000EE"/>
                  <w:w w:val="94"/>
                </w:rPr>
                <w:t>2021).</w:t>
              </w:r>
            </w:hyperlink>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w:t>
            </w:r>
          </w:p>
        </w:tc>
        <w:tc>
          <w:tcPr>
            <w:tcW w:w="600" w:type="dxa"/>
            <w:vAlign w:val="bottom"/>
          </w:tcPr>
          <w:p>
            <w:pPr>
              <w:spacing w:after="0"/>
              <w:rPr>
                <w:sz w:val="24"/>
                <w:szCs w:val="24"/>
                <w:color w:val="auto"/>
              </w:rPr>
            </w:pPr>
          </w:p>
        </w:tc>
        <w:tc>
          <w:tcPr>
            <w:tcW w:w="95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Registration Rights Agreement dated as of October 1, 2021, by and among First Watch Restaurant Group, Inc. and the other parties</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thereto (incorporated by reference to Exhibit 4.2 to the Company’s Annual Report on Form 10-K filed on March 23, 2022).</w:t>
              </w:r>
            </w:hyperlink>
          </w:p>
        </w:tc>
        <w:tc>
          <w:tcPr>
            <w:tcW w:w="7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5.1</w:t>
            </w:r>
          </w:p>
        </w:tc>
        <w:tc>
          <w:tcPr>
            <w:tcW w:w="600" w:type="dxa"/>
            <w:vAlign w:val="bottom"/>
          </w:tcPr>
          <w:p>
            <w:pPr>
              <w:spacing w:after="0"/>
              <w:rPr>
                <w:sz w:val="24"/>
                <w:szCs w:val="24"/>
                <w:color w:val="auto"/>
              </w:rPr>
            </w:pPr>
          </w:p>
        </w:tc>
        <w:tc>
          <w:tcPr>
            <w:tcW w:w="962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Opinion of Weil, Gotshal &amp; Manges LLP.</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96"/>
              </w:rPr>
              <w:t>10.1**</w:t>
            </w:r>
          </w:p>
        </w:tc>
        <w:tc>
          <w:tcPr>
            <w:tcW w:w="600" w:type="dxa"/>
            <w:vAlign w:val="bottom"/>
          </w:tcPr>
          <w:p>
            <w:pPr>
              <w:spacing w:after="0"/>
              <w:rPr>
                <w:sz w:val="24"/>
                <w:szCs w:val="24"/>
                <w:color w:val="auto"/>
              </w:rPr>
            </w:pPr>
          </w:p>
        </w:tc>
        <w:tc>
          <w:tcPr>
            <w:tcW w:w="958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Credit Agreement by and among FWR Holding Corporation, AI Fresh Parent, Inc., the lenders party thereto, the other parties therein</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20" w:type="dxa"/>
            <w:vAlign w:val="bottom"/>
            <w:gridSpan w:val="29"/>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and Bank of America, N.A., as administrative agent (incorporated by reference to Exhibit 10.1 to the Current Report on Form 8-K</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filed on October 6, 2021).</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10.2(a)**</w:t>
            </w:r>
          </w:p>
        </w:tc>
        <w:tc>
          <w:tcPr>
            <w:tcW w:w="600" w:type="dxa"/>
            <w:vAlign w:val="bottom"/>
          </w:tcPr>
          <w:p>
            <w:pPr>
              <w:spacing w:after="0"/>
              <w:rPr>
                <w:sz w:val="24"/>
                <w:szCs w:val="24"/>
                <w:color w:val="auto"/>
              </w:rPr>
            </w:pPr>
          </w:p>
        </w:tc>
        <w:tc>
          <w:tcPr>
            <w:tcW w:w="9620" w:type="dxa"/>
            <w:vAlign w:val="bottom"/>
            <w:gridSpan w:val="29"/>
          </w:tcPr>
          <w:p>
            <w:pPr>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Credit Agreement, dated as of August 21, 2017, between FWR Holding Corporation as Borrower, the lenders party thereto, and</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5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Golub Capital Markets LLC, as Administrative Agent (incorporated by reference to Exhibit 10.1(a) to the Company’s Form S-1 filed</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20" w:type="dxa"/>
            <w:vAlign w:val="bottom"/>
            <w:gridSpan w:val="29"/>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on September 7, 2021).</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10.2(b)**</w:t>
            </w:r>
          </w:p>
        </w:tc>
        <w:tc>
          <w:tcPr>
            <w:tcW w:w="600" w:type="dxa"/>
            <w:vAlign w:val="bottom"/>
          </w:tcPr>
          <w:p>
            <w:pPr>
              <w:spacing w:after="0"/>
              <w:rPr>
                <w:sz w:val="24"/>
                <w:szCs w:val="24"/>
                <w:color w:val="auto"/>
              </w:rPr>
            </w:pPr>
          </w:p>
        </w:tc>
        <w:tc>
          <w:tcPr>
            <w:tcW w:w="9620" w:type="dxa"/>
            <w:vAlign w:val="bottom"/>
            <w:gridSpan w:val="29"/>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First Amendment to Credit Agreement, dated as of February 28, 2019, between FWR Holding Corporation as Borrower, the lenders</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94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party thereto, and Golub Capital Markets LLC, as Administrative Agent (incorporated by reference to Exhibit 10.1(b) to the</w:t>
              </w:r>
            </w:hyperlink>
          </w:p>
        </w:tc>
        <w:tc>
          <w:tcPr>
            <w:tcW w:w="600" w:type="dxa"/>
            <w:vAlign w:val="bottom"/>
            <w:tcBorders>
              <w:top w:val="single" w:sz="8" w:color="0000EE"/>
            </w:tcBorders>
            <w:gridSpan w:val="9"/>
          </w:tcPr>
          <w:p>
            <w:pPr>
              <w:spacing w:after="0"/>
              <w:rPr>
                <w:sz w:val="17"/>
                <w:szCs w:val="17"/>
                <w:color w:val="auto"/>
              </w:rPr>
            </w:pP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Company’s Form S-1 filed on September 7, 2021).</w:t>
              </w:r>
            </w:hyperlink>
          </w:p>
        </w:tc>
        <w:tc>
          <w:tcPr>
            <w:tcW w:w="59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10.2(c)**</w:t>
            </w:r>
          </w:p>
        </w:tc>
        <w:tc>
          <w:tcPr>
            <w:tcW w:w="600" w:type="dxa"/>
            <w:vAlign w:val="bottom"/>
          </w:tcPr>
          <w:p>
            <w:pPr>
              <w:spacing w:after="0"/>
              <w:rPr>
                <w:sz w:val="24"/>
                <w:szCs w:val="24"/>
                <w:color w:val="auto"/>
              </w:rPr>
            </w:pPr>
          </w:p>
        </w:tc>
        <w:tc>
          <w:tcPr>
            <w:tcW w:w="9620" w:type="dxa"/>
            <w:vAlign w:val="bottom"/>
            <w:gridSpan w:val="29"/>
          </w:tcPr>
          <w:p>
            <w:pPr>
              <w:spacing w:after="0"/>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Second Amendment to Credit Agreement, dated as of December 20, 2019, between FWR Holding Corporation as Borrower, the</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60" w:type="dxa"/>
            <w:vAlign w:val="bottom"/>
            <w:gridSpan w:val="7"/>
            <w:shd w:val="clear" w:color="auto" w:fill="0000EE"/>
          </w:tcPr>
          <w:p>
            <w:pPr>
              <w:spacing w:after="0" w:line="20" w:lineRule="exact"/>
              <w:rPr>
                <w:sz w:val="1"/>
                <w:szCs w:val="1"/>
                <w:color w:val="auto"/>
              </w:rPr>
            </w:pPr>
          </w:p>
        </w:tc>
        <w:tc>
          <w:tcPr>
            <w:tcW w:w="35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lenders party thereto, and Golub Capital Markets LLC, as Administrative Agent (incorporated by reference to Exhibit 10.1(c) to the</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Company’s Form S-1 filed on September 7, 2021).</w:t>
              </w:r>
            </w:hyperlink>
          </w:p>
        </w:tc>
        <w:tc>
          <w:tcPr>
            <w:tcW w:w="59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10.2(d)**</w:t>
            </w:r>
          </w:p>
        </w:tc>
        <w:tc>
          <w:tcPr>
            <w:tcW w:w="600" w:type="dxa"/>
            <w:vAlign w:val="bottom"/>
          </w:tcPr>
          <w:p>
            <w:pPr>
              <w:spacing w:after="0"/>
              <w:rPr>
                <w:sz w:val="24"/>
                <w:szCs w:val="24"/>
                <w:color w:val="auto"/>
              </w:rPr>
            </w:pPr>
          </w:p>
        </w:tc>
        <w:tc>
          <w:tcPr>
            <w:tcW w:w="9620" w:type="dxa"/>
            <w:vAlign w:val="bottom"/>
            <w:gridSpan w:val="29"/>
          </w:tcPr>
          <w:p>
            <w:pPr>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Third Amendment to Credit Agreement, dated as of April 27, 2020, between FWR Holding Corporation as Borrower, the lenders</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94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party thereto, and Golub Capital Markets LLC, as Administrative Agent (incorporated by reference to Exhibit 10.1(d) to the</w:t>
              </w:r>
            </w:hyperlink>
          </w:p>
        </w:tc>
        <w:tc>
          <w:tcPr>
            <w:tcW w:w="400" w:type="dxa"/>
            <w:vAlign w:val="bottom"/>
            <w:tcBorders>
              <w:top w:val="single" w:sz="8" w:color="0000EE"/>
            </w:tcBorders>
            <w:gridSpan w:val="4"/>
          </w:tcPr>
          <w:p>
            <w:pPr>
              <w:spacing w:after="0"/>
              <w:rPr>
                <w:sz w:val="17"/>
                <w:szCs w:val="17"/>
                <w:color w:val="auto"/>
              </w:rPr>
            </w:pPr>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Company’s Form S-1 filed on September 7, 2021).</w:t>
              </w:r>
            </w:hyperlink>
          </w:p>
        </w:tc>
        <w:tc>
          <w:tcPr>
            <w:tcW w:w="59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10.2(e)**</w:t>
            </w:r>
          </w:p>
        </w:tc>
        <w:tc>
          <w:tcPr>
            <w:tcW w:w="600" w:type="dxa"/>
            <w:vAlign w:val="bottom"/>
          </w:tcPr>
          <w:p>
            <w:pPr>
              <w:spacing w:after="0"/>
              <w:rPr>
                <w:sz w:val="24"/>
                <w:szCs w:val="24"/>
                <w:color w:val="auto"/>
              </w:rPr>
            </w:pPr>
          </w:p>
        </w:tc>
        <w:tc>
          <w:tcPr>
            <w:tcW w:w="9620" w:type="dxa"/>
            <w:vAlign w:val="bottom"/>
            <w:gridSpan w:val="29"/>
          </w:tcPr>
          <w:p>
            <w:pPr>
              <w:spacing w:after="0"/>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Fourth Amendment to Credit Agreement, dated as of August 14, 2020, between FWR Holding Corporation as Borrower, the lenders</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92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party thereto, and Golub Capital Markets LLC, as Administrative Agent (incorporated by reference to Exhibit 10.1(e) to the</w:t>
              </w:r>
            </w:hyperlink>
          </w:p>
        </w:tc>
        <w:tc>
          <w:tcPr>
            <w:tcW w:w="640" w:type="dxa"/>
            <w:vAlign w:val="bottom"/>
            <w:tcBorders>
              <w:top w:val="single" w:sz="8" w:color="0000EE"/>
            </w:tcBorders>
            <w:gridSpan w:val="11"/>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Company’s Form S-1 filed on September 7, 2021).</w:t>
              </w:r>
            </w:hyperlink>
          </w:p>
        </w:tc>
        <w:tc>
          <w:tcPr>
            <w:tcW w:w="59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96"/>
              </w:rPr>
              <w:t>10.3**</w:t>
            </w:r>
          </w:p>
        </w:tc>
        <w:tc>
          <w:tcPr>
            <w:tcW w:w="600" w:type="dxa"/>
            <w:vAlign w:val="bottom"/>
          </w:tcPr>
          <w:p>
            <w:pPr>
              <w:spacing w:after="0"/>
              <w:rPr>
                <w:sz w:val="24"/>
                <w:szCs w:val="24"/>
                <w:color w:val="auto"/>
              </w:rPr>
            </w:pPr>
          </w:p>
        </w:tc>
        <w:tc>
          <w:tcPr>
            <w:tcW w:w="9620" w:type="dxa"/>
            <w:vAlign w:val="bottom"/>
            <w:gridSpan w:val="29"/>
          </w:tcPr>
          <w:p>
            <w:pPr>
              <w:spacing w:after="0"/>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Employment Agreement, dated March 9, 2022, by and between First Watch Restaurants, Inc. and Christopher A. Tomasso</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(incorporated by reference to Exhibit 10.1 to the Current Report on Form 8-K filed on March 11, 2022).</w:t>
              </w:r>
            </w:hyperlink>
          </w:p>
        </w:tc>
        <w:tc>
          <w:tcPr>
            <w:tcW w:w="1360" w:type="dxa"/>
            <w:vAlign w:val="bottom"/>
            <w:tcBorders>
              <w:top w:val="single" w:sz="8" w:color="0000EE"/>
            </w:tcBorders>
          </w:tcPr>
          <w:p>
            <w:pPr>
              <w:spacing w:after="0"/>
              <w:rPr>
                <w:sz w:val="17"/>
                <w:szCs w:val="17"/>
                <w:color w:val="auto"/>
              </w:rPr>
            </w:pPr>
          </w:p>
        </w:tc>
        <w:tc>
          <w:tcPr>
            <w:tcW w:w="7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96"/>
              </w:rPr>
              <w:t>10.4**</w:t>
            </w:r>
          </w:p>
        </w:tc>
        <w:tc>
          <w:tcPr>
            <w:tcW w:w="600" w:type="dxa"/>
            <w:vAlign w:val="bottom"/>
          </w:tcPr>
          <w:p>
            <w:pPr>
              <w:spacing w:after="0"/>
              <w:rPr>
                <w:sz w:val="24"/>
                <w:szCs w:val="24"/>
                <w:color w:val="auto"/>
              </w:rPr>
            </w:pPr>
          </w:p>
        </w:tc>
        <w:tc>
          <w:tcPr>
            <w:tcW w:w="9620" w:type="dxa"/>
            <w:vAlign w:val="bottom"/>
            <w:gridSpan w:val="29"/>
          </w:tcPr>
          <w:p>
            <w:pPr>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Employment Agreement, dated August 21, 2017, by and between First Watch Restaurants, Inc. and Christopher A. Tomasso</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1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(incorporated by reference to Exhibit 10.2 to the Company’s Form S-1 filed on September 7, 2021).</w:t>
              </w:r>
            </w:hyperlink>
          </w:p>
        </w:tc>
        <w:tc>
          <w:tcPr>
            <w:tcW w:w="1800" w:type="dxa"/>
            <w:vAlign w:val="bottom"/>
            <w:tcBorders>
              <w:top w:val="single" w:sz="8" w:color="0000EE"/>
            </w:tcBorders>
            <w:gridSpan w:val="6"/>
          </w:tcPr>
          <w:p>
            <w:pPr>
              <w:spacing w:after="0"/>
              <w:rPr>
                <w:sz w:val="17"/>
                <w:szCs w:val="17"/>
                <w:color w:val="auto"/>
              </w:rPr>
            </w:pPr>
          </w:p>
        </w:tc>
        <w:tc>
          <w:tcPr>
            <w:tcW w:w="6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060"/>
          </w:cols>
          <w:pgMar w:left="320" w:top="455" w:right="5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18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0"/>
        </w:trPr>
        <w:tc>
          <w:tcPr>
            <w:tcW w:w="580" w:type="dxa"/>
            <w:vAlign w:val="bottom"/>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No.</w:t>
            </w: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180" w:type="dxa"/>
            <w:vAlign w:val="bottom"/>
            <w:gridSpan w:val="1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100" w:type="dxa"/>
            <w:vAlign w:val="bottom"/>
            <w:gridSpan w:val="2"/>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640" w:type="dxa"/>
            <w:vAlign w:val="bottom"/>
          </w:tcPr>
          <w:p>
            <w:pPr>
              <w:spacing w:after="0"/>
              <w:rPr>
                <w:sz w:val="23"/>
                <w:szCs w:val="23"/>
                <w:color w:val="auto"/>
              </w:rPr>
            </w:pPr>
          </w:p>
        </w:tc>
        <w:tc>
          <w:tcPr>
            <w:tcW w:w="97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2017 AI Fresh Super Holdco, Inc. Equity Incentive Plan, dated as of August 31, 2017 (incorporated by reference to Exhibit 10.3 to the</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Company’s Form S-1 filed on September 7, 2021).</w:t>
              </w:r>
            </w:hyperlink>
          </w:p>
        </w:tc>
        <w:tc>
          <w:tcPr>
            <w:tcW w:w="60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640" w:type="dxa"/>
            <w:vAlign w:val="bottom"/>
          </w:tcPr>
          <w:p>
            <w:pPr>
              <w:spacing w:after="0"/>
              <w:rPr>
                <w:sz w:val="24"/>
                <w:szCs w:val="24"/>
                <w:color w:val="auto"/>
              </w:rPr>
            </w:pPr>
          </w:p>
        </w:tc>
        <w:tc>
          <w:tcPr>
            <w:tcW w:w="96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Employment Agreement, dated August 21, 2017, by and between First Watch Restaurants, Inc. and Laura Sorensen (incorporated by</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20" w:type="dxa"/>
            <w:vAlign w:val="bottom"/>
            <w:gridSpan w:val="19"/>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reference to Exhibit 10.4 to the Company’s Form S-1 filed on September 7, 2021).</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640" w:type="dxa"/>
            <w:vAlign w:val="bottom"/>
          </w:tcPr>
          <w:p>
            <w:pPr>
              <w:spacing w:after="0"/>
              <w:rPr>
                <w:sz w:val="24"/>
                <w:szCs w:val="24"/>
                <w:color w:val="auto"/>
              </w:rPr>
            </w:pPr>
          </w:p>
        </w:tc>
        <w:tc>
          <w:tcPr>
            <w:tcW w:w="9720" w:type="dxa"/>
            <w:vAlign w:val="bottom"/>
            <w:gridSpan w:val="19"/>
          </w:tcPr>
          <w:p>
            <w:pPr>
              <w:spacing w:after="0"/>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Employment Agreement, dated August 21, 2017, by and between First Watch Restaurants, Inc. and Eric Hartman (incorporated by</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reference to Exhibit 10.5 to the Company’s Form S-1 filed on September 7, 2021).</w:t>
              </w:r>
            </w:hyperlink>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640" w:type="dxa"/>
            <w:vAlign w:val="bottom"/>
          </w:tcPr>
          <w:p>
            <w:pPr>
              <w:spacing w:after="0"/>
              <w:rPr>
                <w:sz w:val="24"/>
                <w:szCs w:val="24"/>
                <w:color w:val="auto"/>
              </w:rPr>
            </w:pPr>
          </w:p>
        </w:tc>
        <w:tc>
          <w:tcPr>
            <w:tcW w:w="9720" w:type="dxa"/>
            <w:vAlign w:val="bottom"/>
            <w:gridSpan w:val="19"/>
          </w:tcPr>
          <w:p>
            <w:pPr>
              <w:spacing w:after="0"/>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First Watch Restaurant Group, Inc. 2021 Equity Incentive Plan (incorporated by reference to Exhibit 10.9 to the Company’s Annual</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Report on Form 10-K filed on March 23, 2022).</w:t>
              </w:r>
            </w:hyperlink>
          </w:p>
        </w:tc>
        <w:tc>
          <w:tcPr>
            <w:tcW w:w="2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640" w:type="dxa"/>
            <w:vAlign w:val="bottom"/>
          </w:tcPr>
          <w:p>
            <w:pPr>
              <w:spacing w:after="0"/>
              <w:rPr>
                <w:sz w:val="24"/>
                <w:szCs w:val="24"/>
                <w:color w:val="auto"/>
              </w:rPr>
            </w:pPr>
          </w:p>
        </w:tc>
        <w:tc>
          <w:tcPr>
            <w:tcW w:w="9720" w:type="dxa"/>
            <w:vAlign w:val="bottom"/>
            <w:gridSpan w:val="19"/>
          </w:tcPr>
          <w:p>
            <w:pPr>
              <w:spacing w:after="0"/>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Form of Director Indemnification Agreement for First Watch Restaurant Group, Inc. (incorporated by reference to Exhibit 10.7 to the</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Company’s Form S-1 filed on September 7, 2021).</w:t>
              </w:r>
            </w:hyperlink>
          </w:p>
        </w:tc>
        <w:tc>
          <w:tcPr>
            <w:tcW w:w="5940" w:type="dxa"/>
            <w:vAlign w:val="bottom"/>
            <w:tcBorders>
              <w:top w:val="single" w:sz="8" w:color="0000EE"/>
            </w:tcBorders>
            <w:gridSpan w:val="12"/>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5"/>
              </w:rPr>
              <w:t>10.10**</w:t>
            </w:r>
          </w:p>
        </w:tc>
        <w:tc>
          <w:tcPr>
            <w:tcW w:w="640" w:type="dxa"/>
            <w:vAlign w:val="bottom"/>
          </w:tcPr>
          <w:p>
            <w:pPr>
              <w:spacing w:after="0"/>
              <w:rPr>
                <w:sz w:val="24"/>
                <w:szCs w:val="24"/>
                <w:color w:val="auto"/>
              </w:rPr>
            </w:pPr>
          </w:p>
        </w:tc>
        <w:tc>
          <w:tcPr>
            <w:tcW w:w="9720" w:type="dxa"/>
            <w:vAlign w:val="bottom"/>
            <w:gridSpan w:val="19"/>
          </w:tcPr>
          <w:p>
            <w:pPr>
              <w:spacing w:after="0"/>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Letter Agreement, dated February 1, 2021, by and between First Watch Restaurants, Inc. and Kenneth L. Pendery, Jr. (incorporated by</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reference to Exhibit 10.8 to the Company’s Form S-1 filed on September 7,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80" w:type="dxa"/>
            <w:vAlign w:val="bottom"/>
            <w:tcBorders>
              <w:left w:val="single" w:sz="8" w:color="0000EE"/>
            </w:tcBorders>
            <w:gridSpan w:val="4"/>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5"/>
              </w:rPr>
              <w:t>10.11**</w:t>
            </w:r>
          </w:p>
        </w:tc>
        <w:tc>
          <w:tcPr>
            <w:tcW w:w="640" w:type="dxa"/>
            <w:vAlign w:val="bottom"/>
          </w:tcPr>
          <w:p>
            <w:pPr>
              <w:spacing w:after="0"/>
              <w:rPr>
                <w:sz w:val="24"/>
                <w:szCs w:val="24"/>
                <w:color w:val="auto"/>
              </w:rPr>
            </w:pPr>
          </w:p>
        </w:tc>
        <w:tc>
          <w:tcPr>
            <w:tcW w:w="9720" w:type="dxa"/>
            <w:vAlign w:val="bottom"/>
            <w:gridSpan w:val="19"/>
          </w:tcPr>
          <w:p>
            <w:pPr>
              <w:spacing w:after="0"/>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Letter Agreement, dated July 12, 2018, by and between First Watch Restaurants, Inc. and Henry Melville Hope, III (incorporated by</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5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reference to Exhibit 10.7 to the Company’s Annual Report on Form 10-K filed on March 23, 2022).</w:t>
              </w:r>
            </w:hyperlink>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80" w:type="dxa"/>
            <w:vAlign w:val="bottom"/>
            <w:tcBorders>
              <w:left w:val="single" w:sz="8" w:color="0000EE"/>
            </w:tcBorders>
            <w:gridSpan w:val="4"/>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5"/>
              </w:rPr>
              <w:t>10.12**</w:t>
            </w:r>
          </w:p>
        </w:tc>
        <w:tc>
          <w:tcPr>
            <w:tcW w:w="640" w:type="dxa"/>
            <w:vAlign w:val="bottom"/>
          </w:tcPr>
          <w:p>
            <w:pPr>
              <w:spacing w:after="0"/>
              <w:rPr>
                <w:sz w:val="24"/>
                <w:szCs w:val="24"/>
                <w:color w:val="auto"/>
              </w:rPr>
            </w:pPr>
          </w:p>
        </w:tc>
        <w:tc>
          <w:tcPr>
            <w:tcW w:w="95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Form of 2022 Stock Option Agreement (incorporated by reference to Exhibit 10.10 to the Company’s Annual Report on Form 10-K</w:t>
              </w:r>
            </w:hyperlink>
          </w:p>
        </w:tc>
        <w:tc>
          <w:tcPr>
            <w:tcW w:w="2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filed on March 23, 2022).</w:t>
              </w:r>
            </w:hyperlink>
          </w:p>
        </w:tc>
        <w:tc>
          <w:tcPr>
            <w:tcW w:w="78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640" w:type="dxa"/>
            <w:vAlign w:val="bottom"/>
          </w:tcPr>
          <w:p>
            <w:pPr>
              <w:spacing w:after="0"/>
              <w:rPr>
                <w:sz w:val="24"/>
                <w:szCs w:val="24"/>
                <w:color w:val="auto"/>
              </w:rPr>
            </w:pPr>
          </w:p>
        </w:tc>
        <w:tc>
          <w:tcPr>
            <w:tcW w:w="9720" w:type="dxa"/>
            <w:vAlign w:val="bottom"/>
            <w:gridSpan w:val="19"/>
          </w:tcPr>
          <w:p>
            <w:pPr>
              <w:spacing w:after="0"/>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List of subsidiaries (incorporated by reference to Exhibit 21.1 to the Company’s Annual Report on Form 10-K filed on March 23,</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79">
              <w:r>
                <w:rPr>
                  <w:rFonts w:ascii="Times New Roman" w:cs="Times New Roman" w:eastAsia="Times New Roman" w:hAnsi="Times New Roman"/>
                  <w:sz w:val="18"/>
                  <w:szCs w:val="18"/>
                  <w:color w:val="0000EE"/>
                  <w:w w:val="94"/>
                </w:rPr>
                <w:t>2022).</w:t>
              </w:r>
            </w:hyperlink>
          </w:p>
        </w:tc>
        <w:tc>
          <w:tcPr>
            <w:tcW w:w="140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21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40" w:type="dxa"/>
            <w:vAlign w:val="bottom"/>
          </w:tcPr>
          <w:p>
            <w:pPr>
              <w:spacing w:after="0"/>
              <w:rPr>
                <w:sz w:val="24"/>
                <w:szCs w:val="24"/>
                <w:color w:val="auto"/>
              </w:rPr>
            </w:pPr>
          </w:p>
        </w:tc>
        <w:tc>
          <w:tcPr>
            <w:tcW w:w="30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Consent of PricewaterhouseCoopers LLP.</w:t>
            </w:r>
          </w:p>
        </w:tc>
        <w:tc>
          <w:tcPr>
            <w:tcW w:w="67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40" w:type="dxa"/>
            <w:vAlign w:val="bottom"/>
          </w:tcPr>
          <w:p>
            <w:pPr>
              <w:spacing w:after="0"/>
              <w:rPr>
                <w:sz w:val="24"/>
                <w:szCs w:val="24"/>
                <w:color w:val="auto"/>
              </w:rPr>
            </w:pPr>
          </w:p>
        </w:tc>
        <w:tc>
          <w:tcPr>
            <w:tcW w:w="97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Consent of Weil, Gotshal &amp; Manges LLP (included in Exhibit 5.1).</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40" w:type="dxa"/>
            <w:vAlign w:val="bottom"/>
          </w:tcPr>
          <w:p>
            <w:pPr>
              <w:spacing w:after="0"/>
              <w:rPr>
                <w:sz w:val="24"/>
                <w:szCs w:val="24"/>
                <w:color w:val="auto"/>
              </w:rPr>
            </w:pPr>
          </w:p>
        </w:tc>
        <w:tc>
          <w:tcPr>
            <w:tcW w:w="484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Power of Attorney (included on signature page).</w:t>
            </w:r>
          </w:p>
        </w:tc>
        <w:tc>
          <w:tcPr>
            <w:tcW w:w="48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340" w:hanging="1224"/>
        <w:spacing w:after="0"/>
        <w:tabs>
          <w:tab w:leader="none" w:pos="1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11"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-153670</wp:posOffset>
            </wp:positionV>
            <wp:extent cx="771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62"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80"/>
          </w:cols>
          <w:pgMar w:left="320" w:top="455"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31" w:lineRule="exact"/>
        <w:rPr>
          <w:sz w:val="20"/>
          <w:szCs w:val="20"/>
          <w:color w:val="auto"/>
        </w:rPr>
      </w:pPr>
    </w:p>
    <w:p>
      <w:pPr>
        <w:ind w:left="1080" w:hanging="532"/>
        <w:spacing w:after="0" w:line="26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1"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80"/>
          </w:cols>
          <w:pgMar w:left="320" w:top="455"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registration statement to be signed on its behalf by the undersigned, thereunto duly authorized in the City of Bradenton, State of Florida, on September 12, 2022.</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Christopher A. Tomasso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ChristopherA. Tomasso</w:t>
      </w:r>
    </w:p>
    <w:p>
      <w:pPr>
        <w:spacing w:after="0" w:line="23" w:lineRule="exact"/>
        <w:rPr>
          <w:sz w:val="20"/>
          <w:szCs w:val="20"/>
          <w:color w:val="auto"/>
        </w:rPr>
      </w:pPr>
    </w:p>
    <w:p>
      <w:pPr>
        <w:ind w:left="7100"/>
        <w:spacing w:after="0"/>
        <w:tabs>
          <w:tab w:leader="none" w:pos="7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President,Chief Executive</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Officer and Director</w:t>
      </w: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of the undersigned constitutes and appoints each of Christopher A. Tomasso, Henry Melville Hope, III and Jay Wolszczak, or any of them, each acting alone, his true and lawful attorney-in-fact and agent, with full power of substitution and resubstitution, for such person and in his name, place and stead, in any and all capacities, to sign this Registration Statement on Form S-1 (including all pre-effective and post-effective amendments and registration statements filed pursuant to Rule 462(b) under the Securities Act), and to file the same, with all exhibits thereto, and other documents in connection therewith, with the SEC,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9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indicated on September 12, 2022.</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22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120" w:type="dxa"/>
            <w:vAlign w:val="bottom"/>
          </w:tcPr>
          <w:p>
            <w:pPr>
              <w:spacing w:after="0"/>
              <w:rPr>
                <w:sz w:val="15"/>
                <w:szCs w:val="15"/>
                <w:color w:val="auto"/>
              </w:rPr>
            </w:pPr>
          </w:p>
        </w:tc>
      </w:tr>
      <w:tr>
        <w:trPr>
          <w:trHeight w:val="425"/>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Christopher A. Tomasso</w:t>
            </w:r>
          </w:p>
        </w:tc>
        <w:tc>
          <w:tcPr>
            <w:tcW w:w="53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8"/>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Christopher A. Tomasso</w:t>
            </w:r>
          </w:p>
        </w:tc>
        <w:tc>
          <w:tcPr>
            <w:tcW w:w="536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Henry Melville Hope, III</w:t>
            </w:r>
          </w:p>
        </w:tc>
        <w:tc>
          <w:tcPr>
            <w:tcW w:w="53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28"/>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Henry Melville Hope, III</w:t>
            </w:r>
          </w:p>
        </w:tc>
        <w:tc>
          <w:tcPr>
            <w:tcW w:w="53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27"/>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Jay Wolszczak</w:t>
            </w:r>
          </w:p>
        </w:tc>
        <w:tc>
          <w:tcPr>
            <w:tcW w:w="53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Chief Legal Officer, General Counsel and Secretary</w:t>
            </w:r>
          </w:p>
        </w:tc>
      </w:tr>
      <w:tr>
        <w:trPr>
          <w:trHeight w:val="228"/>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Jay Wolszczak</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27"/>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Ralph Alvarez</w:t>
            </w:r>
          </w:p>
        </w:tc>
        <w:tc>
          <w:tcPr>
            <w:tcW w:w="53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Director and Chairman of the Board</w:t>
            </w:r>
          </w:p>
        </w:tc>
      </w:tr>
      <w:tr>
        <w:trPr>
          <w:trHeight w:val="228"/>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Ralph Alvarez</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27"/>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Julie M. B. Bradley</w:t>
            </w:r>
          </w:p>
        </w:tc>
        <w:tc>
          <w:tcPr>
            <w:tcW w:w="53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Julie M.B. Bradley</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27"/>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Tricia Glynn</w:t>
            </w:r>
          </w:p>
        </w:tc>
        <w:tc>
          <w:tcPr>
            <w:tcW w:w="53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Tricia Glynn</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360"/>
        </w:trPr>
        <w:tc>
          <w:tcPr>
            <w:tcW w:w="2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II-6</w:t>
            </w:r>
          </w:p>
        </w:tc>
      </w:tr>
    </w:tbl>
    <w:p>
      <w:pPr>
        <w:sectPr>
          <w:pgSz w:w="11900" w:h="16838" w:orient="portrait"/>
          <w:cols w:equalWidth="0" w:num="1">
            <w:col w:w="11100"/>
          </w:cols>
          <w:pgMar w:left="320" w:top="455" w:right="4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22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60" w:type="dxa"/>
            <w:vAlign w:val="bottom"/>
          </w:tcPr>
          <w:p>
            <w:pPr>
              <w:spacing w:after="0"/>
              <w:rPr>
                <w:sz w:val="15"/>
                <w:szCs w:val="15"/>
                <w:color w:val="auto"/>
              </w:rPr>
            </w:pPr>
          </w:p>
        </w:tc>
      </w:tr>
      <w:tr>
        <w:trPr>
          <w:trHeight w:val="426"/>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William Kussell</w:t>
            </w:r>
          </w:p>
        </w:tc>
        <w:tc>
          <w:tcPr>
            <w:tcW w:w="3400" w:type="dxa"/>
            <w:vAlign w:val="bottom"/>
            <w:gridSpan w:val="3"/>
          </w:tcPr>
          <w:p>
            <w:pPr>
              <w:jc w:val="center"/>
              <w:ind w:left="27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William Kussell</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27"/>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Stephanie Lilak</w:t>
            </w:r>
          </w:p>
        </w:tc>
        <w:tc>
          <w:tcPr>
            <w:tcW w:w="3400" w:type="dxa"/>
            <w:vAlign w:val="bottom"/>
            <w:gridSpan w:val="3"/>
          </w:tcPr>
          <w:p>
            <w:pPr>
              <w:jc w:val="center"/>
              <w:ind w:left="27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Stephanie Lilak</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27"/>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Lisa Price</w:t>
            </w:r>
          </w:p>
        </w:tc>
        <w:tc>
          <w:tcPr>
            <w:tcW w:w="3400" w:type="dxa"/>
            <w:vAlign w:val="bottom"/>
            <w:gridSpan w:val="3"/>
          </w:tcPr>
          <w:p>
            <w:pPr>
              <w:jc w:val="center"/>
              <w:ind w:left="27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Lisa Price</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27"/>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Michael White</w:t>
            </w:r>
          </w:p>
        </w:tc>
        <w:tc>
          <w:tcPr>
            <w:tcW w:w="3400" w:type="dxa"/>
            <w:vAlign w:val="bottom"/>
            <w:gridSpan w:val="3"/>
          </w:tcPr>
          <w:p>
            <w:pPr>
              <w:jc w:val="center"/>
              <w:ind w:left="27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Michael White</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60"/>
        </w:trPr>
        <w:tc>
          <w:tcPr>
            <w:tcW w:w="2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4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II-7</w:t>
            </w:r>
          </w:p>
        </w:tc>
      </w:tr>
    </w:tbl>
    <w:p>
      <w:pPr>
        <w:sectPr>
          <w:pgSz w:w="11900" w:h="16838" w:orient="portrait"/>
          <w:cols w:equalWidth="0" w:num="1">
            <w:col w:w="10139"/>
          </w:cols>
          <w:pgMar w:left="320" w:top="455" w:right="1440"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WATCH RESTAURANT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[4,500,000]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UNDERWRITING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342900</wp:posOffset>
            </wp:positionV>
            <wp:extent cx="69951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540385</wp:posOffset>
            </wp:positionV>
            <wp:extent cx="69951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WATCH RESTAURANT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[4,500,000] Shares of Common Stock</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[14],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Certain stockholders named in Schedule B hereto (the “Selling Shareholders”) of First Watch Restaurant Group, Inc., a Delaware corporation (the “Company”), confirm their respective agreements with BofA Securities, Inc. (“BofA”), Goldman Sachs &amp; Co. LLC (“Goldman Sachs”), Jefferies LLC (“Jefferies”) and each of the other Underwriters named in Schedule A hereto (collectively, the “Underwriters,” which term shall also include any underwriter substituted as hereinafter provided in Section 10 hereof), for whom BofA, Goldman Sachs and Jefferies are acting as representatives (in such capacity, the “Representatives”), with respect to (i) the sale by the Selling Shareholders, acting severally and not jointly, and the purchase by the Underwriters, acting severally and not jointly, of the respective numbers of shares of Common Stock, par value $0.01 per share, of the Company (“Common Stock”) set forth in Schedule A and B hereto and (ii) the grant by the Selling Shareholders to the Underwriters, acting severally and not jointly, of the option described in Section 2(b) hereof to purchase all or any part of [675,000] additional shares of Common Stock. The aforesaid [4,500,000] shares of Common Stock (the “Initial Securities”) to be purchased by the Underwriters and all or any part of the [675,000] shares of Common Stock subject to the option described in Section 2(b) hereof (the “Option Securities”) are herein called, collectively, the “Securities.”</w:t>
      </w:r>
    </w:p>
    <w:p>
      <w:pPr>
        <w:spacing w:after="0" w:line="194"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The Company and the Selling Shareholders understand that the Underwriters propose to make a public offering of the Securities as soon as the Representatives deem advisable after this Agreement has been executed and delivered.</w:t>
      </w:r>
    </w:p>
    <w:p>
      <w:pPr>
        <w:sectPr>
          <w:pgSz w:w="11900" w:h="16838" w:orient="portrait"/>
          <w:cols w:equalWidth="0" w:num="1">
            <w:col w:w="11020"/>
          </w:cols>
          <w:pgMar w:left="440" w:top="270" w:right="439" w:bottom="1440" w:gutter="0" w:footer="0" w:header="0"/>
        </w:sectPr>
      </w:pPr>
    </w:p>
    <w:bookmarkStart w:id="90" w:name="page91"/>
    <w:bookmarkEnd w:id="90"/>
    <w:p>
      <w:pPr>
        <w:ind w:right="240" w:firstLine="427"/>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filed with the Securities and Exchange Commission (the “Commission”) a registration statement on Form S-1 (No. 333-[ ● ]), including the related preliminary prospectus or prospectuses, covering the registration of the sale of the Securities under the Securities Act of 1933, as amended (the “1933 Act”). Promptly after execution and delivery of this Agreement, the Company will prepare and file a prospectus in accordance with the provisions of Rule 430A (“Rule 430A”) of the rules and regulations of the Commission under the 1933 Act (the “1933 Act Regulations”) and Rule 424(b) (“Rule 424(b)”) of the 1933 Act Regulations. The information included in such prospectus that was omitted from such registration statement at the time it became effective but that is deemed to be part of such registration statement at the time it became effective pursuant to Rule 430A(b) is herein called the “Rule 430A Information.” Such registration statement, including the amendments thereto, the exhibits thereto and any schedules thereto, and the documents incorporated by reference therein pursuant to Item 12 of Form S-1 under the 1933 Act, at the time it became effective, and including the Rule 430A Information, is herein called the “Registration Statement.” Any registration statement filed pursuant to Rule 462(b) of the 1933 Act Regulations is herein called the “Rule 462(b) Registration Statement” and, after such filing, the term “Registration Statement” shall include the Rule 462(b) Registration Statement. Each prospectus used prior to the effectiveness of the Registration Statement, and each prospectus that omitted the Rule 430A Information that was used after such effectiveness and prior to the execution and delivery of this Agreement, including the documents incorporated by reference therein pursuant to Item 12 of Form S-1 under the 1933 Act, is herein called a “preliminary prospectus.” The final prospectus, in the form first furnished to the Underwriters for use in connection with the offering of the Securities, including the documents incorporated by reference therein pursuant to Item 12 of Form S-1 under the 1933 Act, is herein called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Agreement:</w:t>
      </w:r>
    </w:p>
    <w:p>
      <w:pPr>
        <w:spacing w:after="0" w:line="117" w:lineRule="exact"/>
        <w:rPr>
          <w:sz w:val="20"/>
          <w:szCs w:val="20"/>
          <w:color w:val="auto"/>
        </w:rPr>
      </w:pPr>
    </w:p>
    <w:p>
      <w:pPr>
        <w:ind w:left="440" w:right="120" w:firstLine="423"/>
        <w:spacing w:after="0" w:line="282" w:lineRule="auto"/>
        <w:rPr>
          <w:sz w:val="20"/>
          <w:szCs w:val="20"/>
          <w:color w:val="auto"/>
        </w:rPr>
      </w:pPr>
      <w:r>
        <w:rPr>
          <w:rFonts w:ascii="Times New Roman" w:cs="Times New Roman" w:eastAsia="Times New Roman" w:hAnsi="Times New Roman"/>
          <w:sz w:val="18"/>
          <w:szCs w:val="18"/>
          <w:color w:val="auto"/>
        </w:rPr>
        <w:t>“Applicable Time” means [ ● ] p.m., New York City time, on September [14], 2022 or such other time as agreed by the Company and the Representatives.</w:t>
      </w:r>
    </w:p>
    <w:p>
      <w:pPr>
        <w:spacing w:after="0" w:line="54" w:lineRule="exact"/>
        <w:rPr>
          <w:sz w:val="20"/>
          <w:szCs w:val="20"/>
          <w:color w:val="auto"/>
        </w:rPr>
      </w:pPr>
    </w:p>
    <w:p>
      <w:pPr>
        <w:jc w:val="both"/>
        <w:ind w:left="440" w:firstLine="423"/>
        <w:spacing w:after="0" w:line="266" w:lineRule="auto"/>
        <w:rPr>
          <w:sz w:val="20"/>
          <w:szCs w:val="20"/>
          <w:color w:val="auto"/>
        </w:rPr>
      </w:pPr>
      <w:r>
        <w:rPr>
          <w:rFonts w:ascii="Times New Roman" w:cs="Times New Roman" w:eastAsia="Times New Roman" w:hAnsi="Times New Roman"/>
          <w:sz w:val="18"/>
          <w:szCs w:val="18"/>
          <w:color w:val="auto"/>
        </w:rPr>
        <w:t>“General Disclosure Package” means any Issuer General Use Free Writing Prospectuses issued at or prior to the Applicable Time, the most recent preliminary prospectus (including any documents incorporated therein by reference) that is distributed to investors prior to the Applicable Time and the information included on Schedule C-1 hereto, all considered together.</w:t>
      </w:r>
    </w:p>
    <w:p>
      <w:pPr>
        <w:spacing w:after="0" w:line="68" w:lineRule="exact"/>
        <w:rPr>
          <w:sz w:val="20"/>
          <w:szCs w:val="20"/>
          <w:color w:val="auto"/>
        </w:rPr>
      </w:pPr>
    </w:p>
    <w:p>
      <w:pPr>
        <w:ind w:left="440" w:right="220" w:firstLine="410"/>
        <w:spacing w:after="0" w:line="255" w:lineRule="auto"/>
        <w:rPr>
          <w:sz w:val="20"/>
          <w:szCs w:val="20"/>
          <w:color w:val="auto"/>
        </w:rPr>
      </w:pPr>
      <w:r>
        <w:rPr>
          <w:rFonts w:ascii="Times New Roman" w:cs="Times New Roman" w:eastAsia="Times New Roman" w:hAnsi="Times New Roman"/>
          <w:sz w:val="18"/>
          <w:szCs w:val="18"/>
          <w:color w:val="auto"/>
        </w:rPr>
        <w:t>“Issuer Free Writing Prospectus” means any “issuer free writing prospectus,” as defined in Rule 433 of the 1933 Act Regulations (“Rule 433”), including without limitation any “free writing prospectus” (as defined in Rule 405 of the 1933 Act Regulations (“Rule 405”)) relating to the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81" w:lineRule="exact"/>
        <w:rPr>
          <w:sz w:val="20"/>
          <w:szCs w:val="20"/>
          <w:color w:val="auto"/>
        </w:rPr>
      </w:pPr>
    </w:p>
    <w:p>
      <w:pPr>
        <w:jc w:val="both"/>
        <w:ind w:left="440" w:right="540" w:firstLine="423"/>
        <w:spacing w:after="0" w:line="266" w:lineRule="auto"/>
        <w:rPr>
          <w:sz w:val="20"/>
          <w:szCs w:val="20"/>
          <w:color w:val="auto"/>
        </w:rPr>
      </w:pPr>
      <w:r>
        <w:rPr>
          <w:rFonts w:ascii="Times New Roman" w:cs="Times New Roman" w:eastAsia="Times New Roman" w:hAnsi="Times New Roman"/>
          <w:sz w:val="18"/>
          <w:szCs w:val="18"/>
          <w:color w:val="auto"/>
        </w:rPr>
        <w:t>“Issuer General Use Free Writing Prospectus” means any Issuer Free Writing Prospectus that is intended for general distribution to prospective investors (other than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electronic road show,” as defined in Rule 433 (the “Bona Fide Electronic Road Show”)), as evidenced by its being specified in Schedule C-2 hereto.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440" w:top="270" w:right="579" w:bottom="1440" w:gutter="0" w:footer="0" w:header="0"/>
        </w:sectPr>
      </w:pPr>
    </w:p>
    <w:bookmarkStart w:id="91" w:name="page92"/>
    <w:bookmarkEnd w:id="91"/>
    <w:p>
      <w:pPr>
        <w:ind w:left="400" w:right="38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“Issuer Limited Use Free Writing Prospectus” means any Issuer Free Writing Prospectus that is not an Issuer General Use Free Writing Prospectus.</w:t>
      </w:r>
    </w:p>
    <w:p>
      <w:pPr>
        <w:spacing w:after="0" w:line="54" w:lineRule="exact"/>
        <w:rPr>
          <w:sz w:val="20"/>
          <w:szCs w:val="20"/>
          <w:color w:val="auto"/>
        </w:rPr>
      </w:pPr>
    </w:p>
    <w:p>
      <w:pPr>
        <w:ind w:left="400" w:right="720" w:firstLine="423"/>
        <w:spacing w:after="0" w:line="282" w:lineRule="auto"/>
        <w:rPr>
          <w:sz w:val="20"/>
          <w:szCs w:val="20"/>
          <w:color w:val="auto"/>
        </w:rPr>
      </w:pPr>
      <w:r>
        <w:rPr>
          <w:rFonts w:ascii="Times New Roman" w:cs="Times New Roman" w:eastAsia="Times New Roman" w:hAnsi="Times New Roman"/>
          <w:sz w:val="18"/>
          <w:szCs w:val="18"/>
          <w:color w:val="auto"/>
        </w:rPr>
        <w:t>“Testing-the-Waters Communication” means any oral or written communication with potential investors undertaken in reliance on Section 5(d) of the 1933 Act or Rule 163B under the 1933 Act.</w:t>
      </w:r>
    </w:p>
    <w:p>
      <w:pPr>
        <w:spacing w:after="0" w:line="54" w:lineRule="exact"/>
        <w:rPr>
          <w:sz w:val="20"/>
          <w:szCs w:val="20"/>
          <w:color w:val="auto"/>
        </w:rPr>
      </w:pPr>
    </w:p>
    <w:p>
      <w:pPr>
        <w:ind w:left="400" w:right="280" w:firstLine="423"/>
        <w:spacing w:after="0" w:line="282" w:lineRule="auto"/>
        <w:rPr>
          <w:sz w:val="20"/>
          <w:szCs w:val="20"/>
          <w:color w:val="auto"/>
        </w:rPr>
      </w:pPr>
      <w:r>
        <w:rPr>
          <w:rFonts w:ascii="Times New Roman" w:cs="Times New Roman" w:eastAsia="Times New Roman" w:hAnsi="Times New Roman"/>
          <w:sz w:val="18"/>
          <w:szCs w:val="18"/>
          <w:color w:val="auto"/>
        </w:rPr>
        <w:t>“Written Testing-the-Waters Communication” means any Testing-the-Waters Communication that is a written communication within the meaning of Rule 405 under the 1933 Act.</w:t>
      </w:r>
    </w:p>
    <w:p>
      <w:pPr>
        <w:spacing w:after="0" w:line="54" w:lineRule="exact"/>
        <w:rPr>
          <w:sz w:val="20"/>
          <w:szCs w:val="20"/>
          <w:color w:val="auto"/>
        </w:rPr>
      </w:pPr>
    </w:p>
    <w:p>
      <w:pPr>
        <w:ind w:left="400" w:firstLine="423"/>
        <w:spacing w:after="0" w:line="254"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which is “contained,” “included” or “stated” in the Registration Statement, any preliminary prospectus or the Prospectus (or other references of like import) shall include all such financial statements and schedules and other information which is incorporated by reference in or otherwise deemed by 1933 Act Regulations to be a part of or included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include the filing of any document under the Securities Exchange Act of 1934, as amended (the “1934 Act”), which is incorporated by reference in or otherwise deemed by 1933 Act Regulations to be a part of or included in the Registration Statement, such preliminary prospectus or the Prospectus, as the case may be, at or after the execution and delivery of this Agreement.</w:t>
      </w:r>
    </w:p>
    <w:p>
      <w:pPr>
        <w:spacing w:after="0" w:line="300" w:lineRule="exact"/>
        <w:rPr>
          <w:sz w:val="20"/>
          <w:szCs w:val="20"/>
          <w:color w:val="auto"/>
        </w:rPr>
      </w:pPr>
    </w:p>
    <w:p>
      <w:pPr>
        <w:ind w:left="400"/>
        <w:spacing w:after="0"/>
        <w:tabs>
          <w:tab w:leader="none" w:pos="150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w:t>
      </w:r>
    </w:p>
    <w:p>
      <w:pPr>
        <w:spacing w:after="0" w:line="115" w:lineRule="exact"/>
        <w:rPr>
          <w:sz w:val="20"/>
          <w:szCs w:val="20"/>
          <w:color w:val="auto"/>
        </w:rPr>
      </w:pPr>
    </w:p>
    <w:p>
      <w:pPr>
        <w:ind w:left="-40" w:right="400" w:firstLine="436"/>
        <w:spacing w:after="0" w:line="315" w:lineRule="auto"/>
        <w:tabs>
          <w:tab w:leader="none" w:pos="7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Representations and Warranties by the Company</w:t>
      </w:r>
      <w:r>
        <w:rPr>
          <w:rFonts w:ascii="Times New Roman" w:cs="Times New Roman" w:eastAsia="Times New Roman" w:hAnsi="Times New Roman"/>
          <w:sz w:val="17"/>
          <w:szCs w:val="17"/>
          <w:color w:val="auto"/>
        </w:rPr>
        <w:t>. The Company represents and warrants to each Underwriter as of the date hereof,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Applicable Time, the Closing Time (as defined below) and any Date of Delivery (as defined below), and agrees with each Underwriter, as follows:</w:t>
      </w:r>
    </w:p>
    <w:p>
      <w:pPr>
        <w:spacing w:after="0" w:line="28" w:lineRule="exact"/>
        <w:rPr>
          <w:rFonts w:ascii="Times New Roman" w:cs="Times New Roman" w:eastAsia="Times New Roman" w:hAnsi="Times New Roman"/>
          <w:sz w:val="17"/>
          <w:szCs w:val="17"/>
          <w:color w:val="auto"/>
        </w:rPr>
      </w:pPr>
    </w:p>
    <w:p>
      <w:pPr>
        <w:ind w:left="400" w:right="140" w:firstLine="419"/>
        <w:spacing w:after="0" w:line="258" w:lineRule="auto"/>
        <w:tabs>
          <w:tab w:leader="none" w:pos="117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Prospectuses</w:t>
      </w:r>
      <w:r>
        <w:rPr>
          <w:rFonts w:ascii="Times New Roman" w:cs="Times New Roman" w:eastAsia="Times New Roman" w:hAnsi="Times New Roman"/>
          <w:sz w:val="18"/>
          <w:szCs w:val="18"/>
          <w:color w:val="auto"/>
        </w:rPr>
        <w:t>. Each of the Registration Statement and any amendment thereto has become effective under the 1933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The Company has complied with each request (if any) from the Commission for additional information.</w:t>
      </w:r>
    </w:p>
    <w:p>
      <w:pPr>
        <w:spacing w:after="0" w:line="75" w:lineRule="exact"/>
        <w:rPr>
          <w:sz w:val="20"/>
          <w:szCs w:val="20"/>
          <w:color w:val="auto"/>
        </w:rPr>
      </w:pPr>
    </w:p>
    <w:p>
      <w:pPr>
        <w:ind w:left="400" w:right="20" w:firstLine="423"/>
        <w:spacing w:after="0" w:line="255" w:lineRule="auto"/>
        <w:rPr>
          <w:sz w:val="20"/>
          <w:szCs w:val="20"/>
          <w:color w:val="auto"/>
        </w:rPr>
      </w:pPr>
      <w:r>
        <w:rPr>
          <w:rFonts w:ascii="Times New Roman" w:cs="Times New Roman" w:eastAsia="Times New Roman" w:hAnsi="Times New Roman"/>
          <w:sz w:val="18"/>
          <w:szCs w:val="18"/>
          <w:color w:val="auto"/>
        </w:rPr>
        <w:t>Each of the Registration Statement and any post-effective amendment thereto, at the time it became effective, the Applicable Time, the Closing Time and any Date of Delivery complied and will comply in all material respects with the requirements of the 1933 Act and the 1933 Act Regulations. Each preliminary prospectus, the Prospectus and any amendment or supplement thereto, at the time each was filed with the Commission, and, in each case, at the Applicable Time, the Closing Time and any Date of Delivery complied and will comply in all material respects with the requirements of the 1933 Act and the 1933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80" w:top="270" w:right="499" w:bottom="1440" w:gutter="0" w:footer="0" w:header="0"/>
        </w:sectPr>
      </w:pPr>
    </w:p>
    <w:bookmarkStart w:id="92" w:name="page93"/>
    <w:bookmarkEnd w:id="92"/>
    <w:p>
      <w:pPr>
        <w:ind w:right="220" w:firstLine="42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documents incorporated or deemed to be incorporated by reference in the Registration Statement, any preliminary prospectus and the Prospectus, when they became effective or at the time they were or hereafter are filed with the Commission, complied and will comply in all material respects with the requirements of the 1934 Act and the rules and regulations of the Commission under the 1934 Act (the “1934 Act Regulations”).</w:t>
      </w:r>
    </w:p>
    <w:p>
      <w:pPr>
        <w:spacing w:after="0" w:line="72" w:lineRule="exact"/>
        <w:rPr>
          <w:sz w:val="20"/>
          <w:szCs w:val="20"/>
          <w:color w:val="auto"/>
        </w:rPr>
      </w:pPr>
    </w:p>
    <w:p>
      <w:pPr>
        <w:ind w:firstLine="419"/>
        <w:spacing w:after="0" w:line="252" w:lineRule="auto"/>
        <w:tabs>
          <w:tab w:leader="none" w:pos="82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Accurate Disclosure</w:t>
      </w:r>
      <w:r>
        <w:rPr>
          <w:rFonts w:ascii="Times New Roman" w:cs="Times New Roman" w:eastAsia="Times New Roman" w:hAnsi="Times New Roman"/>
          <w:sz w:val="18"/>
          <w:szCs w:val="18"/>
          <w:color w:val="auto"/>
        </w:rPr>
        <w:t>. Neither the Registration Statement nor any amendment thereto, at its effective time, on the date hereof, at the Closing Time or at any Date of Delivery, contained, contains or will contain an untrue statement of a material fact or omitted, omits or will omit to state a material fact required to be stated therein or necessary to make the statements therein not misleading. At the Applicable Time and any Date of Delivery, neither (A) the General Disclosure Package nor (B) any individual Issuer Limited Use Free Writing Prospectus,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to make the statements therein not misleading.</w:t>
      </w:r>
    </w:p>
    <w:p>
      <w:pPr>
        <w:spacing w:after="0" w:line="89" w:lineRule="exact"/>
        <w:rPr>
          <w:sz w:val="20"/>
          <w:szCs w:val="20"/>
          <w:color w:val="auto"/>
        </w:rPr>
      </w:pPr>
    </w:p>
    <w:p>
      <w:pPr>
        <w:ind w:right="160" w:firstLine="423"/>
        <w:spacing w:after="0" w:line="255" w:lineRule="auto"/>
        <w:rPr>
          <w:sz w:val="20"/>
          <w:szCs w:val="20"/>
          <w:color w:val="auto"/>
        </w:rPr>
      </w:pPr>
      <w:r>
        <w:rPr>
          <w:rFonts w:ascii="Times New Roman" w:cs="Times New Roman" w:eastAsia="Times New Roman" w:hAnsi="Times New Roman"/>
          <w:sz w:val="18"/>
          <w:szCs w:val="18"/>
          <w:color w:val="auto"/>
        </w:rPr>
        <w:t>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any Underwriter through the Representatives expressly for use therein. For purposes of this Agreement, the only information so furnished shall be the information in the first paragraph under the heading “Underwriting– Commissions and Discounts,” the information in the second, third and fourth paragraphs under the heading “Underwriting–Price Stabilization, Short Positions and Penalty Bids” and the information under the heading “Underwriting–Electronic Distribution” in each case contained in the Prospectus (collectively, the “Underwriter Information”).</w:t>
      </w:r>
    </w:p>
    <w:p>
      <w:pPr>
        <w:spacing w:after="0" w:line="81" w:lineRule="exact"/>
        <w:rPr>
          <w:sz w:val="20"/>
          <w:szCs w:val="20"/>
          <w:color w:val="auto"/>
        </w:rPr>
      </w:pPr>
    </w:p>
    <w:p>
      <w:pPr>
        <w:ind w:right="540" w:firstLine="419"/>
        <w:spacing w:after="0" w:line="282" w:lineRule="auto"/>
        <w:tabs>
          <w:tab w:leader="none" w:pos="87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Documents by Reference</w:t>
      </w:r>
      <w:r>
        <w:rPr>
          <w:rFonts w:ascii="Times New Roman" w:cs="Times New Roman" w:eastAsia="Times New Roman" w:hAnsi="Times New Roman"/>
          <w:sz w:val="18"/>
          <w:szCs w:val="18"/>
          <w:color w:val="auto"/>
        </w:rPr>
        <w:t>. The Company meets the requirements to incorporate documents by reference in the Registration Statement pursuant to General Instruction VII to Form S-1 under the 1933 Act and the 1933 Act Regulations.</w:t>
      </w:r>
    </w:p>
    <w:p>
      <w:pPr>
        <w:spacing w:after="0" w:line="53" w:lineRule="exact"/>
        <w:rPr>
          <w:rFonts w:ascii="Times New Roman" w:cs="Times New Roman" w:eastAsia="Times New Roman" w:hAnsi="Times New Roman"/>
          <w:sz w:val="18"/>
          <w:szCs w:val="18"/>
          <w:color w:val="auto"/>
        </w:rPr>
      </w:pPr>
    </w:p>
    <w:p>
      <w:pPr>
        <w:ind w:right="240" w:firstLine="419"/>
        <w:spacing w:after="0" w:line="266" w:lineRule="auto"/>
        <w:tabs>
          <w:tab w:leader="none" w:pos="86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 Free Writing Prospectuses</w:t>
      </w:r>
      <w:r>
        <w:rPr>
          <w:rFonts w:ascii="Times New Roman" w:cs="Times New Roman" w:eastAsia="Times New Roman" w:hAnsi="Times New Roman"/>
          <w:sz w:val="18"/>
          <w:szCs w:val="18"/>
          <w:color w:val="auto"/>
        </w:rPr>
        <w:t>. No Issuer Free Writing Prospectus conflicts or will conflict with the information contained in the Registration Statement or the Prospectus, including any document incorporated by reference therein, and any preliminary or other prospectus deemed to be a part thereof that has not been superseded or modified.</w:t>
      </w:r>
    </w:p>
    <w:p>
      <w:pPr>
        <w:spacing w:after="0" w:line="67" w:lineRule="exact"/>
        <w:rPr>
          <w:rFonts w:ascii="Times New Roman" w:cs="Times New Roman" w:eastAsia="Times New Roman" w:hAnsi="Times New Roman"/>
          <w:sz w:val="18"/>
          <w:szCs w:val="18"/>
          <w:color w:val="auto"/>
        </w:rPr>
      </w:pPr>
    </w:p>
    <w:p>
      <w:pPr>
        <w:ind w:right="740" w:firstLine="419"/>
        <w:spacing w:after="0" w:line="266" w:lineRule="auto"/>
        <w:tabs>
          <w:tab w:leader="none" w:pos="85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Testing-the-Waters Materials</w:t>
      </w:r>
      <w:r>
        <w:rPr>
          <w:rFonts w:ascii="Times New Roman" w:cs="Times New Roman" w:eastAsia="Times New Roman" w:hAnsi="Times New Roman"/>
          <w:sz w:val="18"/>
          <w:szCs w:val="18"/>
          <w:color w:val="auto"/>
        </w:rPr>
        <w:t>. The Company (A) has not engaged in any Testing-the-Waters Communication and (B) has not authorized anyone other than the Representatives to engage in Testing-the-Waters Communications. The Company reconfirms that the Representatives have been authorized to act on its behalf in undertaking Testing-the-Waters Communications.</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880" w:top="270" w:right="479" w:bottom="1440" w:gutter="0" w:footer="0" w:header="0"/>
        </w:sectPr>
      </w:pPr>
    </w:p>
    <w:bookmarkStart w:id="93" w:name="page94"/>
    <w:bookmarkEnd w:id="93"/>
    <w:p>
      <w:pPr>
        <w:ind w:right="60" w:firstLine="419"/>
        <w:spacing w:after="0" w:line="266" w:lineRule="auto"/>
        <w:tabs>
          <w:tab w:leader="none" w:pos="86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Not Ineligible Issuer</w:t>
      </w:r>
      <w:r>
        <w:rPr>
          <w:rFonts w:ascii="Times New Roman" w:cs="Times New Roman" w:eastAsia="Times New Roman" w:hAnsi="Times New Roman"/>
          <w:sz w:val="18"/>
          <w:szCs w:val="18"/>
          <w:color w:val="auto"/>
        </w:rPr>
        <w:t>. At the time of filing the Registration Statement and any post-effective amendment thereto, at the earliest time thereafter that the Company or another offering participant made a bona fide offer (within the meaning of Rule 164(h)(2) of the 1933 Act Regulations) of the Securities and at the date hereof, the Company was not and is not an “ineligible issuer,” as defined in Rule 405.</w:t>
      </w:r>
    </w:p>
    <w:p>
      <w:pPr>
        <w:spacing w:after="0" w:line="67" w:lineRule="exact"/>
        <w:rPr>
          <w:rFonts w:ascii="Times New Roman" w:cs="Times New Roman" w:eastAsia="Times New Roman" w:hAnsi="Times New Roman"/>
          <w:sz w:val="18"/>
          <w:szCs w:val="18"/>
          <w:color w:val="auto"/>
        </w:rPr>
      </w:pPr>
    </w:p>
    <w:p>
      <w:pPr>
        <w:ind w:right="460" w:firstLine="419"/>
        <w:spacing w:after="0" w:line="261" w:lineRule="auto"/>
        <w:tabs>
          <w:tab w:leader="none" w:pos="91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Emerging Growth Company Status.</w:t>
      </w:r>
      <w:r>
        <w:rPr>
          <w:rFonts w:ascii="Times New Roman" w:cs="Times New Roman" w:eastAsia="Times New Roman" w:hAnsi="Times New Roman"/>
          <w:sz w:val="18"/>
          <w:szCs w:val="18"/>
          <w:color w:val="auto"/>
        </w:rPr>
        <w:t xml:space="preserve"> From the time of the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1933 Act (an “Emerging Growth Company”).</w:t>
      </w:r>
    </w:p>
    <w:p>
      <w:pPr>
        <w:spacing w:after="0" w:line="71" w:lineRule="exact"/>
        <w:rPr>
          <w:rFonts w:ascii="Times New Roman" w:cs="Times New Roman" w:eastAsia="Times New Roman" w:hAnsi="Times New Roman"/>
          <w:sz w:val="18"/>
          <w:szCs w:val="18"/>
          <w:color w:val="auto"/>
        </w:rPr>
      </w:pPr>
    </w:p>
    <w:p>
      <w:pPr>
        <w:ind w:right="220" w:firstLine="419"/>
        <w:spacing w:after="0" w:line="266" w:lineRule="auto"/>
        <w:tabs>
          <w:tab w:leader="none" w:pos="96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The accountants who certified the financial statements and supporting schedules included in the Registration Statement, the General Disclosure Package and the Prospectus are independent public accountants as required by the 1933 Act, the 1933 Act Regulations, the 1934 Act, the 1934 Act Regulations and the Public Company Accounting Oversight Board.</w:t>
      </w:r>
    </w:p>
    <w:p>
      <w:pPr>
        <w:spacing w:after="0" w:line="67" w:lineRule="exact"/>
        <w:rPr>
          <w:rFonts w:ascii="Times New Roman" w:cs="Times New Roman" w:eastAsia="Times New Roman" w:hAnsi="Times New Roman"/>
          <w:sz w:val="18"/>
          <w:szCs w:val="18"/>
          <w:color w:val="auto"/>
        </w:rPr>
      </w:pPr>
    </w:p>
    <w:p>
      <w:pPr>
        <w:ind w:firstLine="419"/>
        <w:spacing w:after="0" w:line="252" w:lineRule="auto"/>
        <w:tabs>
          <w:tab w:leader="none" w:pos="86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Non-GAAP Financial Measures</w:t>
      </w:r>
      <w:r>
        <w:rPr>
          <w:rFonts w:ascii="Times New Roman" w:cs="Times New Roman" w:eastAsia="Times New Roman" w:hAnsi="Times New Roman"/>
          <w:sz w:val="18"/>
          <w:szCs w:val="18"/>
          <w:color w:val="auto"/>
        </w:rPr>
        <w:t>. The financial statements included or incorporated by reference in the Registration Statement, the General Disclosure Package and the Prospectus, together with the related schedules and notes, present fairly in all material respects 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U.S. generally accepted accounting principles (“GAAP”) applied on a consistent basis throughout the periods involved. The supporting schedules, if any, present fairly in all material respects in accordance with GAAP the information required to be stated therein. The selected financial data and the summary financial information included in the Registration Statement, the General Disclosure Package and the Prospectus present fairly in all material respects the information shown therein and have been compiled on a basis consistent with that of the audited financial statements included therein. All disclosures contained in the Registration Statement, the General Disclosure Package or the Prospectus, or incorporated by reference therein, regarding “non-GAAP financial measures” (as such term is defined by the rules and regulations of the Commission) comply with Regulation G of the 1934 Act and Item 10 of Regulation S-K of the 1933 Act, to the extent applicable. The interactive data in eXtensible Business Reporting Language included or incorporated by reference in the Registration Statement, the General Disclosure Package and the Prospectus fairly presents the information called for in all material respects and has been prepared in accordance with the Commission’s rules and guidelines applicable thereto.</w:t>
      </w:r>
    </w:p>
    <w:p>
      <w:pPr>
        <w:spacing w:after="0" w:line="89" w:lineRule="exact"/>
        <w:rPr>
          <w:rFonts w:ascii="Times New Roman" w:cs="Times New Roman" w:eastAsia="Times New Roman" w:hAnsi="Times New Roman"/>
          <w:sz w:val="18"/>
          <w:szCs w:val="18"/>
          <w:color w:val="auto"/>
        </w:rPr>
      </w:pPr>
    </w:p>
    <w:p>
      <w:pPr>
        <w:ind w:right="20" w:firstLine="419"/>
        <w:spacing w:after="0" w:line="255" w:lineRule="auto"/>
        <w:tabs>
          <w:tab w:leader="none" w:pos="81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Except as otherwise stated therein, since the date of the latest audited financial statements of the Company included or incorporated by reference in the Registration Statement, the General Disclosure Package or the Prospectus, (A) there has been no material adverse change in the condition, financial or otherwise, or in the earnings, business affairs or business prospects of the Company and its subsidiaries considered as one enterprise (a “Material Adverse Effect”), (B) there have been no transactions entered into by the Company or any of its subsidiaries, other than those in the ordinary course of business, which are material with respect to the Company and its subsidiaries considered as one enterprise, and (C) there has been no dividend or distribution of any kind declared, paid or made by the Company on any class of its capital stock.</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94" w:name="page95"/>
    <w:bookmarkEnd w:id="94"/>
    <w:p>
      <w:pPr>
        <w:ind w:firstLine="419"/>
        <w:spacing w:after="0" w:line="256" w:lineRule="auto"/>
        <w:tabs>
          <w:tab w:leader="none" w:pos="86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Good Standing of the Company</w:t>
      </w:r>
      <w:r>
        <w:rPr>
          <w:rFonts w:ascii="Times New Roman" w:cs="Times New Roman" w:eastAsia="Times New Roman" w:hAnsi="Times New Roman"/>
          <w:sz w:val="18"/>
          <w:szCs w:val="18"/>
          <w:color w:val="auto"/>
        </w:rPr>
        <w:t>.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singly or in the aggregate, result in a Material Adverse Effect.</w:t>
      </w:r>
    </w:p>
    <w:p>
      <w:pPr>
        <w:spacing w:after="0" w:line="79" w:lineRule="exact"/>
        <w:rPr>
          <w:rFonts w:ascii="Times New Roman" w:cs="Times New Roman" w:eastAsia="Times New Roman" w:hAnsi="Times New Roman"/>
          <w:sz w:val="18"/>
          <w:szCs w:val="18"/>
          <w:color w:val="auto"/>
        </w:rPr>
      </w:pPr>
    </w:p>
    <w:p>
      <w:pPr>
        <w:ind w:left="900" w:hanging="481"/>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Subsidiaries</w:t>
      </w:r>
      <w:r>
        <w:rPr>
          <w:rFonts w:ascii="Times New Roman" w:cs="Times New Roman" w:eastAsia="Times New Roman" w:hAnsi="Times New Roman"/>
          <w:sz w:val="18"/>
          <w:szCs w:val="18"/>
          <w:color w:val="auto"/>
        </w:rPr>
        <w:t>. Each “significant subsidiary” of the Company (as such term is defined in Rule 1-02 of Regulation</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S-X) (each, a “Subsidiary” and, collectively, the “Subsidiaries”) has been duly organized and is validly existing in good standing under the laws of the jurisdiction of its incorporation or organization, has corporate or similar power and authority to own, lease and operate its properties and to conduct its business as described in the Registration Statement, the General Disclosure Package and the Prospectus and is duly qualified to transact business and is in good standing in each jurisdiction in which such qualification is required, whether by reason of the ownership or leasing of property or the conduct of business, except where the failure to so qualify or to be in good standing would not, singly or in the aggregate, result in a Material Adverse Effect. Except as otherwise disclosed in the Registration Statement, the General Disclosure Package and the Prospectus, all of the issued and outstanding capital stock of each Subsidiary has been duly authorized and validly issued, is fully paid and non-assessable and is owned by the Company, directly or through subsidiaries, free and clear of any security interest, mortgage, pledge, lien, encumbrance, claim or equity. None of the outstanding shares of capital stock of any Subsidiary were issued in violation of the preemptive or similar rights of any securityholder of such Subsidiary. Each “significant subsidiary” of the Company (as such term is defined in Rule 1-02(w) of Regulation SX promulgated by the Commission) has been listed in Exhibit 21.1 to the Registration Statement.</w:t>
      </w:r>
    </w:p>
    <w:p>
      <w:pPr>
        <w:spacing w:after="0" w:line="84" w:lineRule="exact"/>
        <w:rPr>
          <w:sz w:val="20"/>
          <w:szCs w:val="20"/>
          <w:color w:val="auto"/>
        </w:rPr>
      </w:pPr>
    </w:p>
    <w:p>
      <w:pPr>
        <w:ind w:right="60" w:firstLine="419"/>
        <w:spacing w:after="0" w:line="254" w:lineRule="auto"/>
        <w:tabs>
          <w:tab w:leader="none" w:pos="96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issued and outstanding shares of capital stock of the Company are as set forth in the Registration Statement, the General Disclosure Package and the Prospectus in the column entitled “Actual” under the caption “Capitalization” (except for subsequent issuances, if any, pursuant to this Agreement, pursuant to reservations, agreements or employee benefit plans referred to in the Registration Statement, the General Disclosure Package and the Prospectus or pursuant to the exercise of convertible securities or options referred to in the Registration Statement, the General Disclosure Package and the Prospectus). The outstanding shares of capital stock of the Company, including the Securities to be purchased by the Underwriters from the Selling Shareholders, have been duly authorized and validly issued and are fully paid and non-assessable. None of the outstanding shares of capital stock of the Company, including the Securities to be purchased by the Underwriters from the Selling Shareholders, were issued in violation of the preemptive or other similar rights of any securityholder of the Company.</w:t>
      </w:r>
    </w:p>
    <w:p>
      <w:pPr>
        <w:spacing w:after="0" w:line="80" w:lineRule="exact"/>
        <w:rPr>
          <w:rFonts w:ascii="Times New Roman" w:cs="Times New Roman" w:eastAsia="Times New Roman" w:hAnsi="Times New Roman"/>
          <w:sz w:val="18"/>
          <w:szCs w:val="18"/>
          <w:color w:val="auto"/>
        </w:rPr>
      </w:pPr>
    </w:p>
    <w:p>
      <w:pPr>
        <w:ind w:left="940" w:hanging="521"/>
        <w:spacing w:after="0"/>
        <w:tabs>
          <w:tab w:leader="none" w:pos="9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right="40" w:firstLine="419"/>
        <w:spacing w:after="0" w:line="266" w:lineRule="auto"/>
        <w:tabs>
          <w:tab w:leader="none" w:pos="90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Description of Securities</w:t>
      </w:r>
      <w:r>
        <w:rPr>
          <w:rFonts w:ascii="Times New Roman" w:cs="Times New Roman" w:eastAsia="Times New Roman" w:hAnsi="Times New Roman"/>
          <w:sz w:val="18"/>
          <w:szCs w:val="18"/>
          <w:color w:val="auto"/>
        </w:rPr>
        <w:t>. The Common Stock conforms to all statements relating thereto contained in the Registration Statement, the General Disclosure Package and the Prospectus and such description conforms to the rights set forth in the instruments defining the same.</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80"/>
          </w:cols>
          <w:pgMar w:left="880" w:top="270" w:right="439" w:bottom="1440" w:gutter="0" w:footer="0" w:header="0"/>
        </w:sectPr>
      </w:pPr>
    </w:p>
    <w:bookmarkStart w:id="95" w:name="page96"/>
    <w:bookmarkEnd w:id="95"/>
    <w:p>
      <w:pPr>
        <w:ind w:left="4" w:right="100" w:firstLine="419"/>
        <w:spacing w:after="0" w:line="276" w:lineRule="auto"/>
        <w:tabs>
          <w:tab w:leader="none" w:pos="956"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Rights</w:t>
      </w:r>
      <w:r>
        <w:rPr>
          <w:rFonts w:ascii="Times New Roman" w:cs="Times New Roman" w:eastAsia="Times New Roman" w:hAnsi="Times New Roman"/>
          <w:sz w:val="17"/>
          <w:szCs w:val="17"/>
          <w:color w:val="auto"/>
        </w:rPr>
        <w:t>. Except as disclosed in the Registration Statement, the General Disclosure Package and the Prospectus, there are no persons with registration rights or other similar rights to have any securities (A) registered for sale pursuant to the Registration Statement or</w:t>
      </w:r>
    </w:p>
    <w:p>
      <w:pPr>
        <w:ind w:left="4" w:right="280" w:hanging="4"/>
        <w:spacing w:after="0" w:line="260" w:lineRule="auto"/>
        <w:tabs>
          <w:tab w:leader="none" w:pos="28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registered for sale or sold by the Company under the 1933 Act pursuant to this Agreement, other than those rights that have been disclosed in the Registration Statement, the General Disclosure Package and the Prospectus and have been waived.</w:t>
      </w:r>
    </w:p>
    <w:p>
      <w:pPr>
        <w:spacing w:after="0" w:line="73" w:lineRule="exact"/>
        <w:rPr>
          <w:rFonts w:ascii="Times New Roman" w:cs="Times New Roman" w:eastAsia="Times New Roman" w:hAnsi="Times New Roman"/>
          <w:sz w:val="18"/>
          <w:szCs w:val="18"/>
          <w:color w:val="auto"/>
        </w:rPr>
      </w:pPr>
    </w:p>
    <w:p>
      <w:pPr>
        <w:ind w:left="1004" w:hanging="581"/>
        <w:spacing w:after="0"/>
        <w:tabs>
          <w:tab w:leader="none" w:pos="100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Violations, Defaults and Conflicts</w:t>
      </w:r>
      <w:r>
        <w:rPr>
          <w:rFonts w:ascii="Times New Roman" w:cs="Times New Roman" w:eastAsia="Times New Roman" w:hAnsi="Times New Roman"/>
          <w:sz w:val="18"/>
          <w:szCs w:val="18"/>
          <w:color w:val="auto"/>
        </w:rPr>
        <w:t>. Neither the Company nor any of its subsidiaries is (A) in violation of its charter,</w:t>
      </w:r>
    </w:p>
    <w:p>
      <w:pPr>
        <w:spacing w:after="0" w:line="27"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by-laws or similar organizational document, (B) in default in the performance or observance of any material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“Agreements and Instruments”), except for such defaults that would not, singly or in the aggregate, be reasonably expected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“Governmental Entity”), except, in the case of clauses (A) (if such entity is not the Company or a Subsidiary), (B) and (C) above, for such violations that would not, singly or in the aggregate, reasonably be expected to result in a Material Adverse Effect. The execution, delivery and performance of this Agreement and the consummation of the transactions contemplated herein and in the Registration Statement, the General Disclosure Package and the Prospectus and compliance by the Company with its obligations hereunder have been duly authorized by all necessary corporate action and do not and will not, whether with or without the giving of notice or passage of time or both, conflict with or constitute a breach of, or default under, or result in the creation or imposition of any lien, charge or encumbrance upon any properties or assets of the Company or any subsidiary pursuant to, the Agreements and Instruments (except for such conflicts, breaches, defaults or liens, charges or encumbrances that would not, singly or in the aggregate, be reasonably expected to result in a Material Adverse Effect), nor will such action result in any violation of the provisions of the charter, by-laws or similar organizational document of the Company or any of its subsidiaries or any law, statute, rule, regulation, judgment, order, writ or decree of any Governmental Entity (except for such violations of any law, statute, rule, regulation, judgment, order, writ or decree of any Governmental Entity that would not, singly or in the aggregate, be reasonably expected to result in a Material Adverse Effect).</w:t>
      </w:r>
    </w:p>
    <w:p>
      <w:pPr>
        <w:spacing w:after="0" w:line="81" w:lineRule="exact"/>
        <w:rPr>
          <w:sz w:val="20"/>
          <w:szCs w:val="20"/>
          <w:color w:val="auto"/>
        </w:rPr>
      </w:pPr>
    </w:p>
    <w:p>
      <w:pPr>
        <w:ind w:left="4" w:right="40" w:firstLine="419"/>
        <w:spacing w:after="0" w:line="261" w:lineRule="auto"/>
        <w:tabs>
          <w:tab w:leader="none" w:pos="105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Labor Dispute</w:t>
      </w:r>
      <w:r>
        <w:rPr>
          <w:rFonts w:ascii="Times New Roman" w:cs="Times New Roman" w:eastAsia="Times New Roman" w:hAnsi="Times New Roman"/>
          <w:sz w:val="18"/>
          <w:szCs w:val="18"/>
          <w:color w:val="auto"/>
        </w:rPr>
        <w:t>. No labor dispute with the employees of the Company or any of its subsidiaries exists or, to the knowledge of the Company, is imminent, and the Company is not aware of any existing or imminent labor disturbance by the employees of any of its or any subsidiary’s principal suppliers, manufacturers or contractors, which, in either case, would be reasonably expected to result in a Material Adverse Effect.</w:t>
      </w:r>
    </w:p>
    <w:p>
      <w:pPr>
        <w:spacing w:after="0" w:line="71" w:lineRule="exact"/>
        <w:rPr>
          <w:rFonts w:ascii="Times New Roman" w:cs="Times New Roman" w:eastAsia="Times New Roman" w:hAnsi="Times New Roman"/>
          <w:sz w:val="18"/>
          <w:szCs w:val="18"/>
          <w:color w:val="auto"/>
        </w:rPr>
      </w:pPr>
    </w:p>
    <w:p>
      <w:pPr>
        <w:ind w:left="4" w:right="20" w:firstLine="419"/>
        <w:spacing w:after="0" w:line="256" w:lineRule="auto"/>
        <w:tabs>
          <w:tab w:leader="none" w:pos="95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Except as disclosed in the Registration Statement, the General Disclosure Package and the Prospectus, there is no action, suit, proceeding, inquiry or investigation before or brought by any Governmental Entity now pending or, to the knowledge of the Company, threatened, against or affecting the Company or any of its subsidiaries, which, if determined adversely to the Company or any of its subsidiaries, would be reasonably expected to result in a Material Adverse Effect, or which might materially and adversely affect their respective properties or assets or the consummation of the transactions contemplated in this Agreement or the performance by the Company of its obligations hereunder; and the aggregate of all pending legal</w:t>
      </w:r>
    </w:p>
    <w:p>
      <w:pPr>
        <w:spacing w:after="0" w:line="120"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84"/>
          </w:cols>
          <w:pgMar w:left="876" w:top="270" w:right="439" w:bottom="1440" w:gutter="0" w:footer="0" w:header="0"/>
        </w:sectPr>
      </w:pPr>
    </w:p>
    <w:bookmarkStart w:id="96" w:name="page97"/>
    <w:bookmarkEnd w:id="96"/>
    <w:p>
      <w:pPr>
        <w:ind w:left="4"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governmental proceedings to which the Company or any such subsidiary is a party or of which any of their respective properties or assets is the subject which are not described in the Registration Statement, the General Disclosure Package and the Prospectus, including ordinary routine litigation incidental to the business, could not be reasonably expected to result in a Material Adverse Effect.</w:t>
      </w:r>
    </w:p>
    <w:p>
      <w:pPr>
        <w:spacing w:after="0" w:line="68" w:lineRule="exact"/>
        <w:rPr>
          <w:sz w:val="20"/>
          <w:szCs w:val="20"/>
          <w:color w:val="auto"/>
        </w:rPr>
      </w:pPr>
    </w:p>
    <w:p>
      <w:pPr>
        <w:ind w:left="4" w:right="80" w:firstLine="419"/>
        <w:spacing w:after="0" w:line="258" w:lineRule="auto"/>
        <w:tabs>
          <w:tab w:leader="none" w:pos="90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except such as have been already obtained or as may be required under the 1933 Act, the 1933 Act Regulations, the rules of the Nasdaq Global Select Market, state securities laws or the rules of the Financial Industry Regulatory Authority, Inc. (“FINRA”).</w:t>
      </w:r>
    </w:p>
    <w:p>
      <w:pPr>
        <w:spacing w:after="0" w:line="75" w:lineRule="exact"/>
        <w:rPr>
          <w:rFonts w:ascii="Times New Roman" w:cs="Times New Roman" w:eastAsia="Times New Roman" w:hAnsi="Times New Roman"/>
          <w:sz w:val="18"/>
          <w:szCs w:val="18"/>
          <w:color w:val="auto"/>
        </w:rPr>
      </w:pPr>
    </w:p>
    <w:p>
      <w:pPr>
        <w:ind w:left="4" w:firstLine="419"/>
        <w:spacing w:after="0" w:line="254" w:lineRule="auto"/>
        <w:tabs>
          <w:tab w:leader="none" w:pos="95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Licenses and Permits</w:t>
      </w:r>
      <w:r>
        <w:rPr>
          <w:rFonts w:ascii="Times New Roman" w:cs="Times New Roman" w:eastAsia="Times New Roman" w:hAnsi="Times New Roman"/>
          <w:sz w:val="18"/>
          <w:szCs w:val="18"/>
          <w:color w:val="auto"/>
        </w:rPr>
        <w:t>. The Company and its subsidiaries possess such material permits, licenses, approvals, consents and other authorizations (collectively, “Governmental Licenses”) issued by the appropriate Governmental Entities necessary to conduct the business now operated by them, except where the failure so to possess would not, singly or in the aggregate, result in a Material Adverse Effect. The Company and its subsidiaries are in compliance with the terms and conditions of all Governmental Licenses, except where the failure so to comply would not, singly or in the aggregate, result in a Material Adverse Effect. All of the Governmental Licenses are valid and in full force and effect, except when the invalidity of such Governmental Licenses or the failure of such Governmental Licenses to be in full force and effect would not, singly or in the aggregate, result in a Material Adverse Effect. Neither the Company nor any of its subsidiaries has received any notice of proceedings relating to the revocation or modification of any Governmental Licenses which, singly or in the aggregate, if the subject of an unfavorable decision, ruling or finding, would be reasonably expected to result in a Material Adverse Effect.</w:t>
      </w:r>
    </w:p>
    <w:p>
      <w:pPr>
        <w:spacing w:after="0" w:line="80" w:lineRule="exact"/>
        <w:rPr>
          <w:rFonts w:ascii="Times New Roman" w:cs="Times New Roman" w:eastAsia="Times New Roman" w:hAnsi="Times New Roman"/>
          <w:sz w:val="18"/>
          <w:szCs w:val="18"/>
          <w:color w:val="auto"/>
        </w:rPr>
      </w:pPr>
    </w:p>
    <w:p>
      <w:pPr>
        <w:ind w:left="4" w:right="80" w:firstLine="419"/>
        <w:spacing w:after="0" w:line="257" w:lineRule="auto"/>
        <w:tabs>
          <w:tab w:leader="none" w:pos="100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color w:val="auto"/>
        </w:rPr>
        <w:t>. The Company and its subsidiaries do not own any real property. The Company and its subsidiaries have good title to all personal property owned by them, in each case, free and clear of all mortgages, pledges, liens, security interests, claims, restrictions or encumbrances of any kind except such as (A) are described in the Registration Statement, the General Disclosure Package and the Prospectus or</w:t>
      </w:r>
    </w:p>
    <w:p>
      <w:pPr>
        <w:spacing w:after="0" w:line="1" w:lineRule="exact"/>
        <w:rPr>
          <w:rFonts w:ascii="Times New Roman" w:cs="Times New Roman" w:eastAsia="Times New Roman" w:hAnsi="Times New Roman"/>
          <w:sz w:val="18"/>
          <w:szCs w:val="18"/>
          <w:color w:val="auto"/>
        </w:rPr>
      </w:pPr>
    </w:p>
    <w:p>
      <w:pPr>
        <w:ind w:left="4" w:right="20" w:hanging="4"/>
        <w:spacing w:after="0" w:line="252" w:lineRule="auto"/>
        <w:tabs>
          <w:tab w:leader="none" w:pos="28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not, singly or in the aggregate, be reasonably expected to result in a Material Adverse Effect; and all of the leases and subleases material to the business of the Company and its subsidiaries, considered as one enterprise, and under which the Company or any of its subsidiaries holds properties described in the Registration Statement, the General Disclosure Package or the Prospectus, are in full force and effect, and neither the Company nor any such subsidiary has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 except as would not, singly or in the aggregate, be reasonably expected to result in a Material Adverse Effect.</w:t>
      </w:r>
    </w:p>
    <w:p>
      <w:pPr>
        <w:spacing w:after="0" w:line="80" w:lineRule="exact"/>
        <w:rPr>
          <w:rFonts w:ascii="Times New Roman" w:cs="Times New Roman" w:eastAsia="Times New Roman" w:hAnsi="Times New Roman"/>
          <w:sz w:val="18"/>
          <w:szCs w:val="18"/>
          <w:color w:val="auto"/>
        </w:rPr>
      </w:pPr>
    </w:p>
    <w:p>
      <w:pPr>
        <w:ind w:left="4" w:right="120" w:firstLine="419"/>
        <w:spacing w:after="0" w:line="258" w:lineRule="auto"/>
        <w:tabs>
          <w:tab w:leader="none" w:pos="105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Intellectual Property</w:t>
      </w:r>
      <w:r>
        <w:rPr>
          <w:rFonts w:ascii="Times New Roman" w:cs="Times New Roman" w:eastAsia="Times New Roman" w:hAnsi="Times New Roman"/>
          <w:sz w:val="18"/>
          <w:szCs w:val="18"/>
          <w:color w:val="auto"/>
        </w:rPr>
        <w:t>. Except as (A) described in the Registration Statement, the General Disclosure Package and the Prospectus; or (B) would not, singly or in the aggregate, be reasonably expected to result in a Material Adverse Effect: (x)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4"/>
          </w:cols>
          <w:pgMar w:left="876" w:top="270" w:right="459" w:bottom="1440" w:gutter="0" w:footer="0" w:header="0"/>
        </w:sectPr>
      </w:pPr>
    </w:p>
    <w:bookmarkStart w:id="97" w:name="page98"/>
    <w:bookmarkEnd w:id="97"/>
    <w:p>
      <w:pPr>
        <w:ind w:left="4"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marks, trade names or other intellectual property (collectively, “Intellectual Property”) necessary to carry on the business now operated by them, and (y) neither the Company nor any of its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its subsidiaries therein.</w:t>
      </w:r>
    </w:p>
    <w:p>
      <w:pPr>
        <w:spacing w:after="0" w:line="72" w:lineRule="exact"/>
        <w:rPr>
          <w:sz w:val="20"/>
          <w:szCs w:val="20"/>
          <w:color w:val="auto"/>
        </w:rPr>
      </w:pPr>
    </w:p>
    <w:p>
      <w:pPr>
        <w:ind w:left="4" w:right="20" w:firstLine="419"/>
        <w:spacing w:after="0" w:line="252" w:lineRule="auto"/>
        <w:tabs>
          <w:tab w:leader="none" w:pos="104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Except as described in the Registration Statement, the General Disclosure Package and the Prospectus or would not, singly or in the aggregate, be reasonably expected to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“Hazardous Materials”) or to the manufacture, processing, distribution, use, treatment, storage, disposal, transport or handling of Hazardous Materials (collectively, “Environmental Laws”), (B) the Company and its subsidiaries have all permits, authorizations and approvals required under any applicable Environmental Laws and are each in compliance with their requirements, (C) to the knowledge of the Company, there are no pending or threatened administrative, regulatory or judicial actions, suits, demands, demand letters, claims, liens, notices of noncompliance or violation, investigations or proceedings relating to any Environmental Law against the Company or any of its subsidiaries and</w:t>
      </w:r>
    </w:p>
    <w:p>
      <w:pPr>
        <w:spacing w:after="0" w:line="2" w:lineRule="exact"/>
        <w:rPr>
          <w:rFonts w:ascii="Times New Roman" w:cs="Times New Roman" w:eastAsia="Times New Roman" w:hAnsi="Times New Roman"/>
          <w:sz w:val="18"/>
          <w:szCs w:val="18"/>
          <w:color w:val="auto"/>
        </w:rPr>
      </w:pPr>
    </w:p>
    <w:p>
      <w:pPr>
        <w:ind w:left="4" w:right="120" w:hanging="4"/>
        <w:spacing w:after="0" w:line="255" w:lineRule="auto"/>
        <w:tabs>
          <w:tab w:leader="none" w:pos="29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there are no events or circumstances that would reasonably be expected to form the basis of an order for clean-up or remediation, or an action, suit or proceeding by any private party or Governmental Entity, against or affecting the Company or any of its subsidiaries relating to Hazardous Materials or any Environmental Laws.</w:t>
      </w:r>
    </w:p>
    <w:p>
      <w:pPr>
        <w:spacing w:after="0" w:line="77" w:lineRule="exact"/>
        <w:rPr>
          <w:rFonts w:ascii="Times New Roman" w:cs="Times New Roman" w:eastAsia="Times New Roman" w:hAnsi="Times New Roman"/>
          <w:sz w:val="18"/>
          <w:szCs w:val="18"/>
          <w:color w:val="auto"/>
        </w:rPr>
      </w:pPr>
    </w:p>
    <w:p>
      <w:pPr>
        <w:ind w:left="4" w:right="140" w:firstLine="419"/>
        <w:spacing w:after="0" w:line="272" w:lineRule="auto"/>
        <w:tabs>
          <w:tab w:leader="none" w:pos="996"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Accounting Controls and Disclosure Controls</w:t>
      </w:r>
      <w:r>
        <w:rPr>
          <w:rFonts w:ascii="Times New Roman" w:cs="Times New Roman" w:eastAsia="Times New Roman" w:hAnsi="Times New Roman"/>
          <w:sz w:val="17"/>
          <w:szCs w:val="17"/>
          <w:color w:val="auto"/>
        </w:rPr>
        <w:t>. The Company and each of its subsidiaries maintain effective internal control over financial reporting (as defined under Rule 13a-15 and 15d-15 under the 1934 Act Regulations) and a system of internal accounting controls sufficient to provide reasonable assurances that (A) transactions are executed in accordance with management’s general or specific authorization;</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8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included or incorporated by reference in the Registration Statement, the General Disclosure Package and the Prospectus fairly presents the information called for in all material respects and is prepared in accordance with the Commission’s rules and guidelines applicable thereto. Except as described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w:t>
      </w:r>
    </w:p>
    <w:p>
      <w:pPr>
        <w:spacing w:after="0" w:line="126"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84"/>
          </w:cols>
          <w:pgMar w:left="876" w:top="270" w:right="439" w:bottom="1440" w:gutter="0" w:footer="0" w:header="0"/>
        </w:sectPr>
      </w:pPr>
    </w:p>
    <w:bookmarkStart w:id="98" w:name="page99"/>
    <w:bookmarkEnd w:id="98"/>
    <w:p>
      <w:pPr>
        <w:ind w:left="4" w:right="40" w:firstLine="42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each of its subsidiaries maintain an effective system of disclosure controls and procedures (as defined in Rule 13a-15 and Rule 15d-15 under the 1934 Act Regulations)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75" w:lineRule="exact"/>
        <w:rPr>
          <w:sz w:val="20"/>
          <w:szCs w:val="20"/>
          <w:color w:val="auto"/>
        </w:rPr>
      </w:pPr>
    </w:p>
    <w:p>
      <w:pPr>
        <w:ind w:left="4" w:firstLine="419"/>
        <w:spacing w:after="0" w:line="261" w:lineRule="auto"/>
        <w:tabs>
          <w:tab w:leader="none" w:pos="104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the Sarbanes-Oxley Act.</w:t>
      </w:r>
      <w:r>
        <w:rPr>
          <w:rFonts w:ascii="Times New Roman" w:cs="Times New Roman" w:eastAsia="Times New Roman" w:hAnsi="Times New Roman"/>
          <w:sz w:val="18"/>
          <w:szCs w:val="18"/>
          <w:color w:val="auto"/>
        </w:rPr>
        <w:t xml:space="preserve"> There is and has been no failure on the part of the Company or, to the knowledge of the Company, any of the Company’s directors or officers, in their capacities as such, to comply with any provision of the Sarbanes-Oxley Act of 2002, as amended and the rules and regulations promulgated in connection therewith (the “Sarbanes-Oxley Act”), including Section 402 related to loans and Sections 302 and 906 related to certifications.</w:t>
      </w:r>
    </w:p>
    <w:p>
      <w:pPr>
        <w:spacing w:after="0" w:line="71" w:lineRule="exact"/>
        <w:rPr>
          <w:rFonts w:ascii="Times New Roman" w:cs="Times New Roman" w:eastAsia="Times New Roman" w:hAnsi="Times New Roman"/>
          <w:sz w:val="18"/>
          <w:szCs w:val="18"/>
          <w:color w:val="auto"/>
        </w:rPr>
      </w:pPr>
    </w:p>
    <w:p>
      <w:pPr>
        <w:ind w:left="4" w:firstLine="419"/>
        <w:spacing w:after="0" w:line="253" w:lineRule="auto"/>
        <w:tabs>
          <w:tab w:leader="none" w:pos="109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All United States federal income tax returns of the Company and its subsidiaries required by law to be filed have been filed (or have requested extensions thereof) and all taxes, shown by such returns or otherwise assessed, which are due and payable, have been paid, except for cases in which the failure to pay would not reasonably be expected to have a Material Adverse Effect or assessments against which appeals have been or will be promptly taken and as to which adequate reserves have been provided. The Company and its subsidiaries have filed all other tax returns that are required to have been filed by them pursuant to applicable foreign, state, local or other law except insofar as the failure to file such returns would not be reasonably expected to result in a Material Adverse Effect, and have paid all taxes due pursuant to such returns or pursuant to any assessment received by the Company and its subsidiaries, except for cases in which the failure to pay would not reasonably be expected to have a Material Adverse Effect or for such taxes, if any, as are being contested in good faith and as to which adequate reserves have been established by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be reasonably expected to result in a Material Adverse Effect.</w:t>
      </w:r>
    </w:p>
    <w:p>
      <w:pPr>
        <w:spacing w:after="0" w:line="81" w:lineRule="exact"/>
        <w:rPr>
          <w:rFonts w:ascii="Times New Roman" w:cs="Times New Roman" w:eastAsia="Times New Roman" w:hAnsi="Times New Roman"/>
          <w:sz w:val="18"/>
          <w:szCs w:val="18"/>
          <w:color w:val="auto"/>
        </w:rPr>
      </w:pPr>
    </w:p>
    <w:p>
      <w:pPr>
        <w:ind w:left="4" w:right="20" w:firstLine="419"/>
        <w:spacing w:after="0" w:line="272" w:lineRule="auto"/>
        <w:tabs>
          <w:tab w:leader="none" w:pos="1146"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The Company and its subsidiaries carry or are entitled to the benefits of insurance, with financially sound and reputable insurers, in such amounts and covering such risks as is generally maintained by companies of established repute engaged in the same or similar business, and all such insurance is in full force and effect. The Company has no reason to believe that it or any of its subsidiaries will not be able</w:t>
      </w:r>
    </w:p>
    <w:p>
      <w:pPr>
        <w:spacing w:after="0" w:line="1" w:lineRule="exact"/>
        <w:rPr>
          <w:rFonts w:ascii="Times New Roman" w:cs="Times New Roman" w:eastAsia="Times New Roman" w:hAnsi="Times New Roman"/>
          <w:sz w:val="17"/>
          <w:szCs w:val="17"/>
          <w:color w:val="auto"/>
        </w:rPr>
      </w:pPr>
    </w:p>
    <w:p>
      <w:pPr>
        <w:ind w:left="4" w:right="260" w:hanging="4"/>
        <w:spacing w:after="0" w:line="260" w:lineRule="auto"/>
        <w:tabs>
          <w:tab w:leader="none" w:pos="29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renew its existing insurance coverage as and when such policies expire or (B) to obtain comparable coverage from similar institutions as may be necessary or appropriate to conduct its business as now conducted and at a cost that would not result in a Material Adverse Effect.</w:t>
      </w:r>
    </w:p>
    <w:p>
      <w:pPr>
        <w:spacing w:after="0" w:line="73" w:lineRule="exact"/>
        <w:rPr>
          <w:rFonts w:ascii="Times New Roman" w:cs="Times New Roman" w:eastAsia="Times New Roman" w:hAnsi="Times New Roman"/>
          <w:sz w:val="18"/>
          <w:szCs w:val="18"/>
          <w:color w:val="auto"/>
        </w:rPr>
      </w:pPr>
    </w:p>
    <w:p>
      <w:pPr>
        <w:ind w:left="4" w:right="180" w:firstLine="419"/>
        <w:spacing w:after="0" w:line="289" w:lineRule="auto"/>
        <w:tabs>
          <w:tab w:leader="none" w:pos="1046"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 Company Act</w:t>
      </w:r>
      <w:r>
        <w:rPr>
          <w:rFonts w:ascii="Times New Roman" w:cs="Times New Roman" w:eastAsia="Times New Roman" w:hAnsi="Times New Roman"/>
          <w:sz w:val="17"/>
          <w:szCs w:val="17"/>
          <w:color w:val="auto"/>
        </w:rPr>
        <w:t>. The Company is not required, and upon the issuance and sale of the Securities as herein contemplated and the application of the net proceeds therefrom as described in the Registration Statement, the General Disclosure Package and the Prospectus will not be required, to register as an “investment company” under the Investment Company Act of 1940, as amended (the “1940 Act”).</w:t>
      </w:r>
    </w:p>
    <w:p>
      <w:pPr>
        <w:spacing w:after="0" w:line="49" w:lineRule="exact"/>
        <w:rPr>
          <w:rFonts w:ascii="Times New Roman" w:cs="Times New Roman" w:eastAsia="Times New Roman" w:hAnsi="Times New Roman"/>
          <w:sz w:val="17"/>
          <w:szCs w:val="17"/>
          <w:color w:val="auto"/>
        </w:rPr>
      </w:pPr>
    </w:p>
    <w:p>
      <w:pPr>
        <w:ind w:left="4" w:right="180" w:firstLine="419"/>
        <w:spacing w:after="0" w:line="261" w:lineRule="auto"/>
        <w:tabs>
          <w:tab w:leader="none" w:pos="99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Manipulation</w:t>
      </w:r>
      <w:r>
        <w:rPr>
          <w:rFonts w:ascii="Times New Roman" w:cs="Times New Roman" w:eastAsia="Times New Roman" w:hAnsi="Times New Roman"/>
          <w:sz w:val="18"/>
          <w:szCs w:val="18"/>
          <w:color w:val="auto"/>
        </w:rPr>
        <w:t>. Neither the Company nor any affiliate of the Company has taken, nor will the Company or any affiliate take, directly or indirectly, any action which is designed, or that could be reasonably expected, to cause or result in, or which constitutes, the stabilization or manipulation of the price of any security of the Company to facilitate the sale or resale of the Securities or to result in a violation of Regulation M under the 1934 Act.</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4"/>
          </w:cols>
          <w:pgMar w:left="876" w:top="270" w:right="459" w:bottom="1440" w:gutter="0" w:footer="0" w:header="0"/>
        </w:sectPr>
      </w:pPr>
    </w:p>
    <w:bookmarkStart w:id="99" w:name="page100"/>
    <w:bookmarkEnd w:id="99"/>
    <w:p>
      <w:pPr>
        <w:ind w:right="60" w:firstLine="419"/>
        <w:spacing w:after="0" w:line="254" w:lineRule="auto"/>
        <w:tabs>
          <w:tab w:leader="none" w:pos="104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Foreign Corrupt Practices Act</w:t>
      </w:r>
      <w:r>
        <w:rPr>
          <w:rFonts w:ascii="Times New Roman" w:cs="Times New Roman" w:eastAsia="Times New Roman" w:hAnsi="Times New Roman"/>
          <w:sz w:val="18"/>
          <w:szCs w:val="18"/>
          <w:color w:val="auto"/>
        </w:rPr>
        <w:t>. None of the Company, any of its subsidiaries or, to the knowledge of the Company, any director, officer, agent, employee, affiliate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80" w:lineRule="exact"/>
        <w:rPr>
          <w:rFonts w:ascii="Times New Roman" w:cs="Times New Roman" w:eastAsia="Times New Roman" w:hAnsi="Times New Roman"/>
          <w:sz w:val="18"/>
          <w:szCs w:val="18"/>
          <w:color w:val="auto"/>
        </w:rPr>
      </w:pPr>
    </w:p>
    <w:p>
      <w:pPr>
        <w:ind w:right="40" w:firstLine="419"/>
        <w:spacing w:after="0" w:line="256" w:lineRule="auto"/>
        <w:tabs>
          <w:tab w:leader="none" w:pos="113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where the Company and its subsidiaries conduct business, the rules and regulations thereunder and any related or similar rules, regulations or guidelines, issued, administered or enforced by any Governmental Entity (collectively, the “Money Laundering Laws”); and no action, suit or proceeding by or before any Governmental Entity involving the Company or any of its subsidiaries with respect to the Money Laundering Laws is pending or, to the best knowledge of the Company, threatened.</w:t>
      </w:r>
    </w:p>
    <w:p>
      <w:pPr>
        <w:spacing w:after="0" w:line="79" w:lineRule="exact"/>
        <w:rPr>
          <w:rFonts w:ascii="Times New Roman" w:cs="Times New Roman" w:eastAsia="Times New Roman" w:hAnsi="Times New Roman"/>
          <w:sz w:val="18"/>
          <w:szCs w:val="18"/>
          <w:color w:val="auto"/>
        </w:rPr>
      </w:pPr>
    </w:p>
    <w:p>
      <w:pPr>
        <w:ind w:right="60" w:firstLine="419"/>
        <w:spacing w:after="0" w:line="253" w:lineRule="auto"/>
        <w:tabs>
          <w:tab w:leader="none" w:pos="114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None of the Company, any of its subsidiaries or, to the knowledge of the Company, any director, officer, agent, employee, controlled affiliate, or representative of the Company or any of its subsidiaries is an individual or entity (“Person”) currently the subject or target of any sanctions administered or enforced by the United States Government, including, without limitation, the U.S. Department of the Treasury’s Office of Foreign Assets Control (“OFAC”), the United Nations Security Council (“UNSC”), the European Union, Her Majesty’s Treasury (“HMT”), or other relevant sanctions authority (collectively, “Sanctions”), nor is the Company located, organized or resident in a country or territory that is the subject of Sanctions; and the Company will not directly or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w:t>
      </w:r>
    </w:p>
    <w:p>
      <w:pPr>
        <w:spacing w:after="0" w:line="86" w:lineRule="exact"/>
        <w:rPr>
          <w:rFonts w:ascii="Times New Roman" w:cs="Times New Roman" w:eastAsia="Times New Roman" w:hAnsi="Times New Roman"/>
          <w:sz w:val="18"/>
          <w:szCs w:val="18"/>
          <w:color w:val="auto"/>
        </w:rPr>
      </w:pPr>
    </w:p>
    <w:p>
      <w:pPr>
        <w:ind w:right="40" w:firstLine="419"/>
        <w:spacing w:after="0" w:line="266" w:lineRule="auto"/>
        <w:tabs>
          <w:tab w:leader="none" w:pos="113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Any statistical and market-related data included in the Registration Statement, the General Disclosure Package or the Prospectus are based on or derived from sources that the Company believes, after reasonable inquiry, to be reliable and accurate in all material respects.</w:t>
      </w:r>
    </w:p>
    <w:p>
      <w:pPr>
        <w:spacing w:after="0" w:line="67" w:lineRule="exact"/>
        <w:rPr>
          <w:rFonts w:ascii="Times New Roman" w:cs="Times New Roman" w:eastAsia="Times New Roman" w:hAnsi="Times New Roman"/>
          <w:sz w:val="18"/>
          <w:szCs w:val="18"/>
          <w:color w:val="auto"/>
        </w:rPr>
      </w:pPr>
    </w:p>
    <w:p>
      <w:pPr>
        <w:ind w:firstLine="419"/>
        <w:spacing w:after="0" w:line="282" w:lineRule="auto"/>
        <w:tabs>
          <w:tab w:leader="none" w:pos="112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(A) There has been no material security breach or incident, unauthorized access or disclosure, or other compromise of the Company or its subsidiaries information technology and computer systems, networks, hardware, software, data and databases</w:t>
      </w:r>
    </w:p>
    <w:p>
      <w:pPr>
        <w:spacing w:after="0" w:line="9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20"/>
          </w:cols>
          <w:pgMar w:left="880" w:top="270" w:right="499" w:bottom="1440" w:gutter="0" w:footer="0" w:header="0"/>
        </w:sectPr>
      </w:pPr>
    </w:p>
    <w:bookmarkStart w:id="100" w:name="page101"/>
    <w:bookmarkEnd w:id="100"/>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the data and information of their respective customers, employees, suppliers, vendors and any third party data maintained, processed or stored by the Company and its subsidiaries, and, to the Company’s knowledge, any such data processed or stored by third parties on behalf of the Company and its subsidiaries), equipment or technology (collectively, “IT Systems and Data”) (B) neither the Company nor its subsidiaries have been notified in writing of, or to the Company’s knowledge been otherwise notified of, and each of them have no knowledge of any event or condition that could result in, any material security breach or incident, unauthorized access or disclosure or other compromise to their IT Systems and Data and (C) the Company and its subsidiaries have implemented commercially reasonable administrative and technological safeguards designed to maintain and protect the integrity, continuous operation, redundancy and security of their IT Systems and Data reasonably consistent with industry standards and practices, or as required by applicable regulatory standards. The Company and its subsidiaries are presently in material compliance with all applicable laws or statutes and all judgments, orders, rules and regulations of any court or arbitrator or governmental or regulatory authority, external policies and contractual obligations relating to the privacy and security of IT Systems and Data and to the protection of such IT Systems and Data from unauthorized use, access, misappropriation or modification.</w:t>
      </w:r>
    </w:p>
    <w:p>
      <w:pPr>
        <w:spacing w:after="0" w:line="84" w:lineRule="exact"/>
        <w:rPr>
          <w:sz w:val="20"/>
          <w:szCs w:val="20"/>
          <w:color w:val="auto"/>
        </w:rPr>
      </w:pPr>
    </w:p>
    <w:p>
      <w:pPr>
        <w:ind w:right="40" w:firstLine="419"/>
        <w:spacing w:after="0" w:line="253" w:lineRule="auto"/>
        <w:tabs>
          <w:tab w:leader="none" w:pos="113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With respect to the stock options (the “Stock Options”) granted pursuant to the stock-based compensation plans of the Company and its subsidiaries (the “Company Stock Plans”), (i) each Stock Option intended to qualify as an “incentive stock option” under Section 422 of the Internal Revenue Code of 1986, as amended (the “Code”) so qualifies, (ii) each grant of a Stock Option was duly authorized no later than the date on which the grant of such Stock Option was by its terms to be effective (the “Grant Date”)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1934 Act and all other applicable laws and regulatory rules or requirements, including the rules of the Nasdaq Global Select Market and any other exchange on which Company securities are traded, and (iv) each such grant was properly accounted for in accordance with GAAP in the financial statements (including the related notes) of the Company and disclosed in the Company’s filings with the Commission in accordance with the 1934 Act and all other applicable laws.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subsidiaries or their results of operations or prospects.</w:t>
      </w:r>
    </w:p>
    <w:p>
      <w:pPr>
        <w:spacing w:after="0" w:line="79" w:lineRule="exact"/>
        <w:rPr>
          <w:rFonts w:ascii="Times New Roman" w:cs="Times New Roman" w:eastAsia="Times New Roman" w:hAnsi="Times New Roman"/>
          <w:sz w:val="18"/>
          <w:szCs w:val="18"/>
          <w:color w:val="auto"/>
        </w:rPr>
      </w:pPr>
    </w:p>
    <w:p>
      <w:pPr>
        <w:ind w:firstLine="419"/>
        <w:spacing w:after="0" w:line="254" w:lineRule="auto"/>
        <w:tabs>
          <w:tab w:leader="none" w:pos="118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ERISA</w:t>
      </w:r>
      <w:r>
        <w:rPr>
          <w:rFonts w:ascii="Times New Roman" w:cs="Times New Roman" w:eastAsia="Times New Roman" w:hAnsi="Times New Roman"/>
          <w:sz w:val="18"/>
          <w:szCs w:val="18"/>
          <w:color w:val="auto"/>
        </w:rPr>
        <w:t>. (i) Each employee benefit plan, within the meaning of Section 3(3) of the Employee Retirement Income Security Act of 1974, as amended (“ERISA”), for which the Company would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no Plan nor any employee pension benefit plan (within the meaning of Section 3(2) of ERISA) that is subject to the funding rules of Section 412 of the Code or Section 302 of ERISA for which the Company or any member of the Company’s “Controlled Group” (defined as any entity, whether or not incorporated, that is under common control with the Company within the meaning of Section 4001(a)(14) of ERISA or any entity that would be regarded as a single employer with the Company under Section 414(b),(c),(m) or (o) of the Code) (each, an “ERISA Affiliate Plan”) would have any</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101" w:name="page102"/>
    <w:bookmarkEnd w:id="101"/>
    <w:p>
      <w:pPr>
        <w:ind w:left="440"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liability that has failed (whether or not waived), or is reasonably expected to fail, to satisfy the minimum funding standards (within the meaning of Section 302 of ERISA or Section 412 of the Code) applicable to such Plan or ERISA Affiliate Plan; (iv) no Plan or ERISA Affiliate Plan is, or is reasonably expected to be, in “at risk status” (within the meaning of Section 303(i) of ERISA) and no Plan or ERISA Affiliate Plan that is a “multiemployer plan” within the meaning of Section 4001(a)(3) of ERISA is in “endangered status” or “critical status” (within the meaning of Sections 304 and 305 of ERISA) (v) no “reportable event” (within the meaning of Section 4043(c) of ERISA and the regulations promulgated thereunder) has occurred or is reasonably expected to occur with respect to any Plan or ERISA Affiliate Plan; (vi) each Plan that is intended to be qualified under Section 401(a) of the Code is so qualified, and nothing has occurred, whether by action or by failure to act, which would cause the loss of such qualification; (vii)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or ERISA Affiliate Plan (including a “multiemployer plan” within the meaning of Section 4001(a)</w:t>
      </w:r>
    </w:p>
    <w:p>
      <w:pPr>
        <w:spacing w:after="0" w:line="5" w:lineRule="exact"/>
        <w:rPr>
          <w:sz w:val="20"/>
          <w:szCs w:val="20"/>
          <w:color w:val="auto"/>
        </w:rPr>
      </w:pPr>
    </w:p>
    <w:p>
      <w:pPr>
        <w:ind w:left="440" w:right="20" w:hanging="4"/>
        <w:spacing w:after="0" w:line="252" w:lineRule="auto"/>
        <w:tabs>
          <w:tab w:leader="none" w:pos="69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ERISA); and (viii) none of the following events has occurred or is reasonably likely to occur: (A) a material increase in the aggregate amount of contributions required to be made to all Plans by the Company in the current fiscal year of the Company and its Controlled Group affiliates compared to the amount of such contributions made in the Company’s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(viii) hereof, as would not, individually or in the aggregate, be reasonably expected to have a Material Adverse Effect.</w:t>
      </w:r>
    </w:p>
    <w:p>
      <w:pPr>
        <w:spacing w:after="0" w:line="186" w:lineRule="exact"/>
        <w:rPr>
          <w:sz w:val="20"/>
          <w:szCs w:val="20"/>
          <w:color w:val="auto"/>
        </w:rPr>
      </w:pPr>
    </w:p>
    <w:p>
      <w:pPr>
        <w:ind w:firstLine="436"/>
        <w:spacing w:after="0" w:line="267" w:lineRule="auto"/>
        <w:tabs>
          <w:tab w:leader="none" w:pos="83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by the Selling Shareholders</w:t>
      </w:r>
      <w:r>
        <w:rPr>
          <w:rFonts w:ascii="Times New Roman" w:cs="Times New Roman" w:eastAsia="Times New Roman" w:hAnsi="Times New Roman"/>
          <w:sz w:val="18"/>
          <w:szCs w:val="18"/>
          <w:color w:val="auto"/>
        </w:rPr>
        <w:t>. Each Selling Shareholder, severally and not jointly, represents and warrants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Underwriter as of the date hereof, as of the Applicable Time, as of the Closing Time and, if the Selling Shareholder is selling Option Securities on a Date of Delivery, as of each such Date of Delivery, and agrees with each Underwriter, as follows:</w:t>
      </w:r>
    </w:p>
    <w:p>
      <w:pPr>
        <w:spacing w:after="0" w:line="67" w:lineRule="exact"/>
        <w:rPr>
          <w:rFonts w:ascii="Times New Roman" w:cs="Times New Roman" w:eastAsia="Times New Roman" w:hAnsi="Times New Roman"/>
          <w:sz w:val="18"/>
          <w:szCs w:val="18"/>
          <w:color w:val="auto"/>
        </w:rPr>
      </w:pPr>
    </w:p>
    <w:p>
      <w:pPr>
        <w:ind w:left="440" w:right="20" w:firstLine="419"/>
        <w:spacing w:after="0" w:line="273" w:lineRule="auto"/>
        <w:tabs>
          <w:tab w:leader="none" w:pos="1213"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Required Consents; Authority</w:t>
      </w:r>
      <w:r>
        <w:rPr>
          <w:rFonts w:ascii="Times New Roman" w:cs="Times New Roman" w:eastAsia="Times New Roman" w:hAnsi="Times New Roman"/>
          <w:sz w:val="17"/>
          <w:szCs w:val="17"/>
          <w:color w:val="auto"/>
        </w:rPr>
        <w:t>. All consents, approvals, authorizations and orders necessary for the execution and delivery by such Selling Shareholder of this Agreement hereinafter referred to, and for the sale and delivery of the Securities to be sold by such Selling Shareholder hereunder, have been obtained, except for such consents, approvals authorizations and orders with respect to the Securities as have been made under the 1933 Act or may be required under state or non-US securities or Blue Sky laws in connection with the purchase and distribution of the Securities by the Underwriters and the approval of the underwriting terms and arrangements by FINRA; and such Selling Shareholder has full right, power and authority to enter into this Agreement and to sell, assign, transfer and deliver the Securities to be sold by such Selling Shareholder hereunder; this Agreement has been duly authorized, executed and delivered by or on behalf of such Selling Shareholder.</w:t>
      </w:r>
    </w:p>
    <w:p>
      <w:pPr>
        <w:spacing w:after="0" w:line="63" w:lineRule="exact"/>
        <w:rPr>
          <w:rFonts w:ascii="Times New Roman" w:cs="Times New Roman" w:eastAsia="Times New Roman" w:hAnsi="Times New Roman"/>
          <w:sz w:val="17"/>
          <w:szCs w:val="17"/>
          <w:color w:val="auto"/>
        </w:rPr>
      </w:pPr>
    </w:p>
    <w:p>
      <w:pPr>
        <w:ind w:left="440" w:firstLine="419"/>
        <w:spacing w:after="0" w:line="256" w:lineRule="auto"/>
        <w:tabs>
          <w:tab w:leader="none" w:pos="126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such Selling Shareholder of this Agreement and the consummation by such Selling Shareholder of the transactions contemplated herein or therein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such Selling Shareholder pursuant to, any indenture, mortgage, deed of trust, loan agreement or other agreement or instrument to which such Selling Shareholder is a party or by which such Selling Shareholder is bound or to which any 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02" w:name="page103"/>
    <w:bookmarkEnd w:id="102"/>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property, right or asset of such Selling Shareholder is subject, (ii) result in any violation of the provisions of the charter or by-laws or similar organizational documents of such Selling Shareholder or (iii) result in the violation of any law or statute or any judgment, order, rule or regulation of any court or arbitrator or governmental or regulatory agency, except in the case of clauses (i) and (iii) above, for any such conflict, breach, violation or default that would not, individually or in the aggregate, reasonably be expected to have a material adverse effect on the ability of such Selling Shareholder to perform its obligations under this Agreement.</w:t>
      </w:r>
    </w:p>
    <w:p>
      <w:pPr>
        <w:spacing w:after="0" w:line="75" w:lineRule="exact"/>
        <w:rPr>
          <w:sz w:val="20"/>
          <w:szCs w:val="20"/>
          <w:color w:val="auto"/>
        </w:rPr>
      </w:pPr>
    </w:p>
    <w:p>
      <w:pPr>
        <w:ind w:left="4" w:firstLine="419"/>
        <w:spacing w:after="0" w:line="256" w:lineRule="auto"/>
        <w:tabs>
          <w:tab w:leader="none" w:pos="87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Shares</w:t>
      </w:r>
      <w:r>
        <w:rPr>
          <w:rFonts w:ascii="Times New Roman" w:cs="Times New Roman" w:eastAsia="Times New Roman" w:hAnsi="Times New Roman"/>
          <w:sz w:val="18"/>
          <w:szCs w:val="18"/>
          <w:color w:val="auto"/>
        </w:rPr>
        <w:t>. Such Selling Shareholder has good and valid title to the Securities to be sold at the Closing Time or any Date of Delivery, as the case may be, by such Selling Shareholder hereunder, free and clear of all liens, encumbrances, equities or adverse claims; such Selling Shareholder will have, immediately prior to the Closing Time or any Date of Delivery, as the case may be, good and valid title to the Securities to be sold at the Closing Time or any Date of Delivery, as the case may be, by such Selling Shareholder, free and clear of all liens, encumbrances, equities or adverse claims; and, upon delivery of such Securities and payment therefor pursuant hereto, good and valid title to such Securities, free and clear of all liens, encumbrances, equities or adverse claims, will pass to the several Underwriters.</w:t>
      </w:r>
    </w:p>
    <w:p>
      <w:pPr>
        <w:spacing w:after="0" w:line="79" w:lineRule="exact"/>
        <w:rPr>
          <w:rFonts w:ascii="Times New Roman" w:cs="Times New Roman" w:eastAsia="Times New Roman" w:hAnsi="Times New Roman"/>
          <w:sz w:val="18"/>
          <w:szCs w:val="18"/>
          <w:color w:val="auto"/>
        </w:rPr>
      </w:pPr>
    </w:p>
    <w:p>
      <w:pPr>
        <w:ind w:left="4" w:right="100" w:firstLine="419"/>
        <w:spacing w:after="0" w:line="252" w:lineRule="auto"/>
        <w:tabs>
          <w:tab w:leader="none" w:pos="86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Securities</w:t>
      </w:r>
      <w:r>
        <w:rPr>
          <w:rFonts w:ascii="Times New Roman" w:cs="Times New Roman" w:eastAsia="Times New Roman" w:hAnsi="Times New Roman"/>
          <w:sz w:val="18"/>
          <w:szCs w:val="18"/>
          <w:color w:val="auto"/>
        </w:rPr>
        <w:t>. Upon payment of the purchase price for the Securities to be sold by such Selling Shareholder pursuant to this Agreement, delivery of such Securities, as directed by the Underwriters, to Cede &amp; Co. (“Cede”) or such other nominee as may be designated by The Depository Trust Company (“DTC”) (unless delivery of such Securities is unnecessary because such Securities are already in possession of Cede or such nominee), registration of such Securities in the name of Cede or such other nominee (unless registration of such Securities is unnecessary because such Securities are already registered in the name of Cede or such nominee), and the crediting of such Securities on the books of DTC to securities accounts (within the meaning of Section 8-501(a) of the UCC) of the Underwriters (assuming that neither DTC nor any such Underwriter has notice of any “adverse claim,” within the meaning of Section 8-105 of the Uniform Commercial Code then in effect in the State of New York (“UCC”), to such Securities), (A) under Section 8-501 of the UCC, the Underwriters will acquire a valid “security entitlement” in respect of such Securities and (B) no action (whether framed in conversion, replevin, constructive trust, equitable lien, or other theory) based on any “adverse claim,” within the meaning of Section 8-102 of the UCC, to such Securities may be asserted against the Underwriters with respect to such security entitlement; for purposes of this representation, such Selling Shareholder may assume that when such payment, delivery (if necessary) and crediting occur, (I) such Securities will have been registered in the name of Cede or another nominee designated by DTC, in each case on the Company’s share registry in accordance with its certificate of incorporation, bylaws and applicable law,</w:t>
      </w:r>
    </w:p>
    <w:p>
      <w:pPr>
        <w:spacing w:after="0" w:line="1" w:lineRule="exact"/>
        <w:rPr>
          <w:rFonts w:ascii="Times New Roman" w:cs="Times New Roman" w:eastAsia="Times New Roman" w:hAnsi="Times New Roman"/>
          <w:sz w:val="18"/>
          <w:szCs w:val="18"/>
          <w:color w:val="auto"/>
        </w:rPr>
      </w:pPr>
    </w:p>
    <w:p>
      <w:pPr>
        <w:ind w:left="4" w:right="20" w:hanging="4"/>
        <w:spacing w:after="0" w:line="251" w:lineRule="auto"/>
        <w:tabs>
          <w:tab w:leader="none" w:pos="28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will be registered as a “clearing corporation,” within the meaning of Section 8-102 of the UCC, (III) appropriate entries to the accounts of the several Underwriters on the records of DTC will have been made pursuant to the UCC, (IV) to the extent DTC, or any other securities intermediary which acts as “clearing corporation” with respect to the Securities, maintains any “financial asset” (as defined in Section 8-102(a)(9) of the UCC in a clearing corporation pursuant to Section 8-111 of the UCC, the rules of such clearing corporation may affect the rights of DTC or such securities intermediaries and the ownership interest of the Underwriters, (V) claims of creditors of DTC or any other securities intermediary or clearing corporation may be given priority to the extent set forth in Section 8-511(b) and 8-511(c) of the UCC and (VI) if at any time DTC or other securities intermediary does not have sufficient Securities to satisfy claims of all of its entitlement holders with respect thereto then all holders will share pro rata in the Securities then held by DTC or such securities intermediary.</w:t>
      </w:r>
    </w:p>
    <w:p>
      <w:pPr>
        <w:spacing w:after="0" w:line="126"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24"/>
          </w:cols>
          <w:pgMar w:left="876" w:top="270" w:right="499" w:bottom="1440" w:gutter="0" w:footer="0" w:header="0"/>
        </w:sectPr>
      </w:pPr>
    </w:p>
    <w:bookmarkStart w:id="103" w:name="page104"/>
    <w:bookmarkEnd w:id="103"/>
    <w:p>
      <w:pPr>
        <w:ind w:right="120" w:firstLine="419"/>
        <w:spacing w:after="0" w:line="266" w:lineRule="auto"/>
        <w:tabs>
          <w:tab w:leader="none" w:pos="81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Stabilization or Manipulation</w:t>
      </w:r>
      <w:r>
        <w:rPr>
          <w:rFonts w:ascii="Times New Roman" w:cs="Times New Roman" w:eastAsia="Times New Roman" w:hAnsi="Times New Roman"/>
          <w:sz w:val="18"/>
          <w:szCs w:val="18"/>
          <w:color w:val="auto"/>
        </w:rPr>
        <w:t>. Such Selling Shareholder has not taken and will not take, directly or indirectly, any action designed to or that could reasonably be expected to cause or result in any stabilization or manipulation of the price of any security of the Company to facilitate the sale or resale of the Securities.</w:t>
      </w:r>
    </w:p>
    <w:p>
      <w:pPr>
        <w:spacing w:after="0" w:line="67" w:lineRule="exact"/>
        <w:rPr>
          <w:rFonts w:ascii="Times New Roman" w:cs="Times New Roman" w:eastAsia="Times New Roman" w:hAnsi="Times New Roman"/>
          <w:sz w:val="18"/>
          <w:szCs w:val="18"/>
          <w:color w:val="auto"/>
        </w:rPr>
      </w:pPr>
    </w:p>
    <w:p>
      <w:pPr>
        <w:ind w:firstLine="419"/>
        <w:spacing w:after="0" w:line="253" w:lineRule="auto"/>
        <w:tabs>
          <w:tab w:leader="none" w:pos="86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Disclosure Package</w:t>
      </w:r>
      <w:r>
        <w:rPr>
          <w:rFonts w:ascii="Times New Roman" w:cs="Times New Roman" w:eastAsia="Times New Roman" w:hAnsi="Times New Roman"/>
          <w:sz w:val="18"/>
          <w:szCs w:val="18"/>
          <w:color w:val="auto"/>
        </w:rPr>
        <w:t>. The General Disclosure Package, as of the Applicable Time did not, and as of the Closing Time and as of any Delivery Date, as the case may be, will not, contain any untrue statement of a material fact or omit to state a material fact necessary in order to make the statements therein, in the light of the circumstances under which they were made, not misleading; provided that such representations and warranties set forth in this subsection (b)(vii) apply only to A) the legal name, address and number and number of shares of Securities owned by such Selling Shareholder, (B) biography information provided by the members of the board of directors of the Company who are affiliates of the Selling Shareholder, as applicable, contained under the caption “Management” in the Registration Statement, any preliminary prospectus, the General Disclosure Package, the Prospectus (or any amendment or supplement thereto) or any Issuer Free Writing Prospectus and (C) the other information (excluding percentages) with respect to such Selling Shareholder which appears in the beneficial ownership table (and corresponding footnotes) under the caption “Principal and Selling Stockholders” in the Registration Statement, any preliminary prospectus, the General Disclosure Package, the Prospectus (or any amendment or supplement thereto) or any Issuer Free Writing Prospectus (the “Selling Shareholder Information”).</w:t>
      </w:r>
    </w:p>
    <w:p>
      <w:pPr>
        <w:spacing w:after="0" w:line="83" w:lineRule="exact"/>
        <w:rPr>
          <w:rFonts w:ascii="Times New Roman" w:cs="Times New Roman" w:eastAsia="Times New Roman" w:hAnsi="Times New Roman"/>
          <w:sz w:val="18"/>
          <w:szCs w:val="18"/>
          <w:color w:val="auto"/>
        </w:rPr>
      </w:pPr>
    </w:p>
    <w:p>
      <w:pPr>
        <w:ind w:right="60" w:firstLine="419"/>
        <w:spacing w:after="0" w:line="256" w:lineRule="auto"/>
        <w:tabs>
          <w:tab w:leader="none" w:pos="91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 Free Writing Prospectus and Written Testing-the-Watters Communication</w:t>
      </w:r>
      <w:r>
        <w:rPr>
          <w:rFonts w:ascii="Times New Roman" w:cs="Times New Roman" w:eastAsia="Times New Roman" w:hAnsi="Times New Roman"/>
          <w:sz w:val="18"/>
          <w:szCs w:val="18"/>
          <w:color w:val="auto"/>
        </w:rPr>
        <w:t>. Other than the Registration Statement, any preliminary prospectus and the Prospectus, such Selling Shareholder (including its agents and representatives, other than the Underwriters in their capacity as such) has not prepared, made, used, authorized, approved or referred to and will not prepare, make, use, authorize, approve or refer to any Issuer Free Writing Prospectus, or Written Testing-the-Waters Communication, other than (i) any document not constituting a prospectus pursuant to Section 2(a)(10)(a) of the Securities Act or Rule 134 under the Securities Act or (ii) the documents listed on Schedule C-2, each electronic road show and any other written communications approved in writing in advance by the Company and the Representatives.</w:t>
      </w:r>
    </w:p>
    <w:p>
      <w:pPr>
        <w:spacing w:after="0" w:line="79" w:lineRule="exact"/>
        <w:rPr>
          <w:rFonts w:ascii="Times New Roman" w:cs="Times New Roman" w:eastAsia="Times New Roman" w:hAnsi="Times New Roman"/>
          <w:sz w:val="18"/>
          <w:szCs w:val="18"/>
          <w:color w:val="auto"/>
        </w:rPr>
      </w:pPr>
    </w:p>
    <w:p>
      <w:pPr>
        <w:ind w:right="160" w:firstLine="419"/>
        <w:spacing w:after="0" w:line="255" w:lineRule="auto"/>
        <w:tabs>
          <w:tab w:leader="none" w:pos="96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 As of the applicable effective date of the Registration Statement and any post-effective amendment thereto, the Registration Statement and any such post-effective amendment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Time and as of any Delivery Date, as the case may be, the Prospectus will not contain any untrue statement of a material fact or omit to state a material fact necessary in order to make the statements therein, in the light of the circumstances under which they were made, not misleading; provided that such Selling Shareholder makes such representation and warranty solely with respect to the Selling Shareholder Information with respect to such Selling Shareholder.</w:t>
      </w:r>
    </w:p>
    <w:p>
      <w:pPr>
        <w:spacing w:after="0" w:line="80" w:lineRule="exact"/>
        <w:rPr>
          <w:rFonts w:ascii="Times New Roman" w:cs="Times New Roman" w:eastAsia="Times New Roman" w:hAnsi="Times New Roman"/>
          <w:sz w:val="18"/>
          <w:szCs w:val="18"/>
          <w:color w:val="auto"/>
        </w:rPr>
      </w:pPr>
    </w:p>
    <w:p>
      <w:pPr>
        <w:jc w:val="both"/>
        <w:ind w:right="100" w:firstLine="419"/>
        <w:spacing w:after="0" w:line="258" w:lineRule="auto"/>
        <w:tabs>
          <w:tab w:leader="none" w:pos="86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Unlawful Payments</w:t>
      </w:r>
      <w:r>
        <w:rPr>
          <w:rFonts w:ascii="Times New Roman" w:cs="Times New Roman" w:eastAsia="Times New Roman" w:hAnsi="Times New Roman"/>
          <w:sz w:val="18"/>
          <w:szCs w:val="18"/>
          <w:color w:val="auto"/>
        </w:rPr>
        <w:t>. Neither such Selling Shareholder nor any of its subsidiaries, nor any director, officer or employee of such Selling Shareholder or any of its subsidiaries nor, to the knowledge of such Selling Shareholder, any agent, affiliate or other person associated with or acting on behalf of such Selling Shareholder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104" w:name="page105"/>
    <w:bookmarkEnd w:id="104"/>
    <w:p>
      <w:pPr>
        <w:ind w:left="420" w:right="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1" w:lineRule="exact"/>
        <w:rPr>
          <w:sz w:val="20"/>
          <w:szCs w:val="20"/>
          <w:color w:val="auto"/>
        </w:rPr>
      </w:pPr>
    </w:p>
    <w:p>
      <w:pPr>
        <w:ind w:left="420" w:right="20" w:hanging="4"/>
        <w:spacing w:after="0" w:line="270" w:lineRule="auto"/>
        <w:tabs>
          <w:tab w:leader="none" w:pos="735"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violated or is in violation of any provision of the FCPA,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Such Selling Shareholder and its subsidiaries have instituted, maintain and enforce, and will continue to maintain and enforce policies and procedures designed to promote and ensure compliance with all applicable anti-bribery and anti-corruption laws.</w:t>
      </w:r>
    </w:p>
    <w:p>
      <w:pPr>
        <w:spacing w:after="0" w:line="66" w:lineRule="exact"/>
        <w:rPr>
          <w:rFonts w:ascii="Times New Roman" w:cs="Times New Roman" w:eastAsia="Times New Roman" w:hAnsi="Times New Roman"/>
          <w:sz w:val="17"/>
          <w:szCs w:val="17"/>
          <w:color w:val="auto"/>
        </w:rPr>
      </w:pPr>
    </w:p>
    <w:p>
      <w:pPr>
        <w:ind w:left="420" w:right="120" w:firstLine="419"/>
        <w:spacing w:after="0" w:line="258" w:lineRule="auto"/>
        <w:tabs>
          <w:tab w:leader="none" w:pos="123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Anti-Money Laundering Laws</w:t>
      </w:r>
      <w:r>
        <w:rPr>
          <w:rFonts w:ascii="Times New Roman" w:cs="Times New Roman" w:eastAsia="Times New Roman" w:hAnsi="Times New Roman"/>
          <w:sz w:val="18"/>
          <w:szCs w:val="18"/>
          <w:color w:val="auto"/>
        </w:rPr>
        <w:t>. The operations of such Selling Shareholder and its subsidiaries are and have been conducted at all times in compliance with applicable financial recordkeeping and reporting requirements, including those of the Money Laundering Laws, and no action, suit or proceeding by or before any court or governmental agency, authority or body or any arbitrator involving such Selling Shareholder or any of its subsidiaries with respect to the Money Laundering Laws is pending or, to the knowledge of such Selling Shareholder, threatened.</w:t>
      </w:r>
    </w:p>
    <w:p>
      <w:pPr>
        <w:spacing w:after="0" w:line="75" w:lineRule="exact"/>
        <w:rPr>
          <w:rFonts w:ascii="Times New Roman" w:cs="Times New Roman" w:eastAsia="Times New Roman" w:hAnsi="Times New Roman"/>
          <w:sz w:val="18"/>
          <w:szCs w:val="18"/>
          <w:color w:val="auto"/>
        </w:rPr>
      </w:pPr>
    </w:p>
    <w:p>
      <w:pPr>
        <w:ind w:left="420" w:firstLine="419"/>
        <w:spacing w:after="0" w:line="253" w:lineRule="auto"/>
        <w:tabs>
          <w:tab w:leader="none" w:pos="128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 with Sanctions Laws</w:t>
      </w:r>
      <w:r>
        <w:rPr>
          <w:rFonts w:ascii="Times New Roman" w:cs="Times New Roman" w:eastAsia="Times New Roman" w:hAnsi="Times New Roman"/>
          <w:sz w:val="18"/>
          <w:szCs w:val="18"/>
          <w:color w:val="auto"/>
        </w:rPr>
        <w:t>. Neither such Selling Shareholder nor any of its subsidiaries, directors, officers or employees, nor, to the knowledge of such Selling Shareholder, any agent, affiliate or other person associated with or acting on behalf of such Selling Shareholder or any of its subsidiaries is currently the subject or the target of Sanctions, nor is such Selling Shareholder or any of its subsidiaries located, organized or resident in a country or territory that is subject of Sanctions; and such Selling Shareholder will not directly or indirectly use the proceeds of the offering of the Securities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country or territory that is subject of Sanctions or (iii) in any other manner that will result in a violation by any person (including any person participating in the transaction, whether as underwriter, advisor, investor or otherwise) of Sanctions. For the past five years, such Selling Shareholder and its subsidiaries have not knowingly engaged in and are not now knowingly engaged in any dealings or transactions with any person that at the time of the dealing or transaction is or was the subject or the target of Sanctions or with any country or territory that is subject of Sanctions.</w:t>
      </w:r>
    </w:p>
    <w:p>
      <w:pPr>
        <w:spacing w:after="0" w:line="83" w:lineRule="exact"/>
        <w:rPr>
          <w:rFonts w:ascii="Times New Roman" w:cs="Times New Roman" w:eastAsia="Times New Roman" w:hAnsi="Times New Roman"/>
          <w:sz w:val="18"/>
          <w:szCs w:val="18"/>
          <w:color w:val="auto"/>
        </w:rPr>
      </w:pPr>
    </w:p>
    <w:p>
      <w:pPr>
        <w:ind w:left="420" w:right="380" w:firstLine="419"/>
        <w:spacing w:after="0" w:line="282" w:lineRule="auto"/>
        <w:tabs>
          <w:tab w:leader="none" w:pos="133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Good Standing</w:t>
      </w:r>
      <w:r>
        <w:rPr>
          <w:rFonts w:ascii="Times New Roman" w:cs="Times New Roman" w:eastAsia="Times New Roman" w:hAnsi="Times New Roman"/>
          <w:sz w:val="18"/>
          <w:szCs w:val="18"/>
          <w:color w:val="auto"/>
        </w:rPr>
        <w:t>. Such Selling Shareholder has been duly organized and is validly existing and in good standing under the laws of its respective jurisdictions of organization.</w:t>
      </w:r>
    </w:p>
    <w:p>
      <w:pPr>
        <w:spacing w:after="0" w:line="53" w:lineRule="exact"/>
        <w:rPr>
          <w:rFonts w:ascii="Times New Roman" w:cs="Times New Roman" w:eastAsia="Times New Roman" w:hAnsi="Times New Roman"/>
          <w:sz w:val="18"/>
          <w:szCs w:val="18"/>
          <w:color w:val="auto"/>
        </w:rPr>
      </w:pPr>
    </w:p>
    <w:p>
      <w:pPr>
        <w:ind w:left="420" w:right="160" w:firstLine="419"/>
        <w:spacing w:after="0" w:line="266" w:lineRule="auto"/>
        <w:tabs>
          <w:tab w:leader="none" w:pos="138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Such Selling Shareholder is not (i) an employee benefit plan subject to Title I of ERISA, (ii) a plan or account subject to Section 4975 of the Code or (iii) an entity deemed to hold “plan assets” of any such plan or account under 29 C.F.R. 2510.3-101, as modified by Section 3(42) of ERISA.</w:t>
      </w:r>
    </w:p>
    <w:p>
      <w:pPr>
        <w:spacing w:after="0" w:line="174" w:lineRule="exact"/>
        <w:rPr>
          <w:sz w:val="20"/>
          <w:szCs w:val="20"/>
          <w:color w:val="auto"/>
        </w:rPr>
      </w:pPr>
    </w:p>
    <w:p>
      <w:pPr>
        <w:ind w:left="-20" w:right="40" w:firstLine="436"/>
        <w:spacing w:after="0" w:line="267" w:lineRule="auto"/>
        <w:tabs>
          <w:tab w:leader="none" w:pos="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Certificates</w:t>
      </w:r>
      <w:r>
        <w:rPr>
          <w:rFonts w:ascii="Times New Roman" w:cs="Times New Roman" w:eastAsia="Times New Roman" w:hAnsi="Times New Roman"/>
          <w:sz w:val="18"/>
          <w:szCs w:val="18"/>
          <w:color w:val="auto"/>
        </w:rPr>
        <w:t>. Any certificate signed by any officer of the Company or any of its subsidiaries delivered to the Representatives 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for the Underwriters shall be deemed a representation and warranty by the Company to each Underwriter as to the matters covered thereby; and any certificate signed by or on behalf of the Selling Shareholders as such and delivered to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60" w:top="270" w:right="479" w:bottom="1440" w:gutter="0" w:footer="0" w:header="0"/>
        </w:sectPr>
      </w:pPr>
    </w:p>
    <w:bookmarkStart w:id="105" w:name="page106"/>
    <w:bookmarkEnd w:id="105"/>
    <w:p>
      <w:pPr>
        <w:ind w:right="5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Representatives or to counsel for the Underwriters pursuant to the terms of this Agreement shall be deemed a representation and warranty by such Selling Shareholder to the Underwriters as to the matters covered thereby.</w:t>
      </w:r>
    </w:p>
    <w:p>
      <w:pPr>
        <w:spacing w:after="0" w:line="270" w:lineRule="exact"/>
        <w:rPr>
          <w:sz w:val="20"/>
          <w:szCs w:val="20"/>
          <w:color w:val="auto"/>
        </w:rPr>
      </w:pPr>
    </w:p>
    <w:p>
      <w:pPr>
        <w:ind w:left="44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Sale and Delivery to Underwriters; Closing</w:t>
      </w:r>
      <w:r>
        <w:rPr>
          <w:rFonts w:ascii="Times New Roman" w:cs="Times New Roman" w:eastAsia="Times New Roman" w:hAnsi="Times New Roman"/>
          <w:sz w:val="17"/>
          <w:szCs w:val="17"/>
          <w:color w:val="auto"/>
        </w:rPr>
        <w:t>.</w:t>
      </w:r>
    </w:p>
    <w:p>
      <w:pPr>
        <w:spacing w:after="0" w:line="115" w:lineRule="exact"/>
        <w:rPr>
          <w:sz w:val="20"/>
          <w:szCs w:val="20"/>
          <w:color w:val="auto"/>
        </w:rPr>
      </w:pPr>
    </w:p>
    <w:p>
      <w:pPr>
        <w:ind w:right="60" w:firstLine="436"/>
        <w:spacing w:after="0" w:line="256" w:lineRule="auto"/>
        <w:tabs>
          <w:tab w:leader="none" w:pos="8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Securities</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Selling Shareholder, severally and not jointly, agree to sell to each Underwriter, severally and not jointly, and each Underwriter, severally and not jointly, agrees to purchase from each Selling Shareholder, at the price per share set forth in Schedule A, that proportion of the number of Initial Securities set forth in Schedule B opposite the name of such Selling Shareholder, which the number of Initial Securities set forth in Schedule A opposite the name of such Underwriter, plus any additional number of Initial Securities which such Underwriter may become obligated to purchase pursuant to the provisions of Section 10 hereof, bears to the total number of Initial Securities, subject, in each case, to such adjustments among the Underwriters as the Representatives in their sole discretion shall make to eliminate any sales or purchases of fractional shares.</w:t>
      </w:r>
    </w:p>
    <w:p>
      <w:pPr>
        <w:spacing w:after="0" w:line="182" w:lineRule="exact"/>
        <w:rPr>
          <w:rFonts w:ascii="Times New Roman" w:cs="Times New Roman" w:eastAsia="Times New Roman" w:hAnsi="Times New Roman"/>
          <w:sz w:val="18"/>
          <w:szCs w:val="18"/>
          <w:color w:val="auto"/>
        </w:rPr>
      </w:pPr>
    </w:p>
    <w:p>
      <w:pPr>
        <w:ind w:right="20" w:firstLine="436"/>
        <w:spacing w:after="0" w:line="253" w:lineRule="auto"/>
        <w:tabs>
          <w:tab w:leader="none" w:pos="83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 Securities</w:t>
      </w:r>
      <w:r>
        <w:rPr>
          <w:rFonts w:ascii="Times New Roman" w:cs="Times New Roman" w:eastAsia="Times New Roman" w:hAnsi="Times New Roman"/>
          <w:sz w:val="18"/>
          <w:szCs w:val="18"/>
          <w:color w:val="auto"/>
        </w:rPr>
        <w:t>. In addition, on the basis of the representations and warranties herein contained and subject to the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 set forth, the Selling Shareholders, acting severally and not jointly, hereby grant an option to the Underwriters, severally and not jointly, to purchase up to an additional [675,000] shares of Common Stock, as set forth in Schedule B, at the price per share set forth in Schedule A,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at any time from time to time upon notice by the Representatives to the Selling Shareholders setting forth the number of Option Securities as to which the several Underwriters are then exercising the option and the time and date of payment and delivery for such Option Securities. Any such time and date of delivery (a “Date of Delivery”) shall be determined by the Representatives, but shall not be later than seven full business days after the exercise of said option, nor in any event prior to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the Representatives in their sole discretion shall make to eliminate any sales or purchases of fractional shares.</w:t>
      </w:r>
    </w:p>
    <w:p>
      <w:pPr>
        <w:spacing w:after="0" w:line="189" w:lineRule="exact"/>
        <w:rPr>
          <w:rFonts w:ascii="Times New Roman" w:cs="Times New Roman" w:eastAsia="Times New Roman" w:hAnsi="Times New Roman"/>
          <w:sz w:val="18"/>
          <w:szCs w:val="18"/>
          <w:color w:val="auto"/>
        </w:rPr>
      </w:pPr>
    </w:p>
    <w:p>
      <w:pPr>
        <w:ind w:firstLine="436"/>
        <w:spacing w:after="0" w:line="257" w:lineRule="auto"/>
        <w:tabs>
          <w:tab w:leader="none" w:pos="8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Payment of the purchase price for, and delivery of certificates or security entitlements for, the Initial Securities shall be made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offices of Latham &amp; Watkins LLP at 1271 Avenue of the Americas, New York, New York 10020 or at such other place as shall be agreed upon among the Representatives, the Company and the Selling Shareholders, at 9:00 A.M. (New York City time) on the second (third, if the Applicable Time is after 4:30 P.M. (New York City time) on any given day) business day after the date hereof (unless postponed in accordance with the provisions of Section 10), or such other time not later than ten business days after such date as shall be agreed upon among the Representatives, the Company and the Selling Shareholders (such time and date of payment and delivery being herein called “Closing Time”).</w:t>
      </w:r>
    </w:p>
    <w:p>
      <w:pPr>
        <w:spacing w:after="0" w:line="184"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in the event that any or all of the Option Securities are purchased by the Underwriters, payment of the purchase price for, and delivery of certificates or security entitlements for, such Option Securities shall be made at the above-mentioned offices, or at such other place as shall be agreed upon among the Representatives, the Company and the Selling Shareholders, on each Date of Delivery as specified in the notice from the Representatives to the Company and the Selling Shareholders.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106" w:name="page107"/>
    <w:bookmarkEnd w:id="106"/>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shall be made to the Selling Shareholders by wire transfer of immediately available funds to [a] bank account[s] designated by the Selling Shareholders against delivery to the Representatives for the respective accounts of the Underwriters of certificates or security entitlements for the Securities to be purchased by them. It is understood that each Underwriter has authorized the Representatives, for its account, to accept delivery of, receipt for, and make payment of the purchase price for, the Initial Securities and the Option Securities, if any, which it has agreed to purchase. The Representatives, individually and not as representatives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297" w:lineRule="exact"/>
        <w:rPr>
          <w:sz w:val="20"/>
          <w:szCs w:val="20"/>
          <w:color w:val="auto"/>
        </w:rPr>
      </w:pPr>
    </w:p>
    <w:p>
      <w:pPr>
        <w:ind w:left="44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Covenants of the Company and the Selling Shareholders</w:t>
      </w:r>
      <w:r>
        <w:rPr>
          <w:rFonts w:ascii="Times New Roman" w:cs="Times New Roman" w:eastAsia="Times New Roman" w:hAnsi="Times New Roman"/>
          <w:sz w:val="17"/>
          <w:szCs w:val="17"/>
          <w:color w:val="auto"/>
        </w:rPr>
        <w:t>. The Company and each Selling Shareholder covenant with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 as follows:</w:t>
      </w:r>
    </w:p>
    <w:p>
      <w:pPr>
        <w:spacing w:after="0" w:line="97" w:lineRule="exact"/>
        <w:rPr>
          <w:sz w:val="20"/>
          <w:szCs w:val="20"/>
          <w:color w:val="auto"/>
        </w:rPr>
      </w:pPr>
    </w:p>
    <w:p>
      <w:pPr>
        <w:ind w:left="820" w:hanging="384"/>
        <w:spacing w:after="0"/>
        <w:tabs>
          <w:tab w:leader="none" w:pos="8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Securities Regulations and Commission Requests</w:t>
      </w:r>
      <w:r>
        <w:rPr>
          <w:rFonts w:ascii="Times New Roman" w:cs="Times New Roman" w:eastAsia="Times New Roman" w:hAnsi="Times New Roman"/>
          <w:sz w:val="18"/>
          <w:szCs w:val="18"/>
          <w:color w:val="auto"/>
        </w:rPr>
        <w:t>. The Company, subject to Section 3(b), will comply with the</w:t>
      </w:r>
    </w:p>
    <w:p>
      <w:pPr>
        <w:spacing w:after="0" w:line="29" w:lineRule="exact"/>
        <w:rPr>
          <w:rFonts w:ascii="Times New Roman" w:cs="Times New Roman" w:eastAsia="Times New Roman" w:hAnsi="Times New Roman"/>
          <w:sz w:val="18"/>
          <w:szCs w:val="18"/>
          <w:color w:val="auto"/>
        </w:rPr>
      </w:pPr>
    </w:p>
    <w:p>
      <w:pPr>
        <w:ind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Rule 430A, and will notify the Representatives immediately,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at the earliest possible moment.</w:t>
      </w:r>
    </w:p>
    <w:p>
      <w:pPr>
        <w:spacing w:after="0" w:line="189" w:lineRule="exact"/>
        <w:rPr>
          <w:rFonts w:ascii="Times New Roman" w:cs="Times New Roman" w:eastAsia="Times New Roman" w:hAnsi="Times New Roman"/>
          <w:sz w:val="18"/>
          <w:szCs w:val="18"/>
          <w:color w:val="auto"/>
        </w:rPr>
      </w:pPr>
    </w:p>
    <w:p>
      <w:pPr>
        <w:ind w:right="40" w:firstLine="436"/>
        <w:spacing w:after="0" w:line="253" w:lineRule="auto"/>
        <w:tabs>
          <w:tab w:leader="none" w:pos="83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The Company will comply with the 1933 Act and the 1933 Act Regulations so as to permit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(“Rule 172”),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any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107" w:name="page108"/>
    <w:bookmarkEnd w:id="107"/>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provided that the Company shall not file or use any such amendment or supplement to which the Representatives or counsel for the Underwriters shall object. The Company will furnish to the Underwriters such number of copies of such amendment or supplement as the Underwriters may reasonably request. The Company has given the Representatives notice of any filings made pursuant to the 1934 Act or 1934 Act Regulations within 48 hours prior to the Applicable Time; the Company will give the Representatives notice of its intention to make any such filing from the Applicable Time to the Closing Time and will furnish the Representatives with copies of any such documents a reasonable amount of time prior to such proposed filing, as the case may be, and will not file or use any such document to which the Representatives or counsel for the Underwriters shall reasonably object.</w:t>
      </w:r>
    </w:p>
    <w:p>
      <w:pPr>
        <w:spacing w:after="0" w:line="186" w:lineRule="exact"/>
        <w:rPr>
          <w:sz w:val="20"/>
          <w:szCs w:val="20"/>
          <w:color w:val="auto"/>
        </w:rPr>
      </w:pPr>
    </w:p>
    <w:p>
      <w:pPr>
        <w:ind w:right="80" w:firstLine="436"/>
        <w:spacing w:after="0" w:line="256" w:lineRule="auto"/>
        <w:tabs>
          <w:tab w:leader="none" w:pos="8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Registration Statements</w:t>
      </w:r>
      <w:r>
        <w:rPr>
          <w:rFonts w:ascii="Times New Roman" w:cs="Times New Roman" w:eastAsia="Times New Roman" w:hAnsi="Times New Roman"/>
          <w:sz w:val="18"/>
          <w:szCs w:val="18"/>
          <w:color w:val="auto"/>
        </w:rPr>
        <w:t>. The Company has furnished or will deliver to the Representatives and counsel for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charge, signed copies of the Registration Statement as originally filed and each amendment thereto (including exhibits filed therewith or incorporated by reference therein and documents incorporated or deemed to be incorporated by reference therein) and signed copies of all consents and certificates of experts, and will also deliver to the Representatives,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82" w:lineRule="exact"/>
        <w:rPr>
          <w:rFonts w:ascii="Times New Roman" w:cs="Times New Roman" w:eastAsia="Times New Roman" w:hAnsi="Times New Roman"/>
          <w:sz w:val="18"/>
          <w:szCs w:val="18"/>
          <w:color w:val="auto"/>
        </w:rPr>
      </w:pPr>
    </w:p>
    <w:p>
      <w:pPr>
        <w:ind w:firstLine="436"/>
        <w:spacing w:after="0" w:line="257" w:lineRule="auto"/>
        <w:tabs>
          <w:tab w:leader="none" w:pos="83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Prospectuses</w:t>
      </w:r>
      <w:r>
        <w:rPr>
          <w:rFonts w:ascii="Times New Roman" w:cs="Times New Roman" w:eastAsia="Times New Roman" w:hAnsi="Times New Roman"/>
          <w:sz w:val="18"/>
          <w:szCs w:val="18"/>
          <w:color w:val="auto"/>
        </w:rPr>
        <w:t>. The Company has delivered to each Underwriter, without charge, as many copies of each preliminary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82" w:lineRule="exact"/>
        <w:rPr>
          <w:rFonts w:ascii="Times New Roman" w:cs="Times New Roman" w:eastAsia="Times New Roman" w:hAnsi="Times New Roman"/>
          <w:sz w:val="18"/>
          <w:szCs w:val="18"/>
          <w:color w:val="auto"/>
        </w:rPr>
      </w:pPr>
    </w:p>
    <w:p>
      <w:pPr>
        <w:ind w:firstLine="436"/>
        <w:spacing w:after="0" w:line="258" w:lineRule="auto"/>
        <w:tabs>
          <w:tab w:leader="none" w:pos="8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Qualifications</w:t>
      </w:r>
      <w:r>
        <w:rPr>
          <w:rFonts w:ascii="Times New Roman" w:cs="Times New Roman" w:eastAsia="Times New Roman" w:hAnsi="Times New Roman"/>
          <w:sz w:val="18"/>
          <w:szCs w:val="18"/>
          <w:color w:val="auto"/>
        </w:rPr>
        <w:t>. The Company will use its best efforts, in cooperation with the Underwriters, to qualify the Securities for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sale under the applicable securities laws of such states and other jurisdictions (domestic or foreign) as the Representatives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83" w:lineRule="exact"/>
        <w:rPr>
          <w:rFonts w:ascii="Times New Roman" w:cs="Times New Roman" w:eastAsia="Times New Roman" w:hAnsi="Times New Roman"/>
          <w:sz w:val="18"/>
          <w:szCs w:val="18"/>
          <w:color w:val="auto"/>
        </w:rPr>
      </w:pPr>
    </w:p>
    <w:p>
      <w:pPr>
        <w:ind w:firstLine="436"/>
        <w:spacing w:after="0" w:line="267" w:lineRule="auto"/>
        <w:tabs>
          <w:tab w:leader="none" w:pos="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158</w:t>
      </w:r>
      <w:r>
        <w:rPr>
          <w:rFonts w:ascii="Times New Roman" w:cs="Times New Roman" w:eastAsia="Times New Roman" w:hAnsi="Times New Roman"/>
          <w:sz w:val="18"/>
          <w:szCs w:val="18"/>
          <w:color w:val="auto"/>
        </w:rPr>
        <w:t>. The Company will timely file such reports pursuant to the 1934 Act as are necessary in order to make generally available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securityholders as soon as practicable an earnings statement for the purposes of, and to provide to the Underwriters the benefits contemplated by, the last paragraph of Section 11(a) of the 1933 Act.</w:t>
      </w:r>
    </w:p>
    <w:p>
      <w:pPr>
        <w:spacing w:after="0" w:line="173" w:lineRule="exact"/>
        <w:rPr>
          <w:rFonts w:ascii="Times New Roman" w:cs="Times New Roman" w:eastAsia="Times New Roman" w:hAnsi="Times New Roman"/>
          <w:sz w:val="18"/>
          <w:szCs w:val="18"/>
          <w:color w:val="auto"/>
        </w:rPr>
      </w:pPr>
    </w:p>
    <w:p>
      <w:pPr>
        <w:ind w:right="660" w:firstLine="436"/>
        <w:spacing w:after="0" w:line="284" w:lineRule="auto"/>
        <w:tabs>
          <w:tab w:leader="none" w:pos="83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use the net proceeds received by it from the sale of the Securities in the manner specified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General Disclosure Package and the Prospectus under “Use of Proceeds.”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108" w:name="page109"/>
    <w:bookmarkEnd w:id="108"/>
    <w:p>
      <w:pPr>
        <w:ind w:left="824" w:hanging="384"/>
        <w:spacing w:after="0"/>
        <w:tabs>
          <w:tab w:leader="none" w:pos="82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Listing</w:t>
      </w:r>
      <w:r>
        <w:rPr>
          <w:rFonts w:ascii="Times New Roman" w:cs="Times New Roman" w:eastAsia="Times New Roman" w:hAnsi="Times New Roman"/>
          <w:sz w:val="18"/>
          <w:szCs w:val="18"/>
          <w:color w:val="auto"/>
        </w:rPr>
        <w:t>. The Company will use its best efforts to effect and maintain the listing of the Securities on the Nasdaq Global Select Market.</w:t>
      </w:r>
    </w:p>
    <w:p>
      <w:pPr>
        <w:spacing w:after="0" w:line="225" w:lineRule="exact"/>
        <w:rPr>
          <w:rFonts w:ascii="Times New Roman" w:cs="Times New Roman" w:eastAsia="Times New Roman" w:hAnsi="Times New Roman"/>
          <w:sz w:val="18"/>
          <w:szCs w:val="18"/>
          <w:color w:val="auto"/>
        </w:rPr>
      </w:pPr>
    </w:p>
    <w:p>
      <w:pPr>
        <w:ind w:left="4" w:firstLine="436"/>
        <w:spacing w:after="0" w:line="252" w:lineRule="auto"/>
        <w:tabs>
          <w:tab w:leader="none" w:pos="79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 on Sale of Securities</w:t>
      </w:r>
      <w:r>
        <w:rPr>
          <w:rFonts w:ascii="Times New Roman" w:cs="Times New Roman" w:eastAsia="Times New Roman" w:hAnsi="Times New Roman"/>
          <w:sz w:val="18"/>
          <w:szCs w:val="18"/>
          <w:color w:val="auto"/>
        </w:rPr>
        <w:t>. During a period of 75 days from the date of the Prospectus, the Company will not, without the prior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of the Representatives,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1933 Act with respect to any of the foregoing or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or transfer of any of the economic consequences of ownership, in whole or in part, directly or indirectly, of any shares of Common Stock of the Company or any derivative instruments, whether any such swap or transaction described in clause (i) or (ii) above is to be settled by delivery of Common Stock or other securities, in cash or otherwise, without the prior written consent of the Representatives; provided that confidential or non-public submissions to the Commission of any registration statements under the 1933 Act may be made if (w) no public announcement of such confidential or non-public submission shall be made, (x) if any demand was made for, or any right exercised with respect to, such registration of shares of Stock or securities convertible, exercisable or exchangeable into Stock, no public announcement of such demand or exercise of rights shall be made,</w:t>
      </w:r>
    </w:p>
    <w:p>
      <w:pPr>
        <w:spacing w:after="0" w:line="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written notice at least three business days prior to such confidential or non-public submission to the Representatives and</w:t>
      </w:r>
    </w:p>
    <w:p>
      <w:pPr>
        <w:spacing w:after="0" w:line="9" w:lineRule="exact"/>
        <w:rPr>
          <w:rFonts w:ascii="Times New Roman" w:cs="Times New Roman" w:eastAsia="Times New Roman" w:hAnsi="Times New Roman"/>
          <w:sz w:val="18"/>
          <w:szCs w:val="18"/>
          <w:color w:val="auto"/>
        </w:rPr>
      </w:pPr>
    </w:p>
    <w:p>
      <w:pPr>
        <w:ind w:left="4" w:right="40" w:hanging="4"/>
        <w:spacing w:after="0" w:line="267" w:lineRule="auto"/>
        <w:tabs>
          <w:tab w:leader="none" w:pos="249"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such confidential or non-public submission shall become a publicly filed registration statement during the 75-day restricted period. The foregoing sentence shall not apply to (A) any shares of Common Stock issued by the Company upon the exercise of an option or warrant or the conversion of a security outstanding on the date hereof and referred to in the Registration Statement, the General Disclosure Package and the Prospectus, (B) any shares of Common Stock issued or options to purchase Common Stock granted pursuant to existing employee benefit plans of the Company referred to in the Registration Statement, the General Disclosure Package and the Prospectus, (C) any shares of Common Stock issued pursuant to any non-employee director stock plan or dividend reinvestment plan referred to in the Registration Statement, the General Disclosure Package and the Prospectus, (D) the establishment of a trading plan pursuant to Rule 10b5-1 under the Exchange Act, provided that such plan does not provide for the transfer of shares of Common Stock during the 75-day restricted period and the establishment of such plan does not require or otherwise result in any public filing or other public announcement of such plan during the 75-day restricted period, (E) the issuance of up to 5% of the outstanding shares of Common Stock in connection with the acquisition of the assets of, or a majority or controlling portion of the equity of, or a joint venture with another entity in connection with the acquisition by the Company or any of its subsidiaries of such entity; provided in the case of this clause (E) the transferee of such shares agrees to be bound in writing to the restrictions set forth in this Section 3(i), (F) the filing of any registration statement on Form S-8 or a successor form thereto relating to the shares of Common Stock granted pursuant to or reserved for issuance under the stock-based compensation plans of the Company and its subsidiaries referred to in clauses (B) or (C), and (G) shares of Common Stock issued pursuant to a plan of reorganization.</w:t>
      </w:r>
    </w:p>
    <w:p>
      <w:pPr>
        <w:spacing w:after="0" w:line="177" w:lineRule="exact"/>
        <w:rPr>
          <w:rFonts w:ascii="Times New Roman" w:cs="Times New Roman" w:eastAsia="Times New Roman" w:hAnsi="Times New Roman"/>
          <w:sz w:val="17"/>
          <w:szCs w:val="17"/>
          <w:color w:val="auto"/>
        </w:rPr>
      </w:pPr>
    </w:p>
    <w:p>
      <w:pPr>
        <w:ind w:left="784" w:hanging="344"/>
        <w:spacing w:after="0"/>
        <w:tabs>
          <w:tab w:leader="none" w:pos="78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Representatives, in their sole discretion, agree to release or waive the restrictions set forth in a lock-up agreement described in</w:t>
      </w:r>
    </w:p>
    <w:p>
      <w:pPr>
        <w:spacing w:after="0" w:line="27" w:lineRule="exact"/>
        <w:rPr>
          <w:sz w:val="20"/>
          <w:szCs w:val="20"/>
          <w:color w:val="auto"/>
        </w:rPr>
      </w:pPr>
    </w:p>
    <w:p>
      <w:pPr>
        <w:ind w:left="4" w:right="200"/>
        <w:spacing w:after="0" w:line="277" w:lineRule="auto"/>
        <w:rPr>
          <w:sz w:val="20"/>
          <w:szCs w:val="20"/>
          <w:color w:val="auto"/>
        </w:rPr>
      </w:pPr>
      <w:r>
        <w:rPr>
          <w:rFonts w:ascii="Times New Roman" w:cs="Times New Roman" w:eastAsia="Times New Roman" w:hAnsi="Times New Roman"/>
          <w:sz w:val="17"/>
          <w:szCs w:val="17"/>
          <w:color w:val="auto"/>
        </w:rPr>
        <w:t>Section 5(i) hereof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Exhibit D hereto through a major news service at least two business days before the effective date of the release or waiver.</w:t>
      </w:r>
    </w:p>
    <w:p>
      <w:pPr>
        <w:spacing w:after="0" w:line="1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68" w:right="459" w:bottom="1440" w:gutter="0" w:footer="0" w:header="0"/>
        </w:sectPr>
      </w:pPr>
    </w:p>
    <w:bookmarkStart w:id="109" w:name="page110"/>
    <w:bookmarkEnd w:id="109"/>
    <w:p>
      <w:pPr>
        <w:ind w:left="4" w:right="100" w:firstLine="436"/>
        <w:spacing w:after="0" w:line="267" w:lineRule="auto"/>
        <w:tabs>
          <w:tab w:leader="none" w:pos="83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Reporting Requirements</w:t>
      </w:r>
      <w:r>
        <w:rPr>
          <w:rFonts w:ascii="Times New Roman" w:cs="Times New Roman" w:eastAsia="Times New Roman" w:hAnsi="Times New Roman"/>
          <w:sz w:val="18"/>
          <w:szCs w:val="18"/>
          <w:color w:val="auto"/>
        </w:rPr>
        <w:t>. The Company, during the period when a Prospectus relating to the Securities is (or, but for the exception afforded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Rule 172, would be) required to be delivered under the 1933 Act, will file all documents required to be filed with the Commission pursuant to the 1934 Act within the time periods required by the 1934 Act and 1934 Act Regulations.</w:t>
      </w:r>
    </w:p>
    <w:p>
      <w:pPr>
        <w:spacing w:after="0" w:line="173" w:lineRule="exact"/>
        <w:rPr>
          <w:rFonts w:ascii="Times New Roman" w:cs="Times New Roman" w:eastAsia="Times New Roman" w:hAnsi="Times New Roman"/>
          <w:sz w:val="18"/>
          <w:szCs w:val="18"/>
          <w:color w:val="auto"/>
        </w:rPr>
      </w:pPr>
    </w:p>
    <w:p>
      <w:pPr>
        <w:ind w:left="4" w:firstLine="436"/>
        <w:spacing w:after="0" w:line="253" w:lineRule="auto"/>
        <w:tabs>
          <w:tab w:leader="none" w:pos="79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Prospectuses</w:t>
      </w:r>
      <w:r>
        <w:rPr>
          <w:rFonts w:ascii="Times New Roman" w:cs="Times New Roman" w:eastAsia="Times New Roman" w:hAnsi="Times New Roman"/>
          <w:sz w:val="18"/>
          <w:szCs w:val="18"/>
          <w:color w:val="auto"/>
        </w:rPr>
        <w:t>. Each of the Company and each Selling Shareholder agrees that, unless it obtains the prior written consent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Representatives, it will not make 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 the Issuer Free Writing Prospectuses listed on Schedule C-2 hereto and any “road show that is a written communication” within the meaning of Rule 433(d)(8)(i) that has been reviewed by the Representatives. Each of the Company and each Selling Shareholder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185" w:lineRule="exact"/>
        <w:rPr>
          <w:rFonts w:ascii="Times New Roman" w:cs="Times New Roman" w:eastAsia="Times New Roman" w:hAnsi="Times New Roman"/>
          <w:sz w:val="18"/>
          <w:szCs w:val="18"/>
          <w:color w:val="auto"/>
        </w:rPr>
      </w:pPr>
    </w:p>
    <w:p>
      <w:pPr>
        <w:jc w:val="both"/>
        <w:ind w:left="4" w:right="40" w:firstLine="436"/>
        <w:spacing w:after="0" w:line="261" w:lineRule="auto"/>
        <w:tabs>
          <w:tab w:leader="none" w:pos="88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Certification Regarding Beneficial Owners</w:t>
      </w:r>
      <w:r>
        <w:rPr>
          <w:rFonts w:ascii="Times New Roman" w:cs="Times New Roman" w:eastAsia="Times New Roman" w:hAnsi="Times New Roman"/>
          <w:sz w:val="18"/>
          <w:szCs w:val="18"/>
          <w:color w:val="auto"/>
        </w:rPr>
        <w:t>. The Company and each Selling Shareholder will deliver to the Representatives, on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execution of this Agreement, a properly completed and executed Certification Regarding Beneficial Owners of Legal Entity Customers, together with copies of identifying documentation, and the Company and each Selling Shareholder undertake to provide such additional supporting documentation as the Representatives may reasonably request in connection with the verification of the foregoing certification.</w:t>
      </w:r>
    </w:p>
    <w:p>
      <w:pPr>
        <w:spacing w:after="0" w:line="179" w:lineRule="exact"/>
        <w:rPr>
          <w:rFonts w:ascii="Times New Roman" w:cs="Times New Roman" w:eastAsia="Times New Roman" w:hAnsi="Times New Roman"/>
          <w:sz w:val="18"/>
          <w:szCs w:val="18"/>
          <w:color w:val="auto"/>
        </w:rPr>
      </w:pPr>
    </w:p>
    <w:p>
      <w:pPr>
        <w:ind w:left="4" w:right="500" w:firstLine="436"/>
        <w:spacing w:after="0" w:line="277" w:lineRule="auto"/>
        <w:tabs>
          <w:tab w:leader="none" w:pos="834"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Emerging Growth Company Status</w:t>
      </w:r>
      <w:r>
        <w:rPr>
          <w:rFonts w:ascii="Times New Roman" w:cs="Times New Roman" w:eastAsia="Times New Roman" w:hAnsi="Times New Roman"/>
          <w:sz w:val="17"/>
          <w:szCs w:val="17"/>
          <w:color w:val="auto"/>
        </w:rPr>
        <w:t>. The Company will promptly notify the Representatives if the Company ceases to be an Emerging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Growth Company at any time prior to the later of (i) completion of the distribution of the Securities within the meaning of the 1933 Act and</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75-day restricted period referred to in Section 3(i).</w:t>
      </w:r>
    </w:p>
    <w:p>
      <w:pPr>
        <w:spacing w:after="0" w:line="204" w:lineRule="exact"/>
        <w:rPr>
          <w:rFonts w:ascii="Times New Roman" w:cs="Times New Roman" w:eastAsia="Times New Roman" w:hAnsi="Times New Roman"/>
          <w:sz w:val="18"/>
          <w:szCs w:val="18"/>
          <w:color w:val="auto"/>
        </w:rPr>
      </w:pPr>
    </w:p>
    <w:p>
      <w:pPr>
        <w:ind w:left="4" w:right="200" w:firstLine="436"/>
        <w:spacing w:after="0" w:line="267" w:lineRule="auto"/>
        <w:tabs>
          <w:tab w:leader="none" w:pos="83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Forms</w:t>
      </w:r>
      <w:r>
        <w:rPr>
          <w:rFonts w:ascii="Times New Roman" w:cs="Times New Roman" w:eastAsia="Times New Roman" w:hAnsi="Times New Roman"/>
          <w:sz w:val="18"/>
          <w:szCs w:val="18"/>
          <w:color w:val="auto"/>
        </w:rPr>
        <w:t>. Each Selling Shareholder will deliver to each Underwriter (or its agent), at or prior to the Closing Time, a properly completed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executed IRS Form W-9 or an applicable IRS Form W-8, as appropriate, together with all required attachments to such form, establishing a complete exemption from United States backup withholding tax.</w:t>
      </w:r>
    </w:p>
    <w:p>
      <w:pPr>
        <w:spacing w:after="0" w:line="283" w:lineRule="exact"/>
        <w:rPr>
          <w:sz w:val="20"/>
          <w:szCs w:val="20"/>
          <w:color w:val="auto"/>
        </w:rPr>
      </w:pPr>
    </w:p>
    <w:p>
      <w:pPr>
        <w:ind w:left="444"/>
        <w:spacing w:after="0"/>
        <w:tabs>
          <w:tab w:leader="none" w:pos="1544"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u w:val="single" w:color="auto"/>
          <w:color w:val="auto"/>
        </w:rPr>
        <w:t>Payment of Expenses</w:t>
      </w:r>
      <w:r>
        <w:rPr>
          <w:rFonts w:ascii="Times New Roman" w:cs="Times New Roman" w:eastAsia="Times New Roman" w:hAnsi="Times New Roman"/>
          <w:sz w:val="17"/>
          <w:szCs w:val="17"/>
          <w:color w:val="auto"/>
        </w:rPr>
        <w:t>.</w:t>
      </w:r>
    </w:p>
    <w:p>
      <w:pPr>
        <w:spacing w:after="0" w:line="115" w:lineRule="exact"/>
        <w:rPr>
          <w:sz w:val="20"/>
          <w:szCs w:val="20"/>
          <w:color w:val="auto"/>
        </w:rPr>
      </w:pPr>
    </w:p>
    <w:p>
      <w:pPr>
        <w:ind w:left="4" w:right="40" w:firstLine="436"/>
        <w:spacing w:after="0" w:line="258" w:lineRule="auto"/>
        <w:tabs>
          <w:tab w:leader="none" w:pos="8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Company will pay or cause to be paid all expenses incident to the performance of their obligations under this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w:t>
      </w:r>
    </w:p>
    <w:p>
      <w:pPr>
        <w:spacing w:after="0" w:line="11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4"/>
          </w:cols>
          <w:pgMar w:left="436" w:top="268" w:right="519" w:bottom="1440" w:gutter="0" w:footer="0" w:header="0"/>
        </w:sectPr>
      </w:pPr>
    </w:p>
    <w:bookmarkStart w:id="110" w:name="page111"/>
    <w:bookmarkEnd w:id="110"/>
    <w:p>
      <w:pPr>
        <w:ind w:left="4" w:right="26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Underwriters to investors, (iii) the preparation, issuance and delivery of the certificates or security entitlements for the Securities to the Underwriters, including any stock, registration, documentary, capital, issuance, transfer or other similar taxes and any stamp or other duties payable upon the sale, issuance or delivery of the Securities to the Underwriters, (iv) the fees and disbursements of the Company’s counsel and independent accountants,</w:t>
      </w:r>
    </w:p>
    <w:p>
      <w:pPr>
        <w:spacing w:after="0" w:line="2" w:lineRule="exact"/>
        <w:rPr>
          <w:sz w:val="20"/>
          <w:szCs w:val="20"/>
          <w:color w:val="auto"/>
        </w:rPr>
      </w:pPr>
    </w:p>
    <w:p>
      <w:pPr>
        <w:ind w:left="4" w:hanging="4"/>
        <w:spacing w:after="0" w:line="251" w:lineRule="auto"/>
        <w:tabs>
          <w:tab w:leader="none" w:pos="25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 of the Securities under securities laws in accordance with the provisions of Section 3(e) hereof, including filing fees and the reasonable fees and disbursements of counsel for the Underwriters in connection therewith and in connection with the preparation of the Blue Sky Survey and any supplement thereto up to an aggregate of $5,000, (vi) 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in connection with the road show presentations, travel and lodging expenses of the representatives and officers of the Company and any such consultants, it being understood that except as provided in this Section 4 or Section 6 hereof, the Underwriters will pay all of the travel, lodging and other expenses of the Underwriters or any of their employees incurred by them in connection with any road show presentation to potential investors and 50% of the costs of any aircraft chartered in connection with the road show presentations, (viii) the filing fees incident to, and the reasonable fees and disbursements of counsel to the Underwriters in connection with, the review by FINRA of the terms of the sale of the Securities (provided that the reimbursement obligation for such fees and expenses of counsel for the Underwriters shall not exceed, in the aggregate, $35,000) and (ix) the fees and expenses incurred in connection with the listing of the Securities on the Nasdaq Global Select Market.</w:t>
      </w:r>
    </w:p>
    <w:p>
      <w:pPr>
        <w:spacing w:after="0" w:line="190" w:lineRule="exact"/>
        <w:rPr>
          <w:rFonts w:ascii="Times New Roman" w:cs="Times New Roman" w:eastAsia="Times New Roman" w:hAnsi="Times New Roman"/>
          <w:sz w:val="18"/>
          <w:szCs w:val="18"/>
          <w:color w:val="auto"/>
        </w:rPr>
      </w:pPr>
    </w:p>
    <w:p>
      <w:pPr>
        <w:ind w:left="4" w:right="140" w:firstLine="436"/>
        <w:spacing w:after="0" w:line="261" w:lineRule="auto"/>
        <w:tabs>
          <w:tab w:leader="none" w:pos="83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Expenses of the Selling Shareholders. </w:t>
      </w:r>
      <w:r>
        <w:rPr>
          <w:rFonts w:ascii="Times New Roman" w:cs="Times New Roman" w:eastAsia="Times New Roman" w:hAnsi="Times New Roman"/>
          <w:sz w:val="18"/>
          <w:szCs w:val="18"/>
          <w:color w:val="auto"/>
        </w:rPr>
        <w:t>The Selling Shareholders, severally and not jointly, will pay all expenses incident to the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their respective obligations under, and the consummation of the transactions contemplated by, this Agreement, including (i) any stamp and other duties and stock and other transfer taxes, if any, payable upon the sale of the Securities to the Underwriters and their transfer between the Underwriters pursuant to an agreement between such Underwriters, and (ii) the fees and disbursements of their respective counsel and other advisors.</w:t>
      </w:r>
    </w:p>
    <w:p>
      <w:pPr>
        <w:spacing w:after="0" w:line="179" w:lineRule="exact"/>
        <w:rPr>
          <w:rFonts w:ascii="Times New Roman" w:cs="Times New Roman" w:eastAsia="Times New Roman" w:hAnsi="Times New Roman"/>
          <w:sz w:val="18"/>
          <w:szCs w:val="18"/>
          <w:color w:val="auto"/>
        </w:rPr>
      </w:pPr>
    </w:p>
    <w:p>
      <w:pPr>
        <w:ind w:left="824" w:hanging="384"/>
        <w:spacing w:after="0"/>
        <w:tabs>
          <w:tab w:leader="none" w:pos="82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If this Agreement is terminated by the Representatives in accordance with the provisions of Section 5,</w:t>
      </w:r>
    </w:p>
    <w:p>
      <w:pPr>
        <w:spacing w:after="0" w:line="29" w:lineRule="exact"/>
        <w:rPr>
          <w:sz w:val="20"/>
          <w:szCs w:val="20"/>
          <w:color w:val="auto"/>
        </w:rPr>
      </w:pPr>
    </w:p>
    <w:p>
      <w:pPr>
        <w:ind w:left="4" w:right="200"/>
        <w:spacing w:after="0" w:line="253" w:lineRule="auto"/>
        <w:rPr>
          <w:sz w:val="20"/>
          <w:szCs w:val="20"/>
          <w:color w:val="auto"/>
        </w:rPr>
      </w:pPr>
      <w:r>
        <w:rPr>
          <w:rFonts w:ascii="Times New Roman" w:cs="Times New Roman" w:eastAsia="Times New Roman" w:hAnsi="Times New Roman"/>
          <w:sz w:val="18"/>
          <w:szCs w:val="18"/>
          <w:color w:val="auto"/>
        </w:rPr>
        <w:t>Section 9(a)(i) or (iii), or Section 10 hereof, the Company shall reimburse the Underwriters for all of their out-of-pocket expenses, including the reasonable fees and disbursements of counsel for the Underwriters. For the avoidance of doubt, if this Agreement is terminated pursuant to Section 10 hereof, the Company shall have no obligation to reimburse a defaulting Underwriter for out-of-pocket costs and expenses (including the fees and expenses of their counsel) incurred by such defaulting Underwriter in connection with this Agreement and the offering contemplated hereby.</w:t>
      </w:r>
    </w:p>
    <w:p>
      <w:pPr>
        <w:spacing w:after="0" w:line="187" w:lineRule="exact"/>
        <w:rPr>
          <w:sz w:val="20"/>
          <w:szCs w:val="20"/>
          <w:color w:val="auto"/>
        </w:rPr>
      </w:pPr>
    </w:p>
    <w:p>
      <w:pPr>
        <w:ind w:left="4" w:right="280" w:firstLine="436"/>
        <w:spacing w:after="0" w:line="284" w:lineRule="auto"/>
        <w:tabs>
          <w:tab w:leader="none" w:pos="83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 of Expenses</w:t>
      </w:r>
      <w:r>
        <w:rPr>
          <w:rFonts w:ascii="Times New Roman" w:cs="Times New Roman" w:eastAsia="Times New Roman" w:hAnsi="Times New Roman"/>
          <w:sz w:val="18"/>
          <w:szCs w:val="18"/>
          <w:color w:val="auto"/>
        </w:rPr>
        <w:t>. The provisions of this Section shall not affect any agreement that the Company and the Selling Shareholders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for the sharing of such costs and expenses.</w:t>
      </w:r>
    </w:p>
    <w:p>
      <w:pPr>
        <w:spacing w:after="0" w:line="160"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The obligations of the several Underwriters hereunder are subject to the accuracy of the representations and warranties of the Company and the Selling Shareholders contained herein or in certificates of any officer of the Company or any of its subsidiaries or on behalf of any Selling Shareholder delivered pursuant to the provisions hereof, to the performance by the Company and each Selling Shareholder of their respective covenants and other obligations hereunder, and to the following further conditions:</w:t>
      </w:r>
    </w:p>
    <w:p>
      <w:pPr>
        <w:spacing w:after="0" w:line="178" w:lineRule="exact"/>
        <w:rPr>
          <w:sz w:val="20"/>
          <w:szCs w:val="20"/>
          <w:color w:val="auto"/>
        </w:rPr>
      </w:pPr>
    </w:p>
    <w:p>
      <w:pPr>
        <w:ind w:left="4" w:right="40" w:firstLine="436"/>
        <w:spacing w:after="0" w:line="267" w:lineRule="auto"/>
        <w:tabs>
          <w:tab w:leader="none" w:pos="82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of Registration Statement; Rule 430A Information</w:t>
      </w:r>
      <w:r>
        <w:rPr>
          <w:rFonts w:ascii="Times New Roman" w:cs="Times New Roman" w:eastAsia="Times New Roman" w:hAnsi="Times New Roman"/>
          <w:sz w:val="18"/>
          <w:szCs w:val="18"/>
          <w:color w:val="auto"/>
        </w:rPr>
        <w:t>. The Registration Statement, including any Rule 462(b)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has become effective and, at the Closing Time, no stop order suspending the effectiveness of the Registration Statement or any post-effective amendment thereto has been issued under the 1933 Act, no order preventing or suspending the use of any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0" w:right="459" w:bottom="1440" w:gutter="0" w:footer="0" w:header="0"/>
        </w:sectPr>
      </w:pPr>
    </w:p>
    <w:bookmarkStart w:id="111" w:name="page112"/>
    <w:bookmarkEnd w:id="111"/>
    <w:p>
      <w:pPr>
        <w:ind w:left="4" w:right="3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preliminary prospectus or the Prospectus has been issued and no proceedings for any of those purposes have been instituted or are pending or, to the Company’s knowledge, contemplated; and the Company has complied with each request (if any) from the Commission for additional information. A prospectus containing the Rule 430A Information shall have been filed with the Commission in the manner and within the time frame required by Rule 424(b) or a post-effective amendment providing such information shall have been filed with, and declared effective by, the Commission in accordance with the requirements of Rule 430A.</w:t>
      </w:r>
    </w:p>
    <w:p>
      <w:pPr>
        <w:spacing w:after="0" w:line="181" w:lineRule="exact"/>
        <w:rPr>
          <w:sz w:val="20"/>
          <w:szCs w:val="20"/>
          <w:color w:val="auto"/>
        </w:rPr>
      </w:pPr>
    </w:p>
    <w:p>
      <w:pPr>
        <w:ind w:left="4" w:right="140" w:firstLine="436"/>
        <w:spacing w:after="0" w:line="267" w:lineRule="auto"/>
        <w:tabs>
          <w:tab w:leader="none" w:pos="83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Company</w:t>
      </w:r>
      <w:r>
        <w:rPr>
          <w:rFonts w:ascii="Times New Roman" w:cs="Times New Roman" w:eastAsia="Times New Roman" w:hAnsi="Times New Roman"/>
          <w:sz w:val="18"/>
          <w:szCs w:val="18"/>
          <w:color w:val="auto"/>
        </w:rPr>
        <w:t>. At the Closing Time, the Representatives shall have received the opinion and negative assurance letter,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dated the Closing Time, of Weil, Gotshal &amp; Manges LLP, counsel for the Company, in form and substance satisfactory to counsel for the Underwriters, to the effect set forth in Exhibit A hereto.</w:t>
      </w:r>
    </w:p>
    <w:p>
      <w:pPr>
        <w:spacing w:after="0" w:line="173" w:lineRule="exact"/>
        <w:rPr>
          <w:rFonts w:ascii="Times New Roman" w:cs="Times New Roman" w:eastAsia="Times New Roman" w:hAnsi="Times New Roman"/>
          <w:sz w:val="18"/>
          <w:szCs w:val="18"/>
          <w:color w:val="auto"/>
        </w:rPr>
      </w:pPr>
    </w:p>
    <w:p>
      <w:pPr>
        <w:ind w:left="4" w:right="40" w:firstLine="436"/>
        <w:spacing w:after="0" w:line="261" w:lineRule="auto"/>
        <w:tabs>
          <w:tab w:leader="none" w:pos="82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Opinions of Counsels for the Selling Shareholders</w:t>
      </w:r>
      <w:r>
        <w:rPr>
          <w:rFonts w:ascii="Times New Roman" w:cs="Times New Roman" w:eastAsia="Times New Roman" w:hAnsi="Times New Roman"/>
          <w:sz w:val="18"/>
          <w:szCs w:val="18"/>
          <w:color w:val="auto"/>
        </w:rPr>
        <w:t>. At the Closing Time, the Representatives shall have received the opinion and negative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assurance letter, dated the Closing Time, of Weil, Gotshal &amp; Manges LLP, Bonn Steichen &amp; Partners, Maples and Calder (Cayman) LLP and Richards, Layton &amp; Finger, P.A., counsels for the Selling Shareholders, in form and substance satisfactory to counsel for the Underwriters, to the effect set forth in Exhibit B hereto.</w:t>
      </w:r>
    </w:p>
    <w:p>
      <w:pPr>
        <w:spacing w:after="0" w:line="179" w:lineRule="exact"/>
        <w:rPr>
          <w:rFonts w:ascii="Times New Roman" w:cs="Times New Roman" w:eastAsia="Times New Roman" w:hAnsi="Times New Roman"/>
          <w:sz w:val="18"/>
          <w:szCs w:val="18"/>
          <w:color w:val="auto"/>
        </w:rPr>
      </w:pPr>
    </w:p>
    <w:p>
      <w:pPr>
        <w:ind w:left="4" w:firstLine="436"/>
        <w:spacing w:after="0" w:line="315" w:lineRule="auto"/>
        <w:tabs>
          <w:tab w:leader="none" w:pos="834"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Opinion of Counsel for Underwriters</w:t>
      </w:r>
      <w:r>
        <w:rPr>
          <w:rFonts w:ascii="Times New Roman" w:cs="Times New Roman" w:eastAsia="Times New Roman" w:hAnsi="Times New Roman"/>
          <w:sz w:val="17"/>
          <w:szCs w:val="17"/>
          <w:color w:val="auto"/>
        </w:rPr>
        <w:t>. At the Closing Time, the Representatives shall have received the opinion and negative assurance letter,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dated the Closing Time, of Latham &amp; Watkins LLP, counsel for the Underwriters, in form and substance reasonably satisfactory to the Representatives.</w:t>
      </w:r>
    </w:p>
    <w:p>
      <w:pPr>
        <w:spacing w:after="0" w:line="134" w:lineRule="exact"/>
        <w:rPr>
          <w:rFonts w:ascii="Times New Roman" w:cs="Times New Roman" w:eastAsia="Times New Roman" w:hAnsi="Times New Roman"/>
          <w:sz w:val="17"/>
          <w:szCs w:val="17"/>
          <w:color w:val="auto"/>
        </w:rPr>
      </w:pPr>
    </w:p>
    <w:p>
      <w:pPr>
        <w:ind w:left="4" w:right="80" w:firstLine="436"/>
        <w:spacing w:after="0" w:line="253" w:lineRule="auto"/>
        <w:tabs>
          <w:tab w:leader="none" w:pos="82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At the Closing Time, there shall not have been, since the date hereof or since the respective dates as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is given in the Registration Statement, the General Disclosure Package or the Prospectus, any material adverse change in the condition, financial or otherwise, or in the earnings or business affairs of the Company and its subsidiaries considered as one enterprise, and the Representatives shall have received a certificate of the Chief Executive Officer or the President of the Company and of the chief financial or chief accounting officer of the 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w:t>
      </w:r>
    </w:p>
    <w:p>
      <w:pPr>
        <w:spacing w:after="0" w:line="4" w:lineRule="exact"/>
        <w:rPr>
          <w:rFonts w:ascii="Times New Roman" w:cs="Times New Roman" w:eastAsia="Times New Roman" w:hAnsi="Times New Roman"/>
          <w:sz w:val="18"/>
          <w:szCs w:val="18"/>
          <w:color w:val="auto"/>
        </w:rPr>
      </w:pPr>
    </w:p>
    <w:p>
      <w:pPr>
        <w:ind w:left="4" w:hanging="4"/>
        <w:spacing w:after="0" w:line="255" w:lineRule="auto"/>
        <w:tabs>
          <w:tab w:leader="none" w:pos="30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w:t>
      </w:r>
    </w:p>
    <w:p>
      <w:pPr>
        <w:spacing w:after="0" w:line="183"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80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Chief Financial Officer’s Certificate</w:t>
      </w:r>
      <w:r>
        <w:rPr>
          <w:rFonts w:ascii="Times New Roman" w:cs="Times New Roman" w:eastAsia="Times New Roman" w:hAnsi="Times New Roman"/>
          <w:sz w:val="18"/>
          <w:szCs w:val="18"/>
          <w:color w:val="auto"/>
        </w:rPr>
        <w:t>. At the time of the execution of this Agreement and at the Closing Time, the Representatives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from the Chief Financial Officer of the Company a certificate, dated the date hereof or the Closing Time, respectively, as to the accuracy of certain financial and other information included in the Registration Statement, the General Disclosure Package and the Prospectus in form and substance reasonably satisfactory to the Representatives.</w:t>
      </w:r>
    </w:p>
    <w:p>
      <w:pPr>
        <w:spacing w:after="0" w:line="179" w:lineRule="exact"/>
        <w:rPr>
          <w:rFonts w:ascii="Times New Roman" w:cs="Times New Roman" w:eastAsia="Times New Roman" w:hAnsi="Times New Roman"/>
          <w:sz w:val="18"/>
          <w:szCs w:val="18"/>
          <w:color w:val="auto"/>
        </w:rPr>
      </w:pPr>
    </w:p>
    <w:p>
      <w:pPr>
        <w:ind w:left="4" w:right="80" w:firstLine="436"/>
        <w:spacing w:after="0" w:line="261" w:lineRule="auto"/>
        <w:tabs>
          <w:tab w:leader="none" w:pos="83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Certificate of Selling Shareholders. </w:t>
      </w:r>
      <w:r>
        <w:rPr>
          <w:rFonts w:ascii="Times New Roman" w:cs="Times New Roman" w:eastAsia="Times New Roman" w:hAnsi="Times New Roman"/>
          <w:sz w:val="18"/>
          <w:szCs w:val="18"/>
          <w:color w:val="auto"/>
        </w:rPr>
        <w:t>At the Closing Time, the Representatives shall have received a certificate of an Attorney-in-Fact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behalf of each Selling Shareholder, dated the Closing Time, to the effect that (i) the representations and warranties of each Selling Shareholder in this Agreement are true and correct with the same force and effect as though expressly made at and as of the Closing Time and (ii) each Selling Shareholder has complied with all agreements and all conditions on its part to be performed under this Agreement at or prior to the Closing Time.</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112" w:name="page113"/>
    <w:bookmarkEnd w:id="112"/>
    <w:p>
      <w:pPr>
        <w:ind w:left="-140" w:right="40" w:firstLine="436"/>
        <w:spacing w:after="0" w:line="258" w:lineRule="auto"/>
        <w:tabs>
          <w:tab w:leader="none" w:pos="69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Accountant’s Comfort Letter</w:t>
      </w:r>
      <w:r>
        <w:rPr>
          <w:rFonts w:ascii="Times New Roman" w:cs="Times New Roman" w:eastAsia="Times New Roman" w:hAnsi="Times New Roman"/>
          <w:sz w:val="18"/>
          <w:szCs w:val="18"/>
          <w:color w:val="auto"/>
        </w:rPr>
        <w:t>. At the time of the execution of this Agreement, the Representatives shall have received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PricewaterhouseCoopers LLP a 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183" w:lineRule="exact"/>
        <w:rPr>
          <w:rFonts w:ascii="Times New Roman" w:cs="Times New Roman" w:eastAsia="Times New Roman" w:hAnsi="Times New Roman"/>
          <w:sz w:val="18"/>
          <w:szCs w:val="18"/>
          <w:color w:val="auto"/>
        </w:rPr>
      </w:pPr>
    </w:p>
    <w:p>
      <w:pPr>
        <w:jc w:val="both"/>
        <w:ind w:left="-140" w:right="20" w:firstLine="436"/>
        <w:spacing w:after="0" w:line="267" w:lineRule="auto"/>
        <w:tabs>
          <w:tab w:leader="none" w:pos="65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Bring-down Comfort Letter</w:t>
      </w:r>
      <w:r>
        <w:rPr>
          <w:rFonts w:ascii="Times New Roman" w:cs="Times New Roman" w:eastAsia="Times New Roman" w:hAnsi="Times New Roman"/>
          <w:sz w:val="18"/>
          <w:szCs w:val="18"/>
          <w:color w:val="auto"/>
        </w:rPr>
        <w:t>. At the Closing Time, the Representatives shall have received from PricewaterhouseCoopers LLP a letter, 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the Closing Time, to the effect that they reaffirm the statements made in the letter furnished pursuant to subsection (f) of this Section, except that the specified date referred to shall be a date not more than three business days prior to the Closing Time.</w:t>
      </w:r>
    </w:p>
    <w:p>
      <w:pPr>
        <w:spacing w:after="0" w:line="173" w:lineRule="exact"/>
        <w:rPr>
          <w:rFonts w:ascii="Times New Roman" w:cs="Times New Roman" w:eastAsia="Times New Roman" w:hAnsi="Times New Roman"/>
          <w:sz w:val="18"/>
          <w:szCs w:val="18"/>
          <w:color w:val="auto"/>
        </w:rPr>
      </w:pPr>
    </w:p>
    <w:p>
      <w:pPr>
        <w:ind w:left="-140" w:right="180" w:firstLine="436"/>
        <w:spacing w:after="0" w:line="284" w:lineRule="auto"/>
        <w:tabs>
          <w:tab w:leader="none" w:pos="65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 of Listing</w:t>
      </w:r>
      <w:r>
        <w:rPr>
          <w:rFonts w:ascii="Times New Roman" w:cs="Times New Roman" w:eastAsia="Times New Roman" w:hAnsi="Times New Roman"/>
          <w:sz w:val="18"/>
          <w:szCs w:val="18"/>
          <w:color w:val="auto"/>
        </w:rPr>
        <w:t>. At the Closing Time, the Securities shall have been approved for listing on the Nasdaq Global Select Market,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to official notice of issuance.</w:t>
      </w:r>
    </w:p>
    <w:p>
      <w:pPr>
        <w:spacing w:after="0" w:line="158" w:lineRule="exact"/>
        <w:rPr>
          <w:rFonts w:ascii="Times New Roman" w:cs="Times New Roman" w:eastAsia="Times New Roman" w:hAnsi="Times New Roman"/>
          <w:sz w:val="18"/>
          <w:szCs w:val="18"/>
          <w:color w:val="auto"/>
        </w:rPr>
      </w:pPr>
    </w:p>
    <w:p>
      <w:pPr>
        <w:ind w:left="-140" w:right="420" w:firstLine="436"/>
        <w:spacing w:after="0" w:line="284" w:lineRule="auto"/>
        <w:tabs>
          <w:tab w:leader="none" w:pos="69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At the date of this Agreement, the Representatives shall have received an agreement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Exhibit C hereto signed by the persons listed on Schedule D hereto.</w:t>
      </w:r>
    </w:p>
    <w:p>
      <w:pPr>
        <w:spacing w:after="0" w:line="158" w:lineRule="exact"/>
        <w:rPr>
          <w:rFonts w:ascii="Times New Roman" w:cs="Times New Roman" w:eastAsia="Times New Roman" w:hAnsi="Times New Roman"/>
          <w:sz w:val="18"/>
          <w:szCs w:val="18"/>
          <w:color w:val="auto"/>
        </w:rPr>
      </w:pPr>
    </w:p>
    <w:p>
      <w:pPr>
        <w:ind w:left="-140" w:right="280" w:firstLine="436"/>
        <w:spacing w:after="0" w:line="284" w:lineRule="auto"/>
        <w:tabs>
          <w:tab w:leader="none" w:pos="65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Rating</w:t>
      </w:r>
      <w:r>
        <w:rPr>
          <w:rFonts w:ascii="Times New Roman" w:cs="Times New Roman" w:eastAsia="Times New Roman" w:hAnsi="Times New Roman"/>
          <w:sz w:val="18"/>
          <w:szCs w:val="18"/>
          <w:color w:val="auto"/>
        </w:rPr>
        <w:t>. Neither the Company nor its subsidiaries have any debt securities or preferred stock that are rated by any “nationally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statistical rating organization” (as defined in Section 3(a)(62) of the 1934 Act).</w:t>
      </w:r>
    </w:p>
    <w:p>
      <w:pPr>
        <w:spacing w:after="0" w:line="158" w:lineRule="exact"/>
        <w:rPr>
          <w:rFonts w:ascii="Times New Roman" w:cs="Times New Roman" w:eastAsia="Times New Roman" w:hAnsi="Times New Roman"/>
          <w:sz w:val="18"/>
          <w:szCs w:val="18"/>
          <w:color w:val="auto"/>
        </w:rPr>
      </w:pPr>
    </w:p>
    <w:p>
      <w:pPr>
        <w:ind w:left="-140" w:right="80" w:firstLine="436"/>
        <w:spacing w:after="0" w:line="261" w:lineRule="auto"/>
        <w:tabs>
          <w:tab w:leader="none" w:pos="7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Purchase of Option Securities</w:t>
      </w:r>
      <w:r>
        <w:rPr>
          <w:rFonts w:ascii="Times New Roman" w:cs="Times New Roman" w:eastAsia="Times New Roman" w:hAnsi="Times New Roman"/>
          <w:sz w:val="18"/>
          <w:szCs w:val="18"/>
          <w:color w:val="auto"/>
        </w:rPr>
        <w:t>. In the event that the Underwriters exercise their option provided in Section 2(b) hereof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all or any portion of the Option Securities, the representations and warranties of the Company and the Selling Shareholders contained herein and the statements in any certificates furnished by the Company and any of its subsidiaries and the Selling Shareholders hereunder shall be true and correct as of each Date of Delivery and, at the relevant Date of Delivery, the Representatives shall have received:</w:t>
      </w:r>
    </w:p>
    <w:p>
      <w:pPr>
        <w:spacing w:after="0" w:line="73" w:lineRule="exact"/>
        <w:rPr>
          <w:rFonts w:ascii="Times New Roman" w:cs="Times New Roman" w:eastAsia="Times New Roman" w:hAnsi="Times New Roman"/>
          <w:sz w:val="18"/>
          <w:szCs w:val="18"/>
          <w:color w:val="auto"/>
        </w:rPr>
      </w:pPr>
    </w:p>
    <w:p>
      <w:pPr>
        <w:ind w:left="300" w:firstLine="419"/>
        <w:spacing w:after="0" w:line="266" w:lineRule="auto"/>
        <w:tabs>
          <w:tab w:leader="none" w:pos="107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A certificate, dated such Date of Delivery, of the President or a Vice President of the Company and of the chief financial or chief accounting officer of the Company confirming that the certificate delivered at the Closing Time pursuant to Section 5(e) hereof remains true and correct as of such Date of Delivery.</w:t>
      </w:r>
    </w:p>
    <w:p>
      <w:pPr>
        <w:spacing w:after="0" w:line="67" w:lineRule="exact"/>
        <w:rPr>
          <w:rFonts w:ascii="Times New Roman" w:cs="Times New Roman" w:eastAsia="Times New Roman" w:hAnsi="Times New Roman"/>
          <w:sz w:val="18"/>
          <w:szCs w:val="18"/>
          <w:color w:val="auto"/>
        </w:rPr>
      </w:pPr>
    </w:p>
    <w:p>
      <w:pPr>
        <w:ind w:left="300" w:firstLine="419"/>
        <w:spacing w:after="0" w:line="312" w:lineRule="auto"/>
        <w:tabs>
          <w:tab w:leader="none" w:pos="1123"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Chief Financial Officer’s Certificate</w:t>
      </w:r>
      <w:r>
        <w:rPr>
          <w:rFonts w:ascii="Times New Roman" w:cs="Times New Roman" w:eastAsia="Times New Roman" w:hAnsi="Times New Roman"/>
          <w:sz w:val="17"/>
          <w:szCs w:val="17"/>
          <w:color w:val="auto"/>
        </w:rPr>
        <w:t>. A certificate, dated such Date of Delivery, of the Chief Financial Officer of the Company confirming that the certificate delivered at the Closing Time pursuant to Section 5(f) hereof remains true and correct as of such Date of Delivery.</w:t>
      </w:r>
    </w:p>
    <w:p>
      <w:pPr>
        <w:spacing w:after="0" w:line="31" w:lineRule="exact"/>
        <w:rPr>
          <w:rFonts w:ascii="Times New Roman" w:cs="Times New Roman" w:eastAsia="Times New Roman" w:hAnsi="Times New Roman"/>
          <w:sz w:val="17"/>
          <w:szCs w:val="17"/>
          <w:color w:val="auto"/>
        </w:rPr>
      </w:pPr>
    </w:p>
    <w:p>
      <w:pPr>
        <w:ind w:left="300" w:right="180" w:firstLine="419"/>
        <w:spacing w:after="0" w:line="266" w:lineRule="auto"/>
        <w:tabs>
          <w:tab w:leader="none" w:pos="117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 of Selling Shareholders</w:t>
      </w:r>
      <w:r>
        <w:rPr>
          <w:rFonts w:ascii="Times New Roman" w:cs="Times New Roman" w:eastAsia="Times New Roman" w:hAnsi="Times New Roman"/>
          <w:sz w:val="18"/>
          <w:szCs w:val="18"/>
          <w:color w:val="auto"/>
        </w:rPr>
        <w:t>. A certificate, dated such Date of Delivery, of an Attorney-in-Fact on behalf of each Selling Shareholder confirming that the certificate delivered at the Closing Time pursuant to Section 5(g) hereof remains true and correct as of such Date of Delivery.</w:t>
      </w:r>
    </w:p>
    <w:p>
      <w:pPr>
        <w:spacing w:after="0" w:line="67" w:lineRule="exact"/>
        <w:rPr>
          <w:rFonts w:ascii="Times New Roman" w:cs="Times New Roman" w:eastAsia="Times New Roman" w:hAnsi="Times New Roman"/>
          <w:sz w:val="18"/>
          <w:szCs w:val="18"/>
          <w:color w:val="auto"/>
        </w:rPr>
      </w:pPr>
    </w:p>
    <w:p>
      <w:pPr>
        <w:ind w:left="300" w:right="100" w:firstLine="419"/>
        <w:spacing w:after="0" w:line="261" w:lineRule="auto"/>
        <w:tabs>
          <w:tab w:leader="none" w:pos="116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for Company</w:t>
      </w:r>
      <w:r>
        <w:rPr>
          <w:rFonts w:ascii="Times New Roman" w:cs="Times New Roman" w:eastAsia="Times New Roman" w:hAnsi="Times New Roman"/>
          <w:sz w:val="18"/>
          <w:szCs w:val="18"/>
          <w:color w:val="auto"/>
        </w:rPr>
        <w:t>. If requested by the Representatives, the favorable opinion and negative assurance letter of Weil, Gotshal &amp; Manges LLP, counsel for the Company, in form and substance satisfactory to counsel for the Underwriters, dated such Date of Delivery, relating to the Option Securities to be purchased on such Date of Delivery and otherwise to the same effect as the opinion required by Section 5(b) 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720"/>
          </w:cols>
          <w:pgMar w:left="580" w:top="268" w:right="599" w:bottom="1440" w:gutter="0" w:footer="0" w:header="0"/>
        </w:sectPr>
      </w:pPr>
    </w:p>
    <w:bookmarkStart w:id="113" w:name="page114"/>
    <w:bookmarkEnd w:id="113"/>
    <w:p>
      <w:pPr>
        <w:ind w:left="440" w:right="120" w:firstLine="419"/>
        <w:spacing w:after="0" w:line="261" w:lineRule="auto"/>
        <w:tabs>
          <w:tab w:leader="none" w:pos="125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Opinions of Counsels for the Selling Shareholders</w:t>
      </w:r>
      <w:r>
        <w:rPr>
          <w:rFonts w:ascii="Times New Roman" w:cs="Times New Roman" w:eastAsia="Times New Roman" w:hAnsi="Times New Roman"/>
          <w:sz w:val="18"/>
          <w:szCs w:val="18"/>
          <w:color w:val="auto"/>
        </w:rPr>
        <w:t>. If requested by the Representatives, the favorable opinion of Weil, Gotshal &amp; Manges LLP, Bonn Steichen &amp; Partners, Maples and Calder (Cayman) LLP and Richards, Layton &amp; Finger, P.A., counsels for the Selling Shareholders, in form and substance satisfactory to counsel for the Underwriters, dated such Date of Delivery, relating to the Option Securities to be purchased on such Date of Delivery and otherwise to the same effect as the opinion required by Section 5(c) hereof.</w:t>
      </w:r>
    </w:p>
    <w:p>
      <w:pPr>
        <w:spacing w:after="0" w:line="72" w:lineRule="exact"/>
        <w:rPr>
          <w:sz w:val="20"/>
          <w:szCs w:val="20"/>
          <w:color w:val="auto"/>
        </w:rPr>
      </w:pPr>
    </w:p>
    <w:p>
      <w:pPr>
        <w:ind w:left="440" w:right="420" w:firstLine="419"/>
        <w:spacing w:after="0" w:line="266" w:lineRule="auto"/>
        <w:tabs>
          <w:tab w:leader="none" w:pos="130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for Underwriters</w:t>
      </w:r>
      <w:r>
        <w:rPr>
          <w:rFonts w:ascii="Times New Roman" w:cs="Times New Roman" w:eastAsia="Times New Roman" w:hAnsi="Times New Roman"/>
          <w:sz w:val="18"/>
          <w:szCs w:val="18"/>
          <w:color w:val="auto"/>
        </w:rPr>
        <w:t>. If requested by the Representatives, the opinion and negative assurance letter of Latham &amp; Watkins, LLP, counsel for the Underwriters, dated such Date of Delivery, relating to the Option Securities to be purchased on such Date of Delivery and otherwise to the same effect as the opinion required by Section 5(d) hereof.</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25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Bring-down Comfort Letter</w:t>
      </w:r>
      <w:r>
        <w:rPr>
          <w:rFonts w:ascii="Times New Roman" w:cs="Times New Roman" w:eastAsia="Times New Roman" w:hAnsi="Times New Roman"/>
          <w:sz w:val="18"/>
          <w:szCs w:val="18"/>
          <w:color w:val="auto"/>
        </w:rPr>
        <w:t>. If requested by the Representatives, a letter from PricewaterhouseCoopers LLP, in form and substance satisfactory to the Representatives and dated such Date of Delivery, substantially in the same form and substance as the letter furnished to the Representatives pursuant to Section 5(i) hereof, except that the “specified date” in the letter furnished pursuant to this paragraph shall be a date not more than three business days prior to such Date of Delivery.</w:t>
      </w:r>
    </w:p>
    <w:p>
      <w:pPr>
        <w:spacing w:after="0" w:line="177" w:lineRule="exact"/>
        <w:rPr>
          <w:rFonts w:ascii="Times New Roman" w:cs="Times New Roman" w:eastAsia="Times New Roman" w:hAnsi="Times New Roman"/>
          <w:sz w:val="18"/>
          <w:szCs w:val="18"/>
          <w:color w:val="auto"/>
        </w:rPr>
      </w:pPr>
    </w:p>
    <w:p>
      <w:pPr>
        <w:ind w:right="320" w:firstLine="436"/>
        <w:spacing w:after="0" w:line="284" w:lineRule="auto"/>
        <w:tabs>
          <w:tab w:leader="none" w:pos="83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At the Closing Time and at each Date of Delivery (if any) counsel for the Underwriters shall have been furnished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such documents and opinions as they may reasonably request.</w:t>
      </w:r>
    </w:p>
    <w:p>
      <w:pPr>
        <w:spacing w:after="0" w:line="158" w:lineRule="exact"/>
        <w:rPr>
          <w:rFonts w:ascii="Times New Roman" w:cs="Times New Roman" w:eastAsia="Times New Roman" w:hAnsi="Times New Roman"/>
          <w:sz w:val="18"/>
          <w:szCs w:val="18"/>
          <w:color w:val="auto"/>
        </w:rPr>
      </w:pPr>
    </w:p>
    <w:p>
      <w:pPr>
        <w:ind w:firstLine="436"/>
        <w:spacing w:after="0" w:line="257" w:lineRule="auto"/>
        <w:tabs>
          <w:tab w:leader="none" w:pos="83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If any condition specified in this Section shall not have been fulfilled when and as required to be fulfilled,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 in the case of any condition to the purchase of Option Securities on a Date of Delivery which is after the Closing Time, the obligations of the several Underwriters to purchase the relevant Option Securities, may be terminated by the Representatives by notice to the Company and the Selling Shareholders at any time at or prior to Closing Time or such Date of Delivery, as the case may be, and such termination shall be without liability of any party to any other party except as provided in Section 4 and except that Sections 1, 6, 7, 8, 14, 15, 16 and 17 shall survive any such termination and remain in full force and effect.</w:t>
      </w:r>
    </w:p>
    <w:p>
      <w:pPr>
        <w:spacing w:after="0" w:line="292" w:lineRule="exact"/>
        <w:rPr>
          <w:sz w:val="20"/>
          <w:szCs w:val="20"/>
          <w:color w:val="auto"/>
        </w:rPr>
      </w:pPr>
    </w:p>
    <w:p>
      <w:pPr>
        <w:ind w:left="44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w:t>
      </w:r>
    </w:p>
    <w:p>
      <w:pPr>
        <w:spacing w:after="0" w:line="115" w:lineRule="exact"/>
        <w:rPr>
          <w:sz w:val="20"/>
          <w:szCs w:val="20"/>
          <w:color w:val="auto"/>
        </w:rPr>
      </w:pPr>
    </w:p>
    <w:p>
      <w:pPr>
        <w:ind w:right="300" w:firstLine="436"/>
        <w:spacing w:after="0" w:line="267" w:lineRule="auto"/>
        <w:tabs>
          <w:tab w:leader="none" w:pos="8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Underwriters</w:t>
      </w:r>
      <w:r>
        <w:rPr>
          <w:rFonts w:ascii="Times New Roman" w:cs="Times New Roman" w:eastAsia="Times New Roman" w:hAnsi="Times New Roman"/>
          <w:sz w:val="18"/>
          <w:szCs w:val="18"/>
          <w:color w:val="auto"/>
        </w:rPr>
        <w:t>. The Company agrees to indemnify and hold harmless each Underwriter, its affiliates (as such term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Rule 501(b) under the 1933 Act (each, an “Affiliate”)), its selling agents and each person, if any, who controls any Underwriter within the meaning of Section 15 of the 1933 Act or Section 20 of the 1934 Act as follows:</w:t>
      </w:r>
    </w:p>
    <w:p>
      <w:pPr>
        <w:spacing w:after="0" w:line="67"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213"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arising out of any untrue statement or alleged untrue statement of a material fact contained in the Registration Statement (or any amendment thereto), including the Rule 430A Information,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the General Disclosure Package or the Prospectus (or any amendment or supplement thereto), or (B) in any materials or information provided to investors by, or with the approval of, the Company in connection with the marketing of the offering of the Securities (“Marketing Materials”), including any roadshow or investor presentations made to investors by the Company (whether in person or electronically), or the omission or alleged omission in any preliminary prospectus, Issuer Free Writing Prospectus, Prospectus or in any Marketing Materials of a material fact necessary in order to make the statements therein, in the light of the circumstances under which they were made, not misleading;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114" w:name="page115"/>
    <w:bookmarkEnd w:id="114"/>
    <w:p>
      <w:pPr>
        <w:ind w:left="440" w:right="260" w:firstLine="419"/>
        <w:spacing w:after="0" w:line="261" w:lineRule="auto"/>
        <w:tabs>
          <w:tab w:leader="none" w:pos="126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6(e) below) any such settlement is effected with the written consent of the Company and the Selling Shareholders;</w:t>
      </w:r>
    </w:p>
    <w:p>
      <w:pPr>
        <w:spacing w:after="0" w:line="71"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31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the Rule 430A Information, the General Disclosure Package or the Prospectus (or any amendment or supplement thereto) in reliance upon and in conformity with the Underwriter Information.</w:t>
      </w:r>
    </w:p>
    <w:p>
      <w:pPr>
        <w:spacing w:after="0" w:line="178" w:lineRule="exact"/>
        <w:rPr>
          <w:sz w:val="20"/>
          <w:szCs w:val="20"/>
          <w:color w:val="auto"/>
        </w:rPr>
      </w:pPr>
    </w:p>
    <w:p>
      <w:pPr>
        <w:ind w:right="180" w:firstLine="436"/>
        <w:spacing w:after="0" w:line="272" w:lineRule="auto"/>
        <w:tabs>
          <w:tab w:leader="none" w:pos="83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Indemnification of Underwriters by Selling Shareholders</w:t>
      </w:r>
      <w:r>
        <w:rPr>
          <w:rFonts w:ascii="Times New Roman" w:cs="Times New Roman" w:eastAsia="Times New Roman" w:hAnsi="Times New Roman"/>
          <w:sz w:val="17"/>
          <w:szCs w:val="17"/>
          <w:color w:val="auto"/>
        </w:rPr>
        <w:t>. Each Selling Shareholder, severally and not jointly, agrees to indemnify and hold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harmless each Underwriter, its Affiliates and selling agents and each person, if any, who controls any Underwriter within the meaning of Section 15 of the 1933 Act or Section 20 of the 1934 Act to the extent and in the manner set forth in clauses (a)(i), (ii) and (iii) above; provided that each Selling Shareholder shall be liable only to the extent that such untrue statement or alleged untrue statement or omission or alleged omission has been made in the Registration Statement, any preliminary prospectus, the General Disclosure Package, the Prospectus (or any amendment or supplement thereto) or any Issuer Free Writing Prospectus in reliance upon and in conformity with the Selling Shareholder Information;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liability of any Selling Shareholder pursuant to this Section 6(b) shall not exceed the total net proceeds (after deducting underwriter discounts and commissions but before deducting offering expenses) from the sale of the Securities sold by such Selling Shareholder hereunder (the “Selling Shareholder Proceeds”).</w:t>
      </w:r>
    </w:p>
    <w:p>
      <w:pPr>
        <w:spacing w:after="0" w:line="171" w:lineRule="exact"/>
        <w:rPr>
          <w:rFonts w:ascii="Times New Roman" w:cs="Times New Roman" w:eastAsia="Times New Roman" w:hAnsi="Times New Roman"/>
          <w:sz w:val="17"/>
          <w:szCs w:val="17"/>
          <w:color w:val="auto"/>
        </w:rPr>
      </w:pPr>
    </w:p>
    <w:p>
      <w:pPr>
        <w:ind w:right="20" w:firstLine="436"/>
        <w:spacing w:after="0" w:line="255" w:lineRule="auto"/>
        <w:tabs>
          <w:tab w:leader="none" w:pos="8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Company, Directors and Officers and Selling Shareholders</w:t>
      </w:r>
      <w:r>
        <w:rPr>
          <w:rFonts w:ascii="Times New Roman" w:cs="Times New Roman" w:eastAsia="Times New Roman" w:hAnsi="Times New Roman"/>
          <w:sz w:val="18"/>
          <w:szCs w:val="18"/>
          <w:color w:val="auto"/>
        </w:rPr>
        <w:t>. Each Underwriter severally agrees to indemnify and 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harmless the Company, its directors, each of its officers who signed the Registration Statement, and each person, if any, who controls the Company within the meaning of Section 15 of the 1933 Act or Section 20 of the 1934 Act, and each Selling Shareholder and each person, if any, who controls any Selling Shareholder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the Rule 430A Information, the General Disclosure Package or the Prospectus (or any amendment or supplement thereto) in reliance upon and in conformity with the Underwriter Information.</w:t>
      </w:r>
    </w:p>
    <w:p>
      <w:pPr>
        <w:spacing w:after="0" w:line="184" w:lineRule="exact"/>
        <w:rPr>
          <w:rFonts w:ascii="Times New Roman" w:cs="Times New Roman" w:eastAsia="Times New Roman" w:hAnsi="Times New Roman"/>
          <w:sz w:val="18"/>
          <w:szCs w:val="18"/>
          <w:color w:val="auto"/>
        </w:rPr>
      </w:pPr>
    </w:p>
    <w:p>
      <w:pPr>
        <w:ind w:firstLine="436"/>
        <w:spacing w:after="0" w:line="267" w:lineRule="auto"/>
        <w:tabs>
          <w:tab w:leader="none" w:pos="83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Actions against Parties; Notification</w:t>
      </w:r>
      <w:r>
        <w:rPr>
          <w:rFonts w:ascii="Times New Roman" w:cs="Times New Roman" w:eastAsia="Times New Roman" w:hAnsi="Times New Roman"/>
          <w:sz w:val="18"/>
          <w:szCs w:val="18"/>
          <w:color w:val="auto"/>
        </w:rPr>
        <w:t>. Each indemnified party shall give notice as promptly as reasonably practicable to each indemnifying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of any action commenced against it in respect of which indemnity may be sought hereunder, but failure to so notify an indemnifying party shall not relieve such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115" w:name="page116"/>
    <w:bookmarkEnd w:id="115"/>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and 6(b) above, counsel to the indemnified parties shall be selected by BofA, and, in the case of parties indemnified pursuant to Section 6(c) above, counsel to the indemnified parties shall be selected by the Selling Shareholders.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is or could be sought under this Section 6 or Section 7 hereof (whether or not the indemnified parties are actual or potential parties thereto), unless such settlement, compromise or consent (i) includes an unconditional release of each indemnified party, in form and substance satisfactory to such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95" w:lineRule="exact"/>
        <w:rPr>
          <w:sz w:val="20"/>
          <w:szCs w:val="20"/>
          <w:color w:val="auto"/>
        </w:rPr>
      </w:pPr>
    </w:p>
    <w:p>
      <w:pPr>
        <w:ind w:firstLine="436"/>
        <w:spacing w:after="0" w:line="257" w:lineRule="auto"/>
        <w:tabs>
          <w:tab w:leader="none" w:pos="8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without Consent if Failure to Reimburse</w:t>
      </w:r>
      <w:r>
        <w:rPr>
          <w:rFonts w:ascii="Times New Roman" w:cs="Times New Roman" w:eastAsia="Times New Roman" w:hAnsi="Times New Roman"/>
          <w:sz w:val="18"/>
          <w:szCs w:val="18"/>
          <w:color w:val="auto"/>
        </w:rPr>
        <w:t>. If at any time an indemnified party shall have requested an indemnifying party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 the indemnified party for fees and expenses of counsel, such indemnifying party agrees that it shall be liable for any settlement of the nature contemplated by Section 6(a)(ii)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2" w:lineRule="exact"/>
        <w:rPr>
          <w:rFonts w:ascii="Times New Roman" w:cs="Times New Roman" w:eastAsia="Times New Roman" w:hAnsi="Times New Roman"/>
          <w:sz w:val="18"/>
          <w:szCs w:val="18"/>
          <w:color w:val="auto"/>
        </w:rPr>
      </w:pPr>
    </w:p>
    <w:p>
      <w:pPr>
        <w:ind w:right="100" w:firstLine="436"/>
        <w:spacing w:after="0" w:line="284" w:lineRule="auto"/>
        <w:tabs>
          <w:tab w:leader="none" w:pos="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remedies provided for in this Section 6 are not exclusive and shall not limit any rights or remedies which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be available to any indemnified party at law or in equity.</w:t>
      </w:r>
    </w:p>
    <w:p>
      <w:pPr>
        <w:spacing w:after="0" w:line="158" w:lineRule="exact"/>
        <w:rPr>
          <w:rFonts w:ascii="Times New Roman" w:cs="Times New Roman" w:eastAsia="Times New Roman" w:hAnsi="Times New Roman"/>
          <w:sz w:val="18"/>
          <w:szCs w:val="18"/>
          <w:color w:val="auto"/>
        </w:rPr>
      </w:pPr>
    </w:p>
    <w:p>
      <w:pPr>
        <w:ind w:right="240" w:firstLine="436"/>
        <w:spacing w:after="0" w:line="284" w:lineRule="auto"/>
        <w:tabs>
          <w:tab w:leader="none" w:pos="83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Agreements with Respect to Indemnification</w:t>
      </w:r>
      <w:r>
        <w:rPr>
          <w:rFonts w:ascii="Times New Roman" w:cs="Times New Roman" w:eastAsia="Times New Roman" w:hAnsi="Times New Roman"/>
          <w:sz w:val="18"/>
          <w:szCs w:val="18"/>
          <w:color w:val="auto"/>
        </w:rPr>
        <w:t>. The provisions of this Section shall not affect any agreement among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Selling Shareholders with respect to indemnification.</w:t>
      </w:r>
    </w:p>
    <w:p>
      <w:pPr>
        <w:spacing w:after="0" w:line="160"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and the Selling Shareholders,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and the Selling Shareholders, on the one hand, and of the Underwriters, on the other hand, in connection with the statements or omissions which resulted in such losses, liabilities, claims, damages or expenses, as well as any other relevant equitable considerations.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116" w:name="page117"/>
    <w:bookmarkEnd w:id="116"/>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relative benefits received by the Company and the Selling Shareholders,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and the Selling Shareholders, on the one hand, and the total underwriting discount received by the Underwriters, on the other hand, in each case as set forth on the cover of the Prospectus, bear to the aggregate initial public offering price of the Securities as set forth on the cover of the Prospectus.</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relative fault of the Company and the Selling Shareholders,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the Selling Shareholders or by the Underwriters and the parties’ relative intent, knowledge, access to information and opportunity to correct or prevent such statement or omission.</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Company, the Selling Shareholders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subject to the limitations set forth above,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89" w:lineRule="exact"/>
        <w:rPr>
          <w:sz w:val="20"/>
          <w:szCs w:val="20"/>
          <w:color w:val="auto"/>
        </w:rPr>
      </w:pPr>
    </w:p>
    <w:p>
      <w:pPr>
        <w:jc w:val="both"/>
        <w:ind w:right="5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provisions of this Section 7, in no event shall (i) an Underwriter be required to contribute any amount in excess of the underwriting commissions received by such Underwriter in connection with the Securities underwritten by it and distributed to the public or (ii) a Selling Shareholder be required to contribute any amount in excess of its Selling Shareholder Proceeds.</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or any Selling Shareholder within the meaning of Section 15 of the 1933 Act or Section 20 of the 1934 Act shall have the same rights to contribution as the Company or such Selling Shareholder, as the case may be. The Underwriters’ respective obligations to contribute pursuant to this Section 7 are several in proportion to the number of Initial Securities set forth opposite their respective names in Schedule A hereto and not joint.</w:t>
      </w:r>
    </w:p>
    <w:p>
      <w:pPr>
        <w:spacing w:after="0" w:line="18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remedies provided for in this Section 7 are not exclusive and shall not limit any rights or remedies which may otherwise be available to any indemnified party at law or in equity.</w:t>
      </w:r>
    </w:p>
    <w:p>
      <w:pPr>
        <w:spacing w:after="0" w:line="162" w:lineRule="exact"/>
        <w:rPr>
          <w:sz w:val="20"/>
          <w:szCs w:val="20"/>
          <w:color w:val="auto"/>
        </w:rPr>
      </w:pPr>
    </w:p>
    <w:p>
      <w:pPr>
        <w:jc w:val="center"/>
        <w:ind w:left="540" w:right="340"/>
        <w:spacing w:after="0" w:line="454" w:lineRule="auto"/>
        <w:rPr>
          <w:sz w:val="20"/>
          <w:szCs w:val="20"/>
          <w:color w:val="auto"/>
        </w:rPr>
      </w:pPr>
      <w:r>
        <w:rPr>
          <w:rFonts w:ascii="Times New Roman" w:cs="Times New Roman" w:eastAsia="Times New Roman" w:hAnsi="Times New Roman"/>
          <w:sz w:val="18"/>
          <w:szCs w:val="18"/>
          <w:color w:val="auto"/>
        </w:rPr>
        <w:t>The provisions of this Section 7 shall not affect any agreement among the Company and the Selling Shareholders with respect to contribution. 28</w:t>
      </w:r>
    </w:p>
    <w:p>
      <w:pPr>
        <w:sectPr>
          <w:pgSz w:w="11900" w:h="16838" w:orient="portrait"/>
          <w:cols w:equalWidth="0" w:num="1">
            <w:col w:w="11000"/>
          </w:cols>
          <w:pgMar w:left="440" w:top="270" w:right="459" w:bottom="1440" w:gutter="0" w:footer="0" w:header="0"/>
        </w:sectPr>
      </w:pPr>
    </w:p>
    <w:bookmarkStart w:id="117" w:name="page118"/>
    <w:bookmarkEnd w:id="117"/>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 </w:t>
      </w:r>
      <w:r>
        <w:rPr>
          <w:rFonts w:ascii="Times New Roman" w:cs="Times New Roman" w:eastAsia="Times New Roman" w:hAnsi="Times New Roman"/>
          <w:sz w:val="18"/>
          <w:szCs w:val="18"/>
          <w:u w:val="single" w:color="auto"/>
          <w:color w:val="auto"/>
        </w:rPr>
        <w:t>Representations, Warranties and Agreements to Survive</w:t>
      </w:r>
      <w:r>
        <w:rPr>
          <w:rFonts w:ascii="Times New Roman" w:cs="Times New Roman" w:eastAsia="Times New Roman" w:hAnsi="Times New Roman"/>
          <w:sz w:val="18"/>
          <w:szCs w:val="18"/>
          <w:color w:val="auto"/>
        </w:rPr>
        <w:t>. All representations, warranties, indemnities and agreements contained in this Agreement or in certificates of officers of the Company or any of its subsidiaries or the Selling Shareholders submitted pursuant hereto, shall remain operative and in full force and effect regardless of (i) any investigation made by or on behalf of any Underwriter or its Affiliates or selling agents, any person controlling any Underwriter, its officers or directors or the Company or any officer or director or any person controlling the Company or any person controlling any Selling Shareholder and (ii) delivery of and payment for the Securities.</w:t>
      </w:r>
    </w:p>
    <w:p>
      <w:pPr>
        <w:spacing w:after="0" w:line="291" w:lineRule="exact"/>
        <w:rPr>
          <w:sz w:val="20"/>
          <w:szCs w:val="20"/>
          <w:color w:val="auto"/>
        </w:rPr>
      </w:pPr>
    </w:p>
    <w:p>
      <w:pPr>
        <w:ind w:left="44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Termination of Agreement</w:t>
      </w:r>
      <w:r>
        <w:rPr>
          <w:rFonts w:ascii="Times New Roman" w:cs="Times New Roman" w:eastAsia="Times New Roman" w:hAnsi="Times New Roman"/>
          <w:sz w:val="17"/>
          <w:szCs w:val="17"/>
          <w:color w:val="auto"/>
        </w:rPr>
        <w:t>.</w:t>
      </w:r>
    </w:p>
    <w:p>
      <w:pPr>
        <w:spacing w:after="0" w:line="115" w:lineRule="exact"/>
        <w:rPr>
          <w:sz w:val="20"/>
          <w:szCs w:val="20"/>
          <w:color w:val="auto"/>
        </w:rPr>
      </w:pPr>
    </w:p>
    <w:p>
      <w:pPr>
        <w:ind w:right="100" w:firstLine="436"/>
        <w:spacing w:after="0" w:line="253" w:lineRule="auto"/>
        <w:tabs>
          <w:tab w:leader="none" w:pos="8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Representatives may terminate this Agreement, by notice to the Company and the Selling Shareholders, at any time at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the Closing Time (i) if there has been, in the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or (iii) if trading in any securities of the Company has been suspended or materially limited by the Commission or the Nasdaq Global Select Market, or (iv) if trading generally on the NYSE MKT or the New York Stock Exchange or in the Nasdaq Global Select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85" w:lineRule="exact"/>
        <w:rPr>
          <w:rFonts w:ascii="Times New Roman" w:cs="Times New Roman" w:eastAsia="Times New Roman" w:hAnsi="Times New Roman"/>
          <w:sz w:val="18"/>
          <w:szCs w:val="18"/>
          <w:color w:val="auto"/>
        </w:rPr>
      </w:pPr>
    </w:p>
    <w:p>
      <w:pPr>
        <w:ind w:right="40" w:firstLine="436"/>
        <w:spacing w:after="0" w:line="267" w:lineRule="auto"/>
        <w:tabs>
          <w:tab w:leader="none" w:pos="83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If this Agreement is terminated pursuant to this Section, such termination shall be without liability of any party to any other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provided in Section 4 hereof, and provided further that Sections 1, 6, 7, 8, 14, 15, 16 and 17 shall survive such termination and remain in full force and effect.</w:t>
      </w:r>
    </w:p>
    <w:p>
      <w:pPr>
        <w:spacing w:after="0" w:line="175"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Default by One or More of the Underwriters</w:t>
      </w:r>
      <w:r>
        <w:rPr>
          <w:rFonts w:ascii="Times New Roman" w:cs="Times New Roman" w:eastAsia="Times New Roman" w:hAnsi="Times New Roman"/>
          <w:sz w:val="18"/>
          <w:szCs w:val="18"/>
          <w:color w:val="auto"/>
        </w:rPr>
        <w:t>. If one or more of the Underwriters shall fail at the Closing Time or a Date of Delivery to purchase the Securities which it or they are obligated to purchase under this Agreement (the “Defaulted Securities”),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24-hour period, then:</w:t>
      </w:r>
    </w:p>
    <w:p>
      <w:pPr>
        <w:spacing w:after="0" w:line="75" w:lineRule="exact"/>
        <w:rPr>
          <w:sz w:val="20"/>
          <w:szCs w:val="20"/>
          <w:color w:val="auto"/>
        </w:rPr>
      </w:pPr>
    </w:p>
    <w:p>
      <w:pPr>
        <w:ind w:left="440" w:right="220" w:firstLine="419"/>
        <w:spacing w:after="0" w:line="266" w:lineRule="auto"/>
        <w:tabs>
          <w:tab w:leader="none" w:pos="121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Defaulted Securities does not exceed one-eleventh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118" w:name="page119"/>
    <w:bookmarkEnd w:id="118"/>
    <w:p>
      <w:pPr>
        <w:ind w:left="444" w:right="120" w:firstLine="419"/>
        <w:spacing w:after="0" w:line="255" w:lineRule="auto"/>
        <w:tabs>
          <w:tab w:leader="none" w:pos="126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number of Defaulted Securities exceeds one-eleventh of the number of Securities to be purchased on such date, this Agreement or, with respect to any Date of Delivery which occurs after the Closing Time, the obligation of the Underwriters to purchase, and the Selling Shareholders to sell, the Option Securities to be purchased and sold on such Date of Delivery shall terminate without liability on the part of any non-defaulting Underwriter. Any termination of this Agreement pursuant to this Section 10(ii) shall be without liability on the part of the Company and the Selling Shareholders, except that the Company and the Selling Shareholders will continue to be liable for the payment of expenses as set forth in Section 4 hereof and except that the provisions of Section 6 and Section 7 hereof shall not terminate and shall remain in effect.</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ind w:left="4" w:right="140" w:firstLine="440"/>
        <w:spacing w:after="0" w:line="256" w:lineRule="auto"/>
        <w:rPr>
          <w:sz w:val="20"/>
          <w:szCs w:val="20"/>
          <w:color w:val="auto"/>
        </w:rPr>
      </w:pPr>
      <w:r>
        <w:rPr>
          <w:rFonts w:ascii="Times New Roman" w:cs="Times New Roman" w:eastAsia="Times New Roman" w:hAnsi="Times New Roman"/>
          <w:sz w:val="18"/>
          <w:szCs w:val="18"/>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Selling Shareholders to sell the relevant Option Securities, as the case may be, either the (i) Representatives or (ii) the Company and the Selling Shareholders shall have the right to postpone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87" w:lineRule="exact"/>
        <w:rPr>
          <w:sz w:val="20"/>
          <w:szCs w:val="20"/>
          <w:color w:val="auto"/>
        </w:rPr>
      </w:pPr>
    </w:p>
    <w:p>
      <w:pPr>
        <w:jc w:val="both"/>
        <w:ind w:left="4" w:right="420" w:firstLine="427"/>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 transmitted by any standard form of telecommunication. Notices to the Underwriters shall be directed to the Representatives as follows:</w:t>
      </w:r>
    </w:p>
    <w:p>
      <w:pPr>
        <w:ind w:left="4" w:right="340" w:hanging="4"/>
        <w:spacing w:after="0" w:line="251" w:lineRule="auto"/>
        <w:tabs>
          <w:tab w:leader="none" w:pos="21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care of BofA at One Bryant Park, New York, New York 10036, attention of Syndicate Department (facsimile: (646) 855-3073), with a copy to ECM Legal (facsimile: (212) 230-8730); (ii) in care of Goldman Sachs at 200 West Street, New York, New York 10282-2198, attention of Registration Department; and (iii) in care of Jefferies at 520 Madison Avenue, New York, New York 10022, attention of General Counsel (facsimile: (646) 619-4437); in each case, with a copy to Latham &amp; Watkins LLP, 1271 Avenue of the Americas, New York, New York 10020, attention of Ian Schuman. Notices to the Company shall be directed to it at 8725 Pendery Place, Bradenton, Florida 34201-2006, attention of General Counsel (facsimile: (941) 907-8933), with a copy to Weil, Gotshal &amp; Manages LLP, 767 Fifth Avenue, New York, New York 10153, attention of Alexander Lynch, Esq. Notices to the Selling Shareholders shall be given at the addresses provided in Schedule B, with a copy to Weil, Gotshal &amp; Manages LLP, 767 Fifth Avenue, New York, New York 10153, attention of Alexander Lynch, Esq.</w:t>
      </w:r>
    </w:p>
    <w:p>
      <w:pPr>
        <w:spacing w:after="0" w:line="194"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No Advisory or Fiduciary Relationship</w:t>
      </w:r>
      <w:r>
        <w:rPr>
          <w:rFonts w:ascii="Times New Roman" w:cs="Times New Roman" w:eastAsia="Times New Roman" w:hAnsi="Times New Roman"/>
          <w:sz w:val="17"/>
          <w:szCs w:val="17"/>
          <w:color w:val="auto"/>
        </w:rPr>
        <w:t>. Each of the Company and each Selling Shareholder acknowledges and agrees that (a) the purchase and sale of the Securities pursuant to this Agreement, including the determination of the public offering price of the Securities and any related discounts and commissions, is an arm’s-length commercial transaction between the Company and the Selling Shareholders, on the one hand, and the several Underwriters, on the other hand, and does not constitute a recommendation, investment advice, or solicitation of any action by the Underwriters,</w:t>
      </w:r>
    </w:p>
    <w:p>
      <w:pPr>
        <w:spacing w:after="0" w:line="3" w:lineRule="exact"/>
        <w:rPr>
          <w:sz w:val="20"/>
          <w:szCs w:val="20"/>
          <w:color w:val="auto"/>
        </w:rPr>
      </w:pPr>
    </w:p>
    <w:p>
      <w:pPr>
        <w:ind w:left="4" w:hanging="4"/>
        <w:spacing w:after="0" w:line="253" w:lineRule="auto"/>
        <w:tabs>
          <w:tab w:leader="none" w:pos="25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offering of the Securities and the process leading thereto, each Underwriter is and has been acting solely as a principal and is not the agent or fiduciary of the Company, any of its subsidiaries or any Selling Shareholder, or its respective stockholders, creditors, employees or any other party, (c) no Underwriter has assumed or will assume an advisory or fiduciary responsibility in favor of the Company or any Selling Shareholder with respect to the offering of the Securities or the process leading thereto (irrespective of whether such Underwriter has advised or is currently advising the Company, any of its subsidiaries or any Selling Shareholder on other matters) and no Underwriter has any obligation to the</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64"/>
          </w:cols>
          <w:pgMar w:left="436" w:top="270" w:right="499" w:bottom="1440" w:gutter="0" w:footer="0" w:header="0"/>
        </w:sectPr>
      </w:pPr>
    </w:p>
    <w:bookmarkStart w:id="119" w:name="page120"/>
    <w:bookmarkEnd w:id="119"/>
    <w:p>
      <w:pPr>
        <w:ind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or any Selling Shareholder with respect to the offering of the Securities except the obligations expressly set forth in this Agreement, (d) the Underwriters and their respective affiliates may be engaged in a broad range of transactions that involve interests that differ from those of each of the Company and each Selling Shareholder, and (e) the Underwriters have not provided any legal, accounting, regulatory, investment or tax advice with respect to the offering of the Securities and the Company and each of the Selling Shareholders has consulted its own respective legal, accounting, financial, regulatory and tax advisors to the extent it deemed appropriate, and (f) none of the activities of the Underwriters in connection with the transactions contemplated herein constitutes a recommendation, investment advice or solicitation of any action by the Underwriters with respect to any entity or natural person.</w:t>
      </w:r>
    </w:p>
    <w:p>
      <w:pPr>
        <w:spacing w:after="0" w:line="297" w:lineRule="exact"/>
        <w:rPr>
          <w:sz w:val="20"/>
          <w:szCs w:val="20"/>
          <w:color w:val="auto"/>
        </w:rPr>
      </w:pPr>
    </w:p>
    <w:p>
      <w:pPr>
        <w:ind w:left="4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7"/>
          <w:szCs w:val="17"/>
          <w:u w:val="single" w:color="auto"/>
          <w:color w:val="auto"/>
        </w:rPr>
        <w:t>Recognition of the U.S. Special Resolution Regimes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60" w:firstLine="436"/>
        <w:spacing w:after="0" w:line="261" w:lineRule="auto"/>
        <w:tabs>
          <w:tab w:leader="none" w:pos="8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jc w:val="both"/>
        <w:ind w:right="20" w:firstLine="436"/>
        <w:spacing w:after="0" w:line="261" w:lineRule="auto"/>
        <w:tabs>
          <w:tab w:leader="none" w:pos="83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For purposes of this Section 13,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8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This Agreement shall each inure to the benefit of and be binding upon the Underwriters, the Company and each of the Selling Shareholders and their respective successors. Nothing expressed or mentioned in this Agreement is intended or shall be construed to give any person, firm or corporation, other than the Underwriters, the Company and each of the Selling Shareholders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the Company and each of the Selling Shareholders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92"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Trial by Jury</w:t>
      </w:r>
      <w:r>
        <w:rPr>
          <w:rFonts w:ascii="Times New Roman" w:cs="Times New Roman" w:eastAsia="Times New Roman" w:hAnsi="Times New Roman"/>
          <w:sz w:val="18"/>
          <w:szCs w:val="18"/>
          <w:color w:val="auto"/>
        </w:rPr>
        <w:t>. The Company (on its behalf and, to the extent permitted by applicable law, on behalf of its stockholders and affiliates), each of the Selling Shareholders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120" w:name="page121"/>
    <w:bookmarkEnd w:id="120"/>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76"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17. </w:t>
      </w:r>
      <w:r>
        <w:rPr>
          <w:rFonts w:ascii="Times New Roman" w:cs="Times New Roman" w:eastAsia="Times New Roman" w:hAnsi="Times New Roman"/>
          <w:sz w:val="17"/>
          <w:szCs w:val="17"/>
          <w:u w:val="single" w:color="auto"/>
          <w:color w:val="auto"/>
        </w:rPr>
        <w:t>Consent to Jurisdiction; Waiver of Immunity</w:t>
      </w:r>
      <w:r>
        <w:rPr>
          <w:rFonts w:ascii="Times New Roman" w:cs="Times New Roman" w:eastAsia="Times New Roman" w:hAnsi="Times New Roman"/>
          <w:sz w:val="17"/>
          <w:szCs w:val="17"/>
          <w:color w:val="auto"/>
        </w:rPr>
        <w:t>. Any legal suit, action or proceeding arising out of or based upon this Agreement or the transactions contemplated hereby (“Related Proceedings”)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 “Related Judgment”),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Each party not located in the United States irrevocably appoints CT Corporation System as its agent to receive service of process or other legal summons for purposes of any such suit, action or proceeding that may be instituted in any state or federal court in the City and County of New York. 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179"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 TIME SHALL BE OF THE ESSENCE OF THIS AGREEMENT. EXCEPT AS OTHERWISE SET FORTH HEREIN, SPECIFIED TIMES OF DAY REFER TO NEW YORK CITY TIME.</w:t>
      </w:r>
    </w:p>
    <w:p>
      <w:pPr>
        <w:spacing w:after="0" w:line="162"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Compliance with 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and the Selling Shareholders, which information may include the name and address of their respective clients, as well as other information that will allow the Underwriters to properly identify their respective clients.</w:t>
      </w:r>
    </w:p>
    <w:p>
      <w:pPr>
        <w:spacing w:after="0" w:line="180" w:lineRule="exact"/>
        <w:rPr>
          <w:sz w:val="20"/>
          <w:szCs w:val="20"/>
          <w:color w:val="auto"/>
        </w:rPr>
      </w:pPr>
    </w:p>
    <w:p>
      <w:pPr>
        <w:ind w:right="340" w:firstLine="427"/>
        <w:spacing w:after="0" w:line="258"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Counterparts and Electronic Signatures</w:t>
      </w:r>
      <w:r>
        <w:rPr>
          <w:rFonts w:ascii="Times New Roman" w:cs="Times New Roman" w:eastAsia="Times New Roman" w:hAnsi="Times New Roman"/>
          <w:sz w:val="18"/>
          <w:szCs w:val="18"/>
          <w:color w:val="auto"/>
        </w:rPr>
        <w:t>. This Agreement may be executed in any number of counterparts, each of which shall be deemed to be an original, but all such counterparts shall together constitute one and the same Agreement.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spacing w:after="0" w:line="183" w:lineRule="exact"/>
        <w:rPr>
          <w:sz w:val="20"/>
          <w:szCs w:val="20"/>
          <w:color w:val="auto"/>
        </w:rPr>
      </w:pPr>
    </w:p>
    <w:p>
      <w:pPr>
        <w:jc w:val="center"/>
        <w:ind w:right="440"/>
        <w:spacing w:after="0" w:line="45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 32</w:t>
      </w:r>
    </w:p>
    <w:p>
      <w:pPr>
        <w:sectPr>
          <w:pgSz w:w="11900" w:h="16838" w:orient="portrait"/>
          <w:cols w:equalWidth="0" w:num="1">
            <w:col w:w="11000"/>
          </w:cols>
          <w:pgMar w:left="440" w:top="270" w:right="459" w:bottom="1440" w:gutter="0" w:footer="0" w:header="0"/>
        </w:sectPr>
      </w:pPr>
    </w:p>
    <w:bookmarkStart w:id="121" w:name="page122"/>
    <w:bookmarkEnd w:id="121"/>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of our agreement, please sign and return to the Company and the Selling Shareholders a counterpart hereof, whereupon this instrument, along with all counterparts, will become a binding agreement among the Underwriters, the Company and the Selling Shareholders in accordance with its terms.</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FIRST WATCH RESTAURANT GROUP,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[SELLING SHAREHOLDERS]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AND ACCEPTED,</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GOLDMAN SACHS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JEFFERIES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as Representatives of the other Underwriters named in Schedule A hereto.</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70" w:right="479" w:bottom="1440" w:gutter="0" w:footer="0" w:header="0"/>
        </w:sectPr>
      </w:pPr>
    </w:p>
    <w:bookmarkStart w:id="122" w:name="page123"/>
    <w:bookmarkEnd w:id="122"/>
    <w:p>
      <w:pPr>
        <w:ind w:left="4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public offering price per share for the Securities shall be $[ ● ].</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price per share for the Securities to be paid by the several Underwriters shall be $[ ● ], being an amount equal to the initial public offering price set forth above less $[ ● ] per share, subject to adjustment in accordance with Section 2(b) for dividends or distributions declared by the Company and payable on the Initial Securities but not payable on the Option Securities.</w:t>
      </w:r>
    </w:p>
    <w:p>
      <w:pPr>
        <w:spacing w:after="0" w:line="186"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 of Underwriter</w:t>
            </w:r>
          </w:p>
        </w:tc>
        <w:tc>
          <w:tcPr>
            <w:tcW w:w="3600" w:type="dxa"/>
            <w:vAlign w:val="bottom"/>
          </w:tcPr>
          <w:p>
            <w:pPr>
              <w:spacing w:after="0"/>
              <w:rPr>
                <w:sz w:val="13"/>
                <w:szCs w:val="13"/>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Number of</w:t>
            </w:r>
          </w:p>
        </w:tc>
        <w:tc>
          <w:tcPr>
            <w:tcW w:w="0" w:type="dxa"/>
            <w:vAlign w:val="bottom"/>
          </w:tcPr>
          <w:p>
            <w:pPr>
              <w:spacing w:after="0"/>
              <w:rPr>
                <w:sz w:val="1"/>
                <w:szCs w:val="1"/>
                <w:color w:val="auto"/>
              </w:rPr>
            </w:pPr>
          </w:p>
        </w:tc>
      </w:tr>
      <w:tr>
        <w:trPr>
          <w:trHeight w:val="171"/>
        </w:trPr>
        <w:tc>
          <w:tcPr>
            <w:tcW w:w="2820" w:type="dxa"/>
            <w:vAlign w:val="bottom"/>
            <w:vMerge w:val="continue"/>
          </w:tcPr>
          <w:p>
            <w:pPr>
              <w:spacing w:after="0"/>
              <w:rPr>
                <w:sz w:val="14"/>
                <w:szCs w:val="14"/>
                <w:color w:val="auto"/>
              </w:rPr>
            </w:pPr>
          </w:p>
        </w:tc>
        <w:tc>
          <w:tcPr>
            <w:tcW w:w="36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Initial Securities</w:t>
            </w:r>
          </w:p>
        </w:tc>
        <w:tc>
          <w:tcPr>
            <w:tcW w:w="0" w:type="dxa"/>
            <w:vAlign w:val="bottom"/>
          </w:tcPr>
          <w:p>
            <w:pPr>
              <w:spacing w:after="0"/>
              <w:rPr>
                <w:sz w:val="1"/>
                <w:szCs w:val="1"/>
                <w:color w:val="auto"/>
              </w:rPr>
            </w:pPr>
          </w:p>
        </w:tc>
      </w:tr>
      <w:tr>
        <w:trPr>
          <w:trHeight w:val="196"/>
        </w:trPr>
        <w:tc>
          <w:tcPr>
            <w:tcW w:w="28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BofA Securities, Inc.</w:t>
            </w:r>
          </w:p>
        </w:tc>
        <w:tc>
          <w:tcPr>
            <w:tcW w:w="36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and Co. LLC</w:t>
            </w:r>
          </w:p>
        </w:tc>
        <w:tc>
          <w:tcPr>
            <w:tcW w:w="3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3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36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[4,500,000]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820" w:type="dxa"/>
            <w:vAlign w:val="bottom"/>
          </w:tcPr>
          <w:p>
            <w:pPr>
              <w:spacing w:after="0"/>
              <w:rPr>
                <w:sz w:val="24"/>
                <w:szCs w:val="24"/>
                <w:color w:val="auto"/>
              </w:rPr>
            </w:pPr>
          </w:p>
        </w:tc>
        <w:tc>
          <w:tcPr>
            <w:tcW w:w="46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Sch A</w:t>
            </w:r>
          </w:p>
        </w:tc>
        <w:tc>
          <w:tcPr>
            <w:tcW w:w="0" w:type="dxa"/>
            <w:vAlign w:val="bottom"/>
          </w:tcPr>
          <w:p>
            <w:pPr>
              <w:spacing w:after="0"/>
              <w:rPr>
                <w:sz w:val="1"/>
                <w:szCs w:val="1"/>
                <w:color w:val="auto"/>
              </w:rPr>
            </w:pPr>
          </w:p>
        </w:tc>
      </w:tr>
    </w:tbl>
    <w:p>
      <w:pPr>
        <w:sectPr>
          <w:pgSz w:w="11900" w:h="16838" w:orient="portrait"/>
          <w:cols w:equalWidth="0" w:num="1">
            <w:col w:w="10940"/>
          </w:cols>
          <w:pgMar w:left="440" w:top="270" w:right="519"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Selling Shareholder</w:t>
            </w:r>
          </w:p>
        </w:tc>
        <w:tc>
          <w:tcPr>
            <w:tcW w:w="4700" w:type="dxa"/>
            <w:vAlign w:val="bottom"/>
          </w:tcPr>
          <w:p>
            <w:pPr>
              <w:spacing w:after="0"/>
              <w:rPr>
                <w:sz w:val="13"/>
                <w:szCs w:val="13"/>
                <w:color w:val="auto"/>
              </w:rPr>
            </w:pPr>
          </w:p>
        </w:tc>
        <w:tc>
          <w:tcPr>
            <w:tcW w:w="1540" w:type="dxa"/>
            <w:vAlign w:val="bottom"/>
            <w:gridSpan w:val="2"/>
          </w:tcPr>
          <w:p>
            <w:pPr>
              <w:jc w:val="right"/>
              <w:ind w:right="758"/>
              <w:spacing w:after="0"/>
              <w:rPr>
                <w:sz w:val="20"/>
                <w:szCs w:val="20"/>
                <w:color w:val="auto"/>
              </w:rPr>
            </w:pPr>
            <w:r>
              <w:rPr>
                <w:rFonts w:ascii="Times New Roman" w:cs="Times New Roman" w:eastAsia="Times New Roman" w:hAnsi="Times New Roman"/>
                <w:sz w:val="14"/>
                <w:szCs w:val="14"/>
                <w:color w:val="auto"/>
              </w:rPr>
              <w:t>Number of</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4"/>
                <w:szCs w:val="14"/>
                <w:color w:val="auto"/>
              </w:rPr>
              <w:t>Number of</w:t>
            </w:r>
          </w:p>
        </w:tc>
        <w:tc>
          <w:tcPr>
            <w:tcW w:w="0" w:type="dxa"/>
            <w:vAlign w:val="bottom"/>
          </w:tcPr>
          <w:p>
            <w:pPr>
              <w:spacing w:after="0"/>
              <w:rPr>
                <w:sz w:val="1"/>
                <w:szCs w:val="1"/>
                <w:color w:val="auto"/>
              </w:rPr>
            </w:pPr>
          </w:p>
        </w:tc>
      </w:tr>
      <w:tr>
        <w:trPr>
          <w:trHeight w:val="178"/>
        </w:trPr>
        <w:tc>
          <w:tcPr>
            <w:tcW w:w="1140" w:type="dxa"/>
            <w:vAlign w:val="bottom"/>
            <w:tcBorders>
              <w:bottom w:val="single" w:sz="8" w:color="auto"/>
            </w:tcBorders>
            <w:vMerge w:val="continue"/>
          </w:tcPr>
          <w:p>
            <w:pPr>
              <w:spacing w:after="0"/>
              <w:rPr>
                <w:sz w:val="15"/>
                <w:szCs w:val="15"/>
                <w:color w:val="auto"/>
              </w:rPr>
            </w:pPr>
          </w:p>
        </w:tc>
        <w:tc>
          <w:tcPr>
            <w:tcW w:w="4700" w:type="dxa"/>
            <w:vAlign w:val="bottom"/>
          </w:tcPr>
          <w:p>
            <w:pPr>
              <w:spacing w:after="0"/>
              <w:rPr>
                <w:sz w:val="15"/>
                <w:szCs w:val="15"/>
                <w:color w:val="auto"/>
              </w:rPr>
            </w:pPr>
          </w:p>
        </w:tc>
        <w:tc>
          <w:tcPr>
            <w:tcW w:w="1540" w:type="dxa"/>
            <w:vAlign w:val="bottom"/>
            <w:gridSpan w:val="2"/>
          </w:tcPr>
          <w:p>
            <w:pPr>
              <w:jc w:val="right"/>
              <w:ind w:right="658"/>
              <w:spacing w:after="0" w:line="158" w:lineRule="exact"/>
              <w:rPr>
                <w:sz w:val="20"/>
                <w:szCs w:val="20"/>
                <w:color w:val="auto"/>
              </w:rPr>
            </w:pPr>
            <w:r>
              <w:rPr>
                <w:rFonts w:ascii="Times New Roman" w:cs="Times New Roman" w:eastAsia="Times New Roman" w:hAnsi="Times New Roman"/>
                <w:sz w:val="14"/>
                <w:szCs w:val="14"/>
                <w:color w:val="auto"/>
                <w:w w:val="99"/>
              </w:rPr>
              <w:t>Initial Shares:</w:t>
            </w:r>
          </w:p>
        </w:tc>
        <w:tc>
          <w:tcPr>
            <w:tcW w:w="980" w:type="dxa"/>
            <w:vAlign w:val="bottom"/>
            <w:gridSpan w:val="2"/>
          </w:tcPr>
          <w:p>
            <w:pPr>
              <w:jc w:val="right"/>
              <w:ind w:right="21"/>
              <w:spacing w:after="0" w:line="158" w:lineRule="exact"/>
              <w:rPr>
                <w:sz w:val="20"/>
                <w:szCs w:val="20"/>
                <w:color w:val="auto"/>
              </w:rPr>
            </w:pPr>
            <w:r>
              <w:rPr>
                <w:rFonts w:ascii="Times New Roman" w:cs="Times New Roman" w:eastAsia="Times New Roman" w:hAnsi="Times New Roman"/>
                <w:sz w:val="14"/>
                <w:szCs w:val="14"/>
                <w:color w:val="auto"/>
              </w:rPr>
              <w:t>Option Shares:</w:t>
            </w:r>
          </w:p>
        </w:tc>
        <w:tc>
          <w:tcPr>
            <w:tcW w:w="0" w:type="dxa"/>
            <w:vAlign w:val="bottom"/>
          </w:tcPr>
          <w:p>
            <w:pPr>
              <w:spacing w:after="0"/>
              <w:rPr>
                <w:sz w:val="1"/>
                <w:szCs w:val="1"/>
                <w:color w:val="auto"/>
              </w:rPr>
            </w:pPr>
          </w:p>
        </w:tc>
      </w:tr>
      <w:tr>
        <w:trPr>
          <w:trHeight w:val="217"/>
        </w:trPr>
        <w:tc>
          <w:tcPr>
            <w:tcW w:w="1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47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 ●</w:t>
            </w:r>
          </w:p>
        </w:tc>
        <w:tc>
          <w:tcPr>
            <w:tcW w:w="740" w:type="dxa"/>
            <w:vAlign w:val="bottom"/>
            <w:tcBorders>
              <w:top w:val="single" w:sz="8" w:color="CCEEFF"/>
            </w:tcBorders>
            <w:shd w:val="clear" w:color="auto" w:fill="CCEEFF"/>
          </w:tcPr>
          <w:p>
            <w:pPr>
              <w:jc w:val="right"/>
              <w:ind w:right="59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 ●</w:t>
            </w:r>
          </w:p>
        </w:tc>
        <w:tc>
          <w:tcPr>
            <w:tcW w:w="120" w:type="dxa"/>
            <w:vAlign w:val="bottom"/>
            <w:tcBorders>
              <w:top w:val="single" w:sz="8" w:color="CCEEFF"/>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w w:val="89"/>
              </w:rPr>
              <w:t>]</w:t>
            </w: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4700" w:type="dxa"/>
            <w:vAlign w:val="bottom"/>
          </w:tcPr>
          <w:p>
            <w:pPr>
              <w:spacing w:after="0"/>
              <w:rPr>
                <w:sz w:val="22"/>
                <w:szCs w:val="22"/>
                <w:color w:val="auto"/>
              </w:rPr>
            </w:pPr>
          </w:p>
        </w:tc>
        <w:tc>
          <w:tcPr>
            <w:tcW w:w="1540" w:type="dxa"/>
            <w:vAlign w:val="bottom"/>
            <w:gridSpan w:val="2"/>
          </w:tcPr>
          <w:p>
            <w:pPr>
              <w:jc w:val="right"/>
              <w:ind w:right="598"/>
              <w:spacing w:after="0"/>
              <w:rPr>
                <w:sz w:val="20"/>
                <w:szCs w:val="20"/>
                <w:color w:val="auto"/>
              </w:rPr>
            </w:pPr>
            <w:r>
              <w:rPr>
                <w:rFonts w:ascii="Times New Roman" w:cs="Times New Roman" w:eastAsia="Times New Roman" w:hAnsi="Times New Roman"/>
                <w:sz w:val="20"/>
                <w:szCs w:val="20"/>
                <w:color w:val="auto"/>
              </w:rPr>
              <w:t>[ ●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w:t>
            </w:r>
          </w:p>
        </w:tc>
        <w:tc>
          <w:tcPr>
            <w:tcW w:w="0" w:type="dxa"/>
            <w:vAlign w:val="bottom"/>
          </w:tcPr>
          <w:p>
            <w:pPr>
              <w:spacing w:after="0"/>
              <w:rPr>
                <w:sz w:val="1"/>
                <w:szCs w:val="1"/>
                <w:color w:val="auto"/>
              </w:rPr>
            </w:pPr>
          </w:p>
        </w:tc>
      </w:tr>
      <w:tr>
        <w:trPr>
          <w:trHeight w:val="336"/>
        </w:trPr>
        <w:tc>
          <w:tcPr>
            <w:tcW w:w="1140" w:type="dxa"/>
            <w:vAlign w:val="bottom"/>
          </w:tcPr>
          <w:p>
            <w:pPr>
              <w:spacing w:after="0"/>
              <w:rPr>
                <w:sz w:val="24"/>
                <w:szCs w:val="24"/>
                <w:color w:val="auto"/>
              </w:rPr>
            </w:pPr>
          </w:p>
        </w:tc>
        <w:tc>
          <w:tcPr>
            <w:tcW w:w="6240" w:type="dxa"/>
            <w:vAlign w:val="bottom"/>
            <w:gridSpan w:val="3"/>
          </w:tcPr>
          <w:p>
            <w:pPr>
              <w:jc w:val="right"/>
              <w:ind w:right="2898"/>
              <w:spacing w:after="0"/>
              <w:rPr>
                <w:sz w:val="20"/>
                <w:szCs w:val="20"/>
                <w:color w:val="auto"/>
              </w:rPr>
            </w:pPr>
            <w:r>
              <w:rPr>
                <w:rFonts w:ascii="Times New Roman" w:cs="Times New Roman" w:eastAsia="Times New Roman" w:hAnsi="Times New Roman"/>
                <w:sz w:val="18"/>
                <w:szCs w:val="18"/>
                <w:color w:val="auto"/>
              </w:rPr>
              <w:t>Sch B</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24" w:name="page125"/>
    <w:bookmarkEnd w:id="124"/>
    <w:p>
      <w:pPr>
        <w:jc w:val="center"/>
        <w:ind w:right="-18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C-1</w:t>
      </w:r>
    </w:p>
    <w:p>
      <w:pPr>
        <w:spacing w:after="0" w:line="225"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u w:val="single" w:color="auto"/>
          <w:color w:val="auto"/>
        </w:rPr>
        <w:t>Pricing Terms</w:t>
      </w:r>
    </w:p>
    <w:p>
      <w:pPr>
        <w:spacing w:after="0" w:line="225" w:lineRule="exact"/>
        <w:rPr>
          <w:sz w:val="20"/>
          <w:szCs w:val="20"/>
          <w:color w:val="auto"/>
        </w:rPr>
      </w:pPr>
    </w:p>
    <w:p>
      <w:pPr>
        <w:ind w:left="304" w:hanging="304"/>
        <w:spacing w:after="0"/>
        <w:tabs>
          <w:tab w:leader="none" w:pos="30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Shareholders are selling [4,500,000] shares of Common Stock.</w:t>
      </w:r>
    </w:p>
    <w:p>
      <w:pPr>
        <w:spacing w:after="0" w:line="225" w:lineRule="exact"/>
        <w:rPr>
          <w:rFonts w:ascii="Times New Roman" w:cs="Times New Roman" w:eastAsia="Times New Roman" w:hAnsi="Times New Roman"/>
          <w:sz w:val="18"/>
          <w:szCs w:val="18"/>
          <w:color w:val="auto"/>
        </w:rPr>
      </w:pPr>
    </w:p>
    <w:p>
      <w:pPr>
        <w:ind w:left="4" w:hanging="4"/>
        <w:spacing w:after="0" w:line="282" w:lineRule="auto"/>
        <w:tabs>
          <w:tab w:leader="none" w:pos="31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Shareholders have granted an option to the Underwriters, severally and not jointly, to purchase up to an additional [675,000] shares of Common Stock.</w:t>
      </w:r>
    </w:p>
    <w:p>
      <w:pPr>
        <w:spacing w:after="0" w:line="161"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per share for the Securities shall be $[ ● ].</w:t>
      </w:r>
    </w:p>
    <w:p>
      <w:pPr>
        <w:spacing w:after="0" w:line="200" w:lineRule="exact"/>
        <w:rPr>
          <w:sz w:val="20"/>
          <w:szCs w:val="20"/>
          <w:color w:val="auto"/>
        </w:rPr>
      </w:pPr>
    </w:p>
    <w:p>
      <w:pPr>
        <w:spacing w:after="0" w:line="241"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color w:val="auto"/>
        </w:rPr>
        <w:t>SCHEDULE C-2</w:t>
      </w:r>
    </w:p>
    <w:p>
      <w:pPr>
        <w:spacing w:after="0" w:line="225"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u w:val="single" w:color="auto"/>
          <w:color w:val="auto"/>
        </w:rPr>
        <w:t>Free Writing Prospectuses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Electronic Roadshow, dated September, 2022.</w:t>
      </w:r>
    </w:p>
    <w:p>
      <w:pPr>
        <w:spacing w:after="0" w:line="158"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color w:val="auto"/>
        </w:rPr>
        <w:t>Sch C</w:t>
      </w:r>
    </w:p>
    <w:p>
      <w:pPr>
        <w:sectPr>
          <w:pgSz w:w="11900" w:h="16838" w:orient="portrait"/>
          <w:cols w:equalWidth="0" w:num="1">
            <w:col w:w="10824"/>
          </w:cols>
          <w:pgMar w:left="436" w:top="270" w:right="639" w:bottom="1440" w:gutter="0" w:footer="0" w:header="0"/>
        </w:sectPr>
      </w:pPr>
    </w:p>
    <w:bookmarkStart w:id="125" w:name="page126"/>
    <w:bookmarkEnd w:id="125"/>
    <w:p>
      <w:pPr>
        <w:jc w:val="center"/>
        <w:ind w:righ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D</w:t>
      </w:r>
    </w:p>
    <w:p>
      <w:pPr>
        <w:spacing w:after="0" w:line="225" w:lineRule="exact"/>
        <w:rPr>
          <w:sz w:val="20"/>
          <w:szCs w:val="20"/>
          <w:color w:val="auto"/>
        </w:rPr>
      </w:pPr>
    </w:p>
    <w:p>
      <w:pPr>
        <w:jc w:val="right"/>
        <w:ind w:right="2819"/>
        <w:spacing w:after="0"/>
        <w:rPr>
          <w:sz w:val="20"/>
          <w:szCs w:val="20"/>
          <w:color w:val="auto"/>
        </w:rPr>
      </w:pPr>
      <w:r>
        <w:rPr>
          <w:rFonts w:ascii="Times New Roman" w:cs="Times New Roman" w:eastAsia="Times New Roman" w:hAnsi="Times New Roman"/>
          <w:sz w:val="18"/>
          <w:szCs w:val="18"/>
          <w:u w:val="single" w:color="auto"/>
          <w:color w:val="auto"/>
        </w:rPr>
        <w:t>List of Persons and Entities Subject to Lock-up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Advent International GPE VIII Limited Partnership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Advent International GPE VIII-B-1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Advent International GPE VIII-B-2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Advent International GPE VIII-B-3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Advent International GPE VIII-A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Advent International GPE VIII-B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Advent International GPE VIII-C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Advent International GPE VIII-D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Advent International GPE VIII-E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Advent International GPE VIII-F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Advent International GPE VIII-G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Advent International GPE VIII-H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Advent International GPE VIII-I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Advent International GPE VIII-J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Advent International GPE VIII-K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Advent International GPE VIII-L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Advent Partners GPE VIII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Advent Partners GPE VIII Cayman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Advent Partners GPE VIII-A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Advent Partners GPE VIII-A Cayman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Advent Partners GPE VIII-B Cayman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Raul Alvarez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Kussell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Bradley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Lilak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Tricia Glynn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White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Tomasso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Hartman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 Sorensen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Jay Wolszczak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 Hope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Calum Middleton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Jones</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Sch D</w:t>
      </w:r>
    </w:p>
    <w:p>
      <w:pPr>
        <w:sectPr>
          <w:pgSz w:w="11900" w:h="16838" w:orient="portrait"/>
          <w:cols w:equalWidth="0" w:num="1">
            <w:col w:w="10019"/>
          </w:cols>
          <w:pgMar w:left="440" w:top="270" w:right="1440"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OPINION OF COMPANY’S COUNSEL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BE DELIVERED PURSUANT TO SECTION 5(b)</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[Weil to provide separately]</w:t>
      </w:r>
    </w:p>
    <w:p>
      <w:pPr>
        <w:sectPr>
          <w:pgSz w:w="11900" w:h="16838" w:orient="portrait"/>
          <w:cols w:equalWidth="0" w:num="1">
            <w:col w:w="9019"/>
          </w:cols>
          <w:pgMar w:left="1440" w:top="270" w:right="1440"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OPINION OF COUNSELS FOR THE SELLING SHAREHOLDERS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DELIVERED PURSUANT TO SECTION 5(c)</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[Weil to provide separately]</w:t>
      </w:r>
    </w:p>
    <w:p>
      <w:pPr>
        <w:sectPr>
          <w:pgSz w:w="11900" w:h="16838" w:orient="portrait"/>
          <w:cols w:equalWidth="0" w:num="1">
            <w:col w:w="9019"/>
          </w:cols>
          <w:pgMar w:left="1440" w:top="270" w:right="1440"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lock-up from directors, officers or other stockholders pursuant to Section 5(l)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 ● ],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Representatives of the several</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Underwriters to be named in the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within mentioned Underwriting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4201 Congress Street, Suite 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 28209</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Proposed Public Offering of Common Stock of First Watch Restaurant Group,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ind w:right="320" w:firstLine="440"/>
        <w:spacing w:after="0" w:line="277" w:lineRule="auto"/>
        <w:rPr>
          <w:sz w:val="20"/>
          <w:szCs w:val="20"/>
          <w:color w:val="auto"/>
        </w:rPr>
      </w:pPr>
      <w:r>
        <w:rPr>
          <w:rFonts w:ascii="Times New Roman" w:cs="Times New Roman" w:eastAsia="Times New Roman" w:hAnsi="Times New Roman"/>
          <w:sz w:val="17"/>
          <w:szCs w:val="17"/>
          <w:color w:val="auto"/>
        </w:rPr>
        <w:t>The undersigned, a securityholder, officer and/or director of First Watch Restaurant Group, Inc., a Delaware corporation (the “Company”), understands that BofA Securities, Inc., Goldman Sachs &amp; Co. LLC and Jefferies LLC (collectively, the “Representatives”) propose to enter into an Underwriting Agreement (the “Underwriting Agreement”) with the Company and the Selling Shareholders listed on Schedule B to the Underwriting Agreement, providing for the public offering (the “Public Offering”) of shares of the Company’s common stock, par value $0.01 per share (the “Common Stock”). Capitalized terms used herein and not otherwise defined shall have the meanings set forth in the Underwriting Agreement.</w:t>
      </w:r>
    </w:p>
    <w:p>
      <w:pPr>
        <w:spacing w:after="0" w:line="16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consideration of the Representatives’ agreement to purchase and make the Public Offering of the Common Stock, and for other good and valuable consideration receipt of which is hereby acknowledged, the undersigned hereby agrees that, without the prior written consent of the Representatives, the undersigned will not, and will not cause any direct or indirect affiliate to, during the period beginning on the date of this letter agreement (this “Letter Agreement”) and ending at the close of business 75 days after the date of the final prospectus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whether now owned or hereafter acquired by the undersigned or with respect to which the undersigned has or hereafter acquires the power of disposition (including without limitation, Common Stock or such other securities which may be deemed to be</w:t>
      </w:r>
    </w:p>
    <w:p>
      <w:pPr>
        <w:sectPr>
          <w:pgSz w:w="11900" w:h="16838" w:orient="portrait"/>
          <w:cols w:equalWidth="0" w:num="1">
            <w:col w:w="11000"/>
          </w:cols>
          <w:pgMar w:left="440" w:top="266" w:right="459" w:bottom="1440" w:gutter="0" w:footer="0" w:header="0"/>
        </w:sectPr>
      </w:pPr>
    </w:p>
    <w:bookmarkStart w:id="129" w:name="page130"/>
    <w:bookmarkEnd w:id="129"/>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beneficially owned by the undersigned in accordance with the rules and regulations of the Securities and Exchange Commission and securities which may be issued upon exercise of a stock option or warrant) (collectively,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or (3) 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loan, pledge or other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Common Stock or other securities, in cash or otherwise (any such sale, loan, pledge or other disposition, or transfer of economic consequences, a “Transfer”).</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foregoing, the undersigned may:</w:t>
      </w:r>
    </w:p>
    <w:p>
      <w:pPr>
        <w:spacing w:after="0" w:line="225" w:lineRule="exact"/>
        <w:rPr>
          <w:sz w:val="20"/>
          <w:szCs w:val="20"/>
          <w:color w:val="auto"/>
        </w:rPr>
      </w:pPr>
    </w:p>
    <w:p>
      <w:pPr>
        <w:ind w:left="820" w:hanging="384"/>
        <w:spacing w:after="0"/>
        <w:tabs>
          <w:tab w:leader="none" w:pos="8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undersigned’s Lock-Up Securities:</w:t>
      </w:r>
    </w:p>
    <w:p>
      <w:pPr>
        <w:spacing w:after="0" w:line="117"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 or for bona fide estate planning purposes,</w:t>
      </w:r>
    </w:p>
    <w:p>
      <w:pPr>
        <w:spacing w:after="0" w:line="117"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other testamentary document or intestacy,</w:t>
      </w:r>
    </w:p>
    <w:p>
      <w:pPr>
        <w:spacing w:after="0" w:line="117" w:lineRule="exact"/>
        <w:rPr>
          <w:rFonts w:ascii="Times New Roman" w:cs="Times New Roman" w:eastAsia="Times New Roman" w:hAnsi="Times New Roman"/>
          <w:sz w:val="18"/>
          <w:szCs w:val="18"/>
          <w:color w:val="auto"/>
        </w:rPr>
      </w:pPr>
    </w:p>
    <w:p>
      <w:pPr>
        <w:jc w:val="both"/>
        <w:ind w:left="980" w:firstLine="7"/>
        <w:spacing w:after="0" w:line="261" w:lineRule="auto"/>
        <w:tabs>
          <w:tab w:leader="none" w:pos="143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partnership, limited liability company or other entity for the direct or indirect benefit of the undersigned, the immediate family or affiliate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pacing w:after="0" w:line="71" w:lineRule="exact"/>
        <w:rPr>
          <w:rFonts w:ascii="Times New Roman" w:cs="Times New Roman" w:eastAsia="Times New Roman" w:hAnsi="Times New Roman"/>
          <w:sz w:val="18"/>
          <w:szCs w:val="18"/>
          <w:color w:val="auto"/>
        </w:rPr>
      </w:pPr>
    </w:p>
    <w:p>
      <w:pPr>
        <w:ind w:left="980" w:right="140" w:firstLine="7"/>
        <w:spacing w:after="0" w:line="282" w:lineRule="auto"/>
        <w:tabs>
          <w:tab w:leader="none" w:pos="142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partnership, limited liability company or other entity of which the undersigned and the immediate family of the undersigned are the legal and beneficial owner of all of the outstanding equity securities or similar interests,</w:t>
      </w:r>
    </w:p>
    <w:p>
      <w:pPr>
        <w:spacing w:after="0" w:line="53"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immediate family member or any investment fund or other entity controlled or managed by the undersigned,</w:t>
      </w:r>
    </w:p>
    <w:p>
      <w:pPr>
        <w:spacing w:after="0" w:line="117" w:lineRule="exact"/>
        <w:rPr>
          <w:rFonts w:ascii="Times New Roman" w:cs="Times New Roman" w:eastAsia="Times New Roman" w:hAnsi="Times New Roman"/>
          <w:sz w:val="18"/>
          <w:szCs w:val="18"/>
          <w:color w:val="auto"/>
        </w:rPr>
      </w:pPr>
    </w:p>
    <w:p>
      <w:pPr>
        <w:ind w:left="980" w:firstLine="7"/>
        <w:spacing w:after="0" w:line="255" w:lineRule="auto"/>
        <w:tabs>
          <w:tab w:leader="none" w:pos="142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limited partners, limited liability company members or shareholders of the undersigned, or holders of similar equity interests in the undersigned,</w:t>
      </w:r>
    </w:p>
    <w:p>
      <w:pPr>
        <w:sectPr>
          <w:pgSz w:w="11900" w:h="16838" w:orient="portrait"/>
          <w:cols w:equalWidth="0" w:num="1">
            <w:col w:w="10980"/>
          </w:cols>
          <w:pgMar w:left="440" w:top="270" w:right="479" w:bottom="1440" w:gutter="0" w:footer="0" w:header="0"/>
        </w:sectPr>
      </w:pPr>
    </w:p>
    <w:bookmarkStart w:id="130" w:name="page131"/>
    <w:bookmarkEnd w:id="130"/>
    <w:p>
      <w:pPr>
        <w:ind w:left="1480" w:hanging="493"/>
        <w:spacing w:after="0"/>
        <w:tabs>
          <w:tab w:leader="none" w:pos="14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operation of law, such as pursuant to a qualified domestic order, divorce settlement, divorce decree or separation agreement,</w:t>
      </w:r>
    </w:p>
    <w:p>
      <w:pPr>
        <w:spacing w:after="0" w:line="117" w:lineRule="exact"/>
        <w:rPr>
          <w:rFonts w:ascii="Times New Roman" w:cs="Times New Roman" w:eastAsia="Times New Roman" w:hAnsi="Times New Roman"/>
          <w:sz w:val="18"/>
          <w:szCs w:val="18"/>
          <w:color w:val="auto"/>
        </w:rPr>
      </w:pPr>
    </w:p>
    <w:p>
      <w:pPr>
        <w:ind w:left="1520" w:hanging="533"/>
        <w:spacing w:after="0"/>
        <w:tabs>
          <w:tab w:leader="none" w:pos="15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disposition or transfer would be permissible under clauses (i) through</w:t>
      </w:r>
    </w:p>
    <w:p>
      <w:pPr>
        <w:spacing w:after="0" w:line="27"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98"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order of a court or regulatory agency having jurisdiction over the undersigned,</w:t>
      </w:r>
    </w:p>
    <w:p>
      <w:pPr>
        <w:spacing w:after="0" w:line="117" w:lineRule="exact"/>
        <w:rPr>
          <w:rFonts w:ascii="Times New Roman" w:cs="Times New Roman" w:eastAsia="Times New Roman" w:hAnsi="Times New Roman"/>
          <w:sz w:val="18"/>
          <w:szCs w:val="18"/>
          <w:color w:val="auto"/>
        </w:rPr>
      </w:pPr>
    </w:p>
    <w:p>
      <w:pPr>
        <w:jc w:val="both"/>
        <w:ind w:left="980" w:right="40" w:firstLine="7"/>
        <w:spacing w:after="0" w:line="266" w:lineRule="auto"/>
        <w:tabs>
          <w:tab w:leader="none" w:pos="137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from an employee of the Company upon death, disability or termination of employment or other service relationship with the Company or the undersigned’s failure to meet certain conditions set out upon receipt of such Lock-Up Securities, in each case, of such employee,</w:t>
      </w:r>
    </w:p>
    <w:p>
      <w:pPr>
        <w:spacing w:after="0" w:line="67" w:lineRule="exact"/>
        <w:rPr>
          <w:rFonts w:ascii="Times New Roman" w:cs="Times New Roman" w:eastAsia="Times New Roman" w:hAnsi="Times New Roman"/>
          <w:sz w:val="18"/>
          <w:szCs w:val="18"/>
          <w:color w:val="auto"/>
        </w:rPr>
      </w:pPr>
    </w:p>
    <w:p>
      <w:pPr>
        <w:ind w:left="980" w:right="240" w:firstLine="7"/>
        <w:spacing w:after="0" w:line="282" w:lineRule="auto"/>
        <w:tabs>
          <w:tab w:leader="none" w:pos="14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a sale of the undersigned’s Lock-Up Securities acquired in open market transactions after the closing date for the Public Offering,</w:t>
      </w:r>
    </w:p>
    <w:p>
      <w:pPr>
        <w:spacing w:after="0" w:line="53" w:lineRule="exact"/>
        <w:rPr>
          <w:rFonts w:ascii="Times New Roman" w:cs="Times New Roman" w:eastAsia="Times New Roman" w:hAnsi="Times New Roman"/>
          <w:sz w:val="18"/>
          <w:szCs w:val="18"/>
          <w:color w:val="auto"/>
        </w:rPr>
      </w:pPr>
    </w:p>
    <w:p>
      <w:pPr>
        <w:ind w:left="980" w:firstLine="7"/>
        <w:spacing w:after="0" w:line="255" w:lineRule="auto"/>
        <w:tabs>
          <w:tab w:leader="none" w:pos="147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provided that any such shares of Common Stock received upon such exercise, vesting or settlement shall be subject to the terms of this Letter Agreement, and provided further that any such restricted stock units, options, warrants or rights are held by the undersigned pursuant to an agreement or equity awards granted under a stock incentive plan or other equity award plan, each such agreement or plan which is described in the Registration Statement, the General Disclosure Package and the Prospectus, or</w:t>
      </w:r>
    </w:p>
    <w:p>
      <w:pPr>
        <w:spacing w:after="0" w:line="80" w:lineRule="exact"/>
        <w:rPr>
          <w:rFonts w:ascii="Times New Roman" w:cs="Times New Roman" w:eastAsia="Times New Roman" w:hAnsi="Times New Roman"/>
          <w:sz w:val="18"/>
          <w:szCs w:val="18"/>
          <w:color w:val="auto"/>
        </w:rPr>
      </w:pPr>
    </w:p>
    <w:p>
      <w:pPr>
        <w:ind w:left="980" w:right="60" w:firstLine="7"/>
        <w:spacing w:after="0" w:line="255" w:lineRule="auto"/>
        <w:tabs>
          <w:tab w:leader="none" w:pos="1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such tender offer, merger, consolidation or other similar transaction is not completed, the undersigned’s Lock-Up Securities shall remain subject to the provisions of this Letter Agreement;</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 the case of any transfer or distribution pursuant to clause (a)(i), (ii), (iii), (iv), (v), (vi) and (viii) , such transfer shall not involve a disposition for value and each donee, devisee, transferee or distributee shall execute and deliver to the Representatives a lock-up letter in the form of this Letter Agreement, (B) in the case of any transfer or distribution pursuant to clause (a) (i), (iii), (iv), (v), (vi) and (ix) no filing by any party (donor, donee, devisee, transferor, transferee, distributer or distributee) under the Securities Exchange Act of 1934, as amended (the “Exchange Act”), or other public announcement shall be required or shall be made voluntarily in connection with such transfer or distribution (other than a filing on a Form 5 made after the expiration of the Restricted Period referred to above) and (C) in the case of any transfer or distribution pursuant to clause (a) (ii), (vii), (viii), (ix), (xi) and (xii) it shall be a condition to such transfer that no public filing, report or announcement shall be voluntarily made and if any filing under</w:t>
      </w:r>
    </w:p>
    <w:p>
      <w:pPr>
        <w:sectPr>
          <w:pgSz w:w="11900" w:h="16838" w:orient="portrait"/>
          <w:cols w:equalWidth="0" w:num="1">
            <w:col w:w="11000"/>
          </w:cols>
          <w:pgMar w:left="440" w:top="270" w:right="459" w:bottom="1440" w:gutter="0" w:footer="0" w:header="0"/>
        </w:sectPr>
      </w:pPr>
    </w:p>
    <w:bookmarkStart w:id="131" w:name="page132"/>
    <w:bookmarkEnd w:id="131"/>
    <w:p>
      <w:pPr>
        <w:jc w:val="both"/>
        <w:ind w:left="4"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w:t>
      </w:r>
    </w:p>
    <w:p>
      <w:pPr>
        <w:spacing w:after="0" w:line="176" w:lineRule="exact"/>
        <w:rPr>
          <w:sz w:val="20"/>
          <w:szCs w:val="20"/>
          <w:color w:val="auto"/>
        </w:rPr>
      </w:pPr>
    </w:p>
    <w:p>
      <w:pPr>
        <w:ind w:left="4" w:right="60" w:firstLine="436"/>
        <w:spacing w:after="0" w:line="266" w:lineRule="auto"/>
        <w:tabs>
          <w:tab w:leader="none" w:pos="83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outstanding options, settle restricted stock units or other equity awards or exercise warrants pursuant to plans described in the Registration Statement, the General Disclosure Package and the Prospectus; provided that any Lock-Up Securities received upon such exercise, vesting or settlement shall be subject to the terms of this Letter Agreement;</w:t>
      </w:r>
    </w:p>
    <w:p>
      <w:pPr>
        <w:spacing w:after="0" w:line="175" w:lineRule="exact"/>
        <w:rPr>
          <w:rFonts w:ascii="Times New Roman" w:cs="Times New Roman" w:eastAsia="Times New Roman" w:hAnsi="Times New Roman"/>
          <w:sz w:val="18"/>
          <w:szCs w:val="18"/>
          <w:color w:val="auto"/>
        </w:rPr>
      </w:pPr>
    </w:p>
    <w:p>
      <w:pPr>
        <w:ind w:left="4" w:firstLine="436"/>
        <w:spacing w:after="0" w:line="266" w:lineRule="auto"/>
        <w:tabs>
          <w:tab w:leader="none" w:pos="82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outstanding preferred stock, warrants to acquire preferred stock or convertible securities into shares of Common Stock or warrants to acquire shares of Common Stock; provided that any such shares of Common Stock or warrants received upon such conversion shall be subject to the terms of this Letter Agreement; and</w:t>
      </w:r>
    </w:p>
    <w:p>
      <w:pPr>
        <w:spacing w:after="0" w:line="175" w:lineRule="exact"/>
        <w:rPr>
          <w:rFonts w:ascii="Times New Roman" w:cs="Times New Roman" w:eastAsia="Times New Roman" w:hAnsi="Times New Roman"/>
          <w:sz w:val="18"/>
          <w:szCs w:val="18"/>
          <w:color w:val="auto"/>
        </w:rPr>
      </w:pPr>
    </w:p>
    <w:p>
      <w:pPr>
        <w:ind w:left="824" w:hanging="384"/>
        <w:spacing w:after="0"/>
        <w:tabs>
          <w:tab w:leader="none" w:pos="82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establish trading plans pursuant to Rule 10b5-1 under the Exchange Act for the transfer of shares of Lock-Up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7" w:lineRule="exact"/>
        <w:rPr>
          <w:rFonts w:ascii="Times New Roman" w:cs="Times New Roman" w:eastAsia="Times New Roman" w:hAnsi="Times New Roman"/>
          <w:sz w:val="18"/>
          <w:szCs w:val="18"/>
          <w:color w:val="auto"/>
        </w:rPr>
      </w:pPr>
    </w:p>
    <w:p>
      <w:pPr>
        <w:ind w:left="4" w:right="100" w:hanging="4"/>
        <w:spacing w:after="0" w:line="253" w:lineRule="auto"/>
        <w:tabs>
          <w:tab w:leader="none" w:pos="25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plans do not provide for the transfer of Lock-Up Securities during the Restricted Period and (2) no filing by any party under the Exchange Act or other public announcement shall be required or made voluntarily in connection with such trading plan and any public announcement or filing under the Exchange Act made by any person regarding the establishment of such plan during the Restricted Period shall include a statement that the undersigned is not permitted to transfer, sell or otherwise dispose of securities under such plan during the Restricted Period in contravention of this Letter Agreement.</w:t>
      </w:r>
    </w:p>
    <w:p>
      <w:pPr>
        <w:spacing w:after="0" w:line="187"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(i) the Representatives on behalf of the Underwriters agree that, at least three business days before the effective date of any release or waiver of the foregoing restrictions in connection with a transfer of shares of Lock-Up Securities, the Representatives on behalf of the Underwriters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the Representatives on behalf of the Underwriters hereunder to any such officer or director shall only be effective two business days after the publication date of such announcement. The provisions of this paragraph will not apply if (a) the release or waiver is effected solely to permit a transfer not for consideration or that is to an immediate family member as defined in FINRA Rule 5130(i)(5) and (b) the transferee has agreed in writing to be bound by the same terms described in this letter to the extent and for the duration that such terms remain in effect at the time of the transfer.</w:t>
      </w:r>
    </w:p>
    <w:p>
      <w:pPr>
        <w:spacing w:after="0" w:line="188" w:lineRule="exact"/>
        <w:rPr>
          <w:sz w:val="20"/>
          <w:szCs w:val="20"/>
          <w:color w:val="auto"/>
        </w:rPr>
      </w:pPr>
    </w:p>
    <w:p>
      <w:pPr>
        <w:ind w:left="4" w:right="360" w:firstLine="440"/>
        <w:spacing w:after="0" w:line="266" w:lineRule="auto"/>
        <w:rPr>
          <w:sz w:val="20"/>
          <w:szCs w:val="20"/>
          <w:color w:val="auto"/>
        </w:rPr>
      </w:pPr>
      <w:r>
        <w:rPr>
          <w:rFonts w:ascii="Times New Roman" w:cs="Times New Roman" w:eastAsia="Times New Roman" w:hAnsi="Times New Roman"/>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76" w:lineRule="exact"/>
        <w:rPr>
          <w:sz w:val="20"/>
          <w:szCs w:val="20"/>
          <w:color w:val="auto"/>
        </w:rPr>
      </w:pPr>
    </w:p>
    <w:p>
      <w:pPr>
        <w:ind w:left="4" w:right="480" w:firstLine="440"/>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76"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of the Common Stock and the undersigned has consulted their own legal, accounting, financial, regulatory and tax advisors to the extent deemed appropriate. The undersigned further acknowledges and agrees that, although the Representatives may be required or choose to provide</w:t>
      </w:r>
    </w:p>
    <w:p>
      <w:pPr>
        <w:sectPr>
          <w:pgSz w:w="11900" w:h="16838" w:orient="portrait"/>
          <w:cols w:equalWidth="0" w:num="1">
            <w:col w:w="10964"/>
          </w:cols>
          <w:pgMar w:left="436" w:top="270" w:right="499" w:bottom="1440" w:gutter="0" w:footer="0" w:header="0"/>
        </w:sectPr>
      </w:pPr>
    </w:p>
    <w:bookmarkStart w:id="132" w:name="page133"/>
    <w:bookmarkEnd w:id="132"/>
    <w:p>
      <w:pPr>
        <w:ind w:right="5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Regulation Best Interest and Form CRS disclosures to you in connection with the Public Offering, the Representatives and the other Underwriters are not making a recommendation to you to enter into this Letter Agreement, participate in the Public Offering, or sell any shares of Common Stock at the price determined in the Public Offering, and nothing set forth in such disclosures is intended to suggest that either of the Representatives or any Underwriter is making such a recommendation.</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Nothing in this Letter Agreement shall prevent the undersigned from making a demand for, or exercising any right with respect to, the registration of the undersigned’s Common Stock, provided that (i) no sales of Common Stock shall be made in connection with any such demand or any such exercise by the undersigned or any of its affiliates prior to the expiration of the Restricted Period and (ii) no filing by any party (donor, donee, devisee, transferor, transferee, distributer or distributee) under the Exchange Act, or other public announcement shall be required or shall be made voluntarily in connection with any such demand or any such exercise prior to the expiration of the Restricted Period; provided further that in no event shall the Company be permitted to take an action in violation of Section 3(i) of the Underwriting Agreement.</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undersigned understands that, if (1) prior to the execution of the Underwriting Agreement, the Company files an application to withdraw the Registration Statement related to the Public Offering, (2) the Underwriting Agreement does not become effective by October 31, 2022, (3) the Underwriting Agreement (other than the provisions thereof which survive termination) shall terminate or be terminated prior to payment for and delivery of the Common Stock to be sold thereunder, or (4) the Representatives on behalf of the Underwriters advise the Company, or the Company advises the Representatives, in writing, prior to the execution of the Underwriting Agreement, that they have determined not to proceed with the Public Offering, the undersigned shall be released from all obligations under this Letter Agreement.</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undersigned understands that the Representatives are entering into the Underwriting Agreement and proceeding with the Public Offering in reliance upon this Letter Agreement. This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This Letter Agreement and any claim, controversy or dispute arising under or related to this Letter Agreement shall be governed by and construed in accordance with the laws of the State of New York.</w:t>
      </w:r>
    </w:p>
    <w:p>
      <w:pPr>
        <w:sectPr>
          <w:pgSz w:w="11900" w:h="16838" w:orient="portrait"/>
          <w:cols w:equalWidth="0" w:num="1">
            <w:col w:w="11000"/>
          </w:cols>
          <w:pgMar w:left="440" w:top="270" w:right="459" w:bottom="1440" w:gutter="0" w:footer="0" w:header="0"/>
        </w:sectPr>
      </w:pPr>
    </w:p>
    <w:bookmarkStart w:id="133" w:name="page134"/>
    <w:bookmarkEnd w:id="13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17145</wp:posOffset>
            </wp:positionV>
            <wp:extent cx="21170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7">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17145</wp:posOffset>
            </wp:positionV>
            <wp:extent cx="20059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8">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4" w:name="page135"/>
    <w:bookmarkEnd w:id="134"/>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FORM OF PRESS RELEASE</w:t>
      </w:r>
    </w:p>
    <w:p>
      <w:pPr>
        <w:spacing w:after="0" w:line="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TO BE ISSUED PURSUANT TO SECTION 3(j)</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WATCH RESTAURANT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FIRST WATCH RESTAURANT GROUP, INC. (the “Company”) announced today that BofA Securities, Inc., Goldman Sachs &amp; Co. LLC and Jefferies</w:t>
      </w:r>
    </w:p>
    <w:p>
      <w:pPr>
        <w:spacing w:after="0" w:line="3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LLC, the representatives in the Company’s recent public sale of shares of common stock, is [waiving] [releasing] a lock-up restriction with respect to shares of the Company’s common stock held by [certain officers or directors] [an officer or director] of the Company. The [waiver] [release] will take effect on , 20 , and the shares may be sold on or after such date.</w:t>
      </w:r>
    </w:p>
    <w:p>
      <w:pPr>
        <w:spacing w:after="0" w:line="182"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0940"/>
          </w:cols>
          <w:pgMar w:left="440" w:top="270" w:right="51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4514850</wp:posOffset>
            </wp:positionH>
            <wp:positionV relativeFrom="paragraph">
              <wp:posOffset>173990</wp:posOffset>
            </wp:positionV>
            <wp:extent cx="2477135"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0">
                      <a:extLst>
                        <a:ext uri="{28A0092B-C50C-407E-A947-70E740481C1C}"/>
                      </a:extLst>
                    </a:blip>
                    <a:srcRect/>
                    <a:stretch>
                      <a:fillRect/>
                    </a:stretch>
                  </pic:blipFill>
                  <pic:spPr bwMode="auto">
                    <a:xfrm>
                      <a:off x="0" y="0"/>
                      <a:ext cx="247713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767 Fifth Avenue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NY 10153-0119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+1 212 310 8000 tel</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+1 212 310 8007 fax</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12,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Watch Restaurant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8725 Pendery Place, Suite 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Bradenton, FL 34201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We have acted as counsel to First Watch Restaurant Group, Inc., a Delaware corporation (the “Company”), in connection with the preparation and filing with the Securities and Exchange Commission of the Company’s Registration Statement on Form S-1 (as amended, and including any subsequent registration statement on Form S-1 filed pursuant to Rule 462(b), the “Registration Statement”), under the Securities Act of 1933, as amended (the “Act”), relating to the registration of the sale by the parties listed as selling stockholders (the “Selling Stockholders”) in the Registration Statement of the number of shares of common stock, par value $0.01 per share (the “Common Stock”), of the Company specified in the Registration Statement (together with any additional shares of Common Stock that may be sold by the Selling Stockholders pursuant to Rule 462(b) under the Act, the “Shares”). The Shares are to be sold by the Selling Stockholders pursuant to an underwriting agreement among the Company, the Selling Stockholders and the underwriters named therein (the “Underwriting Agreement”), the form of which will be filed as Exhibit 1.1 to the Registration Statement.</w:t>
      </w:r>
    </w:p>
    <w:p>
      <w:pPr>
        <w:spacing w:after="0" w:line="1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so acting, we have examined originals or copies (certified or otherwise identified to our satisfaction) of (i) the Amended and Restated Certificate of Incorporation of the Company filed with the Secretary of State of the State of Delaware, incorporated by reference as Exhibit 3.1 to the Registration Statement; (ii) the Amended and Restated Bylaws of the Company, incorporated by reference as Exhibit 3.2 to the Registration Statement; (iii) the Registration Statement; (iv) the prospectus contained within the Registration Statement; (v) the form of the Underwriting Agreement; (vi) the form of the Certificate of Common Stock of the Company, incorporated by reference as Exhibit 4.1 to the Registration Statement; and (vii) such corporate records, agreements, documents and other instruments, and such certificates or comparable documents of public officials and of officers and representatives of the Company, and have made such inquiries of such officers and representatives, as we have deemed relevant and necessary as a basis for the opinion hereinafter set forth.</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conformed or photostatic copies, and the authenticity of the originals of such latter documents. As to all questions of fact material to this opinion that have not been independently established, we have relied upon certificates or comparable documents of officers and representatives of the Company.</w:t>
      </w:r>
    </w:p>
    <w:p>
      <w:pPr>
        <w:sectPr>
          <w:pgSz w:w="11900" w:h="16838" w:orient="portrait"/>
          <w:cols w:equalWidth="0" w:num="1">
            <w:col w:w="11020"/>
          </w:cols>
          <w:pgMar w:left="440" w:top="117" w:right="4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September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4514850</wp:posOffset>
            </wp:positionH>
            <wp:positionV relativeFrom="paragraph">
              <wp:posOffset>-16510</wp:posOffset>
            </wp:positionV>
            <wp:extent cx="2477135"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2">
                      <a:extLst>
                        <a:ext uri="{28A0092B-C50C-407E-A947-70E740481C1C}"/>
                      </a:extLst>
                    </a:blip>
                    <a:srcRect/>
                    <a:stretch>
                      <a:fillRect/>
                    </a:stretch>
                  </pic:blipFill>
                  <pic:spPr bwMode="auto">
                    <a:xfrm>
                      <a:off x="0" y="0"/>
                      <a:ext cx="2477135" cy="1714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53"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Based on the foregoing, and subject to the qualifications stated herein, we are of the opinion that the Shares are validly issued, fully paid and non-assessable.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opinion expressed herein is limited to the corporate laws of the State of Delaware and we express no opinion as to the effect on the matters covered by this letter of the laws of any other jurisdiction.</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letter as an exhibit to the Registration Statement, to the incorporation by reference of this letter into any subsequent registration statement on Form S-1 filed by the Company pursuant to Rule 462(b) of the Act with respect to the Shares and to the reference to our firm under the caption “Legal Matters” in the prospectus which is a part of the Registration Statement. In giving such consent we do not hereby admit that we are in the category of persons whose consent is required under Section 7 of the Act or the rules and regulations of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Weil, Gotshal &amp; Manges LLP</w:t>
      </w:r>
    </w:p>
    <w:p>
      <w:pPr>
        <w:sectPr>
          <w:pgSz w:w="11900" w:h="16838" w:orient="portrait"/>
          <w:cols w:equalWidth="0" w:num="1">
            <w:col w:w="10920"/>
          </w:cols>
          <w:pgMar w:left="440" w:top="270" w:right="5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S-1 of First Watch Restaurant Group, Inc. of our report dated March 23, 2022 relating to the financial statements, which appears in First Watch Restaurant Group, Inc.’s Annual Report on Form 10-K for the year ended December 26, 2021.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12, 2022</w:t>
      </w:r>
    </w:p>
    <w:p>
      <w:pPr>
        <w:sectPr>
          <w:pgSz w:w="11900" w:h="16838" w:orient="portrait"/>
          <w:cols w:equalWidth="0" w:num="1">
            <w:col w:w="11020"/>
          </w:cols>
          <w:pgMar w:left="440" w:top="117" w:right="4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42"/>
        </w:trPr>
        <w:tc>
          <w:tcPr>
            <w:tcW w:w="4060" w:type="dxa"/>
            <w:vAlign w:val="bottom"/>
            <w:tcBorders>
              <w:top w:val="single" w:sz="8" w:color="auto"/>
              <w:left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86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0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98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6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8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ind w:left="13"/>
              <w:spacing w:after="0" w:line="128"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080" w:type="dxa"/>
            <w:vAlign w:val="bottom"/>
            <w:tcBorders>
              <w:right w:val="single" w:sz="8" w:color="auto"/>
            </w:tcBorders>
            <w:vMerge w:val="continue"/>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6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760" w:type="dxa"/>
            <w:vAlign w:val="bottom"/>
            <w:tcBorders>
              <w:right w:val="single" w:sz="8" w:color="auto"/>
            </w:tcBorders>
          </w:tcPr>
          <w:p>
            <w:pPr>
              <w:jc w:val="center"/>
              <w:ind w:left="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Carry</w:t>
            </w:r>
          </w:p>
        </w:tc>
        <w:tc>
          <w:tcPr>
            <w:tcW w:w="8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9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0" w:type="dxa"/>
            <w:vAlign w:val="bottom"/>
          </w:tcPr>
          <w:p>
            <w:pPr>
              <w:spacing w:after="0"/>
              <w:rPr>
                <w:sz w:val="1"/>
                <w:szCs w:val="1"/>
                <w:color w:val="auto"/>
              </w:rPr>
            </w:pPr>
          </w:p>
        </w:tc>
      </w:tr>
      <w:tr>
        <w:trPr>
          <w:trHeight w:val="135"/>
        </w:trPr>
        <w:tc>
          <w:tcPr>
            <w:tcW w:w="406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Forward</w:t>
            </w:r>
          </w:p>
        </w:tc>
        <w:tc>
          <w:tcPr>
            <w:tcW w:w="860" w:type="dxa"/>
            <w:vAlign w:val="bottom"/>
            <w:tcBorders>
              <w:right w:val="single" w:sz="8" w:color="auto"/>
            </w:tcBorders>
          </w:tcPr>
          <w:p>
            <w:pPr>
              <w:jc w:val="right"/>
              <w:ind w:right="108"/>
              <w:spacing w:after="0" w:line="135" w:lineRule="exact"/>
              <w:rPr>
                <w:sz w:val="20"/>
                <w:szCs w:val="20"/>
                <w:color w:val="auto"/>
              </w:rPr>
            </w:pPr>
            <w:r>
              <w:rPr>
                <w:rFonts w:ascii="Times New Roman" w:cs="Times New Roman" w:eastAsia="Times New Roman" w:hAnsi="Times New Roman"/>
                <w:sz w:val="13"/>
                <w:szCs w:val="13"/>
                <w:b w:val="1"/>
                <w:bCs w:val="1"/>
                <w:color w:val="auto"/>
              </w:rPr>
              <w:t>Amount</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Registration</w:t>
            </w:r>
          </w:p>
        </w:tc>
        <w:tc>
          <w:tcPr>
            <w:tcW w:w="0" w:type="dxa"/>
            <w:vAlign w:val="bottom"/>
          </w:tcPr>
          <w:p>
            <w:pPr>
              <w:spacing w:after="0"/>
              <w:rPr>
                <w:sz w:val="1"/>
                <w:szCs w:val="1"/>
                <w:color w:val="auto"/>
              </w:rPr>
            </w:pPr>
          </w:p>
        </w:tc>
      </w:tr>
      <w:tr>
        <w:trPr>
          <w:trHeight w:val="176"/>
        </w:trPr>
        <w:tc>
          <w:tcPr>
            <w:tcW w:w="4060" w:type="dxa"/>
            <w:vAlign w:val="bottom"/>
            <w:tcBorders>
              <w:left w:val="single" w:sz="8" w:color="auto"/>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Rule</w:t>
            </w:r>
          </w:p>
        </w:tc>
        <w:tc>
          <w:tcPr>
            <w:tcW w:w="860" w:type="dxa"/>
            <w:vAlign w:val="bottom"/>
            <w:tcBorders>
              <w:bottom w:val="single" w:sz="8" w:color="auto"/>
              <w:right w:val="single" w:sz="8" w:color="auto"/>
            </w:tcBorders>
          </w:tcPr>
          <w:p>
            <w:pPr>
              <w:jc w:val="right"/>
              <w:spacing w:after="0" w:line="176" w:lineRule="exact"/>
              <w:rPr>
                <w:sz w:val="20"/>
                <w:szCs w:val="20"/>
                <w:color w:val="auto"/>
              </w:rPr>
            </w:pPr>
            <w:r>
              <w:rPr>
                <w:rFonts w:ascii="Times New Roman" w:cs="Times New Roman" w:eastAsia="Times New Roman" w:hAnsi="Times New Roman"/>
                <w:sz w:val="13"/>
                <w:szCs w:val="13"/>
                <w:b w:val="1"/>
                <w:bCs w:val="1"/>
                <w:color w:val="auto"/>
              </w:rPr>
              <w:t>Registered</w:t>
            </w:r>
            <w:r>
              <w:rPr>
                <w:rFonts w:ascii="Times New Roman" w:cs="Times New Roman" w:eastAsia="Times New Roman" w:hAnsi="Times New Roman"/>
                <w:sz w:val="18"/>
                <w:szCs w:val="18"/>
                <w:b w:val="1"/>
                <w:bCs w:val="1"/>
                <w:color w:val="auto"/>
                <w:vertAlign w:val="superscript"/>
              </w:rPr>
              <w:t>(1)</w:t>
            </w:r>
          </w:p>
        </w:tc>
        <w:tc>
          <w:tcPr>
            <w:tcW w:w="76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88"/>
              </w:rPr>
              <w:t>Unit</w:t>
            </w:r>
            <w:r>
              <w:rPr>
                <w:rFonts w:ascii="Times New Roman" w:cs="Times New Roman" w:eastAsia="Times New Roman" w:hAnsi="Times New Roman"/>
                <w:sz w:val="18"/>
                <w:szCs w:val="18"/>
                <w:b w:val="1"/>
                <w:bCs w:val="1"/>
                <w:color w:val="auto"/>
                <w:w w:val="88"/>
                <w:vertAlign w:val="superscript"/>
              </w:rPr>
              <w:t>(2)</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Fee</w:t>
            </w:r>
          </w:p>
        </w:tc>
        <w:tc>
          <w:tcPr>
            <w:tcW w:w="0" w:type="dxa"/>
            <w:vAlign w:val="bottom"/>
          </w:tcPr>
          <w:p>
            <w:pPr>
              <w:spacing w:after="0"/>
              <w:rPr>
                <w:sz w:val="1"/>
                <w:szCs w:val="1"/>
                <w:color w:val="auto"/>
              </w:rPr>
            </w:pPr>
          </w:p>
        </w:tc>
      </w:tr>
      <w:tr>
        <w:trPr>
          <w:trHeight w:val="232"/>
        </w:trPr>
        <w:tc>
          <w:tcPr>
            <w:tcW w:w="4060" w:type="dxa"/>
            <w:vAlign w:val="bottom"/>
            <w:tcBorders>
              <w:left w:val="single" w:sz="8" w:color="auto"/>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648"/>
              <w:spacing w:after="0"/>
              <w:rPr>
                <w:sz w:val="20"/>
                <w:szCs w:val="20"/>
                <w:color w:val="auto"/>
              </w:rPr>
            </w:pPr>
            <w:r>
              <w:rPr>
                <w:rFonts w:ascii="Times New Roman" w:cs="Times New Roman" w:eastAsia="Times New Roman" w:hAnsi="Times New Roman"/>
                <w:sz w:val="18"/>
                <w:szCs w:val="18"/>
                <w:color w:val="auto"/>
              </w:rPr>
              <w:t>Newly Registered Securities</w:t>
            </w:r>
          </w:p>
        </w:tc>
        <w:tc>
          <w:tcPr>
            <w:tcW w:w="7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7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stock, par</w:t>
            </w:r>
          </w:p>
        </w:tc>
        <w:tc>
          <w:tcPr>
            <w:tcW w:w="7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Borders>
              <w:left w:val="single" w:sz="8" w:color="auto"/>
              <w:righ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Fees to Be</w:t>
            </w:r>
          </w:p>
        </w:tc>
        <w:tc>
          <w:tcPr>
            <w:tcW w:w="6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value</w:t>
            </w:r>
          </w:p>
        </w:tc>
        <w:tc>
          <w:tcPr>
            <w:tcW w:w="7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60" w:type="dxa"/>
            <w:vAlign w:val="bottom"/>
            <w:tcBorders>
              <w:left w:val="single" w:sz="8" w:color="auto"/>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$0.01 per</w:t>
            </w:r>
          </w:p>
        </w:tc>
        <w:tc>
          <w:tcPr>
            <w:tcW w:w="7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0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Paid</w:t>
            </w:r>
          </w:p>
        </w:tc>
        <w:tc>
          <w:tcPr>
            <w:tcW w:w="68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w w:val="99"/>
              </w:rPr>
              <w:t>Equity</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5,175,000</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$18.26</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$94,495,500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0.0000927</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$8,759.73</w:t>
            </w:r>
          </w:p>
        </w:tc>
        <w:tc>
          <w:tcPr>
            <w:tcW w:w="0" w:type="dxa"/>
            <w:vAlign w:val="bottom"/>
          </w:tcPr>
          <w:p>
            <w:pPr>
              <w:spacing w:after="0"/>
              <w:rPr>
                <w:sz w:val="1"/>
                <w:szCs w:val="1"/>
                <w:color w:val="auto"/>
              </w:rPr>
            </w:pPr>
          </w:p>
        </w:tc>
      </w:tr>
      <w:tr>
        <w:trPr>
          <w:trHeight w:val="241"/>
        </w:trPr>
        <w:tc>
          <w:tcPr>
            <w:tcW w:w="406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5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7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$94,495,500</w:t>
            </w:r>
          </w:p>
        </w:tc>
        <w:tc>
          <w:tcPr>
            <w:tcW w:w="9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$8,759.73</w:t>
            </w:r>
          </w:p>
        </w:tc>
        <w:tc>
          <w:tcPr>
            <w:tcW w:w="0" w:type="dxa"/>
            <w:vAlign w:val="bottom"/>
          </w:tcPr>
          <w:p>
            <w:pPr>
              <w:spacing w:after="0"/>
              <w:rPr>
                <w:sz w:val="1"/>
                <w:szCs w:val="1"/>
                <w:color w:val="auto"/>
              </w:rPr>
            </w:pPr>
          </w:p>
        </w:tc>
      </w:tr>
      <w:tr>
        <w:trPr>
          <w:trHeight w:val="236"/>
        </w:trPr>
        <w:tc>
          <w:tcPr>
            <w:tcW w:w="406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5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7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06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7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06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7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$8,759.73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that may be purchased by the underwriters under their option to purchase additional shares of common stock.</w:t>
      </w:r>
    </w:p>
    <w:p>
      <w:pPr>
        <w:spacing w:after="0" w:line="27" w:lineRule="exact"/>
        <w:rPr>
          <w:rFonts w:ascii="Times New Roman" w:cs="Times New Roman" w:eastAsia="Times New Roman" w:hAnsi="Times New Roman"/>
          <w:sz w:val="18"/>
          <w:szCs w:val="18"/>
          <w:color w:val="auto"/>
        </w:rPr>
      </w:pPr>
    </w:p>
    <w:p>
      <w:pPr>
        <w:ind w:left="424" w:right="60" w:hanging="424"/>
        <w:spacing w:after="0" w:line="255" w:lineRule="auto"/>
        <w:tabs>
          <w:tab w:leader="none" w:pos="42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457(c) under the Securities Act, and solely for the purpose of calculating the registration fee, the proposed maximum offering price per share is $18.26, which is the average of the high and low prices of the shares of the common shares on September 8, 2022 on the Nasdaq Global Select Market.</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1)"/>
      <w:numFmt w:val="decimal"/>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
      <w:numFmt w:val="bullet"/>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1)"/>
      <w:numFmt w:val="decimal"/>
      <w:start w:val="3"/>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1)"/>
      <w:numFmt w:val="decimal"/>
      <w:start w:val="1"/>
    </w:lvl>
  </w:abstractNum>
  <w:abstractNum w:abstractNumId="16">
    <w:nsid w:val="1F48EAA1"/>
    <w:multiLevelType w:val="hybridMultilevel"/>
    <w:lvl w:ilvl="0">
      <w:lvlJc w:val="left"/>
      <w:lvlText w:val="(%1)"/>
      <w:numFmt w:val="lowerLetter"/>
      <w:start w:val="1"/>
    </w:lvl>
    <w:lvl w:ilvl="1">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1)"/>
      <w:numFmt w:val="decimal"/>
      <w:start w:val="1"/>
    </w:lvl>
  </w:abstractNum>
  <w:abstractNum w:abstractNumId="19">
    <w:nsid w:val="100F8FCA"/>
    <w:multiLevelType w:val="hybridMultilevel"/>
    <w:lvl w:ilvl="0">
      <w:lvlJc w:val="left"/>
      <w:lvlText w:val="%1"/>
      <w:numFmt w:val="lowerLetter"/>
      <w:start w:val="1"/>
    </w:lvl>
    <w:lvl w:ilvl="1">
      <w:lvlJc w:val="left"/>
      <w:lvlText w:val="(%2)"/>
      <w:numFmt w:val="decimal"/>
      <w:start w:val="3"/>
    </w:lvl>
  </w:abstractNum>
  <w:abstractNum w:abstractNumId="20">
    <w:nsid w:val="6590700B"/>
    <w:multiLevelType w:val="hybridMultilevel"/>
    <w:lvl w:ilvl="0">
      <w:lvlJc w:val="left"/>
      <w:lvlText w:val="(%1)"/>
      <w:numFmt w:val="lowerLetter"/>
      <w:start w:val="2"/>
    </w:lvl>
    <w:lvl w:ilvl="1">
      <w:lvlJc w:val="left"/>
      <w:lvlText w:val="%2"/>
      <w:numFmt w:val="decimal"/>
      <w:start w:val="1"/>
    </w:lvl>
  </w:abstractNum>
  <w:abstractNum w:abstractNumId="21">
    <w:nsid w:val="15014ACB"/>
    <w:multiLevelType w:val="hybridMultilevel"/>
    <w:lvl w:ilvl="0">
      <w:lvlJc w:val="left"/>
      <w:lvlText w:val="%1"/>
      <w:numFmt w:val="lowerLetter"/>
      <w:start w:val="1"/>
    </w:lvl>
    <w:lvl w:ilvl="1">
      <w:lvlJc w:val="left"/>
      <w:lvlText w:val="(%2)"/>
      <w:numFmt w:val="decimal"/>
      <w:start w:val="1"/>
    </w:lvl>
  </w:abstractNum>
  <w:abstractNum w:abstractNumId="22">
    <w:nsid w:val="5F5E7FD0"/>
    <w:multiLevelType w:val="hybridMultilevel"/>
    <w:lvl w:ilvl="0">
      <w:lvlJc w:val="left"/>
      <w:lvlText w:val="(%1)"/>
      <w:numFmt w:val="lowerLetter"/>
      <w:start w:val="3"/>
    </w:lvl>
    <w:lvl w:ilvl="1">
      <w:lvlJc w:val="left"/>
      <w:lvlText w:val="%2"/>
      <w:numFmt w:val="decimal"/>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
      <w:numFmt w:val="bullet"/>
      <w:start w:val="1"/>
    </w:lvl>
  </w:abstractNum>
  <w:abstractNum w:abstractNumId="29">
    <w:nsid w:val="661E3F1E"/>
    <w:multiLevelType w:val="hybridMultilevel"/>
    <w:lvl w:ilvl="0">
      <w:lvlJc w:val="left"/>
      <w:lvlText w:val="•"/>
      <w:numFmt w:val="bullet"/>
      <w:start w:val="1"/>
    </w:lvl>
  </w:abstractNum>
  <w:abstractNum w:abstractNumId="30">
    <w:nsid w:val="5DC79EA8"/>
    <w:multiLevelType w:val="hybridMultilevel"/>
    <w:lvl w:ilvl="0">
      <w:lvlJc w:val="left"/>
      <w:lvlText w:val="•"/>
      <w:numFmt w:val="bullet"/>
      <w:start w:val="1"/>
    </w:lvl>
  </w:abstractNum>
  <w:abstractNum w:abstractNumId="31">
    <w:nsid w:val="540A471C"/>
    <w:multiLevelType w:val="hybridMultilevel"/>
    <w:lvl w:ilvl="0">
      <w:lvlJc w:val="left"/>
      <w:lvlText w:val="•"/>
      <w:numFmt w:val="bullet"/>
      <w:start w:val="1"/>
    </w:lvl>
  </w:abstractNum>
  <w:abstractNum w:abstractNumId="32">
    <w:nsid w:val="7BD3EE7B"/>
    <w:multiLevelType w:val="hybridMultilevel"/>
    <w:lvl w:ilvl="0">
      <w:lvlJc w:val="left"/>
      <w:lvlText w:val="•"/>
      <w:numFmt w:val="bullet"/>
      <w:start w:val="1"/>
    </w:lvl>
  </w:abstractNum>
  <w:abstractNum w:abstractNumId="33">
    <w:nsid w:val="51D9C564"/>
    <w:multiLevelType w:val="hybridMultilevel"/>
    <w:lvl w:ilvl="0">
      <w:lvlJc w:val="left"/>
      <w:lvlText w:val="*"/>
      <w:numFmt w:val="bullet"/>
      <w:start w:val="1"/>
    </w:lvl>
  </w:abstractNum>
  <w:abstractNum w:abstractNumId="34">
    <w:nsid w:val="613EFDC5"/>
    <w:multiLevelType w:val="hybridMultilevel"/>
    <w:lvl w:ilvl="0">
      <w:lvlJc w:val="left"/>
      <w:lvlText w:val="(%1)"/>
      <w:numFmt w:val="decimal"/>
      <w:start w:val="1"/>
    </w:lvl>
  </w:abstractNum>
  <w:abstractNum w:abstractNumId="35">
    <w:nsid w:val="BF72B14"/>
    <w:multiLevelType w:val="hybridMultilevel"/>
    <w:lvl w:ilvl="0">
      <w:lvlJc w:val="left"/>
      <w:lvlText w:val="(%1)"/>
      <w:numFmt w:val="decimal"/>
      <w:start w:val="2"/>
    </w:lvl>
  </w:abstractNum>
  <w:abstractNum w:abstractNumId="36">
    <w:nsid w:val="11447B73"/>
    <w:multiLevelType w:val="hybridMultilevel"/>
    <w:lvl w:ilvl="0">
      <w:lvlJc w:val="left"/>
      <w:lvlText w:val="(%1)"/>
      <w:numFmt w:val="decimal"/>
      <w:start w:val="9"/>
    </w:lvl>
  </w:abstractNum>
  <w:abstractNum w:abstractNumId="37">
    <w:nsid w:val="42963E5A"/>
    <w:multiLevelType w:val="hybridMultilevel"/>
    <w:lvl w:ilvl="0">
      <w:lvlJc w:val="left"/>
      <w:lvlText w:val="•"/>
      <w:numFmt w:val="bullet"/>
      <w:start w:val="1"/>
    </w:lvl>
  </w:abstractNum>
  <w:abstractNum w:abstractNumId="38">
    <w:nsid w:val="A0382C5"/>
    <w:multiLevelType w:val="hybridMultilevel"/>
    <w:lvl w:ilvl="0">
      <w:lvlJc w:val="left"/>
      <w:lvlText w:val="•"/>
      <w:numFmt w:val="bullet"/>
      <w:start w:val="1"/>
    </w:lvl>
  </w:abstractNum>
  <w:abstractNum w:abstractNumId="39">
    <w:nsid w:val="8F2B15E"/>
    <w:multiLevelType w:val="hybridMultilevel"/>
    <w:lvl w:ilvl="0">
      <w:lvlJc w:val="left"/>
      <w:lvlText w:val="•"/>
      <w:numFmt w:val="bullet"/>
      <w:start w:val="1"/>
    </w:lvl>
  </w:abstractNum>
  <w:abstractNum w:abstractNumId="40">
    <w:nsid w:val="1A32234B"/>
    <w:multiLevelType w:val="hybridMultilevel"/>
    <w:lvl w:ilvl="0">
      <w:lvlJc w:val="left"/>
      <w:lvlText w:val="(%1)"/>
      <w:numFmt w:val="lowerRoman"/>
      <w:start w:val="2"/>
    </w:lvl>
  </w:abstractNum>
  <w:abstractNum w:abstractNumId="41">
    <w:nsid w:val="3B0FD379"/>
    <w:multiLevelType w:val="hybridMultilevel"/>
    <w:lvl w:ilvl="0">
      <w:lvlJc w:val="left"/>
      <w:lvlText w:val="(%1)"/>
      <w:numFmt w:val="lowerRoman"/>
      <w:start w:val="10"/>
    </w:lvl>
  </w:abstractNum>
  <w:abstractNum w:abstractNumId="42">
    <w:nsid w:val="68EB2F63"/>
    <w:multiLevelType w:val="hybridMultilevel"/>
    <w:lvl w:ilvl="0">
      <w:lvlJc w:val="left"/>
      <w:lvlText w:val="(%1)"/>
      <w:numFmt w:val="lowerRoman"/>
      <w:start w:val="4"/>
    </w:lvl>
  </w:abstractNum>
  <w:abstractNum w:abstractNumId="43">
    <w:nsid w:val="4962813B"/>
    <w:multiLevelType w:val="hybridMultilevel"/>
    <w:lvl w:ilvl="0">
      <w:lvlJc w:val="left"/>
      <w:lvlText w:val="•"/>
      <w:numFmt w:val="bullet"/>
      <w:start w:val="1"/>
    </w:lvl>
  </w:abstractNum>
  <w:abstractNum w:abstractNumId="44">
    <w:nsid w:val="60B6DF70"/>
    <w:multiLevelType w:val="hybridMultilevel"/>
    <w:lvl w:ilvl="0">
      <w:lvlJc w:val="left"/>
      <w:lvlText w:val="•"/>
      <w:numFmt w:val="bullet"/>
      <w:start w:val="1"/>
    </w:lvl>
  </w:abstractNum>
  <w:abstractNum w:abstractNumId="45">
    <w:nsid w:val="6A5EE64"/>
    <w:multiLevelType w:val="hybridMultilevel"/>
    <w:lvl w:ilvl="0">
      <w:lvlJc w:val="left"/>
      <w:lvlText w:val="•"/>
      <w:numFmt w:val="bullet"/>
      <w:start w:val="1"/>
    </w:lvl>
  </w:abstractNum>
  <w:abstractNum w:abstractNumId="46">
    <w:nsid w:val="14330624"/>
    <w:multiLevelType w:val="hybridMultilevel"/>
    <w:lvl w:ilvl="0">
      <w:lvlJc w:val="left"/>
      <w:lvlText w:val="•"/>
      <w:numFmt w:val="bullet"/>
      <w:start w:val="1"/>
    </w:lvl>
  </w:abstractNum>
  <w:abstractNum w:abstractNumId="47">
    <w:nsid w:val="7FFFCA11"/>
    <w:multiLevelType w:val="hybridMultilevel"/>
    <w:lvl w:ilvl="0">
      <w:lvlJc w:val="left"/>
      <w:lvlText w:val="•"/>
      <w:numFmt w:val="bullet"/>
      <w:start w:val="1"/>
    </w:lvl>
  </w:abstractNum>
  <w:abstractNum w:abstractNumId="48">
    <w:nsid w:val="1A27709E"/>
    <w:multiLevelType w:val="hybridMultilevel"/>
    <w:lvl w:ilvl="0">
      <w:lvlJc w:val="left"/>
      <w:lvlText w:val="%1."/>
      <w:numFmt w:val="lowerLetter"/>
      <w:start w:val="1"/>
    </w:lvl>
  </w:abstractNum>
  <w:abstractNum w:abstractNumId="49">
    <w:nsid w:val="71EA1109"/>
    <w:multiLevelType w:val="hybridMultilevel"/>
    <w:lvl w:ilvl="0">
      <w:lvlJc w:val="left"/>
      <w:lvlText w:val="%1."/>
      <w:numFmt w:val="lowerLetter"/>
      <w:start w:val="1"/>
    </w:lvl>
  </w:abstractNum>
  <w:abstractNum w:abstractNumId="50">
    <w:nsid w:val="100F59DC"/>
    <w:multiLevelType w:val="hybridMultilevel"/>
    <w:lvl w:ilvl="0">
      <w:lvlJc w:val="left"/>
      <w:lvlText w:val="(%1)"/>
      <w:numFmt w:val="lowerLetter"/>
      <w:start w:val="1"/>
    </w:lvl>
  </w:abstractNum>
  <w:abstractNum w:abstractNumId="51">
    <w:nsid w:val="7FB7E0AA"/>
    <w:multiLevelType w:val="hybridMultilevel"/>
    <w:lvl w:ilvl="0">
      <w:lvlJc w:val="left"/>
      <w:lvlText w:val="(%1)"/>
      <w:numFmt w:val="lowerLetter"/>
      <w:start w:val="3"/>
    </w:lvl>
  </w:abstractNum>
  <w:abstractNum w:abstractNumId="52">
    <w:nsid w:val="6EB5BD4"/>
    <w:multiLevelType w:val="hybridMultilevel"/>
    <w:lvl w:ilvl="0">
      <w:lvlJc w:val="left"/>
      <w:lvlText w:val="•"/>
      <w:numFmt w:val="bullet"/>
      <w:start w:val="1"/>
    </w:lvl>
  </w:abstractNum>
  <w:abstractNum w:abstractNumId="53">
    <w:nsid w:val="6F6DD9AC"/>
    <w:multiLevelType w:val="hybridMultilevel"/>
    <w:lvl w:ilvl="0">
      <w:lvlJc w:val="left"/>
      <w:lvlText w:val="(%1)"/>
      <w:numFmt w:val="decimal"/>
      <w:start w:val="941"/>
    </w:lvl>
  </w:abstractNum>
  <w:abstractNum w:abstractNumId="54">
    <w:nsid w:val="94211F2"/>
    <w:multiLevelType w:val="hybridMultilevel"/>
    <w:lvl w:ilvl="0">
      <w:lvlJc w:val="left"/>
      <w:lvlText w:val="•"/>
      <w:numFmt w:val="bullet"/>
      <w:start w:val="1"/>
    </w:lvl>
  </w:abstractNum>
  <w:abstractNum w:abstractNumId="55">
    <w:nsid w:val="885E1B"/>
    <w:multiLevelType w:val="hybridMultilevel"/>
    <w:lvl w:ilvl="0">
      <w:lvlJc w:val="left"/>
      <w:lvlText w:val="%1"/>
      <w:numFmt w:val="decimal"/>
      <w:start w:val="107"/>
    </w:lvl>
  </w:abstractNum>
  <w:abstractNum w:abstractNumId="56">
    <w:nsid w:val="76272110"/>
    <w:multiLevelType w:val="hybridMultilevel"/>
    <w:lvl w:ilvl="0">
      <w:lvlJc w:val="left"/>
      <w:lvlText w:val="(%1)"/>
      <w:numFmt w:val="decimal"/>
      <w:start w:val="1"/>
    </w:lvl>
  </w:abstractNum>
  <w:abstractNum w:abstractNumId="57">
    <w:nsid w:val="4C04A8AF"/>
    <w:multiLevelType w:val="hybridMultilevel"/>
    <w:lvl w:ilvl="0">
      <w:lvlJc w:val="left"/>
      <w:lvlText w:val="(%1)"/>
      <w:numFmt w:val="lowerLetter"/>
      <w:start w:val="1"/>
    </w:lvl>
    <w:lvl w:ilvl="1">
      <w:lvlJc w:val="left"/>
      <w:lvlText w:val="(%2)"/>
      <w:numFmt w:val="lowerLetter"/>
      <w:start w:val="9"/>
    </w:lvl>
  </w:abstractNum>
  <w:abstractNum w:abstractNumId="58">
    <w:nsid w:val="1716703B"/>
    <w:multiLevelType w:val="hybridMultilevel"/>
    <w:lvl w:ilvl="0">
      <w:lvlJc w:val="left"/>
      <w:lvlText w:val="(%1)"/>
      <w:numFmt w:val="lowerRoman"/>
      <w:start w:val="2"/>
    </w:lvl>
  </w:abstractNum>
  <w:abstractNum w:abstractNumId="59">
    <w:nsid w:val="14E17E33"/>
    <w:multiLevelType w:val="hybridMultilevel"/>
    <w:lvl w:ilvl="0">
      <w:lvlJc w:val="left"/>
      <w:lvlText w:val="(%1)"/>
      <w:numFmt w:val="lowerRoman"/>
      <w:start w:val="3"/>
    </w:lvl>
  </w:abstractNum>
  <w:abstractNum w:abstractNumId="60">
    <w:nsid w:val="3222E7CD"/>
    <w:multiLevelType w:val="hybridMultilevel"/>
    <w:lvl w:ilvl="0">
      <w:lvlJc w:val="left"/>
      <w:lvlText w:val="(%1)"/>
      <w:numFmt w:val="lowerRoman"/>
      <w:start w:val="6"/>
    </w:lvl>
  </w:abstractNum>
  <w:abstractNum w:abstractNumId="61">
    <w:nsid w:val="74DE0EE3"/>
    <w:multiLevelType w:val="hybridMultilevel"/>
    <w:lvl w:ilvl="0">
      <w:lvlJc w:val="left"/>
      <w:lvlText w:val="(%1)"/>
      <w:numFmt w:val="lowerRoman"/>
      <w:start w:val="11"/>
    </w:lvl>
  </w:abstractNum>
  <w:abstractNum w:abstractNumId="62">
    <w:nsid w:val="68EBC550"/>
    <w:multiLevelType w:val="hybridMultilevel"/>
    <w:lvl w:ilvl="0">
      <w:lvlJc w:val="left"/>
      <w:lvlText w:val="(%1)"/>
      <w:numFmt w:val="lowerRoman"/>
      <w:start w:val="13"/>
    </w:lvl>
  </w:abstractNum>
  <w:abstractNum w:abstractNumId="63">
    <w:nsid w:val="2DF6D648"/>
    <w:multiLevelType w:val="hybridMultilevel"/>
    <w:lvl w:ilvl="0">
      <w:lvlJc w:val="left"/>
      <w:lvlText w:val="%1"/>
      <w:numFmt w:val="upperLetter"/>
      <w:start w:val="1"/>
    </w:lvl>
    <w:lvl w:ilvl="1">
      <w:lvlJc w:val="left"/>
      <w:lvlText w:val="(%2)"/>
      <w:numFmt w:val="lowerRoman"/>
      <w:start w:val="16"/>
    </w:lvl>
  </w:abstractNum>
  <w:abstractNum w:abstractNumId="64">
    <w:nsid w:val="46B7D447"/>
    <w:multiLevelType w:val="hybridMultilevel"/>
    <w:lvl w:ilvl="0">
      <w:lvlJc w:val="left"/>
      <w:lvlText w:val="(%1)"/>
      <w:numFmt w:val="upperLetter"/>
      <w:start w:val="2"/>
    </w:lvl>
    <w:lvl w:ilvl="1">
      <w:lvlJc w:val="left"/>
      <w:lvlText w:val="(%2)"/>
      <w:numFmt w:val="lowerRoman"/>
      <w:start w:val="17"/>
    </w:lvl>
  </w:abstractNum>
  <w:abstractNum w:abstractNumId="65">
    <w:nsid w:val="4A2AC315"/>
    <w:multiLevelType w:val="hybridMultilevel"/>
    <w:lvl w:ilvl="0">
      <w:lvlJc w:val="left"/>
      <w:lvlText w:val="(%1)"/>
      <w:numFmt w:val="lowerRoman"/>
      <w:start w:val="18"/>
    </w:lvl>
  </w:abstractNum>
  <w:abstractNum w:abstractNumId="66">
    <w:nsid w:val="39EE015C"/>
    <w:multiLevelType w:val="hybridMultilevel"/>
    <w:lvl w:ilvl="0">
      <w:lvlJc w:val="left"/>
      <w:lvlText w:val="%1"/>
      <w:numFmt w:val="upperLetter"/>
      <w:start w:val="1"/>
    </w:lvl>
    <w:lvl w:ilvl="1">
      <w:lvlJc w:val="left"/>
      <w:lvlText w:val="(%2)"/>
      <w:numFmt w:val="lowerRoman"/>
      <w:start w:val="20"/>
    </w:lvl>
  </w:abstractNum>
  <w:abstractNum w:abstractNumId="67">
    <w:nsid w:val="57FC4FBB"/>
    <w:multiLevelType w:val="hybridMultilevel"/>
    <w:lvl w:ilvl="0">
      <w:lvlJc w:val="left"/>
      <w:lvlText w:val="(%1)"/>
      <w:numFmt w:val="upperLetter"/>
      <w:start w:val="2"/>
    </w:lvl>
    <w:lvl w:ilvl="1">
      <w:lvlJc w:val="left"/>
      <w:lvlText w:val="(%2)"/>
      <w:numFmt w:val="lowerRoman"/>
      <w:start w:val="23"/>
    </w:lvl>
  </w:abstractNum>
  <w:abstractNum w:abstractNumId="68">
    <w:nsid w:val="CC1016F"/>
    <w:multiLevelType w:val="hybridMultilevel"/>
    <w:lvl w:ilvl="0">
      <w:lvlJc w:val="left"/>
      <w:lvlText w:val="%1"/>
      <w:numFmt w:val="upperLetter"/>
      <w:start w:val="1"/>
    </w:lvl>
    <w:lvl w:ilvl="1">
      <w:lvlJc w:val="left"/>
      <w:lvlText w:val="(%2)"/>
      <w:numFmt w:val="lowerRoman"/>
      <w:start w:val="24"/>
    </w:lvl>
  </w:abstractNum>
  <w:abstractNum w:abstractNumId="69">
    <w:nsid w:val="43F18422"/>
    <w:multiLevelType w:val="hybridMultilevel"/>
    <w:lvl w:ilvl="0">
      <w:lvlJc w:val="left"/>
      <w:lvlText w:val="(%1)"/>
      <w:numFmt w:val="upperLetter"/>
      <w:start w:val="4"/>
    </w:lvl>
    <w:lvl w:ilvl="1">
      <w:lvlJc w:val="left"/>
      <w:lvlText w:val="(%2)"/>
      <w:numFmt w:val="lowerRoman"/>
      <w:start w:val="25"/>
    </w:lvl>
  </w:abstractNum>
  <w:abstractNum w:abstractNumId="70">
    <w:nsid w:val="60EF0119"/>
    <w:multiLevelType w:val="hybridMultilevel"/>
    <w:lvl w:ilvl="0">
      <w:lvlJc w:val="left"/>
      <w:lvlText w:val="(%1)"/>
      <w:numFmt w:val="upperLetter"/>
      <w:start w:val="2"/>
    </w:lvl>
    <w:lvl w:ilvl="1">
      <w:lvlJc w:val="left"/>
      <w:lvlText w:val="%2"/>
      <w:numFmt w:val="lowerRoman"/>
      <w:start w:val="1"/>
    </w:lvl>
  </w:abstractNum>
  <w:abstractNum w:abstractNumId="71">
    <w:nsid w:val="26F324BA"/>
    <w:multiLevelType w:val="hybridMultilevel"/>
    <w:lvl w:ilvl="0">
      <w:lvlJc w:val="left"/>
      <w:lvlText w:val="%1"/>
      <w:numFmt w:val="upperLetter"/>
      <w:start w:val="1"/>
    </w:lvl>
    <w:lvl w:ilvl="1">
      <w:lvlJc w:val="left"/>
      <w:lvlText w:val="(%2)"/>
      <w:numFmt w:val="lowerRoman"/>
      <w:start w:val="26"/>
    </w:lvl>
  </w:abstractNum>
  <w:abstractNum w:abstractNumId="72">
    <w:nsid w:val="7F01579B"/>
    <w:multiLevelType w:val="hybridMultilevel"/>
    <w:lvl w:ilvl="0">
      <w:lvlJc w:val="left"/>
      <w:lvlText w:val="(%1)"/>
      <w:numFmt w:val="upperLetter"/>
      <w:start w:val="1"/>
    </w:lvl>
    <w:lvl w:ilvl="1">
      <w:lvlJc w:val="left"/>
      <w:lvlText w:val="(%2)"/>
      <w:numFmt w:val="lowerRoman"/>
      <w:start w:val="29"/>
    </w:lvl>
  </w:abstractNum>
  <w:abstractNum w:abstractNumId="73">
    <w:nsid w:val="49DA307D"/>
    <w:multiLevelType w:val="hybridMultilevel"/>
    <w:lvl w:ilvl="0">
      <w:lvlJc w:val="left"/>
      <w:lvlText w:val="(%1)"/>
      <w:numFmt w:val="lowerRoman"/>
      <w:start w:val="31"/>
    </w:lvl>
  </w:abstractNum>
  <w:abstractNum w:abstractNumId="74">
    <w:nsid w:val="7055A5F5"/>
    <w:multiLevelType w:val="hybridMultilevel"/>
    <w:lvl w:ilvl="0">
      <w:lvlJc w:val="left"/>
      <w:lvlText w:val="(%1)"/>
      <w:numFmt w:val="lowerRoman"/>
      <w:start w:val="36"/>
    </w:lvl>
  </w:abstractNum>
  <w:abstractNum w:abstractNumId="75">
    <w:nsid w:val="5FB8370B"/>
    <w:multiLevelType w:val="hybridMultilevel"/>
    <w:lvl w:ilvl="0">
      <w:lvlJc w:val="left"/>
      <w:lvlText w:val="(%1)"/>
      <w:numFmt w:val="decimal"/>
      <w:start w:val="3"/>
    </w:lvl>
  </w:abstractNum>
  <w:abstractNum w:abstractNumId="76">
    <w:nsid w:val="50801EE1"/>
    <w:multiLevelType w:val="hybridMultilevel"/>
    <w:lvl w:ilvl="0">
      <w:lvlJc w:val="left"/>
      <w:lvlText w:val="(%1)"/>
      <w:numFmt w:val="lowerLetter"/>
      <w:start w:val="2"/>
    </w:lvl>
    <w:lvl w:ilvl="1">
      <w:lvlJc w:val="left"/>
      <w:lvlText w:val="(%2)"/>
      <w:numFmt w:val="lowerRoman"/>
      <w:start w:val="1"/>
    </w:lvl>
  </w:abstractNum>
  <w:abstractNum w:abstractNumId="77">
    <w:nsid w:val="488AC1A"/>
    <w:multiLevelType w:val="hybridMultilevel"/>
    <w:lvl w:ilvl="0">
      <w:lvlJc w:val="left"/>
      <w:lvlText w:val="%1"/>
      <w:numFmt w:val="upperLetter"/>
      <w:start w:val="1"/>
    </w:lvl>
    <w:lvl w:ilvl="1">
      <w:lvlJc w:val="left"/>
      <w:lvlText w:val="(%2)"/>
      <w:numFmt w:val="lowerRoman"/>
      <w:start w:val="3"/>
    </w:lvl>
  </w:abstractNum>
  <w:abstractNum w:abstractNumId="78">
    <w:nsid w:val="5FB8011C"/>
    <w:multiLevelType w:val="hybridMultilevel"/>
    <w:lvl w:ilvl="0">
      <w:lvlJc w:val="left"/>
      <w:lvlText w:val="(%1)"/>
      <w:numFmt w:val="upperLetter"/>
      <w:start w:val="35"/>
    </w:lvl>
    <w:lvl w:ilvl="1">
      <w:lvlJc w:val="left"/>
      <w:lvlText w:val="%2"/>
      <w:numFmt w:val="lowerRoman"/>
      <w:start w:val="1"/>
    </w:lvl>
  </w:abstractNum>
  <w:abstractNum w:abstractNumId="79">
    <w:nsid w:val="6AA78F7F"/>
    <w:multiLevelType w:val="hybridMultilevel"/>
    <w:lvl w:ilvl="0">
      <w:lvlJc w:val="left"/>
      <w:lvlText w:val="(%1)"/>
      <w:numFmt w:val="lowerRoman"/>
      <w:start w:val="5"/>
    </w:lvl>
  </w:abstractNum>
  <w:abstractNum w:abstractNumId="80">
    <w:nsid w:val="7672BD23"/>
    <w:multiLevelType w:val="hybridMultilevel"/>
    <w:lvl w:ilvl="0">
      <w:lvlJc w:val="left"/>
      <w:lvlText w:val="(%1)"/>
      <w:numFmt w:val="lowerRoman"/>
      <w:start w:val="3"/>
    </w:lvl>
    <w:lvl w:ilvl="1">
      <w:lvlJc w:val="left"/>
      <w:lvlText w:val="(%2)"/>
      <w:numFmt w:val="lowerRoman"/>
      <w:start w:val="10"/>
    </w:lvl>
  </w:abstractNum>
  <w:abstractNum w:abstractNumId="81">
    <w:nsid w:val="6FC75AF8"/>
    <w:multiLevelType w:val="hybridMultilevel"/>
    <w:lvl w:ilvl="0">
      <w:lvlJc w:val="left"/>
      <w:lvlText w:val="(%1)"/>
      <w:numFmt w:val="lowerLetter"/>
      <w:start w:val="3"/>
    </w:lvl>
  </w:abstractNum>
  <w:abstractNum w:abstractNumId="82">
    <w:nsid w:val="6A5F7029"/>
    <w:multiLevelType w:val="hybridMultilevel"/>
    <w:lvl w:ilvl="0">
      <w:lvlJc w:val="left"/>
      <w:lvlText w:val="(%1)"/>
      <w:numFmt w:val="lowerLetter"/>
      <w:start w:val="1"/>
    </w:lvl>
  </w:abstractNum>
  <w:abstractNum w:abstractNumId="83">
    <w:nsid w:val="7D5E18F8"/>
    <w:multiLevelType w:val="hybridMultilevel"/>
    <w:lvl w:ilvl="0">
      <w:lvlJc w:val="left"/>
      <w:lvlText w:val="(%1)"/>
      <w:numFmt w:val="lowerLetter"/>
      <w:start w:val="1"/>
    </w:lvl>
  </w:abstractNum>
  <w:abstractNum w:abstractNumId="84">
    <w:nsid w:val="5F3534A4"/>
    <w:multiLevelType w:val="hybridMultilevel"/>
    <w:lvl w:ilvl="0">
      <w:lvlJc w:val="left"/>
      <w:lvlText w:val="(%1)"/>
      <w:numFmt w:val="lowerLetter"/>
      <w:start w:val="3"/>
    </w:lvl>
  </w:abstractNum>
  <w:abstractNum w:abstractNumId="85">
    <w:nsid w:val="73A1821B"/>
    <w:multiLevelType w:val="hybridMultilevel"/>
    <w:lvl w:ilvl="0">
      <w:lvlJc w:val="left"/>
      <w:lvlText w:val="%1"/>
      <w:numFmt w:val="lowerLetter"/>
      <w:start w:val="1"/>
    </w:lvl>
    <w:lvl w:ilvl="1">
      <w:lvlJc w:val="left"/>
      <w:lvlText w:val="(%2)"/>
      <w:numFmt w:val="lowerLetter"/>
      <w:start w:val="8"/>
    </w:lvl>
  </w:abstractNum>
  <w:abstractNum w:abstractNumId="86">
    <w:nsid w:val="7DE67713"/>
    <w:multiLevelType w:val="hybridMultilevel"/>
    <w:lvl w:ilvl="0">
      <w:lvlJc w:val="left"/>
      <w:lvlText w:val="(%1)"/>
      <w:numFmt w:val="lowerLetter"/>
      <w:start w:val="25"/>
    </w:lvl>
    <w:lvl w:ilvl="1">
      <w:lvlJc w:val="left"/>
      <w:lvlText w:val="(%2)"/>
      <w:numFmt w:val="lowerLetter"/>
      <w:start w:val="10"/>
    </w:lvl>
  </w:abstractNum>
  <w:abstractNum w:abstractNumId="87">
    <w:nsid w:val="555C55B5"/>
    <w:multiLevelType w:val="hybridMultilevel"/>
    <w:lvl w:ilvl="0">
      <w:lvlJc w:val="left"/>
      <w:lvlText w:val="%1"/>
      <w:numFmt w:val="lowerLetter"/>
      <w:start w:val="1"/>
    </w:lvl>
    <w:lvl w:ilvl="1">
      <w:lvlJc w:val="left"/>
      <w:lvlText w:val="(%2)"/>
      <w:numFmt w:val="lowerLetter"/>
      <w:start w:val="11"/>
    </w:lvl>
  </w:abstractNum>
  <w:abstractNum w:abstractNumId="88">
    <w:nsid w:val="3FA62ACA"/>
    <w:multiLevelType w:val="hybridMultilevel"/>
    <w:lvl w:ilvl="0">
      <w:lvlJc w:val="left"/>
      <w:lvlText w:val="(%1)"/>
      <w:numFmt w:val="lowerLetter"/>
      <w:start w:val="35"/>
    </w:lvl>
    <w:lvl w:ilvl="1">
      <w:lvlJc w:val="left"/>
      <w:lvlText w:val="(%2)"/>
      <w:numFmt w:val="lowerLetter"/>
      <w:start w:val="15"/>
    </w:lvl>
  </w:abstractNum>
  <w:abstractNum w:abstractNumId="89">
    <w:nsid w:val="14FCE74E"/>
    <w:multiLevelType w:val="hybridMultilevel"/>
    <w:lvl w:ilvl="0">
      <w:lvlJc w:val="left"/>
      <w:lvlText w:val="(%1)"/>
      <w:numFmt w:val="lowerLetter"/>
      <w:start w:val="1"/>
    </w:lvl>
  </w:abstractNum>
  <w:abstractNum w:abstractNumId="90">
    <w:nsid w:val="6A3DD3E8"/>
    <w:multiLevelType w:val="hybridMultilevel"/>
    <w:lvl w:ilvl="0">
      <w:lvlJc w:val="left"/>
      <w:lvlText w:val="(%1)"/>
      <w:numFmt w:val="lowerLetter"/>
      <w:start w:val="22"/>
    </w:lvl>
    <w:lvl w:ilvl="1">
      <w:lvlJc w:val="left"/>
      <w:lvlText w:val="(%2)"/>
      <w:numFmt w:val="lowerLetter"/>
      <w:start w:val="2"/>
    </w:lvl>
  </w:abstractNum>
  <w:abstractNum w:abstractNumId="91">
    <w:nsid w:val="71C91298"/>
    <w:multiLevelType w:val="hybridMultilevel"/>
    <w:lvl w:ilvl="0">
      <w:lvlJc w:val="left"/>
      <w:lvlText w:val="(%1)"/>
      <w:numFmt w:val="lowerLetter"/>
      <w:start w:val="4"/>
    </w:lvl>
  </w:abstractNum>
  <w:abstractNum w:abstractNumId="92">
    <w:nsid w:val="9DAF632"/>
    <w:multiLevelType w:val="hybridMultilevel"/>
    <w:lvl w:ilvl="0">
      <w:lvlJc w:val="left"/>
      <w:lvlText w:val="(%1)"/>
      <w:numFmt w:val="lowerLetter"/>
      <w:start w:val="1"/>
    </w:lvl>
  </w:abstractNum>
  <w:abstractNum w:abstractNumId="93">
    <w:nsid w:val="53299938"/>
    <w:multiLevelType w:val="hybridMultilevel"/>
    <w:lvl w:ilvl="0">
      <w:lvlJc w:val="left"/>
      <w:lvlText w:val="%1"/>
      <w:numFmt w:val="lowerRoman"/>
      <w:start w:val="1"/>
    </w:lvl>
    <w:lvl w:ilvl="1">
      <w:lvlJc w:val="left"/>
      <w:lvlText w:val="(%2)"/>
      <w:numFmt w:val="lowerLetter"/>
      <w:start w:val="2"/>
    </w:lvl>
  </w:abstractNum>
  <w:abstractNum w:abstractNumId="94">
    <w:nsid w:val="1FBFE8E0"/>
    <w:multiLevelType w:val="hybridMultilevel"/>
    <w:lvl w:ilvl="0">
      <w:lvlJc w:val="left"/>
      <w:lvlText w:val="(%1)"/>
      <w:numFmt w:val="lowerRoman"/>
      <w:start w:val="4"/>
    </w:lvl>
    <w:lvl w:ilvl="1">
      <w:lvlJc w:val="left"/>
      <w:lvlText w:val="(%2)"/>
      <w:numFmt w:val="lowerLetter"/>
      <w:start w:val="6"/>
    </w:lvl>
  </w:abstractNum>
  <w:abstractNum w:abstractNumId="95">
    <w:nsid w:val="5092CA79"/>
    <w:multiLevelType w:val="hybridMultilevel"/>
    <w:lvl w:ilvl="0">
      <w:lvlJc w:val="left"/>
      <w:lvlText w:val="(%1)"/>
      <w:numFmt w:val="lowerLetter"/>
      <w:start w:val="8"/>
    </w:lvl>
    <w:lvl w:ilvl="1">
      <w:lvlJc w:val="left"/>
      <w:lvlText w:val="(%2)"/>
      <w:numFmt w:val="lowerRoman"/>
      <w:start w:val="1"/>
    </w:lvl>
  </w:abstractNum>
  <w:abstractNum w:abstractNumId="96">
    <w:nsid w:val="1D545C4D"/>
    <w:multiLevelType w:val="hybridMultilevel"/>
    <w:lvl w:ilvl="0">
      <w:lvlJc w:val="left"/>
      <w:lvlText w:val="(%1)"/>
      <w:numFmt w:val="lowerRoman"/>
      <w:start w:val="5"/>
    </w:lvl>
  </w:abstractNum>
  <w:abstractNum w:abstractNumId="97">
    <w:nsid w:val="59ADEA3D"/>
    <w:multiLevelType w:val="hybridMultilevel"/>
    <w:lvl w:ilvl="0">
      <w:lvlJc w:val="left"/>
      <w:lvlText w:val="%1"/>
      <w:numFmt w:val="lowerLetter"/>
      <w:start w:val="1"/>
    </w:lvl>
    <w:lvl w:ilvl="1">
      <w:lvlJc w:val="left"/>
      <w:lvlText w:val="(%2)"/>
      <w:numFmt w:val="lowerRoman"/>
      <w:start w:val="4"/>
    </w:lvl>
  </w:abstractNum>
  <w:abstractNum w:abstractNumId="98">
    <w:nsid w:val="288F1A34"/>
    <w:multiLevelType w:val="hybridMultilevel"/>
    <w:lvl w:ilvl="0">
      <w:lvlJc w:val="left"/>
      <w:lvlText w:val="(%1)"/>
      <w:numFmt w:val="lowerLetter"/>
      <w:start w:val="14"/>
    </w:lvl>
    <w:lvl w:ilvl="1">
      <w:lvlJc w:val="left"/>
      <w:lvlText w:val="%2"/>
      <w:numFmt w:val="lowerRoman"/>
      <w:start w:val="1"/>
    </w:lvl>
  </w:abstractNum>
  <w:abstractNum w:abstractNumId="99">
    <w:nsid w:val="2A155DBC"/>
    <w:multiLevelType w:val="hybridMultilevel"/>
    <w:lvl w:ilvl="0">
      <w:lvlJc w:val="left"/>
      <w:lvlText w:val="(%1)"/>
      <w:numFmt w:val="lowerLetter"/>
      <w:start w:val="1"/>
    </w:lvl>
    <w:lvl w:ilvl="1">
      <w:lvlJc w:val="left"/>
      <w:lvlText w:val="(%2)"/>
      <w:numFmt w:val="lowerLetter"/>
      <w:start w:val="9"/>
    </w:lvl>
  </w:abstractNum>
  <w:abstractNum w:abstractNumId="100">
    <w:nsid w:val="1D9F6E5F"/>
    <w:multiLevelType w:val="hybridMultilevel"/>
    <w:lvl w:ilvl="0">
      <w:lvlJc w:val="left"/>
      <w:lvlText w:val="(%1)"/>
      <w:numFmt w:val="lowerRoman"/>
      <w:start w:val="2"/>
    </w:lvl>
  </w:abstractNum>
  <w:abstractNum w:abstractNumId="101">
    <w:nsid w:val="97E1B4E"/>
    <w:multiLevelType w:val="hybridMultilevel"/>
    <w:lvl w:ilvl="0">
      <w:lvlJc w:val="left"/>
      <w:lvlText w:val="(%1)"/>
      <w:numFmt w:val="lowerLetter"/>
      <w:start w:val="2"/>
    </w:lvl>
  </w:abstractNum>
  <w:abstractNum w:abstractNumId="102">
    <w:nsid w:val="51088277"/>
    <w:multiLevelType w:val="hybridMultilevel"/>
    <w:lvl w:ilvl="0">
      <w:lvlJc w:val="left"/>
      <w:lvlText w:val="(%1)"/>
      <w:numFmt w:val="lowerLetter"/>
      <w:start w:val="5"/>
    </w:lvl>
  </w:abstractNum>
  <w:abstractNum w:abstractNumId="103">
    <w:nsid w:val="1CA0C5FA"/>
    <w:multiLevelType w:val="hybridMultilevel"/>
    <w:lvl w:ilvl="0">
      <w:lvlJc w:val="left"/>
      <w:lvlText w:val="(%1)"/>
      <w:numFmt w:val="lowerLetter"/>
      <w:start w:val="1"/>
    </w:lvl>
  </w:abstractNum>
  <w:abstractNum w:abstractNumId="104">
    <w:nsid w:val="53584BCB"/>
    <w:multiLevelType w:val="hybridMultilevel"/>
    <w:lvl w:ilvl="0">
      <w:lvlJc w:val="left"/>
      <w:lvlText w:val="(%1)"/>
      <w:numFmt w:val="lowerRoman"/>
      <w:start w:val="1"/>
    </w:lvl>
  </w:abstractNum>
  <w:abstractNum w:abstractNumId="105">
    <w:nsid w:val="415E286C"/>
    <w:multiLevelType w:val="hybridMultilevel"/>
    <w:lvl w:ilvl="0">
      <w:lvlJc w:val="left"/>
      <w:lvlText w:val="(%1)"/>
      <w:numFmt w:val="lowerRoman"/>
      <w:start w:val="2"/>
    </w:lvl>
  </w:abstractNum>
  <w:abstractNum w:abstractNumId="106">
    <w:nsid w:val="7C58FD05"/>
    <w:multiLevelType w:val="hybridMultilevel"/>
    <w:lvl w:ilvl="0">
      <w:lvlJc w:val="left"/>
      <w:lvlText w:val="(%1)"/>
      <w:numFmt w:val="lowerRoman"/>
      <w:start w:val="1"/>
    </w:lvl>
  </w:abstractNum>
  <w:abstractNum w:abstractNumId="107">
    <w:nsid w:val="23D86AAC"/>
    <w:multiLevelType w:val="hybridMultilevel"/>
    <w:lvl w:ilvl="0">
      <w:lvlJc w:val="left"/>
      <w:lvlText w:val="(%1)"/>
      <w:numFmt w:val="lowerLetter"/>
      <w:start w:val="2"/>
    </w:lvl>
  </w:abstractNum>
  <w:abstractNum w:abstractNumId="108">
    <w:nsid w:val="45E6D486"/>
    <w:multiLevelType w:val="hybridMultilevel"/>
    <w:lvl w:ilvl="0">
      <w:lvlJc w:val="left"/>
      <w:lvlText w:val="(%1)"/>
      <w:numFmt w:val="lowerLetter"/>
      <w:start w:val="1"/>
    </w:lvl>
  </w:abstractNum>
  <w:abstractNum w:abstractNumId="109">
    <w:nsid w:val="5C10FE21"/>
    <w:multiLevelType w:val="hybridMultilevel"/>
    <w:lvl w:ilvl="0">
      <w:lvlJc w:val="left"/>
      <w:lvlText w:val="%1."/>
      <w:numFmt w:val="decimal"/>
      <w:start w:val="1"/>
    </w:lvl>
  </w:abstractNum>
  <w:abstractNum w:abstractNumId="110">
    <w:nsid w:val="E7FFA2B"/>
    <w:multiLevelType w:val="hybridMultilevel"/>
    <w:lvl w:ilvl="0">
      <w:lvlJc w:val="left"/>
      <w:lvlText w:val="(%1)"/>
      <w:numFmt w:val="lowerLetter"/>
      <w:start w:val="1"/>
    </w:lvl>
    <w:lvl w:ilvl="1">
      <w:lvlJc w:val="left"/>
      <w:lvlText w:val="(%2)"/>
      <w:numFmt w:val="lowerRoman"/>
      <w:start w:val="1"/>
    </w:lvl>
  </w:abstractNum>
  <w:abstractNum w:abstractNumId="111">
    <w:nsid w:val="3C5991AA"/>
    <w:multiLevelType w:val="hybridMultilevel"/>
    <w:lvl w:ilvl="0">
      <w:lvlJc w:val="left"/>
      <w:lvlText w:val="(%1)"/>
      <w:numFmt w:val="lowerRoman"/>
      <w:start w:val="7"/>
    </w:lvl>
  </w:abstractNum>
  <w:abstractNum w:abstractNumId="112">
    <w:nsid w:val="4BD8591A"/>
    <w:multiLevelType w:val="hybridMultilevel"/>
    <w:lvl w:ilvl="0">
      <w:lvlJc w:val="left"/>
      <w:lvlText w:val="(%1)"/>
      <w:numFmt w:val="lowerRoman"/>
      <w:start w:val="4"/>
    </w:lvl>
  </w:abstractNum>
  <w:abstractNum w:abstractNumId="113">
    <w:nsid w:val="78DF6A55"/>
    <w:multiLevelType w:val="hybridMultilevel"/>
    <w:lvl w:ilvl="0">
      <w:lvlJc w:val="left"/>
      <w:lvlText w:val="(%1)"/>
      <w:numFmt w:val="lowerRoman"/>
      <w:start w:val="9"/>
    </w:lvl>
  </w:abstractNum>
  <w:abstractNum w:abstractNumId="114">
    <w:nsid w:val="39B7AAA2"/>
    <w:multiLevelType w:val="hybridMultilevel"/>
    <w:lvl w:ilvl="0">
      <w:lvlJc w:val="left"/>
      <w:lvlText w:val="%1"/>
      <w:numFmt w:val="decimal"/>
      <w:start w:val="1"/>
    </w:lvl>
    <w:lvl w:ilvl="1">
      <w:lvlJc w:val="left"/>
      <w:lvlText w:val="(%2)"/>
      <w:numFmt w:val="lowerLetter"/>
      <w:start w:val="2"/>
    </w:lvl>
  </w:abstractNum>
  <w:abstractNum w:abstractNumId="115">
    <w:nsid w:val="2B0D8DBE"/>
    <w:multiLevelType w:val="hybridMultilevel"/>
    <w:lvl w:ilvl="0">
      <w:lvlJc w:val="left"/>
      <w:lvlText w:val="(%1)"/>
      <w:numFmt w:val="decimal"/>
      <w:start w:val="1"/>
    </w:lvl>
    <w:lvl w:ilvl="1">
      <w:lvlJc w:val="left"/>
      <w:lvlText w:val="%2"/>
      <w:numFmt w:val="lowerLetter"/>
      <w:start w:val="1"/>
    </w:lvl>
  </w:abstractNum>
  <w:abstractNum w:abstractNumId="116">
    <w:nsid w:val="6C80E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jpe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70"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229" Type="http://schemas.openxmlformats.org/officeDocument/2006/relationships/image" Target="media/image195.png"/><Relationship Id="rId230" Type="http://schemas.openxmlformats.org/officeDocument/2006/relationships/image" Target="media/image196.png"/><Relationship Id="rId231" Type="http://schemas.openxmlformats.org/officeDocument/2006/relationships/image" Target="media/image197.png"/><Relationship Id="rId232" Type="http://schemas.openxmlformats.org/officeDocument/2006/relationships/image" Target="media/image198.png"/><Relationship Id="rId233" Type="http://schemas.openxmlformats.org/officeDocument/2006/relationships/image" Target="media/image199.png"/><Relationship Id="rId234" Type="http://schemas.openxmlformats.org/officeDocument/2006/relationships/image" Target="media/image200.png"/><Relationship Id="rId235" Type="http://schemas.openxmlformats.org/officeDocument/2006/relationships/image" Target="media/image201.png"/><Relationship Id="rId236" Type="http://schemas.openxmlformats.org/officeDocument/2006/relationships/image" Target="media/image202.png"/><Relationship Id="rId237" Type="http://schemas.openxmlformats.org/officeDocument/2006/relationships/image" Target="media/image203.png"/><Relationship Id="rId238" Type="http://schemas.openxmlformats.org/officeDocument/2006/relationships/image" Target="media/image204.png"/><Relationship Id="rId239" Type="http://schemas.openxmlformats.org/officeDocument/2006/relationships/image" Target="media/image205.png"/><Relationship Id="rId240" Type="http://schemas.openxmlformats.org/officeDocument/2006/relationships/image" Target="media/image206.jpeg"/><Relationship Id="rId241" Type="http://schemas.openxmlformats.org/officeDocument/2006/relationships/image" Target="media/image207.png"/><Relationship Id="rId242" Type="http://schemas.openxmlformats.org/officeDocument/2006/relationships/image" Target="media/image208.jpeg"/><Relationship Id="rId141" Type="http://schemas.openxmlformats.org/officeDocument/2006/relationships/hyperlink" Target="http://www.sec.gov/ix?doc=/Archives/edgar/data/1789940/000178994022000012/fwrg-20211226.htm" TargetMode="External"/><Relationship Id="rId142" Type="http://schemas.openxmlformats.org/officeDocument/2006/relationships/hyperlink" Target="http://www.sec.gov/ix?doc=/Archives/edgar/data/1789940/000178994022000055/fwrg-20220327.htm" TargetMode="External"/><Relationship Id="rId143" Type="http://schemas.openxmlformats.org/officeDocument/2006/relationships/hyperlink" Target="http://www.sec.gov/ix?doc=/Archives/edgar/data/1789940/000178994022000083/fwrg-20220626.htm" TargetMode="External"/><Relationship Id="rId144" Type="http://schemas.openxmlformats.org/officeDocument/2006/relationships/hyperlink" Target="http://www.sec.gov/Archives/edgar/data/1789940/000178994022000044/fwrg-proxystatement2022.htm" TargetMode="External"/><Relationship Id="rId145" Type="http://schemas.openxmlformats.org/officeDocument/2006/relationships/hyperlink" Target="http://www.sec.gov/ix?doc=/Archives/edgar/data/1789940/000178994022000087/fwrg-20220817.htm" TargetMode="External"/><Relationship Id="rId146" Type="http://schemas.openxmlformats.org/officeDocument/2006/relationships/hyperlink" Target="http://www.sec.gov/ix?doc=/Archives/edgar/data/1789940/000178994022000091/fwrg-20220907.htm" TargetMode="External"/><Relationship Id="rId158" Type="http://schemas.openxmlformats.org/officeDocument/2006/relationships/hyperlink" Target="http://www.sec.gov/Archives/edgar/data/1789940/000119312521293207/d212487dex31.htm" TargetMode="External"/><Relationship Id="rId159" Type="http://schemas.openxmlformats.org/officeDocument/2006/relationships/hyperlink" Target="http://www.sec.gov/Archives/edgar/data/1789940/000119312521293207/d212487dex32.htm" TargetMode="External"/><Relationship Id="rId160" Type="http://schemas.openxmlformats.org/officeDocument/2006/relationships/hyperlink" Target="http://www.sec.gov/Archives/edgar/data/1789940/000119312521266418/d177756dex41.htm" TargetMode="External"/><Relationship Id="rId161" Type="http://schemas.openxmlformats.org/officeDocument/2006/relationships/hyperlink" Target="http://www.sec.gov/Archives/edgar/data/1789940/000178994022000012/firstwatch-registrationr.htm" TargetMode="External"/><Relationship Id="rId162" Type="http://schemas.openxmlformats.org/officeDocument/2006/relationships/hyperlink" Target="http://www.sec.gov/Archives/edgar/data/1789940/000119312521293207/d212487dex101.htm" TargetMode="External"/><Relationship Id="rId163" Type="http://schemas.openxmlformats.org/officeDocument/2006/relationships/hyperlink" Target="http://www.sec.gov/Archives/edgar/data/1789940/000119312521266418/d177756dex101a.htm" TargetMode="External"/><Relationship Id="rId164" Type="http://schemas.openxmlformats.org/officeDocument/2006/relationships/hyperlink" Target="http://www.sec.gov/Archives/edgar/data/1789940/000119312521266418/d177756dex101b.htm" TargetMode="External"/><Relationship Id="rId165" Type="http://schemas.openxmlformats.org/officeDocument/2006/relationships/hyperlink" Target="http://www.sec.gov/Archives/edgar/data/1789940/000119312521266418/d177756dex101c.htm" TargetMode="External"/><Relationship Id="rId166" Type="http://schemas.openxmlformats.org/officeDocument/2006/relationships/hyperlink" Target="http://www.sec.gov/Archives/edgar/data/1789940/000119312521266418/d177756dex101d.htm" TargetMode="External"/><Relationship Id="rId167" Type="http://schemas.openxmlformats.org/officeDocument/2006/relationships/hyperlink" Target="http://www.sec.gov/Archives/edgar/data/1789940/000119312521266418/d177756dex101e.htm" TargetMode="External"/><Relationship Id="rId168" Type="http://schemas.openxmlformats.org/officeDocument/2006/relationships/hyperlink" Target="http://www.sec.gov/Archives/edgar/data/1789940/000178994022000005/exh101-tomassoemploymentag.htm" TargetMode="External"/><Relationship Id="rId169" Type="http://schemas.openxmlformats.org/officeDocument/2006/relationships/hyperlink" Target="http://www.sec.gov/Archives/edgar/data/1789940/000119312521266418/d177756dex102.htm" TargetMode="External"/><Relationship Id="rId171" Type="http://schemas.openxmlformats.org/officeDocument/2006/relationships/hyperlink" Target="http://www.sec.gov/Archives/edgar/data/1789940/000119312521266418/d177756dex103.htm" TargetMode="External"/><Relationship Id="rId172" Type="http://schemas.openxmlformats.org/officeDocument/2006/relationships/hyperlink" Target="http://www.sec.gov/Archives/edgar/data/1789940/000119312521266418/d177756dex104.htm" TargetMode="External"/><Relationship Id="rId173" Type="http://schemas.openxmlformats.org/officeDocument/2006/relationships/hyperlink" Target="http://www.sec.gov/Archives/edgar/data/1789940/000119312521266418/d177756dex105.htm" TargetMode="External"/><Relationship Id="rId174" Type="http://schemas.openxmlformats.org/officeDocument/2006/relationships/hyperlink" Target="http://www.sec.gov/Archives/edgar/data/1789940/000178994022000012/exhibit109firstwatch-202.htm" TargetMode="External"/><Relationship Id="rId175" Type="http://schemas.openxmlformats.org/officeDocument/2006/relationships/hyperlink" Target="http://www.sec.gov/Archives/edgar/data/1789940/000119312521266418/d177756dex107.htm" TargetMode="External"/><Relationship Id="rId176" Type="http://schemas.openxmlformats.org/officeDocument/2006/relationships/hyperlink" Target="http://www.sec.gov/Archives/edgar/data/1789940/000119312521266418/d177756dex108.htm" TargetMode="External"/><Relationship Id="rId177" Type="http://schemas.openxmlformats.org/officeDocument/2006/relationships/hyperlink" Target="http://www.sec.gov/Archives/edgar/data/1789940/000178994022000012/firstwatchofferletter-ho.htm" TargetMode="External"/><Relationship Id="rId178" Type="http://schemas.openxmlformats.org/officeDocument/2006/relationships/hyperlink" Target="http://www.sec.gov/Archives/edgar/data/1789940/000178994022000012/a1010optionawardagreement.htm" TargetMode="External"/><Relationship Id="rId179" Type="http://schemas.openxmlformats.org/officeDocument/2006/relationships/hyperlink" Target="http://www.sec.gov/Archives/edgar/data/1789940/000178994022000012/a211listofsubsidiari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2022-09-12T15:24:23Z</dcterms:created>
  <dcterms:modified xsi:type="dcterms:W3CDTF">2022-09-12T15:24:23Z</dcterms:modified>
</cp:coreProperties>
</file>