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submitted confidentially with the Securities and Exchange Commission on January 8, 2020</w:t>
      </w:r>
    </w:p>
    <w:p>
      <w:pPr>
        <w:spacing w:after="0" w:line="4" w:lineRule="exact"/>
        <w:rPr>
          <w:sz w:val="24"/>
          <w:szCs w:val="24"/>
          <w:color w:val="auto"/>
        </w:rPr>
      </w:pPr>
    </w:p>
    <w:p>
      <w:pPr>
        <w:ind w:left="9400" w:right="440" w:hanging="8752"/>
        <w:spacing w:after="0" w:line="314"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First Watch Restaurant Group,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5812</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82-4271369</w:t>
            </w:r>
          </w:p>
        </w:tc>
      </w:tr>
      <w:tr>
        <w:trPr>
          <w:trHeight w:val="148"/>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8027 Cooper Creek Blvd. #103</w:t>
      </w:r>
    </w:p>
    <w:p>
      <w:pPr>
        <w:jc w:val="center"/>
        <w:ind w:right="-99"/>
        <w:spacing w:after="0" w:line="226" w:lineRule="auto"/>
        <w:rPr>
          <w:sz w:val="20"/>
          <w:szCs w:val="20"/>
          <w:color w:val="auto"/>
        </w:rPr>
      </w:pPr>
      <w:r>
        <w:rPr>
          <w:rFonts w:ascii="Arial" w:cs="Arial" w:eastAsia="Arial" w:hAnsi="Arial"/>
          <w:sz w:val="14"/>
          <w:szCs w:val="14"/>
          <w:b w:val="1"/>
          <w:bCs w:val="1"/>
          <w:color w:val="auto"/>
        </w:rPr>
        <w:t>University Park, FL 34201</w:t>
      </w:r>
    </w:p>
    <w:p>
      <w:pPr>
        <w:jc w:val="center"/>
        <w:ind w:right="-99"/>
        <w:spacing w:after="0" w:line="221" w:lineRule="auto"/>
        <w:rPr>
          <w:sz w:val="20"/>
          <w:szCs w:val="20"/>
          <w:color w:val="auto"/>
        </w:rPr>
      </w:pPr>
      <w:r>
        <w:rPr>
          <w:rFonts w:ascii="Arial" w:cs="Arial" w:eastAsia="Arial" w:hAnsi="Arial"/>
          <w:sz w:val="14"/>
          <w:szCs w:val="14"/>
          <w:b w:val="1"/>
          <w:bCs w:val="1"/>
          <w:color w:val="auto"/>
        </w:rPr>
        <w:t>(941) 907-9800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Christopher A. Tomasso</w:t>
      </w:r>
    </w:p>
    <w:p>
      <w:pPr>
        <w:jc w:val="center"/>
        <w:ind w:right="-99"/>
        <w:spacing w:after="0" w:line="226" w:lineRule="auto"/>
        <w:rPr>
          <w:sz w:val="20"/>
          <w:szCs w:val="20"/>
          <w:color w:val="auto"/>
        </w:rPr>
      </w:pPr>
      <w:r>
        <w:rPr>
          <w:rFonts w:ascii="Arial" w:cs="Arial" w:eastAsia="Arial" w:hAnsi="Arial"/>
          <w:sz w:val="14"/>
          <w:szCs w:val="14"/>
          <w:b w:val="1"/>
          <w:bCs w:val="1"/>
          <w:color w:val="auto"/>
        </w:rPr>
        <w:t>President, Chief Executive Officer and Director</w:t>
      </w:r>
    </w:p>
    <w:p>
      <w:pPr>
        <w:jc w:val="center"/>
        <w:ind w:right="-99"/>
        <w:spacing w:after="0" w:line="221" w:lineRule="auto"/>
        <w:rPr>
          <w:sz w:val="20"/>
          <w:szCs w:val="20"/>
          <w:color w:val="auto"/>
        </w:rPr>
      </w:pPr>
      <w:r>
        <w:rPr>
          <w:rFonts w:ascii="Arial" w:cs="Arial" w:eastAsia="Arial" w:hAnsi="Arial"/>
          <w:sz w:val="14"/>
          <w:szCs w:val="14"/>
          <w:b w:val="1"/>
          <w:bCs w:val="1"/>
          <w:color w:val="auto"/>
        </w:rPr>
        <w:t>8027 Cooper Creek Blvd. #103</w:t>
      </w:r>
    </w:p>
    <w:p>
      <w:pPr>
        <w:jc w:val="center"/>
        <w:ind w:right="-99"/>
        <w:spacing w:after="0" w:line="222" w:lineRule="auto"/>
        <w:rPr>
          <w:sz w:val="20"/>
          <w:szCs w:val="20"/>
          <w:color w:val="auto"/>
        </w:rPr>
      </w:pPr>
      <w:r>
        <w:rPr>
          <w:rFonts w:ascii="Arial" w:cs="Arial" w:eastAsia="Arial" w:hAnsi="Arial"/>
          <w:sz w:val="14"/>
          <w:szCs w:val="14"/>
          <w:b w:val="1"/>
          <w:bCs w:val="1"/>
          <w:color w:val="auto"/>
        </w:rPr>
        <w:t>University Park, FL 34201</w:t>
      </w:r>
    </w:p>
    <w:p>
      <w:pPr>
        <w:jc w:val="center"/>
        <w:ind w:right="-99"/>
        <w:spacing w:after="0" w:line="221" w:lineRule="auto"/>
        <w:rPr>
          <w:sz w:val="20"/>
          <w:szCs w:val="20"/>
          <w:color w:val="auto"/>
        </w:rPr>
      </w:pPr>
      <w:r>
        <w:rPr>
          <w:rFonts w:ascii="Arial" w:cs="Arial" w:eastAsia="Arial" w:hAnsi="Arial"/>
          <w:sz w:val="14"/>
          <w:szCs w:val="14"/>
          <w:b w:val="1"/>
          <w:bCs w:val="1"/>
          <w:color w:val="auto"/>
        </w:rPr>
        <w:t>(941) 907-9800</w:t>
      </w: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3780" w:type="dxa"/>
            <w:vAlign w:val="bottom"/>
          </w:tcPr>
          <w:p>
            <w:pPr>
              <w:ind w:left="1480"/>
              <w:spacing w:after="0"/>
              <w:rPr>
                <w:sz w:val="20"/>
                <w:szCs w:val="20"/>
                <w:color w:val="auto"/>
              </w:rPr>
            </w:pPr>
            <w:r>
              <w:rPr>
                <w:rFonts w:ascii="Arial" w:cs="Arial" w:eastAsia="Arial" w:hAnsi="Arial"/>
                <w:sz w:val="14"/>
                <w:szCs w:val="14"/>
                <w:b w:val="1"/>
                <w:bCs w:val="1"/>
                <w:i w:val="1"/>
                <w:iCs w:val="1"/>
                <w:color w:val="auto"/>
              </w:rPr>
              <w:t>Copies to:</w:t>
            </w:r>
          </w:p>
        </w:tc>
        <w:tc>
          <w:tcPr>
            <w:tcW w:w="2600" w:type="dxa"/>
            <w:vAlign w:val="bottom"/>
          </w:tcPr>
          <w:p>
            <w:pPr>
              <w:spacing w:after="0"/>
              <w:rPr>
                <w:sz w:val="15"/>
                <w:szCs w:val="15"/>
                <w:color w:val="auto"/>
              </w:rPr>
            </w:pPr>
          </w:p>
        </w:tc>
      </w:tr>
      <w:tr>
        <w:trPr>
          <w:trHeight w:val="178"/>
        </w:trPr>
        <w:tc>
          <w:tcPr>
            <w:tcW w:w="2760" w:type="dxa"/>
            <w:vAlign w:val="bottom"/>
          </w:tcPr>
          <w:p>
            <w:pPr>
              <w:jc w:val="center"/>
              <w:ind w:right="868"/>
              <w:spacing w:after="0"/>
              <w:rPr>
                <w:sz w:val="20"/>
                <w:szCs w:val="20"/>
                <w:color w:val="auto"/>
              </w:rPr>
            </w:pPr>
            <w:r>
              <w:rPr>
                <w:rFonts w:ascii="Arial" w:cs="Arial" w:eastAsia="Arial" w:hAnsi="Arial"/>
                <w:sz w:val="14"/>
                <w:szCs w:val="14"/>
                <w:b w:val="1"/>
                <w:bCs w:val="1"/>
                <w:color w:val="auto"/>
                <w:w w:val="93"/>
              </w:rPr>
              <w:t>Alexander D. Lynch, Esq.</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1"/>
              </w:rPr>
              <w:t>Jay Wolszczak, Esq.</w:t>
            </w:r>
          </w:p>
        </w:tc>
        <w:tc>
          <w:tcPr>
            <w:tcW w:w="2600" w:type="dxa"/>
            <w:vAlign w:val="bottom"/>
          </w:tcPr>
          <w:p>
            <w:pPr>
              <w:jc w:val="center"/>
              <w:ind w:left="828"/>
              <w:spacing w:after="0"/>
              <w:rPr>
                <w:sz w:val="20"/>
                <w:szCs w:val="20"/>
                <w:color w:val="auto"/>
              </w:rPr>
            </w:pPr>
            <w:r>
              <w:rPr>
                <w:rFonts w:ascii="Arial" w:cs="Arial" w:eastAsia="Arial" w:hAnsi="Arial"/>
                <w:sz w:val="14"/>
                <w:szCs w:val="14"/>
                <w:b w:val="1"/>
                <w:bCs w:val="1"/>
                <w:color w:val="auto"/>
                <w:w w:val="94"/>
              </w:rPr>
              <w:t>Marc D. Jaffe, Esq.</w:t>
            </w:r>
          </w:p>
        </w:tc>
      </w:tr>
      <w:tr>
        <w:trPr>
          <w:trHeight w:val="149"/>
        </w:trPr>
        <w:tc>
          <w:tcPr>
            <w:tcW w:w="27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General Counsel and Secretary</w:t>
            </w:r>
          </w:p>
        </w:tc>
        <w:tc>
          <w:tcPr>
            <w:tcW w:w="260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Ian D. Schuman, Esq.</w:t>
            </w:r>
          </w:p>
        </w:tc>
      </w:tr>
      <w:tr>
        <w:trPr>
          <w:trHeight w:val="148"/>
        </w:trPr>
        <w:tc>
          <w:tcPr>
            <w:tcW w:w="276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767 Fifth Avenue</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8027 Cooper Creek Blvd. #103</w:t>
            </w:r>
          </w:p>
        </w:tc>
        <w:tc>
          <w:tcPr>
            <w:tcW w:w="260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1"/>
              </w:rPr>
              <w:t>Peter J. Sluka, Esq.</w:t>
            </w:r>
          </w:p>
        </w:tc>
      </w:tr>
      <w:tr>
        <w:trPr>
          <w:trHeight w:val="149"/>
        </w:trPr>
        <w:tc>
          <w:tcPr>
            <w:tcW w:w="27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5"/>
              </w:rPr>
              <w:t>New York, New York 10153</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University Park, FL 34201</w:t>
            </w:r>
          </w:p>
        </w:tc>
        <w:tc>
          <w:tcPr>
            <w:tcW w:w="260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8"/>
        </w:trPr>
        <w:tc>
          <w:tcPr>
            <w:tcW w:w="27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(212) 310-8000 (Phone)</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(941) 907-9800</w:t>
            </w:r>
          </w:p>
        </w:tc>
        <w:tc>
          <w:tcPr>
            <w:tcW w:w="260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885 Third Avenue</w:t>
            </w:r>
          </w:p>
        </w:tc>
      </w:tr>
      <w:tr>
        <w:trPr>
          <w:trHeight w:val="148"/>
        </w:trPr>
        <w:tc>
          <w:tcPr>
            <w:tcW w:w="27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4"/>
              </w:rPr>
              <w:t>(212) 310-8007 (Fax)</w:t>
            </w:r>
          </w:p>
        </w:tc>
        <w:tc>
          <w:tcPr>
            <w:tcW w:w="3780" w:type="dxa"/>
            <w:vAlign w:val="bottom"/>
          </w:tcPr>
          <w:p>
            <w:pPr>
              <w:spacing w:after="0"/>
              <w:rPr>
                <w:sz w:val="12"/>
                <w:szCs w:val="12"/>
                <w:color w:val="auto"/>
              </w:rPr>
            </w:pPr>
          </w:p>
        </w:tc>
        <w:tc>
          <w:tcPr>
            <w:tcW w:w="260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5"/>
              </w:rPr>
              <w:t>New York, New York 10022</w:t>
            </w:r>
          </w:p>
        </w:tc>
      </w:tr>
      <w:tr>
        <w:trPr>
          <w:trHeight w:val="186"/>
        </w:trPr>
        <w:tc>
          <w:tcPr>
            <w:tcW w:w="27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600" w:type="dxa"/>
            <w:vAlign w:val="bottom"/>
          </w:tcPr>
          <w:p>
            <w:pPr>
              <w:jc w:val="center"/>
              <w:ind w:left="828"/>
              <w:spacing w:after="0"/>
              <w:rPr>
                <w:sz w:val="20"/>
                <w:szCs w:val="20"/>
                <w:color w:val="auto"/>
              </w:rPr>
            </w:pPr>
            <w:r>
              <w:rPr>
                <w:rFonts w:ascii="Arial" w:cs="Arial" w:eastAsia="Arial" w:hAnsi="Arial"/>
                <w:sz w:val="14"/>
                <w:szCs w:val="14"/>
                <w:b w:val="1"/>
                <w:bCs w:val="1"/>
                <w:color w:val="auto"/>
                <w:w w:val="93"/>
              </w:rPr>
              <w:t>(212) 906-1894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46"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400" w:firstLine="44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5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06"/>
        </w:trPr>
        <w:tc>
          <w:tcPr>
            <w:tcW w:w="75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jc w:val="center"/>
              <w:ind w:left="30"/>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r>
      <w:tr>
        <w:trPr>
          <w:trHeight w:val="149"/>
        </w:trPr>
        <w:tc>
          <w:tcPr>
            <w:tcW w:w="750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Pr>
          <w:p>
            <w:pPr>
              <w:spacing w:after="0"/>
              <w:rPr>
                <w:sz w:val="12"/>
                <w:szCs w:val="12"/>
                <w:color w:val="auto"/>
              </w:rPr>
            </w:pPr>
          </w:p>
        </w:tc>
      </w:tr>
      <w:tr>
        <w:trPr>
          <w:trHeight w:val="158"/>
        </w:trPr>
        <w:tc>
          <w:tcPr>
            <w:tcW w:w="75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880" w:type="dxa"/>
            <w:vAlign w:val="bottom"/>
            <w:tcBorders>
              <w:right w:val="single" w:sz="8" w:color="auto"/>
            </w:tcBorders>
          </w:tcPr>
          <w:p>
            <w:pPr>
              <w:jc w:val="center"/>
              <w:ind w:left="30"/>
              <w:spacing w:after="0" w:line="158"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7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88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96"/>
              </w:rPr>
              <w:t>Offering Price(1)(2)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r>
      <w:tr>
        <w:trPr>
          <w:trHeight w:val="142"/>
        </w:trPr>
        <w:tc>
          <w:tcPr>
            <w:tcW w:w="75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880" w:type="dxa"/>
            <w:vAlign w:val="bottom"/>
            <w:tcBorders>
              <w:bottom w:val="single" w:sz="8" w:color="auto"/>
              <w:right w:val="single" w:sz="8" w:color="auto"/>
            </w:tcBorders>
          </w:tcPr>
          <w:p>
            <w:pPr>
              <w:jc w:val="right"/>
              <w:ind w:right="1010"/>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rPr>
              <w:t>$</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may be issuable upon exercise of an option to purchase additional shares granted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5"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ind w:right="-139"/>
        <w:spacing w:after="0"/>
        <w:tabs>
          <w:tab w:leader="none" w:pos="200" w:val="left"/>
        </w:tabs>
        <w:rPr>
          <w:sz w:val="20"/>
          <w:szCs w:val="20"/>
          <w:color w:val="auto"/>
        </w:rPr>
      </w:pPr>
      <w:r>
        <w:rPr>
          <w:rFonts w:ascii="Arial" w:cs="Arial" w:eastAsia="Arial" w:hAnsi="Arial"/>
          <w:sz w:val="18"/>
          <w:szCs w:val="18"/>
          <w:b w:val="1"/>
          <w:bCs w:val="1"/>
          <w:color w:val="EB0029"/>
        </w:rPr>
        <w:t>Subject to Completion, Dated January</w:t>
      </w:r>
      <w:r>
        <w:rPr>
          <w:sz w:val="20"/>
          <w:szCs w:val="20"/>
          <w:color w:val="auto"/>
        </w:rPr>
        <w:tab/>
      </w:r>
      <w:r>
        <w:rPr>
          <w:rFonts w:ascii="Arial" w:cs="Arial" w:eastAsia="Arial" w:hAnsi="Arial"/>
          <w:sz w:val="16"/>
          <w:szCs w:val="16"/>
          <w:b w:val="1"/>
          <w:bCs w:val="1"/>
          <w:color w:val="EB0029"/>
        </w:rPr>
        <w:t>,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171450</wp:posOffset>
            </wp:positionV>
            <wp:extent cx="2486025" cy="131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auto"/>
        </w:rPr>
        <w:t>Shares</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First Watch Restaurant Group,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0020" w:val="left"/>
        </w:tabs>
        <w:rPr>
          <w:sz w:val="20"/>
          <w:szCs w:val="20"/>
          <w:color w:val="auto"/>
        </w:rPr>
      </w:pPr>
      <w:r>
        <w:rPr>
          <w:rFonts w:ascii="Arial" w:cs="Arial" w:eastAsia="Arial" w:hAnsi="Arial"/>
          <w:sz w:val="18"/>
          <w:szCs w:val="18"/>
          <w:color w:val="auto"/>
        </w:rPr>
        <w:t>This is an initial public offering of common stock by First Watch Restaurant Group, Inc. (the “Company”). We are offering</w:t>
      </w:r>
      <w:r>
        <w:rPr>
          <w:sz w:val="20"/>
          <w:szCs w:val="20"/>
          <w:color w:val="auto"/>
        </w:rPr>
        <w:tab/>
      </w:r>
      <w:r>
        <w:rPr>
          <w:rFonts w:ascii="Arial" w:cs="Arial" w:eastAsia="Arial" w:hAnsi="Arial"/>
          <w:sz w:val="16"/>
          <w:szCs w:val="16"/>
          <w:color w:val="auto"/>
        </w:rPr>
        <w:t>shares of our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common stock. It is currently estimated that the initial public offering price per share</w:t>
      </w:r>
    </w:p>
    <w:p>
      <w:pPr>
        <w:spacing w:after="0" w:line="46" w:lineRule="exact"/>
        <w:rPr>
          <w:sz w:val="20"/>
          <w:szCs w:val="20"/>
          <w:color w:val="auto"/>
        </w:rPr>
      </w:pPr>
    </w:p>
    <w:p>
      <w:pPr>
        <w:ind w:left="120"/>
        <w:spacing w:after="0"/>
        <w:tabs>
          <w:tab w:leader="none" w:pos="1780" w:val="left"/>
          <w:tab w:leader="none" w:pos="2520" w:val="left"/>
          <w:tab w:leader="none" w:pos="7620" w:val="left"/>
          <w:tab w:leader="none" w:pos="9720" w:val="left"/>
        </w:tabs>
        <w:rPr>
          <w:sz w:val="20"/>
          <w:szCs w:val="20"/>
          <w:color w:val="auto"/>
        </w:rPr>
      </w:pPr>
      <w:r>
        <w:rPr>
          <w:rFonts w:ascii="Arial" w:cs="Arial" w:eastAsia="Arial" w:hAnsi="Arial"/>
          <w:sz w:val="18"/>
          <w:szCs w:val="18"/>
          <w:color w:val="auto"/>
        </w:rPr>
        <w:t>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 We intend to apply to have our common stock listed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 – Implications of Being an Emerging Growth Company.” After the completion of this offering, we</w:t>
      </w:r>
    </w:p>
    <w:p>
      <w:pPr>
        <w:ind w:left="120"/>
        <w:spacing w:after="0"/>
        <w:tabs>
          <w:tab w:leader="none" w:pos="8120" w:val="left"/>
        </w:tabs>
        <w:rPr>
          <w:sz w:val="20"/>
          <w:szCs w:val="20"/>
          <w:color w:val="auto"/>
        </w:rPr>
      </w:pPr>
      <w:r>
        <w:rPr>
          <w:rFonts w:ascii="Arial" w:cs="Arial" w:eastAsia="Arial" w:hAnsi="Arial"/>
          <w:sz w:val="18"/>
          <w:szCs w:val="18"/>
          <w:color w:val="auto"/>
        </w:rPr>
        <w:t>expect to be a “controlled company” within the meaning of the corporate governance standards of the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46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15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Underwriting discount(1)</w:t>
            </w:r>
          </w:p>
        </w:tc>
        <w:tc>
          <w:tcPr>
            <w:tcW w:w="27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7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refer you to “Underwriting,” beginning on page 108 of this prospectus, for additional information regarding total underwriter compensation.</w:t>
      </w:r>
    </w:p>
    <w:p>
      <w:pPr>
        <w:spacing w:after="0" w:line="248" w:lineRule="exact"/>
        <w:rPr>
          <w:sz w:val="20"/>
          <w:szCs w:val="20"/>
          <w:color w:val="auto"/>
        </w:rPr>
      </w:pPr>
    </w:p>
    <w:p>
      <w:pPr>
        <w:ind w:left="560"/>
        <w:spacing w:after="0"/>
        <w:tabs>
          <w:tab w:leader="none" w:pos="4840" w:val="left"/>
        </w:tabs>
        <w:rPr>
          <w:sz w:val="20"/>
          <w:szCs w:val="20"/>
          <w:color w:val="auto"/>
        </w:rPr>
      </w:pPr>
      <w:r>
        <w:rPr>
          <w:rFonts w:ascii="Arial" w:cs="Arial" w:eastAsia="Arial" w:hAnsi="Arial"/>
          <w:sz w:val="18"/>
          <w:szCs w:val="18"/>
          <w:color w:val="auto"/>
        </w:rPr>
        <w:t>To the extent that the underwriters sell more than</w:t>
      </w:r>
      <w:r>
        <w:rPr>
          <w:sz w:val="20"/>
          <w:szCs w:val="20"/>
          <w:color w:val="auto"/>
        </w:rPr>
        <w:tab/>
      </w:r>
      <w:r>
        <w:rPr>
          <w:rFonts w:ascii="Arial" w:cs="Arial" w:eastAsia="Arial" w:hAnsi="Arial"/>
          <w:sz w:val="16"/>
          <w:szCs w:val="16"/>
          <w:color w:val="auto"/>
        </w:rPr>
        <w:t>shares of common stock, the underwriters have an option to purchase up to an</w:t>
      </w:r>
    </w:p>
    <w:p>
      <w:pPr>
        <w:spacing w:after="0" w:line="23" w:lineRule="exact"/>
        <w:rPr>
          <w:sz w:val="20"/>
          <w:szCs w:val="20"/>
          <w:color w:val="auto"/>
        </w:rPr>
      </w:pPr>
    </w:p>
    <w:p>
      <w:pPr>
        <w:ind w:left="120"/>
        <w:spacing w:after="0"/>
        <w:tabs>
          <w:tab w:leader="none" w:pos="154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shares from us at the initial public offering price less the 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1560"/>
        <w:spacing w:after="0"/>
        <w:tabs>
          <w:tab w:leader="none" w:pos="9180" w:val="left"/>
        </w:tabs>
        <w:rPr>
          <w:sz w:val="20"/>
          <w:szCs w:val="20"/>
          <w:color w:val="auto"/>
        </w:rPr>
      </w:pPr>
      <w:r>
        <w:rPr>
          <w:rFonts w:ascii="Arial" w:cs="Arial" w:eastAsia="Arial" w:hAnsi="Arial"/>
          <w:sz w:val="18"/>
          <w:szCs w:val="18"/>
          <w:b w:val="1"/>
          <w:bCs w:val="1"/>
          <w:color w:val="auto"/>
        </w:rPr>
        <w:t>The underwriters expect to deliver the shares against payment in New York, New York on</w:t>
      </w:r>
      <w:r>
        <w:rPr>
          <w:sz w:val="20"/>
          <w:szCs w:val="20"/>
          <w:color w:val="auto"/>
        </w:rPr>
        <w:tab/>
      </w:r>
      <w:r>
        <w:rPr>
          <w:rFonts w:ascii="Arial" w:cs="Arial" w:eastAsia="Arial" w:hAnsi="Arial"/>
          <w:sz w:val="16"/>
          <w:szCs w:val="16"/>
          <w:b w:val="1"/>
          <w:bCs w:val="1"/>
          <w:color w:val="auto"/>
        </w:rPr>
        <w:t>, 2020.</w:t>
      </w:r>
    </w:p>
    <w:p>
      <w:pPr>
        <w:sectPr>
          <w:pgSz w:w="11900" w:h="16838" w:orient="portrait"/>
          <w:cols w:equalWidth="0" w:num="1">
            <w:col w:w="11100"/>
          </w:cols>
          <w:pgMar w:left="320" w:top="459" w:right="4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gridSpan w:val="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40" w:type="dxa"/>
            <w:vAlign w:val="bottom"/>
            <w:gridSpan w:val="25"/>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40" w:type="dxa"/>
            <w:vAlign w:val="bottom"/>
            <w:gridSpan w:val="25"/>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The Offering</w:t>
              </w:r>
            </w:hyperlink>
          </w:p>
        </w:tc>
        <w:tc>
          <w:tcPr>
            <w:tcW w:w="560" w:type="dxa"/>
            <w:vAlign w:val="bottom"/>
            <w:tcBorders>
              <w:top w:val="single" w:sz="8" w:color="0000EE"/>
            </w:tcBorders>
            <w:gridSpan w:val="5"/>
          </w:tcPr>
          <w:p>
            <w:pPr>
              <w:spacing w:after="0"/>
              <w:rPr>
                <w:sz w:val="18"/>
                <w:szCs w:val="18"/>
                <w:color w:val="auto"/>
              </w:rPr>
            </w:pPr>
          </w:p>
        </w:tc>
        <w:tc>
          <w:tcPr>
            <w:tcW w:w="9120" w:type="dxa"/>
            <w:vAlign w:val="bottom"/>
            <w:gridSpan w:val="14"/>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Summary Historical Consolidated Financial and Other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63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Cautionary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65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Dividend Policy</w:t>
              </w:r>
            </w:hyperlink>
          </w:p>
        </w:tc>
        <w:tc>
          <w:tcPr>
            <w:tcW w:w="946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Capitalization</w:t>
              </w:r>
            </w:hyperlink>
          </w:p>
        </w:tc>
        <w:tc>
          <w:tcPr>
            <w:tcW w:w="96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Dilution</w:t>
              </w:r>
            </w:hyperlink>
          </w:p>
        </w:tc>
        <w:tc>
          <w:tcPr>
            <w:tcW w:w="100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Selected Historical Consolidated Financial Data</w:t>
              </w:r>
            </w:hyperlink>
          </w:p>
        </w:tc>
        <w:tc>
          <w:tcPr>
            <w:tcW w:w="718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Business</w:t>
              </w:r>
            </w:hyperlink>
          </w:p>
        </w:tc>
        <w:tc>
          <w:tcPr>
            <w:tcW w:w="1000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Management</w:t>
              </w:r>
            </w:hyperlink>
          </w:p>
        </w:tc>
        <w:tc>
          <w:tcPr>
            <w:tcW w:w="97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Principal Stockholders</w:t>
              </w:r>
            </w:hyperlink>
          </w:p>
        </w:tc>
        <w:tc>
          <w:tcPr>
            <w:tcW w:w="1100" w:type="dxa"/>
            <w:vAlign w:val="bottom"/>
            <w:tcBorders>
              <w:top w:val="single" w:sz="8" w:color="0000EE"/>
            </w:tcBorders>
            <w:gridSpan w:val="5"/>
          </w:tcPr>
          <w:p>
            <w:pPr>
              <w:spacing w:after="0"/>
              <w:rPr>
                <w:sz w:val="17"/>
                <w:szCs w:val="17"/>
                <w:color w:val="auto"/>
              </w:rPr>
            </w:pPr>
          </w:p>
        </w:tc>
        <w:tc>
          <w:tcPr>
            <w:tcW w:w="79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Certain Relationships and Related Party Transactions</w:t>
              </w:r>
            </w:hyperlink>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Description of Material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Description of Capital Stock</w:t>
              </w:r>
            </w:hyperlink>
          </w:p>
        </w:tc>
        <w:tc>
          <w:tcPr>
            <w:tcW w:w="79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Shares Eligible for Future Sale</w:t>
              </w:r>
            </w:hyperlink>
          </w:p>
        </w:tc>
        <w:tc>
          <w:tcPr>
            <w:tcW w:w="8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Material U.S. Federal Income Tax Considerations for Non-U.S. Holders</w:t>
              </w:r>
            </w:hyperlink>
          </w:p>
        </w:tc>
        <w:tc>
          <w:tcPr>
            <w:tcW w:w="54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Experts</w:t>
              </w:r>
            </w:hyperlink>
          </w:p>
        </w:tc>
        <w:tc>
          <w:tcPr>
            <w:tcW w:w="96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4"/>
          </w:tcPr>
          <w:p>
            <w:pPr>
              <w:spacing w:after="0"/>
              <w:rPr>
                <w:sz w:val="17"/>
                <w:szCs w:val="17"/>
                <w:color w:val="auto"/>
              </w:rPr>
            </w:pPr>
          </w:p>
        </w:tc>
        <w:tc>
          <w:tcPr>
            <w:tcW w:w="778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 writing prospectus is accurate only as of its date, regardless of its time of delivery or the time of any sale of shares of our common stock. Our business, financial condition, results of operations and prospects may have changed since that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 xml:space="preserve">We and our subsidiaries own or have the rights to various trademarks, trade names, service marks and copyrights, including the following: “First Watch,” “You First” and various logos used in association with these terms. Solely for convenience, the trademarks, trade names, service marks and copyrights referred to herein are listed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appearing in this prospectus are the property of their respective owners.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and other publicly available information prepared by a number of sources, including third-party industry sources.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Financial Presentation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use a 52- or 53-week fiscal year ending on the last Sunday of each calendar year. All references to fiscal 2018 reflect the results of the 52-week fiscal year ended December 30, 2018. All references to fiscal 2019 reflect the results of the 52-week fiscal year ended December 29, 2019. Our fiscal quarters are comprised of 13 weeks each, except for fiscal years consisting of 53 weeks for which the fourth quarter will consist of 14 weeks, and end on the 13th Sunday of each quarter (14th Sunday of the fourth quarter, when applicable).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(“GAAP”). We also supplement our consolidated financial statements with the following non-GAAP financial measures in this prospectus: Adjusted EBITDA, Adjusted EBITDA Margin, Store-Level EBITDA (“SLEBITDA”) and SLEBITDA Margin.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Adjusted EBITDA and Adjusted EBITDA Margin as presented in this prospectus are supplemental measures of our performance that are neither required by, nor presented in accordance with GAAP. Adjusted EBITDA and Adjusted EBITDA Margin are not measurements of our financial performance under GAAP and should not be considered as an alternative to net loss, income from operations, or any other performance measures derived in accordance with GAAP, or as alternatives to cash flow from operating activities as a measure of our liquidity. Adjusted EBITDA represents net loss before depreciation and amortization, interest expense, income taxes and items that we do not consider in our evaluation of ongoing core operating performance as identified in the reconciliation of net loss, the most directly comparable measure under GAAP, to Adjusted EBITDA. See Prospectus Summary – Historical Consolidated Financial and Other Data. Adjusted EBITDA Margin represents Adjusted EBITDA as a percentage of total revenues.</w:t>
      </w:r>
    </w:p>
    <w:p>
      <w:pPr>
        <w:spacing w:after="0" w:line="17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Management uses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 The use of Adjusted EBITDA and Adjusted EBITDA Margin as performance measures permit a comparative assessment of our operating performance relative to our performance based on our GAAP results, while isolating the effects of some items that are either non-recurring in nature or vary from period to period without any correlation to our ongoing core operating performance.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Adjusted EBITDA and Adjusted EBITDA Margin or similar non-GAAP measures are frequently used by securities analysts, investors and other interested parties as supplemental measures of financial performance within our industry. Management believes that Adjusted EBITDA and Adjusted EBITDA Margin provide investors with additional transparency of our operations.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presentation of Adjusted EBITDA and Adjusted EBITDA Margin should not be construed to imply that our future results will be unaffected by these items. Adjusted EBITDA and Adjusted EBITDA Margin have important limitations as analytical tools, and you should not consider them in isolation or as substitutes for analysis of our results as reported under GAAP. Some of these limitations are:</w:t>
      </w:r>
    </w:p>
    <w:p>
      <w:pPr>
        <w:spacing w:after="0" w:line="89" w:lineRule="exact"/>
        <w:rPr>
          <w:sz w:val="20"/>
          <w:szCs w:val="20"/>
          <w:color w:val="auto"/>
        </w:rPr>
      </w:pPr>
    </w:p>
    <w:p>
      <w:pPr>
        <w:ind w:left="1080" w:right="1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our cash expenditures or future requirements for capital expenditures or contractual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changes in, or cash requirements for, our working capital needs;</w:t>
      </w:r>
    </w:p>
    <w:p>
      <w:pPr>
        <w:spacing w:after="0" w:line="142" w:lineRule="exact"/>
        <w:rPr>
          <w:rFonts w:ascii="Arial" w:cs="Arial" w:eastAsia="Arial" w:hAnsi="Arial"/>
          <w:sz w:val="17"/>
          <w:szCs w:val="17"/>
          <w:color w:val="auto"/>
        </w:rPr>
      </w:pPr>
    </w:p>
    <w:p>
      <w:pPr>
        <w:ind w:left="1080" w:right="6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adjust for all non-cash income or expense items that are reflected in our consolidated statement of cash flows;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Adjusted EBITDA and Adjusted EBITDA Margin do not reflect any cash requirements for such replacements;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the impact of stock-based compensation on our results of operations;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the interest expense, or the cash requirements necessary to service interest or principal payments on our debt;</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our income tax expense (benefit) or the cash requirements to pay our income taxes; and</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and Adjusted EBITDA Margin differently than we do, limiting their usefulness as comparative measures.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evaluating Adjusted EBITDA and Adjusted EBITDA Margin, you should be aware that in the future we may incur expenses similar to those adjusted for in the reconciliation of net loss, the most directly comparable GAAP measure to Adjusted EBITDA. See “Prospectus Summary – Summary Historical Consolidated Financial and Other Data.”</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SLEBITDA and SLEBITDA Margin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SLEBITDA and SLEBITDA Margin are non-GAAP supplemental measures of operating performance of our restaurants that are neither required by, nor presented in accordance with GAAP, and should not be considered as a substitute for analysis of our results as reported under GAAP. SLEBITDA represents restaurant sales less restaurant operating expenses, which include cost of sales, labor and other related expenses, other restaurant operating expenses and occupancy expenses. In addition, SLEBITDA excludes corporate-level expenses, pre-opening expenses and deferred rent expense. SLEBITDA Margin represents SLEBITDA as a percentage of restaurant sales.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SLEBITDA and SLEBITDA Margin are important measures we use to evaluate the performance and profitability of each restaurant, individually and in the aggregate. Additionally, SLEBITDA and SLEBITDA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Margin or similar non-GAAP financial measures are frequently used by analysts, investors and other interested parties to evaluate companies in our industry. We believe that SLEBITDA and SLEBITDA Margin, when used in conjunction with GAAP financial measures, provide useful information about our operating results, identify operational trends and allow for greater transparency with respect to key metrics used by us in our financial and operational decision making. We use SLEBITDA and SLEBITDA Margin to make decisions regarding future spending and other operational decisions. Our calculations of SLEBITDA and SLEBITDA Margin thereof may not be comparable to similar measures reported by other companies, have limitations as analytical tools and should not be considered as a substitute for analysis of our results as reported under GAAP. For a reconciliation of income from operations, the most directly comparable GAAP measure to SLEBITDA, see “Prospectus Summary – Summary Historical Consolidated Financial and Other Data.”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Key Metrics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Average Unit Volume (“AUV”)</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AUV is the total restaurant sales (excluding gift card breakage) recognized in the comparable restaurant base, which we define as the number of company-owned First Watch branded restaurants open for 18 months or longer as of the beginning of the fiscal year (“Comparable Restaurant Base”), divided by the number of restaurants in the Comparable Restaurant Base during the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Cash-on-Cash Returns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Cash-on-Cash Returns is defined as SLEBITDA (excluding gift card breakage) in the third year of operation (months 25-36 of operation) for our company-owned restaurants divided by their cash build-out expenses, net of landlord incentives.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Same-Restaurant Sales Growth</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Same-restaurant sales growth is the percentage change in year-over-year restaurant sales (excluding gift card breakage) for the Comparable Restaurant Base. For fiscal 2018, there were 143 restaurants in our Comparable Restaurant Base.</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An increase in same-restaurant sales growth is the result of increased restaurant traffic, increased average customer check or a combination of the two. We gather daily sales data and regularly analyze the customer traffic counts and the mix of menu items sold to aid in developing menu pricing, product offerings and promotional strategies designed to produce sustainable same-restaurant sales growth.</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System-wide restaurants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System-wide restaurants is the total number of restaurants, including all company-owned and franchised restaurants.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System-wide sales</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 xml:space="preserve">System-wide sales consist of sales from our company-owned restaurants and franchised restaurants. We do not recognize the sales from our franchised restaurants as revenue. Refer to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audited consolidated financial statements included in this prospectus for a description of our revenue recognition policy.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20" w:firstLine="426"/>
        <w:spacing w:after="0" w:line="293" w:lineRule="auto"/>
        <w:rPr>
          <w:sz w:val="20"/>
          <w:szCs w:val="20"/>
          <w:color w:val="auto"/>
        </w:rPr>
      </w:pPr>
      <w:r>
        <w:rPr>
          <w:rFonts w:ascii="Arial" w:cs="Arial" w:eastAsia="Arial" w:hAnsi="Arial"/>
          <w:sz w:val="16"/>
          <w:szCs w:val="16"/>
          <w:i w:val="1"/>
          <w:iCs w:val="1"/>
          <w:color w:val="auto"/>
        </w:rPr>
        <w:t>This summary highlights information appearing elsewhere in this prospectus. This summary is not complete and does not contain all of the information that you should consider before making a decision to participate in the offering. You should carefully read the entire prospectus, including the information presented under “Risk Factors,” “Management’s Discussion and Analysis of Financial Condition and Results of Operations” and the consolidated financial statements as of and for the fiscal year ended December 30, 2018 and notes related thereto included elsewhere in this prospectus, before making an investment decision. Unless the context requires otherwise, references to “our company,” “we,” “us,” “our” and “First Watch” refer to First Watch Restaurant Group, Inc. and its direct and indirect subsidiaries on a consolidated basis.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First Watch</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are First Watch – a high-growth daytime restaurant concept serving made-to-order breakfast, brunch and lunch using fresh ingredients. Since our founding in 1983, we have built our brand on our commitment to operational excellence, our “You First” culture and our culinary mission centered around an innovative menu that is always fresh and evolving. Our one shift, from 7:00 a.m. to 2:30 p.m., and one menu enable us to optimize restaurant operations and attract and retain employees who are passionate about hospitality and drawn to our “No Night Shifts Ever” approach. These foundational brand pillars have resulted in strong consumer demand and operating performance as evidenced by our 20 consecutive quarters of positive same-restaurant sales growth and traffic growth since 2014. For fiscal 2018, we generated $350 million of total revenues. As of December 29, 2019, we had 368 restaurants across 29 states, 299 of our restaurants were company-owned and 69 were operated by our franchisees.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Promise: Yeah, It’s Fresh!</w:t>
      </w:r>
    </w:p>
    <w:p>
      <w:pPr>
        <w:spacing w:after="0" w:line="12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At First Watch, we take a creative approach to daytime dining with a focus on freshness. Each item is made-to-order and prepared with care – you will not find microwave ovens, heat lamps or deep fryers in our kitchens. Every morning, we arrive at the crack of dawn to slice and juice fresh fruits and vegetables, bake muffins, brew our fresh coffee and whip up our French Toast batter from scratch. Our award-winning chef-driven menu includes elevated executions of classic favorites, along with First Watch-specific specialties such as our protein-packed Quinoa Power Bowl, Farmstand Breakfast Tacos, Avocado Toast, Kale Tonic (juiced in-house daily), Chickichangas and our famous Million Dollar Bacon. While our menu constantly evolves, our focus on – and commitment to – freshness never wavers.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 You First</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For more than 36 years, our management has cultivated an organizational culture built on our mission of “You First,” which puts serving others above all else. As a company, we put our employees first and empower them to do whatever it takes to put our customers first. We give back in meaningful ways to the local communities in which we operate and also support national and international causes we care about, such as our Project Sunrise partnership. Our “You First” mission, in addition to our quality of life advantage inherent in our single-shift operating model, has led us to be recognized as an employer of choice in our industry.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Proven Record of Sustained Growth</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long track record of results, spanning almost four decades, demonstrates our broad brand appeal, compelling economic proposition and difficult-to-replicate business model. We have achieved growth in total restaurants to 368 in 2019, from 148 restaurants in 2014. Over the five-year period ended December 30, 2018, we have achieved: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53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8535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Consistently positive annual same-restaurant sales growth, averaging 6.5%</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Consistently positive annual same-restaurant traffic growth, averaging 1.4%</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AUV growth of 23%, from $1.2 million in 2014 to $1.5 million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Long-Term Consumer Trends in Our Favor</w:t>
      </w:r>
    </w:p>
    <w:p>
      <w:pPr>
        <w:spacing w:after="0" w:line="121"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We believe that we are well-positioned to continue to benefit from the confluence of a number of long-term multi-generational consumer trends:</w:t>
      </w:r>
    </w:p>
    <w:p>
      <w:pPr>
        <w:spacing w:after="0" w:line="278"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b w:val="1"/>
          <w:bCs w:val="1"/>
          <w:i w:val="1"/>
          <w:iCs w:val="1"/>
          <w:color w:val="auto"/>
        </w:rPr>
        <w:t xml:space="preserve">Increasing Morning Meal Occasions. </w:t>
      </w:r>
      <w:r>
        <w:rPr>
          <w:rFonts w:ascii="Arial" w:cs="Arial" w:eastAsia="Arial" w:hAnsi="Arial"/>
          <w:sz w:val="18"/>
          <w:szCs w:val="18"/>
          <w:color w:val="auto"/>
        </w:rPr>
        <w:t>The morning meal (Breakfast and morning Snack) is the only foodservice daypart with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year-over-year growth for the last several years, according to third-party industry sources. The restaurant industry captured two additional breakfast visits per capita, from 2015 to 2018, and with 78% of breakfasts still being prepared at home as of 2019, morning restaurant traffic provides a compelling long-term opportunity for future growth.</w:t>
      </w:r>
    </w:p>
    <w:p>
      <w:pPr>
        <w:spacing w:after="0" w:line="295" w:lineRule="exact"/>
        <w:rPr>
          <w:sz w:val="20"/>
          <w:szCs w:val="20"/>
          <w:color w:val="auto"/>
        </w:rPr>
      </w:pPr>
    </w:p>
    <w:p>
      <w:pPr>
        <w:jc w:val="both"/>
        <w:ind w:left="300" w:right="200" w:firstLine="426"/>
        <w:spacing w:after="0" w:line="286" w:lineRule="auto"/>
        <w:rPr>
          <w:sz w:val="20"/>
          <w:szCs w:val="20"/>
          <w:color w:val="auto"/>
        </w:rPr>
      </w:pPr>
      <w:r>
        <w:rPr>
          <w:rFonts w:ascii="Arial" w:cs="Arial" w:eastAsia="Arial" w:hAnsi="Arial"/>
          <w:sz w:val="17"/>
          <w:szCs w:val="17"/>
          <w:b w:val="1"/>
          <w:bCs w:val="1"/>
          <w:i w:val="1"/>
          <w:iCs w:val="1"/>
          <w:color w:val="auto"/>
        </w:rPr>
        <w:t xml:space="preserve">Demand for Fresh, Healthy Food. </w:t>
      </w:r>
      <w:r>
        <w:rPr>
          <w:rFonts w:ascii="Arial" w:cs="Arial" w:eastAsia="Arial" w:hAnsi="Arial"/>
          <w:sz w:val="17"/>
          <w:szCs w:val="17"/>
          <w:color w:val="auto"/>
        </w:rPr>
        <w:t>More than half of consumers consider a healthy menu an important factor in their restaurant choice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 of consumers say they want more protein in their diet, according to third-party industry sources. Our freshly made food, with simple, high-quality, protein-rich ingredients, such as cage-free eggs and quinoa, aligns well with these consumer trends.</w:t>
      </w:r>
    </w:p>
    <w:p>
      <w:pPr>
        <w:spacing w:after="0" w:line="273" w:lineRule="exact"/>
        <w:rPr>
          <w:sz w:val="20"/>
          <w:szCs w:val="20"/>
          <w:color w:val="auto"/>
        </w:rPr>
      </w:pPr>
    </w:p>
    <w:p>
      <w:pPr>
        <w:ind w:left="300" w:right="240" w:firstLine="426"/>
        <w:spacing w:after="0" w:line="259" w:lineRule="auto"/>
        <w:rPr>
          <w:sz w:val="20"/>
          <w:szCs w:val="20"/>
          <w:color w:val="auto"/>
        </w:rPr>
      </w:pPr>
      <w:r>
        <w:rPr>
          <w:rFonts w:ascii="Arial" w:cs="Arial" w:eastAsia="Arial" w:hAnsi="Arial"/>
          <w:sz w:val="18"/>
          <w:szCs w:val="18"/>
          <w:b w:val="1"/>
          <w:bCs w:val="1"/>
          <w:i w:val="1"/>
          <w:iCs w:val="1"/>
          <w:color w:val="auto"/>
        </w:rPr>
        <w:t xml:space="preserve">Consumers Want “On-Demand” Dining. </w:t>
      </w:r>
      <w:r>
        <w:rPr>
          <w:rFonts w:ascii="Arial" w:cs="Arial" w:eastAsia="Arial" w:hAnsi="Arial"/>
          <w:sz w:val="18"/>
          <w:szCs w:val="18"/>
          <w:color w:val="auto"/>
        </w:rPr>
        <w:t>Consumers want the ability to order what they want and when they want it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daypart conventions. Increasingly busy schedules, the rise of the “gig” economy, flexible job hours and growth of remote workers are powering demand for convenient, fast and flexible daytime dining offerings, for which traditional rigid breakfast and lunch dayparts were not designed.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We Are Disrupting a Massive Category</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As consumer needs have evolved, so have we. Our “Urban Farm” positioning provides a creative, farm-fresh breakfast, brunch and lunch menu in a rustic yet contemporary atmosphere – creating an energizing daytime dining experience that resonates with consumers. We enjoy broad appeal that includes attracting healthier and more affluent consumers. These digital-centric consumers care about food and quality, are willing to pay more and report higher advocacy for and share of visits to First Watch. There is no other concept with an offering similar to ours at a comparable scale. Our operating hours encompass breakfast, brunch and lunch, which represent 63% of all restaurant sales in the U.S., according to third-party industry sources. Our operating model and our scale position us for continued growth within this massive category.</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Unrelenting Commitment to Fresh Ingredients and Culinary Innovation</w:t>
      </w:r>
    </w:p>
    <w:p>
      <w:pPr>
        <w:spacing w:after="0" w:line="117"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Our creative, on-trend menu and seasonal offerings define the culinary voice of our brand and highlight our commitment to quality and freshness. We believe this commitment is a key differentiator between First Watch and larger restaurant concepts that have failed to evolve. When we say “Yeah, It’s Fresh,” we mean it. While many established restaurant concepts are outsourcing a large part of the preparation of their food, we still do much of it in-house in each restaurant every day.</w:t>
      </w:r>
    </w:p>
    <w:p>
      <w:pPr>
        <w:spacing w:after="0" w:line="187"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That commitment to quality and freshness is further evidenced throughout our award-winning menu with ingredients such as cage-free eggs, organic mixed greens and all-natural chicken, just to name a few. Our highly-curated menu of less than 60 entrée items – small relative to most in our industry – features a thoughtful balance of classic favorites prepared and presented in an elevated way using high-quality ingredients, along with innovative and interesting specialty dishes that take the consumer on a culinary exploration.</w:t>
      </w:r>
    </w:p>
    <w:p>
      <w:pPr>
        <w:spacing w:after="0" w:line="17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Our creativity and innovation extends beyond today’s offerings and into our overall menu strategy. Successful platform introductions such as our Fresh Juice program and Shareables, which include menu items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such as Million Dollar Bacon and Holey Donuts, were added in the past few years, adding incremental revenue opportunities while enhancing our culinary credibility.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One Shift, One Menu, One Focus</w:t>
      </w:r>
    </w:p>
    <w:p>
      <w:pPr>
        <w:spacing w:after="0" w:line="117"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We believe that our compelling business model, built around “One Shift, One Menu, One Focus” affords us competitive advantages. Our single-shift restaurant hours, by design, result in “No Night Shifts Ever.” This helps make us an employer of choice in the foodservice industry, which we believe allows us to attract superior talent, retain employees longer and create a unifying organizational culture. Our single menu, throughout the day and across all restaurants in our system, streamlines our supply chain and restaurant operations, simplifies our employee training and provides for a consistent customer experience. Our singular emphasis on daytime dining gives us the clarity of purpose to relentlessly focus on delivering a superior daytime dining experience.</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“You First” Culture Elevates Employee and Customer Satisfaction</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“You First” mission permeates every level of our organization. We have designed our hiring, training and retention strategies such that our more than 9,000 employees, united by our culture, are empowered to deliver superior customer experiences. We invest heavily in our leaders by conducting 11 weeks of training for all managers, including a one-week First Watch Academy of Restaurant Management (“F.A.R.M.”) program held at our Home Office in University Park, Florida, where each of our managers-in-training is immersed in our culture, vision and mission. Our restaurant-level general manager turnover averaged 19.3% in fiscal 2019, which is meaningfully lower than the industry-reported average of 43%. A five-year longitudinal study of employee surveys on Glassdoor published in 2019 ranked us #1 for work/life balance and among the top five employers in the restaurant industry.</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Track Record of Exceptional Same-Restaurant Traffic and Sales Growth</w:t>
      </w:r>
    </w:p>
    <w:p>
      <w:pPr>
        <w:spacing w:after="0" w:line="117"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Our strong brand with growing awareness, broad consumer appeal and excellence in execution have created outstanding performance over time. Over the five-year period ended December 30, 2018, our same-restaurant sales growth has been positive every year, averaging 6.5%. Importantly, that growth was driven by positive same-restaurant traffic every year during that period.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Strong Restaurant Productivity and Proven Portability</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success of our brand is reflected in our restaurant-level performance and Cash-on-Cash Returns. In fiscal 2019 we generated AUV of</w:t>
      </w:r>
    </w:p>
    <w:p>
      <w:pPr>
        <w:spacing w:after="0" w:line="2" w:lineRule="exact"/>
        <w:rPr>
          <w:sz w:val="20"/>
          <w:szCs w:val="20"/>
          <w:color w:val="auto"/>
        </w:rPr>
      </w:pPr>
    </w:p>
    <w:p>
      <w:pPr>
        <w:ind w:left="1340" w:hanging="1042"/>
        <w:spacing w:after="0"/>
        <w:tabs>
          <w:tab w:leader="none" w:pos="1340" w:val="left"/>
        </w:tabs>
        <w:numPr>
          <w:ilvl w:val="0"/>
          <w:numId w:val="5"/>
        </w:numPr>
        <w:rPr>
          <w:rFonts w:ascii="Arial" w:cs="Arial" w:eastAsia="Arial" w:hAnsi="Arial"/>
          <w:sz w:val="4"/>
          <w:szCs w:val="4"/>
          <w:color w:val="auto"/>
        </w:rPr>
      </w:pPr>
      <w:r>
        <w:rPr>
          <w:rFonts w:ascii="Arial" w:cs="Arial" w:eastAsia="Arial" w:hAnsi="Arial"/>
          <w:sz w:val="4"/>
          <w:szCs w:val="4"/>
          <w:color w:val="auto"/>
        </w:rPr>
        <w:t>in a single shift, comparable to many restaurants open for several shifts or in some cases around the clock. We have demonstrated the</w:t>
      </w:r>
    </w:p>
    <w:p>
      <w:pPr>
        <w:spacing w:after="0" w:line="200"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portability of our model by successfully operating restaurants in 29 states. Restaurants in our top decile, by fiscal 2019 sales, span different states and different designated market areas (“DMAs”).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Experienced, Passionate Leadership Team and Deep Talent Bench</w:t>
      </w:r>
    </w:p>
    <w:p>
      <w:pPr>
        <w:spacing w:after="0" w:line="117" w:lineRule="exact"/>
        <w:rPr>
          <w:sz w:val="20"/>
          <w:szCs w:val="20"/>
          <w:color w:val="auto"/>
        </w:rPr>
      </w:pPr>
    </w:p>
    <w:p>
      <w:pPr>
        <w:ind w:left="300" w:right="40" w:firstLine="426"/>
        <w:spacing w:after="0" w:line="290" w:lineRule="auto"/>
        <w:rPr>
          <w:sz w:val="20"/>
          <w:szCs w:val="20"/>
          <w:color w:val="auto"/>
        </w:rPr>
      </w:pPr>
      <w:r>
        <w:rPr>
          <w:rFonts w:ascii="Arial" w:cs="Arial" w:eastAsia="Arial" w:hAnsi="Arial"/>
          <w:sz w:val="16"/>
          <w:szCs w:val="16"/>
          <w:color w:val="auto"/>
        </w:rPr>
        <w:t>Our team is led by passionate executives who have an extensive mix of experience in our brand and with other leading consumer facing businesses. Christopher A. Tomasso, our President, Chief Executive Officer and Director, has more than 23 years of industry experience and joined First Watch in 2006. Mr. Tomasso sets the strategic vision and brand positioning for the company, while preserving its organizational culture. Mel Hope, our Chief Financial Officer and Treasurer, has more than 35 years of public accounting and industry experience including serving as Chief Financial Officer of large, successful public companies. We have a deep bench of talent throughout the organization. Our executives and key employees average more than 13 years of industry experience and our restaurant general managers have an average tenure at First Watch of five years. In addition, we have dozens of fully-trained, tested, high-performing managers positioned throughout our system who are poised to step into the general manager role as we execute our growth strategy and open new restaurants.</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We Intend to Grow Sales and Profits</w:t>
      </w:r>
    </w:p>
    <w:p>
      <w:pPr>
        <w:spacing w:after="0" w:line="121"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While we are proud of our success in having grown sales and SLEBITDA consistently for many years, our focus is on the future. We believe our continued growth will come from: (i) opening new restaurants in existing and new geographies and (ii) driving traffic and building sales at our restaurants.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 Our Brand Footprint by Consistently Opening New Restaurants</w:t>
      </w:r>
    </w:p>
    <w:p>
      <w:pPr>
        <w:spacing w:after="0" w:line="117" w:lineRule="exact"/>
        <w:rPr>
          <w:sz w:val="20"/>
          <w:szCs w:val="20"/>
          <w:color w:val="auto"/>
        </w:rPr>
      </w:pPr>
    </w:p>
    <w:p>
      <w:pPr>
        <w:ind w:left="720"/>
        <w:spacing w:after="0"/>
        <w:tabs>
          <w:tab w:leader="none" w:pos="10600" w:val="left"/>
        </w:tabs>
        <w:rPr>
          <w:sz w:val="20"/>
          <w:szCs w:val="20"/>
          <w:color w:val="auto"/>
        </w:rPr>
      </w:pPr>
      <w:r>
        <w:rPr>
          <w:rFonts w:ascii="Arial" w:cs="Arial" w:eastAsia="Arial" w:hAnsi="Arial"/>
          <w:sz w:val="18"/>
          <w:szCs w:val="18"/>
          <w:color w:val="auto"/>
        </w:rPr>
        <w:t>First Watch has grown from 148 restaurants in 2014 to 368 restaurants in 2019 while increasing the AUV from $1.2 million to</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300" w:right="160"/>
        <w:spacing w:after="0" w:line="253" w:lineRule="auto"/>
        <w:rPr>
          <w:sz w:val="20"/>
          <w:szCs w:val="20"/>
          <w:color w:val="auto"/>
        </w:rPr>
      </w:pPr>
      <w:r>
        <w:rPr>
          <w:rFonts w:ascii="Arial" w:cs="Arial" w:eastAsia="Arial" w:hAnsi="Arial"/>
          <w:sz w:val="18"/>
          <w:szCs w:val="18"/>
          <w:color w:val="auto"/>
        </w:rPr>
        <w:t>achieving positive same-restaurant sales growth and traffic in each of those years. In Florida, our most mature market with the greatest number of company-owned restaurants, we have grown from 45 to 90 restaurants over the last six years, while generating average annual same-restaurant sales growth of 5.9% over the same period. We believe we have significant potential to expand our presence within all the states in which we currently operate as well as new ones.</w:t>
      </w:r>
    </w:p>
    <w:p>
      <w:pPr>
        <w:spacing w:after="0" w:line="193" w:lineRule="exact"/>
        <w:rPr>
          <w:sz w:val="20"/>
          <w:szCs w:val="20"/>
          <w:color w:val="auto"/>
        </w:rPr>
      </w:pPr>
    </w:p>
    <w:p>
      <w:pPr>
        <w:ind w:left="300" w:right="120" w:firstLine="426"/>
        <w:spacing w:after="0" w:line="258" w:lineRule="auto"/>
        <w:rPr>
          <w:sz w:val="20"/>
          <w:szCs w:val="20"/>
          <w:color w:val="auto"/>
        </w:rPr>
      </w:pPr>
      <w:r>
        <w:rPr>
          <w:rFonts w:ascii="Arial" w:cs="Arial" w:eastAsia="Arial" w:hAnsi="Arial"/>
          <w:sz w:val="18"/>
          <w:szCs w:val="18"/>
          <w:color w:val="auto"/>
        </w:rPr>
        <w:t>We estimate potential for restaurants across the United States. We intend to leverage our rigorous real estate site selection process to open company-owned restaurants over . While our existing franchisees are committed to developing restaurants in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future, we expect company-owned restaurants will be the primary growth driver of our footprint over the long term.</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Drive Restaurant Traffic and Build Sales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 significant runway to continue to grow traffic and restaurant sales by executing against a defined set of strategies.</w:t>
      </w:r>
    </w:p>
    <w:p>
      <w:pPr>
        <w:spacing w:after="0" w:line="225"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b w:val="1"/>
          <w:bCs w:val="1"/>
          <w:i w:val="1"/>
          <w:iCs w:val="1"/>
          <w:color w:val="auto"/>
        </w:rPr>
        <w:t xml:space="preserve">Continue Menu Innovation. </w:t>
      </w:r>
      <w:r>
        <w:rPr>
          <w:rFonts w:ascii="Arial" w:cs="Arial" w:eastAsia="Arial" w:hAnsi="Arial"/>
          <w:sz w:val="16"/>
          <w:szCs w:val="16"/>
          <w:color w:val="auto"/>
        </w:rPr>
        <w:t>We continuously evolve our offering to keep our menu fresh and interesting. Our chef-led culinary innovation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leverages consumer research to maintain a keen awareness of emerging culinary trends, immerses themselves in the marketplace through frequent culinary inspiration tours and uses those experiences to develop a robust pipeline of exciting new recipes and menu offerings. We intend to drive continued incremental customer spending through our five highly-anticipated seasonal menus and the introduction of wholly new menu</w:t>
      </w:r>
    </w:p>
    <w:p>
      <w:pPr>
        <w:spacing w:after="0" w:line="1" w:lineRule="exact"/>
        <w:rPr>
          <w:sz w:val="20"/>
          <w:szCs w:val="20"/>
          <w:color w:val="auto"/>
        </w:rPr>
      </w:pPr>
    </w:p>
    <w:p>
      <w:pPr>
        <w:ind w:left="300" w:right="260"/>
        <w:spacing w:after="0" w:line="255" w:lineRule="auto"/>
        <w:rPr>
          <w:sz w:val="20"/>
          <w:szCs w:val="20"/>
          <w:color w:val="auto"/>
        </w:rPr>
      </w:pPr>
      <w:r>
        <w:rPr>
          <w:rFonts w:ascii="Arial" w:cs="Arial" w:eastAsia="Arial" w:hAnsi="Arial"/>
          <w:sz w:val="18"/>
          <w:szCs w:val="18"/>
          <w:color w:val="auto"/>
        </w:rPr>
        <w:t>platforms similar to our introductions of Fresh Juices and Shareables. For fiscal 2019, % of customers purchased our seasonal menu, % purchased Fresh Juices and % purchased Shareables. We expect menu innovation to continue to provide incremental growth opportunities in the future.</w:t>
      </w:r>
    </w:p>
    <w:p>
      <w:pPr>
        <w:spacing w:after="0" w:line="190" w:lineRule="exact"/>
        <w:rPr>
          <w:sz w:val="20"/>
          <w:szCs w:val="20"/>
          <w:color w:val="auto"/>
        </w:rPr>
      </w:pPr>
    </w:p>
    <w:p>
      <w:pPr>
        <w:ind w:left="300" w:right="120" w:firstLine="426"/>
        <w:spacing w:after="0" w:line="296" w:lineRule="auto"/>
        <w:rPr>
          <w:sz w:val="20"/>
          <w:szCs w:val="20"/>
          <w:color w:val="auto"/>
        </w:rPr>
      </w:pPr>
      <w:r>
        <w:rPr>
          <w:rFonts w:ascii="Arial" w:cs="Arial" w:eastAsia="Arial" w:hAnsi="Arial"/>
          <w:sz w:val="16"/>
          <w:szCs w:val="16"/>
          <w:b w:val="1"/>
          <w:bCs w:val="1"/>
          <w:i w:val="1"/>
          <w:iCs w:val="1"/>
          <w:color w:val="auto"/>
        </w:rPr>
        <w:t xml:space="preserve">Increase Our Brand Awareness. </w:t>
      </w:r>
      <w:r>
        <w:rPr>
          <w:rFonts w:ascii="Arial" w:cs="Arial" w:eastAsia="Arial" w:hAnsi="Arial"/>
          <w:sz w:val="16"/>
          <w:szCs w:val="16"/>
          <w:color w:val="auto"/>
        </w:rPr>
        <w:t>We believe First Watch is still in the early stages of our life cycle, as consumers in our existing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continue to discover the First Watch brand. In a 2017 survey, only 33% of respondents in our existing markets were aware of First Watch. Our advertising costs represent less than 1% of total revenues in fiscal 2018. We intend to grow our brand awareness primarily through increased investment in cost-efficient digital, social and to some extent, traditional media. Additionally, and perhaps even more importantly, our brand awareness will continue to increase as our customers share their experiences online and offline with their family and friends.</w:t>
      </w:r>
    </w:p>
    <w:p>
      <w:pPr>
        <w:spacing w:after="0" w:line="161"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b w:val="1"/>
          <w:bCs w:val="1"/>
          <w:i w:val="1"/>
          <w:iCs w:val="1"/>
          <w:color w:val="auto"/>
        </w:rPr>
        <w:t xml:space="preserve">Deliver An Excellent Dining Experience. </w:t>
      </w:r>
      <w:r>
        <w:rPr>
          <w:rFonts w:ascii="Arial" w:cs="Arial" w:eastAsia="Arial" w:hAnsi="Arial"/>
          <w:sz w:val="18"/>
          <w:szCs w:val="18"/>
          <w:color w:val="auto"/>
        </w:rPr>
        <w:t>Excellence in restaurant-level execution, recognized by customers and reinforced by the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accolades we have received, increases the frequency of our customer visits, promotes trial by new consumers and ultimately creates loyalty. We have received hundreds of awards from local and national media outlets that we believe matter to consumers – including being named one of TripAdvisor’s Best Restaurant Chains in 2019. We aim to continue to leverage our “One Shift, One Menu, One Focus” model to stay distinguishably different from our competitors by focusing on delivering a superior dining experience every day to further drive traffic and build sales.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93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b w:val="1"/>
          <w:bCs w:val="1"/>
          <w:i w:val="1"/>
          <w:iCs w:val="1"/>
          <w:color w:val="auto"/>
        </w:rPr>
        <w:t xml:space="preserve">Future Platforms and Initiatives. </w:t>
      </w:r>
      <w:r>
        <w:rPr>
          <w:rFonts w:ascii="Arial" w:cs="Arial" w:eastAsia="Arial" w:hAnsi="Arial"/>
          <w:sz w:val="18"/>
          <w:szCs w:val="18"/>
          <w:color w:val="auto"/>
        </w:rPr>
        <w:t>We see opportunity, over time, to selectively evolve our concept and offerings via the implementation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strategies and initiatives.</w:t>
      </w:r>
    </w:p>
    <w:p>
      <w:pPr>
        <w:spacing w:after="0" w:line="76" w:lineRule="exact"/>
        <w:rPr>
          <w:sz w:val="20"/>
          <w:szCs w:val="20"/>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Alcohol</w:t>
      </w:r>
      <w:r>
        <w:rPr>
          <w:rFonts w:ascii="Arial" w:cs="Arial" w:eastAsia="Arial" w:hAnsi="Arial"/>
          <w:sz w:val="18"/>
          <w:szCs w:val="18"/>
          <w:color w:val="auto"/>
        </w:rPr>
        <w:t>: We believe offering alcoholic beverages will be a highly-incremental new sales platform while opening up new occasions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consumers. This initiative is in the early stages of testing with encouraging results.</w:t>
      </w:r>
    </w:p>
    <w:p>
      <w:pPr>
        <w:spacing w:after="0" w:line="75" w:lineRule="exact"/>
        <w:rPr>
          <w:rFonts w:ascii="Arial" w:cs="Arial" w:eastAsia="Arial" w:hAnsi="Arial"/>
          <w:sz w:val="18"/>
          <w:szCs w:val="18"/>
          <w:color w:val="auto"/>
        </w:rPr>
      </w:pPr>
    </w:p>
    <w:p>
      <w:pPr>
        <w:ind w:left="1240" w:right="40" w:hanging="415"/>
        <w:spacing w:after="0" w:line="296"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Off-Premise: </w:t>
      </w:r>
      <w:r>
        <w:rPr>
          <w:rFonts w:ascii="Arial" w:cs="Arial" w:eastAsia="Arial" w:hAnsi="Arial"/>
          <w:sz w:val="16"/>
          <w:szCs w:val="16"/>
          <w:color w:val="auto"/>
        </w:rPr>
        <w:t>We are in the early stages of integrating technology into our business to enhance customer access and leverage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off-premise consumption. Third-party delivery is offered at less than 50 of our restaurants as of the end of fiscal 2019. We are setting the foundation to optimize the off-premise opportunity through a system-wide rollout that takes advantage of improving delivery-related economics in the marketplace. We also intend to evolve our mobile app and the Sun eClub email program, which currently has more than 1.5 million members, to reduce customer friction and enhance targeted campaigns to increase customer frequency.</w:t>
      </w:r>
    </w:p>
    <w:p>
      <w:pPr>
        <w:spacing w:after="0" w:line="66" w:lineRule="exact"/>
        <w:rPr>
          <w:rFonts w:ascii="Arial" w:cs="Arial" w:eastAsia="Arial" w:hAnsi="Arial"/>
          <w:sz w:val="16"/>
          <w:szCs w:val="16"/>
          <w:color w:val="auto"/>
        </w:rPr>
      </w:pPr>
    </w:p>
    <w:p>
      <w:pPr>
        <w:ind w:left="1240" w:right="40" w:hanging="415"/>
        <w:spacing w:after="0" w:line="291"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Lunch</w:t>
      </w:r>
      <w:r>
        <w:rPr>
          <w:rFonts w:ascii="Arial" w:cs="Arial" w:eastAsia="Arial" w:hAnsi="Arial"/>
          <w:sz w:val="16"/>
          <w:szCs w:val="16"/>
          <w:color w:val="auto"/>
        </w:rPr>
        <w:t>: We believe that we have the opportunity to significantly increase market share by driving incremental customer visits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weekday lunch daypart through the evolution of our menu with fresh, convenient and differentiated lunch-oriented offerings. Only</w:t>
      </w:r>
    </w:p>
    <w:p>
      <w:pPr>
        <w:ind w:left="1240" w:right="200" w:firstLine="710"/>
        <w:spacing w:after="0" w:line="260" w:lineRule="auto"/>
        <w:tabs>
          <w:tab w:leader="none" w:pos="2155" w:val="left"/>
        </w:tabs>
        <w:numPr>
          <w:ilvl w:val="1"/>
          <w:numId w:val="6"/>
        </w:numPr>
        <w:rPr>
          <w:rFonts w:ascii="Arial" w:cs="Arial" w:eastAsia="Arial" w:hAnsi="Arial"/>
          <w:sz w:val="18"/>
          <w:szCs w:val="18"/>
          <w:color w:val="auto"/>
        </w:rPr>
      </w:pPr>
      <w:r>
        <w:rPr>
          <w:rFonts w:ascii="Arial" w:cs="Arial" w:eastAsia="Arial" w:hAnsi="Arial"/>
          <w:sz w:val="18"/>
          <w:szCs w:val="18"/>
          <w:color w:val="auto"/>
        </w:rPr>
        <w:t>of our weekday customer transactions occurred between the hours of 12:00 p.m. and 2:30 p.m. Monday through Friday for fiscal 2019.</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w:t>
      </w:r>
    </w:p>
    <w:p>
      <w:pPr>
        <w:spacing w:after="0" w:line="121" w:lineRule="exact"/>
        <w:rPr>
          <w:sz w:val="20"/>
          <w:szCs w:val="20"/>
          <w:color w:val="auto"/>
        </w:rPr>
      </w:pPr>
    </w:p>
    <w:p>
      <w:pPr>
        <w:ind w:left="300" w:right="260" w:firstLine="426"/>
        <w:spacing w:after="0" w:line="279" w:lineRule="auto"/>
        <w:rPr>
          <w:sz w:val="20"/>
          <w:szCs w:val="20"/>
          <w:color w:val="auto"/>
        </w:rPr>
      </w:pPr>
      <w:r>
        <w:rPr>
          <w:rFonts w:ascii="Arial" w:cs="Arial" w:eastAsia="Arial" w:hAnsi="Arial"/>
          <w:sz w:val="17"/>
          <w:szCs w:val="17"/>
          <w:color w:val="auto"/>
        </w:rPr>
        <w:t>Founded in 1984, Advent International Corporation (“Advent”) has invested $47 billion in over 350 private equity transactions in 41 countries and as of June 30, 2019, had $54.3 billion in assets under management. Advent’s current portfolio comprises investments across five sectors – Retail, Consumer &amp; Leisure; Business and Financial Services; Healthcare; Industrial and Technology. The Advent team includes more than 200 investment professionals across Europe, North America, Latin America and Asia.</w:t>
      </w:r>
    </w:p>
    <w:p>
      <w:pPr>
        <w:spacing w:after="0" w:line="17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In August 2017, we entered into a merger transaction through which we were acquired by funds affiliated with or managed by Advent (the “Advent Acquisition”).</w:t>
      </w:r>
    </w:p>
    <w:p>
      <w:pPr>
        <w:spacing w:after="0" w:line="170"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Following the closing of this offering, funds managed by Advent are expected to own approximately % of our outstanding common stock, or %, if the underwriters’ option to purchase additional shares is fully exercised. As a result, Advent will be able to exercise significant voting influence over fundamental and significant corporate matters and transactions. See “Risk Factors – Risks Relating to This Offering and Ownership of Our Common Stock” and “Principal Stockholders.”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First Watch Restaurant Group, Inc. was incorporated in Delaware on August 10, 2017, under the name AI Fresh Super Holdco, Inc. We changed our name on December 20, 2019 to First Watch Restaurant Group, Inc. Our principal executive offices are located at 8027 Cooper Creek Blvd. #103 University Park, Florida 34201, and our telephone number is (941) 907-9800. Our corporate website address is www.firstwatch.com. Our corporate website and the information contained on, or that can be accessed through, the website is not deemed to be incorporated by reference in, and is not considered part of, this prospectus. You should not rely on any such information in making your decision whether to purchase our common stock.</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Investing in our common stock involves a number of risks. These risks represent challenges to the successful implementation of our strategy and the growth of our business. Some of these risks are:</w:t>
      </w:r>
    </w:p>
    <w:p>
      <w:pPr>
        <w:spacing w:after="0" w:line="76" w:lineRule="exact"/>
        <w:rPr>
          <w:sz w:val="20"/>
          <w:szCs w:val="20"/>
          <w:color w:val="auto"/>
        </w:rPr>
      </w:pPr>
    </w:p>
    <w:p>
      <w:pPr>
        <w:ind w:left="1240" w:hanging="415"/>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vulnerability to changes in consumer preferences and economic conditions;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90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6903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open new restaurants in new and existing markets;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generate same-restaurant sales growth;</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visitors to areas where our restaurants are located may decline;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marketing programs and limited-time menu offerings may fail to generate profits;</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shortages or disruptions in the supply or delivery of frequently used food items or increases in the cost of our frequently used food items;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prevent instances of food-borne illness in our restaurants;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compete successfully with other breakfast and lunch restaurants;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with our existing franchisees, including their financial performance, our lack of control over their operations and conflicting business interests;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vulnerability to adverse demographic, unemployment, economic, regulatory and weather conditions;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reputation and negative publicity, even if unwarranted;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small number of suppliers for a substantial amount of our food and coffee;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effectively manage our internal controls over financial reporting;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adequately protect our network security;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federal and local environmental, labor, employment and food safety laws and regulations;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and our duty to comply with covenants under our Credit Agreement;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interests of Advent may differ from those of our public stockholders.</w:t>
      </w:r>
    </w:p>
    <w:p>
      <w:pPr>
        <w:spacing w:after="0" w:line="225"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For a discussion of these and other risks you should consider before making an investment in our common stock, see the section entitled “Risk Factors.”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1240" w:right="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42" w:lineRule="exact"/>
        <w:rPr>
          <w:rFonts w:ascii="Arial" w:cs="Arial" w:eastAsia="Arial" w:hAnsi="Arial"/>
          <w:sz w:val="17"/>
          <w:szCs w:val="17"/>
          <w:color w:val="auto"/>
        </w:rPr>
      </w:pPr>
    </w:p>
    <w:p>
      <w:pPr>
        <w:ind w:left="1240" w:right="8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40"/>
          </w:cols>
          <w:pgMar w:left="320" w:top="459" w:right="9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92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792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9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right="60" w:firstLine="426"/>
        <w:spacing w:after="0" w:line="290"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initial public offering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5" w:lineRule="exact"/>
        <w:rPr>
          <w:sz w:val="20"/>
          <w:szCs w:val="20"/>
          <w:color w:val="auto"/>
        </w:rPr>
      </w:pPr>
    </w:p>
    <w:p>
      <w:pPr>
        <w:ind w:left="300" w:right="40" w:firstLine="426"/>
        <w:spacing w:after="0" w:line="285"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of 1933 (the “Securities Act”) for complying with new or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w:t>
      </w:r>
    </w:p>
    <w:p>
      <w:pPr>
        <w:spacing w:after="0" w:line="2" w:lineRule="exact"/>
        <w:rPr>
          <w:sz w:val="20"/>
          <w:szCs w:val="20"/>
          <w:color w:val="auto"/>
        </w:rPr>
      </w:pPr>
    </w:p>
    <w:p>
      <w:pPr>
        <w:ind w:left="300" w:right="120"/>
        <w:spacing w:after="0" w:line="260" w:lineRule="auto"/>
        <w:rPr>
          <w:sz w:val="20"/>
          <w:szCs w:val="20"/>
          <w:color w:val="auto"/>
        </w:rPr>
      </w:pPr>
      <w:r>
        <w:rPr>
          <w:rFonts w:ascii="Arial" w:cs="Arial" w:eastAsia="Arial" w:hAnsi="Arial"/>
          <w:sz w:val="18"/>
          <w:szCs w:val="18"/>
          <w:color w:val="auto"/>
        </w:rPr>
        <w:t>Section 107 of the JOBS Act provides that our decision to opt out of the extended transition period for complying with new or revised accounting standards is irrevocable.</w:t>
      </w:r>
    </w:p>
    <w:p>
      <w:pPr>
        <w:spacing w:after="0" w:line="18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660" w:type="dxa"/>
            <w:vAlign w:val="bottom"/>
            <w:gridSpan w:val="2"/>
          </w:tcPr>
          <w:p>
            <w:pPr>
              <w:ind w:left="660"/>
              <w:spacing w:after="0"/>
              <w:rPr>
                <w:sz w:val="20"/>
                <w:szCs w:val="20"/>
                <w:color w:val="auto"/>
              </w:rPr>
            </w:pPr>
            <w:r>
              <w:rPr>
                <w:rFonts w:ascii="Arial" w:cs="Arial" w:eastAsia="Arial" w:hAnsi="Arial"/>
                <w:sz w:val="18"/>
                <w:szCs w:val="18"/>
                <w:b w:val="1"/>
                <w:bCs w:val="1"/>
                <w:color w:val="auto"/>
              </w:rPr>
              <w:t>THE OFFERING</w:t>
            </w:r>
          </w:p>
        </w:tc>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59"/>
        </w:trPr>
        <w:tc>
          <w:tcPr>
            <w:tcW w:w="3980" w:type="dxa"/>
            <w:vAlign w:val="bottom"/>
          </w:tcPr>
          <w:p>
            <w:pPr>
              <w:spacing w:after="0"/>
              <w:rPr>
                <w:sz w:val="20"/>
                <w:szCs w:val="20"/>
                <w:color w:val="auto"/>
              </w:rPr>
            </w:pPr>
            <w:r>
              <w:rPr>
                <w:rFonts w:ascii="Arial" w:cs="Arial" w:eastAsia="Arial" w:hAnsi="Arial"/>
                <w:sz w:val="18"/>
                <w:szCs w:val="18"/>
                <w:color w:val="auto"/>
              </w:rPr>
              <w:t>Issuer</w:t>
            </w:r>
          </w:p>
        </w:tc>
        <w:tc>
          <w:tcPr>
            <w:tcW w:w="2660" w:type="dxa"/>
            <w:vAlign w:val="bottom"/>
            <w:gridSpan w:val="2"/>
          </w:tcPr>
          <w:p>
            <w:pPr>
              <w:ind w:left="60"/>
              <w:spacing w:after="0"/>
              <w:rPr>
                <w:sz w:val="20"/>
                <w:szCs w:val="20"/>
                <w:color w:val="auto"/>
              </w:rPr>
            </w:pPr>
            <w:r>
              <w:rPr>
                <w:rFonts w:ascii="Arial" w:cs="Arial" w:eastAsia="Arial" w:hAnsi="Arial"/>
                <w:sz w:val="18"/>
                <w:szCs w:val="18"/>
                <w:color w:val="auto"/>
                <w:w w:val="92"/>
              </w:rPr>
              <w:t>First Watch Restaurant Group, Inc.</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8"/>
        </w:trPr>
        <w:tc>
          <w:tcPr>
            <w:tcW w:w="398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660" w:type="dxa"/>
            <w:vAlign w:val="bottom"/>
            <w:gridSpan w:val="2"/>
          </w:tcPr>
          <w:p>
            <w:pPr>
              <w:ind w:left="600"/>
              <w:spacing w:after="0"/>
              <w:rPr>
                <w:sz w:val="20"/>
                <w:szCs w:val="20"/>
                <w:color w:val="auto"/>
              </w:rPr>
            </w:pPr>
            <w:r>
              <w:rPr>
                <w:rFonts w:ascii="Arial" w:cs="Arial" w:eastAsia="Arial" w:hAnsi="Arial"/>
                <w:sz w:val="18"/>
                <w:szCs w:val="18"/>
                <w:color w:val="auto"/>
                <w:w w:val="98"/>
              </w:rPr>
              <w:t>shares of common stock (</w:t>
            </w: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w w:val="92"/>
              </w:rPr>
              <w:t>shares if the underwriters exercise their option to</w:t>
            </w:r>
          </w:p>
        </w:tc>
      </w:tr>
      <w:tr>
        <w:trPr>
          <w:trHeight w:val="230"/>
        </w:trPr>
        <w:tc>
          <w:tcPr>
            <w:tcW w:w="3980" w:type="dxa"/>
            <w:vAlign w:val="bottom"/>
          </w:tcPr>
          <w:p>
            <w:pPr>
              <w:spacing w:after="0"/>
              <w:rPr>
                <w:sz w:val="20"/>
                <w:szCs w:val="20"/>
                <w:color w:val="auto"/>
              </w:rPr>
            </w:pPr>
          </w:p>
        </w:tc>
        <w:tc>
          <w:tcPr>
            <w:tcW w:w="2660" w:type="dxa"/>
            <w:vAlign w:val="bottom"/>
            <w:gridSpan w:val="2"/>
          </w:tcPr>
          <w:p>
            <w:pPr>
              <w:ind w:left="60"/>
              <w:spacing w:after="0"/>
              <w:rPr>
                <w:sz w:val="20"/>
                <w:szCs w:val="20"/>
                <w:color w:val="auto"/>
              </w:rPr>
            </w:pPr>
            <w:r>
              <w:rPr>
                <w:rFonts w:ascii="Arial" w:cs="Arial" w:eastAsia="Arial" w:hAnsi="Arial"/>
                <w:sz w:val="18"/>
                <w:szCs w:val="18"/>
                <w:color w:val="auto"/>
                <w:w w:val="94"/>
              </w:rPr>
              <w:t>purchase additional shares in full).</w:t>
            </w:r>
          </w:p>
        </w:tc>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3980" w:type="dxa"/>
            <w:vAlign w:val="bottom"/>
          </w:tcPr>
          <w:p>
            <w:pPr>
              <w:spacing w:after="0"/>
              <w:rPr>
                <w:sz w:val="20"/>
                <w:szCs w:val="20"/>
                <w:color w:val="auto"/>
              </w:rPr>
            </w:pPr>
            <w:r>
              <w:rPr>
                <w:rFonts w:ascii="Arial" w:cs="Arial" w:eastAsia="Arial" w:hAnsi="Arial"/>
                <w:sz w:val="18"/>
                <w:szCs w:val="18"/>
                <w:color w:val="auto"/>
                <w:w w:val="98"/>
              </w:rPr>
              <w:t>Common stock to be outstanding after this offering</w:t>
            </w:r>
          </w:p>
        </w:tc>
        <w:tc>
          <w:tcPr>
            <w:tcW w:w="2660" w:type="dxa"/>
            <w:vAlign w:val="bottom"/>
            <w:gridSpan w:val="2"/>
          </w:tcPr>
          <w:p>
            <w:pPr>
              <w:ind w:left="600"/>
              <w:spacing w:after="0"/>
              <w:rPr>
                <w:sz w:val="20"/>
                <w:szCs w:val="20"/>
                <w:color w:val="auto"/>
              </w:rPr>
            </w:pPr>
            <w:r>
              <w:rPr>
                <w:rFonts w:ascii="Arial" w:cs="Arial" w:eastAsia="Arial" w:hAnsi="Arial"/>
                <w:sz w:val="18"/>
                <w:szCs w:val="18"/>
                <w:color w:val="auto"/>
                <w:w w:val="98"/>
              </w:rPr>
              <w:t>shares of common stock (</w:t>
            </w: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w w:val="92"/>
              </w:rPr>
              <w:t>shares if the underwriters exercise their option to</w:t>
            </w:r>
          </w:p>
        </w:tc>
      </w:tr>
      <w:tr>
        <w:trPr>
          <w:trHeight w:val="230"/>
        </w:trPr>
        <w:tc>
          <w:tcPr>
            <w:tcW w:w="3980" w:type="dxa"/>
            <w:vAlign w:val="bottom"/>
          </w:tcPr>
          <w:p>
            <w:pPr>
              <w:spacing w:after="0"/>
              <w:rPr>
                <w:sz w:val="20"/>
                <w:szCs w:val="20"/>
                <w:color w:val="auto"/>
              </w:rPr>
            </w:pPr>
          </w:p>
        </w:tc>
        <w:tc>
          <w:tcPr>
            <w:tcW w:w="2660" w:type="dxa"/>
            <w:vAlign w:val="bottom"/>
            <w:gridSpan w:val="2"/>
          </w:tcPr>
          <w:p>
            <w:pPr>
              <w:ind w:left="60"/>
              <w:spacing w:after="0"/>
              <w:rPr>
                <w:sz w:val="20"/>
                <w:szCs w:val="20"/>
                <w:color w:val="auto"/>
              </w:rPr>
            </w:pPr>
            <w:r>
              <w:rPr>
                <w:rFonts w:ascii="Arial" w:cs="Arial" w:eastAsia="Arial" w:hAnsi="Arial"/>
                <w:sz w:val="18"/>
                <w:szCs w:val="18"/>
                <w:color w:val="auto"/>
                <w:w w:val="94"/>
              </w:rPr>
              <w:t>purchase additional shares in full).</w:t>
            </w:r>
          </w:p>
        </w:tc>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3980" w:type="dxa"/>
            <w:vAlign w:val="bottom"/>
          </w:tcPr>
          <w:p>
            <w:pPr>
              <w:spacing w:after="0"/>
              <w:rPr>
                <w:sz w:val="20"/>
                <w:szCs w:val="20"/>
                <w:color w:val="auto"/>
              </w:rPr>
            </w:pPr>
            <w:r>
              <w:rPr>
                <w:rFonts w:ascii="Arial" w:cs="Arial" w:eastAsia="Arial" w:hAnsi="Arial"/>
                <w:sz w:val="18"/>
                <w:szCs w:val="18"/>
                <w:color w:val="auto"/>
                <w:w w:val="91"/>
              </w:rPr>
              <w:t>Option to purchase additional shares of common stock</w:t>
            </w:r>
          </w:p>
        </w:tc>
        <w:tc>
          <w:tcPr>
            <w:tcW w:w="4560" w:type="dxa"/>
            <w:vAlign w:val="bottom"/>
            <w:gridSpan w:val="3"/>
          </w:tcPr>
          <w:p>
            <w:pPr>
              <w:ind w:left="60"/>
              <w:spacing w:after="0"/>
              <w:rPr>
                <w:sz w:val="20"/>
                <w:szCs w:val="20"/>
                <w:color w:val="auto"/>
              </w:rPr>
            </w:pPr>
            <w:r>
              <w:rPr>
                <w:rFonts w:ascii="Arial" w:cs="Arial" w:eastAsia="Arial" w:hAnsi="Arial"/>
                <w:sz w:val="18"/>
                <w:szCs w:val="18"/>
                <w:color w:val="auto"/>
                <w:w w:val="96"/>
              </w:rPr>
              <w:t>The underwriters have an option to purchase an additional</w:t>
            </w:r>
          </w:p>
        </w:tc>
        <w:tc>
          <w:tcPr>
            <w:tcW w:w="2080" w:type="dxa"/>
            <w:vAlign w:val="bottom"/>
          </w:tcPr>
          <w:p>
            <w:pPr>
              <w:ind w:left="320"/>
              <w:spacing w:after="0"/>
              <w:rPr>
                <w:sz w:val="20"/>
                <w:szCs w:val="20"/>
                <w:color w:val="auto"/>
              </w:rPr>
            </w:pPr>
            <w:r>
              <w:rPr>
                <w:rFonts w:ascii="Arial" w:cs="Arial" w:eastAsia="Arial" w:hAnsi="Arial"/>
                <w:sz w:val="18"/>
                <w:szCs w:val="18"/>
                <w:color w:val="auto"/>
                <w:w w:val="89"/>
              </w:rPr>
              <w:t>shares of common stock</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Arial" w:cs="Arial" w:eastAsia="Arial" w:hAnsi="Arial"/>
                <w:sz w:val="18"/>
                <w:szCs w:val="18"/>
                <w:color w:val="auto"/>
                <w:w w:val="90"/>
              </w:rPr>
              <w:t>from us. The underwriters can exercise this option at any time within 30 days from the date</w:t>
            </w:r>
          </w:p>
        </w:tc>
      </w:tr>
      <w:tr>
        <w:trPr>
          <w:trHeight w:val="230"/>
        </w:trPr>
        <w:tc>
          <w:tcPr>
            <w:tcW w:w="3980" w:type="dxa"/>
            <w:vAlign w:val="bottom"/>
          </w:tcPr>
          <w:p>
            <w:pPr>
              <w:spacing w:after="0"/>
              <w:rPr>
                <w:sz w:val="20"/>
                <w:szCs w:val="20"/>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w w:val="97"/>
              </w:rPr>
              <w:t>of this prospectus.</w:t>
            </w:r>
          </w:p>
        </w:tc>
        <w:tc>
          <w:tcPr>
            <w:tcW w:w="1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5"/>
        </w:trPr>
        <w:tc>
          <w:tcPr>
            <w:tcW w:w="3980" w:type="dxa"/>
            <w:vAlign w:val="bottom"/>
          </w:tcPr>
          <w:p>
            <w:pPr>
              <w:spacing w:after="0"/>
              <w:rPr>
                <w:sz w:val="20"/>
                <w:szCs w:val="20"/>
                <w:color w:val="auto"/>
              </w:rPr>
            </w:pPr>
            <w:r>
              <w:rPr>
                <w:rFonts w:ascii="Arial" w:cs="Arial" w:eastAsia="Arial" w:hAnsi="Arial"/>
                <w:sz w:val="18"/>
                <w:szCs w:val="18"/>
                <w:color w:val="auto"/>
              </w:rPr>
              <w:t>Use of proceeds</w:t>
            </w:r>
          </w:p>
        </w:tc>
        <w:tc>
          <w:tcPr>
            <w:tcW w:w="6640" w:type="dxa"/>
            <w:vAlign w:val="bottom"/>
            <w:gridSpan w:val="4"/>
          </w:tcPr>
          <w:p>
            <w:pPr>
              <w:ind w:left="60"/>
              <w:spacing w:after="0"/>
              <w:rPr>
                <w:sz w:val="20"/>
                <w:szCs w:val="20"/>
                <w:color w:val="auto"/>
              </w:rPr>
            </w:pPr>
            <w:r>
              <w:rPr>
                <w:rFonts w:ascii="Arial" w:cs="Arial" w:eastAsia="Arial" w:hAnsi="Arial"/>
                <w:sz w:val="18"/>
                <w:szCs w:val="18"/>
                <w:color w:val="auto"/>
                <w:w w:val="91"/>
              </w:rPr>
              <w:t>We estimate that the net proceeds from the sale of our common stock in this offering, after</w:t>
            </w:r>
          </w:p>
        </w:tc>
      </w:tr>
      <w:tr>
        <w:trPr>
          <w:trHeight w:val="216"/>
        </w:trPr>
        <w:tc>
          <w:tcPr>
            <w:tcW w:w="39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Arial" w:cs="Arial" w:eastAsia="Arial" w:hAnsi="Arial"/>
                <w:sz w:val="18"/>
                <w:szCs w:val="18"/>
                <w:color w:val="auto"/>
                <w:w w:val="90"/>
              </w:rPr>
              <w:t>deducting the underwriting discount and estimated offering expenses payable by us, will be</w:t>
            </w:r>
          </w:p>
        </w:tc>
      </w:tr>
      <w:tr>
        <w:trPr>
          <w:trHeight w:val="216"/>
        </w:trPr>
        <w:tc>
          <w:tcPr>
            <w:tcW w:w="3980" w:type="dxa"/>
            <w:vAlign w:val="bottom"/>
          </w:tcPr>
          <w:p>
            <w:pPr>
              <w:spacing w:after="0"/>
              <w:rPr>
                <w:sz w:val="18"/>
                <w:szCs w:val="18"/>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approximately $</w:t>
            </w:r>
          </w:p>
        </w:tc>
        <w:tc>
          <w:tcPr>
            <w:tcW w:w="1160" w:type="dxa"/>
            <w:vAlign w:val="bottom"/>
          </w:tcPr>
          <w:p>
            <w:pPr>
              <w:ind w:left="140"/>
              <w:spacing w:after="0"/>
              <w:rPr>
                <w:sz w:val="20"/>
                <w:szCs w:val="20"/>
                <w:color w:val="auto"/>
              </w:rPr>
            </w:pPr>
            <w:r>
              <w:rPr>
                <w:rFonts w:ascii="Arial" w:cs="Arial" w:eastAsia="Arial" w:hAnsi="Arial"/>
                <w:sz w:val="18"/>
                <w:szCs w:val="18"/>
                <w:color w:val="auto"/>
              </w:rPr>
              <w:t>million ($</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million if the underwriters exercise their option to</w:t>
            </w:r>
          </w:p>
        </w:tc>
      </w:tr>
      <w:tr>
        <w:trPr>
          <w:trHeight w:val="230"/>
        </w:trPr>
        <w:tc>
          <w:tcPr>
            <w:tcW w:w="3980" w:type="dxa"/>
            <w:vAlign w:val="bottom"/>
          </w:tcPr>
          <w:p>
            <w:pPr>
              <w:spacing w:after="0"/>
              <w:rPr>
                <w:sz w:val="20"/>
                <w:szCs w:val="20"/>
                <w:color w:val="auto"/>
              </w:rPr>
            </w:pPr>
          </w:p>
        </w:tc>
        <w:tc>
          <w:tcPr>
            <w:tcW w:w="6640" w:type="dxa"/>
            <w:vAlign w:val="bottom"/>
            <w:gridSpan w:val="4"/>
          </w:tcPr>
          <w:p>
            <w:pPr>
              <w:ind w:left="60"/>
              <w:spacing w:after="0"/>
              <w:rPr>
                <w:sz w:val="20"/>
                <w:szCs w:val="20"/>
                <w:color w:val="auto"/>
              </w:rPr>
            </w:pPr>
            <w:r>
              <w:rPr>
                <w:rFonts w:ascii="Arial" w:cs="Arial" w:eastAsia="Arial" w:hAnsi="Arial"/>
                <w:sz w:val="18"/>
                <w:szCs w:val="18"/>
                <w:color w:val="auto"/>
                <w:w w:val="96"/>
              </w:rPr>
              <w:t>purchase additional shares in full) based on an assumed initial public offering price of</w:t>
            </w:r>
          </w:p>
        </w:tc>
      </w:tr>
    </w:tbl>
    <w:p>
      <w:pPr>
        <w:ind w:left="4820" w:hanging="485"/>
        <w:spacing w:after="0"/>
        <w:tabs>
          <w:tab w:leader="none" w:pos="4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of this prospectus).</w:t>
      </w: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w w:val="90"/>
              </w:rPr>
              <w:t>We intend to use the net proceeds from this offering to repay borrowings outstanding under</w:t>
            </w:r>
          </w:p>
        </w:tc>
      </w:tr>
      <w:tr>
        <w:trPr>
          <w:trHeight w:val="230"/>
        </w:trPr>
        <w:tc>
          <w:tcPr>
            <w:tcW w:w="2600" w:type="dxa"/>
            <w:vAlign w:val="bottom"/>
          </w:tcPr>
          <w:p>
            <w:pPr>
              <w:spacing w:after="0"/>
              <w:rPr>
                <w:sz w:val="20"/>
                <w:szCs w:val="20"/>
                <w:color w:val="auto"/>
              </w:rPr>
            </w:pP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rPr>
              <w:t>our Senior Credit Facilities (as defined herein). See “Use of Proceeds.”</w:t>
            </w:r>
          </w:p>
        </w:tc>
      </w:tr>
      <w:tr>
        <w:trPr>
          <w:trHeight w:val="445"/>
        </w:trPr>
        <w:tc>
          <w:tcPr>
            <w:tcW w:w="2600" w:type="dxa"/>
            <w:vAlign w:val="bottom"/>
          </w:tcPr>
          <w:p>
            <w:pPr>
              <w:spacing w:after="0"/>
              <w:rPr>
                <w:sz w:val="20"/>
                <w:szCs w:val="20"/>
                <w:color w:val="auto"/>
              </w:rPr>
            </w:pPr>
            <w:r>
              <w:rPr>
                <w:rFonts w:ascii="Arial" w:cs="Arial" w:eastAsia="Arial" w:hAnsi="Arial"/>
                <w:sz w:val="18"/>
                <w:szCs w:val="18"/>
                <w:color w:val="auto"/>
              </w:rPr>
              <w:t>Dividend policy</w:t>
            </w: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w w:val="90"/>
              </w:rPr>
              <w:t>We do not anticipate paying any dividends on our common stock for the foreseeable future;</w:t>
            </w:r>
          </w:p>
        </w:tc>
      </w:tr>
      <w:tr>
        <w:trPr>
          <w:trHeight w:val="230"/>
        </w:trPr>
        <w:tc>
          <w:tcPr>
            <w:tcW w:w="2600" w:type="dxa"/>
            <w:vAlign w:val="bottom"/>
          </w:tcPr>
          <w:p>
            <w:pPr>
              <w:spacing w:after="0"/>
              <w:rPr>
                <w:sz w:val="20"/>
                <w:szCs w:val="20"/>
                <w:color w:val="auto"/>
              </w:rPr>
            </w:pP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rPr>
              <w:t>however, we may change this policy in the future. See “Dividend Policy.”</w:t>
            </w:r>
          </w:p>
        </w:tc>
      </w:tr>
      <w:tr>
        <w:trPr>
          <w:trHeight w:val="445"/>
        </w:trPr>
        <w:tc>
          <w:tcPr>
            <w:tcW w:w="2600" w:type="dxa"/>
            <w:vAlign w:val="bottom"/>
          </w:tcPr>
          <w:p>
            <w:pPr>
              <w:spacing w:after="0"/>
              <w:rPr>
                <w:sz w:val="20"/>
                <w:szCs w:val="20"/>
                <w:color w:val="auto"/>
              </w:rPr>
            </w:pPr>
            <w:r>
              <w:rPr>
                <w:rFonts w:ascii="Arial" w:cs="Arial" w:eastAsia="Arial" w:hAnsi="Arial"/>
                <w:sz w:val="18"/>
                <w:szCs w:val="18"/>
                <w:color w:val="auto"/>
              </w:rPr>
              <w:t>Risk Factors</w:t>
            </w: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w w:val="97"/>
              </w:rPr>
              <w:t>Investing in our common stock involves a high degree of risk. See the “Risk Factors”</w:t>
            </w:r>
          </w:p>
        </w:tc>
      </w:tr>
      <w:tr>
        <w:trPr>
          <w:trHeight w:val="216"/>
        </w:trPr>
        <w:tc>
          <w:tcPr>
            <w:tcW w:w="2600" w:type="dxa"/>
            <w:vAlign w:val="bottom"/>
          </w:tcPr>
          <w:p>
            <w:pPr>
              <w:spacing w:after="0"/>
              <w:rPr>
                <w:sz w:val="18"/>
                <w:szCs w:val="18"/>
                <w:color w:val="auto"/>
              </w:rPr>
            </w:pPr>
          </w:p>
        </w:tc>
        <w:tc>
          <w:tcPr>
            <w:tcW w:w="8020" w:type="dxa"/>
            <w:vAlign w:val="bottom"/>
            <w:gridSpan w:val="3"/>
          </w:tcPr>
          <w:p>
            <w:pPr>
              <w:ind w:left="1440"/>
              <w:spacing w:after="0"/>
              <w:rPr>
                <w:sz w:val="20"/>
                <w:szCs w:val="20"/>
                <w:color w:val="auto"/>
              </w:rPr>
            </w:pPr>
            <w:r>
              <w:rPr>
                <w:rFonts w:ascii="Arial" w:cs="Arial" w:eastAsia="Arial" w:hAnsi="Arial"/>
                <w:sz w:val="18"/>
                <w:szCs w:val="18"/>
                <w:color w:val="auto"/>
                <w:w w:val="96"/>
              </w:rPr>
              <w:t>section of this prospectus beginning on page 15 for a discussion of factors you should</w:t>
            </w:r>
          </w:p>
        </w:tc>
      </w:tr>
      <w:tr>
        <w:trPr>
          <w:trHeight w:val="230"/>
        </w:trPr>
        <w:tc>
          <w:tcPr>
            <w:tcW w:w="2600" w:type="dxa"/>
            <w:vAlign w:val="bottom"/>
          </w:tcPr>
          <w:p>
            <w:pPr>
              <w:spacing w:after="0"/>
              <w:rPr>
                <w:sz w:val="20"/>
                <w:szCs w:val="20"/>
                <w:color w:val="auto"/>
              </w:rPr>
            </w:pPr>
          </w:p>
        </w:tc>
        <w:tc>
          <w:tcPr>
            <w:tcW w:w="5980" w:type="dxa"/>
            <w:vAlign w:val="bottom"/>
            <w:gridSpan w:val="2"/>
          </w:tcPr>
          <w:p>
            <w:pPr>
              <w:ind w:left="1440"/>
              <w:spacing w:after="0"/>
              <w:rPr>
                <w:sz w:val="20"/>
                <w:szCs w:val="20"/>
                <w:color w:val="auto"/>
              </w:rPr>
            </w:pPr>
            <w:r>
              <w:rPr>
                <w:rFonts w:ascii="Arial" w:cs="Arial" w:eastAsia="Arial" w:hAnsi="Arial"/>
                <w:sz w:val="18"/>
                <w:szCs w:val="18"/>
                <w:color w:val="auto"/>
              </w:rPr>
              <w:t>carefully consider before investing in our common stock.</w:t>
            </w:r>
          </w:p>
        </w:tc>
        <w:tc>
          <w:tcPr>
            <w:tcW w:w="2040" w:type="dxa"/>
            <w:vAlign w:val="bottom"/>
          </w:tcPr>
          <w:p>
            <w:pPr>
              <w:spacing w:after="0"/>
              <w:rPr>
                <w:sz w:val="20"/>
                <w:szCs w:val="20"/>
                <w:color w:val="auto"/>
              </w:rPr>
            </w:pPr>
          </w:p>
        </w:tc>
      </w:tr>
      <w:tr>
        <w:trPr>
          <w:trHeight w:val="445"/>
        </w:trPr>
        <w:tc>
          <w:tcPr>
            <w:tcW w:w="2600" w:type="dxa"/>
            <w:vAlign w:val="bottom"/>
          </w:tcPr>
          <w:p>
            <w:pPr>
              <w:spacing w:after="0"/>
              <w:rPr>
                <w:sz w:val="20"/>
                <w:szCs w:val="20"/>
                <w:color w:val="auto"/>
              </w:rPr>
            </w:pPr>
            <w:r>
              <w:rPr>
                <w:rFonts w:ascii="Arial" w:cs="Arial" w:eastAsia="Arial" w:hAnsi="Arial"/>
                <w:sz w:val="18"/>
                <w:szCs w:val="18"/>
                <w:color w:val="auto"/>
              </w:rPr>
              <w:t>Listing</w:t>
            </w:r>
          </w:p>
        </w:tc>
        <w:tc>
          <w:tcPr>
            <w:tcW w:w="5980" w:type="dxa"/>
            <w:vAlign w:val="bottom"/>
            <w:gridSpan w:val="2"/>
          </w:tcPr>
          <w:p>
            <w:pPr>
              <w:ind w:left="1440"/>
              <w:spacing w:after="0"/>
              <w:rPr>
                <w:sz w:val="20"/>
                <w:szCs w:val="20"/>
                <w:color w:val="auto"/>
              </w:rPr>
            </w:pPr>
            <w:r>
              <w:rPr>
                <w:rFonts w:ascii="Arial" w:cs="Arial" w:eastAsia="Arial" w:hAnsi="Arial"/>
                <w:sz w:val="18"/>
                <w:szCs w:val="18"/>
                <w:color w:val="auto"/>
                <w:w w:val="96"/>
              </w:rPr>
              <w:t>We intend to apply to have our common stock listed on the</w:t>
            </w:r>
          </w:p>
        </w:tc>
        <w:tc>
          <w:tcPr>
            <w:tcW w:w="2040" w:type="dxa"/>
            <w:vAlign w:val="bottom"/>
          </w:tcPr>
          <w:p>
            <w:pPr>
              <w:ind w:left="320"/>
              <w:spacing w:after="0"/>
              <w:rPr>
                <w:sz w:val="20"/>
                <w:szCs w:val="20"/>
                <w:color w:val="auto"/>
              </w:rPr>
            </w:pPr>
            <w:r>
              <w:rPr>
                <w:rFonts w:ascii="Arial" w:cs="Arial" w:eastAsia="Arial" w:hAnsi="Arial"/>
                <w:sz w:val="18"/>
                <w:szCs w:val="18"/>
                <w:color w:val="auto"/>
              </w:rPr>
              <w:t>under the symbol</w:t>
            </w:r>
          </w:p>
        </w:tc>
      </w:tr>
      <w:tr>
        <w:trPr>
          <w:trHeight w:val="230"/>
        </w:trPr>
        <w:tc>
          <w:tcPr>
            <w:tcW w:w="2600" w:type="dxa"/>
            <w:vAlign w:val="bottom"/>
          </w:tcPr>
          <w:p>
            <w:pPr>
              <w:spacing w:after="0"/>
              <w:rPr>
                <w:sz w:val="20"/>
                <w:szCs w:val="20"/>
                <w:color w:val="auto"/>
              </w:rPr>
            </w:pPr>
          </w:p>
        </w:tc>
        <w:tc>
          <w:tcPr>
            <w:tcW w:w="1900" w:type="dxa"/>
            <w:vAlign w:val="bottom"/>
          </w:tcPr>
          <w:p>
            <w:pPr>
              <w:ind w:left="1440"/>
              <w:spacing w:after="0"/>
              <w:rPr>
                <w:sz w:val="20"/>
                <w:szCs w:val="20"/>
                <w:color w:val="auto"/>
              </w:rPr>
            </w:pPr>
            <w:r>
              <w:rPr>
                <w:rFonts w:ascii="Arial" w:cs="Arial" w:eastAsia="Arial" w:hAnsi="Arial"/>
                <w:sz w:val="18"/>
                <w:szCs w:val="18"/>
                <w:color w:val="auto"/>
              </w:rPr>
              <w:t>“</w:t>
            </w:r>
          </w:p>
        </w:tc>
        <w:tc>
          <w:tcPr>
            <w:tcW w:w="4080" w:type="dxa"/>
            <w:vAlign w:val="bottom"/>
          </w:tcPr>
          <w:p>
            <w:pPr>
              <w:ind w:left="38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the number of shares of our common stock outstanding after this offering:</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560" w:type="dxa"/>
            <w:vAlign w:val="bottom"/>
          </w:tcPr>
          <w:p>
            <w:pPr>
              <w:ind w:left="180"/>
              <w:spacing w:after="0"/>
              <w:rPr>
                <w:sz w:val="20"/>
                <w:szCs w:val="20"/>
                <w:color w:val="auto"/>
              </w:rPr>
            </w:pPr>
            <w:r>
              <w:rPr>
                <w:rFonts w:ascii="Arial" w:cs="Arial" w:eastAsia="Arial" w:hAnsi="Arial"/>
                <w:sz w:val="18"/>
                <w:szCs w:val="18"/>
                <w:color w:val="auto"/>
              </w:rPr>
              <w:t>excludes</w:t>
            </w:r>
          </w:p>
        </w:tc>
        <w:tc>
          <w:tcPr>
            <w:tcW w:w="8520" w:type="dxa"/>
            <w:vAlign w:val="bottom"/>
            <w:gridSpan w:val="2"/>
          </w:tcPr>
          <w:p>
            <w:pPr>
              <w:jc w:val="right"/>
              <w:ind w:right="730"/>
              <w:spacing w:after="0"/>
              <w:rPr>
                <w:sz w:val="20"/>
                <w:szCs w:val="20"/>
                <w:color w:val="auto"/>
              </w:rPr>
            </w:pPr>
            <w:r>
              <w:rPr>
                <w:rFonts w:ascii="Arial" w:cs="Arial" w:eastAsia="Arial" w:hAnsi="Arial"/>
                <w:sz w:val="18"/>
                <w:szCs w:val="18"/>
                <w:color w:val="auto"/>
                <w:w w:val="89"/>
              </w:rPr>
              <w:t>shares of our common stock issuable upon the exercise of outstanding stock options at a weighted average</w:t>
            </w:r>
          </w:p>
        </w:tc>
      </w:tr>
      <w:tr>
        <w:trPr>
          <w:trHeight w:val="230"/>
        </w:trPr>
        <w:tc>
          <w:tcPr>
            <w:tcW w:w="940" w:type="dxa"/>
            <w:vAlign w:val="bottom"/>
          </w:tcPr>
          <w:p>
            <w:pPr>
              <w:spacing w:after="0"/>
              <w:rPr>
                <w:sz w:val="20"/>
                <w:szCs w:val="20"/>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w w:val="93"/>
              </w:rPr>
              <w:t>exercise price of $</w:t>
            </w:r>
          </w:p>
        </w:tc>
        <w:tc>
          <w:tcPr>
            <w:tcW w:w="900" w:type="dxa"/>
            <w:vAlign w:val="bottom"/>
          </w:tcPr>
          <w:p>
            <w:pPr>
              <w:ind w:left="120"/>
              <w:spacing w:after="0"/>
              <w:rPr>
                <w:sz w:val="20"/>
                <w:szCs w:val="20"/>
                <w:color w:val="auto"/>
              </w:rPr>
            </w:pPr>
            <w:r>
              <w:rPr>
                <w:rFonts w:ascii="Arial" w:cs="Arial" w:eastAsia="Arial" w:hAnsi="Arial"/>
                <w:sz w:val="18"/>
                <w:szCs w:val="18"/>
                <w:color w:val="auto"/>
                <w:w w:val="93"/>
              </w:rPr>
              <w:t>per share;</w:t>
            </w:r>
          </w:p>
        </w:tc>
        <w:tc>
          <w:tcPr>
            <w:tcW w:w="7620" w:type="dxa"/>
            <w:vAlign w:val="bottom"/>
          </w:tcPr>
          <w:p>
            <w:pPr>
              <w:spacing w:after="0"/>
              <w:rPr>
                <w:sz w:val="20"/>
                <w:szCs w:val="20"/>
                <w:color w:val="auto"/>
              </w:rPr>
            </w:pPr>
          </w:p>
        </w:tc>
      </w:tr>
      <w:tr>
        <w:trPr>
          <w:trHeight w:val="323"/>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rPr>
              <w:t>excludes an aggregate of</w:t>
            </w:r>
          </w:p>
        </w:tc>
        <w:tc>
          <w:tcPr>
            <w:tcW w:w="7620" w:type="dxa"/>
            <w:vAlign w:val="bottom"/>
          </w:tcPr>
          <w:p>
            <w:pPr>
              <w:jc w:val="right"/>
              <w:ind w:right="250"/>
              <w:spacing w:after="0"/>
              <w:rPr>
                <w:sz w:val="20"/>
                <w:szCs w:val="20"/>
                <w:color w:val="auto"/>
              </w:rPr>
            </w:pPr>
            <w:r>
              <w:rPr>
                <w:rFonts w:ascii="Arial" w:cs="Arial" w:eastAsia="Arial" w:hAnsi="Arial"/>
                <w:sz w:val="18"/>
                <w:szCs w:val="18"/>
                <w:color w:val="auto"/>
                <w:w w:val="91"/>
              </w:rPr>
              <w:t>shares of our common stock that will be available for future equity awards under our 2017 Omnibus</w:t>
            </w:r>
          </w:p>
        </w:tc>
      </w:tr>
      <w:tr>
        <w:trPr>
          <w:trHeight w:val="230"/>
        </w:trPr>
        <w:tc>
          <w:tcPr>
            <w:tcW w:w="940" w:type="dxa"/>
            <w:vAlign w:val="bottom"/>
          </w:tcPr>
          <w:p>
            <w:pPr>
              <w:spacing w:after="0"/>
              <w:rPr>
                <w:sz w:val="20"/>
                <w:szCs w:val="20"/>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6"/>
              </w:rPr>
              <w:t>Equity Incentive Plan (the “2017 Plan”) and our First Watch Restaurant Group, Inc. 2020 Equity Incentive Plan (the “2020 Plan”);</w:t>
            </w:r>
          </w:p>
        </w:tc>
      </w:tr>
      <w:tr>
        <w:trPr>
          <w:trHeight w:val="338"/>
        </w:trPr>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560" w:type="dxa"/>
            <w:vAlign w:val="bottom"/>
          </w:tcPr>
          <w:p>
            <w:pPr>
              <w:ind w:left="180"/>
              <w:spacing w:after="0"/>
              <w:rPr>
                <w:sz w:val="20"/>
                <w:szCs w:val="20"/>
                <w:color w:val="auto"/>
              </w:rPr>
            </w:pPr>
            <w:r>
              <w:rPr>
                <w:rFonts w:ascii="Arial" w:cs="Arial" w:eastAsia="Arial" w:hAnsi="Arial"/>
                <w:sz w:val="18"/>
                <w:szCs w:val="18"/>
                <w:color w:val="auto"/>
              </w:rPr>
              <w:t>gives effect to a</w:t>
            </w:r>
          </w:p>
        </w:tc>
        <w:tc>
          <w:tcPr>
            <w:tcW w:w="900" w:type="dxa"/>
            <w:vAlign w:val="bottom"/>
          </w:tcPr>
          <w:p>
            <w:pPr>
              <w:ind w:left="480"/>
              <w:spacing w:after="0"/>
              <w:rPr>
                <w:sz w:val="20"/>
                <w:szCs w:val="20"/>
                <w:color w:val="auto"/>
              </w:rPr>
            </w:pPr>
            <w:r>
              <w:rPr>
                <w:rFonts w:ascii="Arial" w:cs="Arial" w:eastAsia="Arial" w:hAnsi="Arial"/>
                <w:sz w:val="18"/>
                <w:szCs w:val="18"/>
                <w:color w:val="auto"/>
              </w:rPr>
              <w:t>for</w:t>
            </w:r>
          </w:p>
        </w:tc>
        <w:tc>
          <w:tcPr>
            <w:tcW w:w="7620" w:type="dxa"/>
            <w:vAlign w:val="bottom"/>
          </w:tcPr>
          <w:p>
            <w:pPr>
              <w:jc w:val="right"/>
              <w:ind w:right="510"/>
              <w:spacing w:after="0"/>
              <w:rPr>
                <w:sz w:val="20"/>
                <w:szCs w:val="20"/>
                <w:color w:val="auto"/>
              </w:rPr>
            </w:pPr>
            <w:r>
              <w:rPr>
                <w:rFonts w:ascii="Arial" w:cs="Arial" w:eastAsia="Arial" w:hAnsi="Arial"/>
                <w:sz w:val="18"/>
                <w:szCs w:val="18"/>
                <w:color w:val="auto"/>
                <w:w w:val="99"/>
              </w:rPr>
              <w:t>stock split of our common stock that will occur prior to the consummation of this offering;</w:t>
            </w:r>
          </w:p>
        </w:tc>
      </w:tr>
      <w:tr>
        <w:trPr>
          <w:trHeight w:val="240"/>
        </w:trPr>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tcPr>
          <w:p>
            <w:pPr>
              <w:spacing w:after="0"/>
              <w:rPr>
                <w:sz w:val="20"/>
                <w:szCs w:val="20"/>
                <w:color w:val="auto"/>
              </w:rPr>
            </w:pPr>
          </w:p>
        </w:tc>
      </w:tr>
      <w:tr>
        <w:trPr>
          <w:trHeight w:val="604"/>
        </w:trPr>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Pr>
          <w:p>
            <w:pPr>
              <w:jc w:val="right"/>
              <w:ind w:right="539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86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1186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58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 in effect prior to the consummation of this offering;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additional shares.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80" w:type="dxa"/>
            <w:vAlign w:val="bottom"/>
          </w:tcPr>
          <w:p>
            <w:pPr>
              <w:jc w:val="right"/>
              <w:ind w:right="210"/>
              <w:spacing w:after="0"/>
              <w:rPr>
                <w:sz w:val="20"/>
                <w:szCs w:val="20"/>
                <w:color w:val="auto"/>
              </w:rPr>
            </w:pPr>
            <w:r>
              <w:rPr>
                <w:rFonts w:ascii="Arial" w:cs="Arial" w:eastAsia="Arial" w:hAnsi="Arial"/>
                <w:sz w:val="18"/>
                <w:szCs w:val="18"/>
                <w:color w:val="auto"/>
                <w:w w:val="99"/>
              </w:rPr>
              <w:t>Unless otherwise indicated, this prospectus assumes an initial public offering price of $</w:t>
            </w:r>
          </w:p>
        </w:tc>
        <w:tc>
          <w:tcPr>
            <w:tcW w:w="3840" w:type="dxa"/>
            <w:vAlign w:val="bottom"/>
          </w:tcPr>
          <w:p>
            <w:pPr>
              <w:ind w:left="280"/>
              <w:spacing w:after="0"/>
              <w:rPr>
                <w:sz w:val="20"/>
                <w:szCs w:val="20"/>
                <w:color w:val="auto"/>
              </w:rPr>
            </w:pPr>
            <w:r>
              <w:rPr>
                <w:rFonts w:ascii="Arial" w:cs="Arial" w:eastAsia="Arial" w:hAnsi="Arial"/>
                <w:sz w:val="18"/>
                <w:szCs w:val="18"/>
                <w:color w:val="auto"/>
                <w:w w:val="98"/>
              </w:rPr>
              <w:t>per share (the midpoint of the price range set</w:t>
            </w:r>
          </w:p>
        </w:tc>
      </w:tr>
      <w:tr>
        <w:trPr>
          <w:trHeight w:val="230"/>
        </w:trPr>
        <w:tc>
          <w:tcPr>
            <w:tcW w:w="7180" w:type="dxa"/>
            <w:vAlign w:val="bottom"/>
          </w:tcPr>
          <w:p>
            <w:pPr>
              <w:jc w:val="right"/>
              <w:ind w:right="4210"/>
              <w:spacing w:after="0"/>
              <w:rPr>
                <w:sz w:val="20"/>
                <w:szCs w:val="20"/>
                <w:color w:val="auto"/>
              </w:rPr>
            </w:pPr>
            <w:r>
              <w:rPr>
                <w:rFonts w:ascii="Arial" w:cs="Arial" w:eastAsia="Arial" w:hAnsi="Arial"/>
                <w:sz w:val="18"/>
                <w:szCs w:val="18"/>
                <w:color w:val="auto"/>
                <w:w w:val="96"/>
              </w:rPr>
              <w:t>forth on the cover of this prospectus).</w:t>
            </w:r>
          </w:p>
        </w:tc>
        <w:tc>
          <w:tcPr>
            <w:tcW w:w="3840" w:type="dxa"/>
            <w:vAlign w:val="bottom"/>
          </w:tcPr>
          <w:p>
            <w:pPr>
              <w:spacing w:after="0"/>
              <w:rPr>
                <w:sz w:val="20"/>
                <w:szCs w:val="20"/>
                <w:color w:val="auto"/>
              </w:rPr>
            </w:pPr>
          </w:p>
        </w:tc>
      </w:tr>
      <w:tr>
        <w:trPr>
          <w:trHeight w:val="240"/>
        </w:trPr>
        <w:tc>
          <w:tcPr>
            <w:tcW w:w="7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p>
        </w:tc>
      </w:tr>
      <w:tr>
        <w:trPr>
          <w:trHeight w:val="604"/>
        </w:trPr>
        <w:tc>
          <w:tcPr>
            <w:tcW w:w="7180" w:type="dxa"/>
            <w:vAlign w:val="bottom"/>
          </w:tcPr>
          <w:p>
            <w:pPr>
              <w:jc w:val="right"/>
              <w:ind w:right="1490"/>
              <w:spacing w:after="0"/>
              <w:rPr>
                <w:sz w:val="20"/>
                <w:szCs w:val="20"/>
                <w:color w:val="auto"/>
              </w:rPr>
            </w:pPr>
            <w:r>
              <w:rPr>
                <w:rFonts w:ascii="Arial" w:cs="Arial" w:eastAsia="Arial" w:hAnsi="Arial"/>
                <w:sz w:val="18"/>
                <w:szCs w:val="18"/>
                <w:color w:val="auto"/>
              </w:rPr>
              <w:t>10</w:t>
            </w:r>
          </w:p>
        </w:tc>
        <w:tc>
          <w:tcPr>
            <w:tcW w:w="38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tables set forth our summary historical consolidated financial and other data for the periods as of the dates indicated. We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derived the summary consolidated statement of operations data and consolidated statement of cash flows data for the fiscal year ended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December 30, 2018 from the audited consolidated financial statements and related notes thereto included elsewhere in this prospectus. We derived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consolidated balance sheet data as of December 30, 2018 from the audited consolidated financial statements and related notes thereto included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elsewhere in this prospectus.</w:t>
      </w:r>
    </w:p>
    <w:p>
      <w:pPr>
        <w:spacing w:after="0" w:line="211" w:lineRule="exact"/>
        <w:rPr>
          <w:sz w:val="20"/>
          <w:szCs w:val="20"/>
          <w:color w:val="auto"/>
        </w:rPr>
      </w:pPr>
    </w:p>
    <w:p>
      <w:pPr>
        <w:ind w:left="300" w:right="280" w:firstLine="426"/>
        <w:spacing w:after="0" w:line="311" w:lineRule="auto"/>
        <w:rPr>
          <w:sz w:val="20"/>
          <w:szCs w:val="20"/>
          <w:color w:val="auto"/>
        </w:rPr>
      </w:pPr>
      <w:r>
        <w:rPr>
          <w:rFonts w:ascii="Arial" w:cs="Arial" w:eastAsia="Arial" w:hAnsi="Arial"/>
          <w:sz w:val="16"/>
          <w:szCs w:val="16"/>
          <w:color w:val="auto"/>
        </w:rPr>
        <w:t>Our historical results are not necessarily indicative of future results of operations. You should read the information set forth below together with “Selected Historical Consolidated Financial Data,” “Management’s Discussion and Analysis of Financial Condition and Results of Operations,” “Capitalization” and the audited consolidated financial statements and the related notes thereto included elsewhere in this prospectus.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Fiscal Year Ended</w:t>
            </w:r>
          </w:p>
        </w:tc>
      </w:tr>
      <w:tr>
        <w:trPr>
          <w:trHeight w:val="171"/>
        </w:trPr>
        <w:tc>
          <w:tcPr>
            <w:tcW w:w="1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30, 2018</w:t>
            </w:r>
          </w:p>
        </w:tc>
      </w:tr>
      <w:tr>
        <w:trPr>
          <w:trHeight w:val="119"/>
        </w:trPr>
        <w:tc>
          <w:tcPr>
            <w:tcW w:w="18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w w:val="96"/>
              </w:rPr>
              <w:t>(in thousands,</w:t>
            </w:r>
          </w:p>
        </w:tc>
        <w:tc>
          <w:tcPr>
            <w:tcW w:w="300" w:type="dxa"/>
            <w:vAlign w:val="bottom"/>
            <w:gridSpan w:val="2"/>
          </w:tcPr>
          <w:p>
            <w:pPr>
              <w:spacing w:after="0"/>
              <w:rPr>
                <w:sz w:val="10"/>
                <w:szCs w:val="10"/>
                <w:color w:val="auto"/>
              </w:rPr>
            </w:pPr>
          </w:p>
        </w:tc>
      </w:tr>
      <w:tr>
        <w:trPr>
          <w:trHeight w:val="148"/>
        </w:trPr>
        <w:tc>
          <w:tcPr>
            <w:tcW w:w="18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except share and</w:t>
            </w:r>
          </w:p>
        </w:tc>
      </w:tr>
      <w:tr>
        <w:trPr>
          <w:trHeight w:val="171"/>
        </w:trPr>
        <w:tc>
          <w:tcPr>
            <w:tcW w:w="1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per share data)</w:t>
            </w: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Restaurant sales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342,357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Franchise revenues</w:t>
            </w: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Restaurant operating expenses (exclusive of depreciation and amortization shown below):</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78,939</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 and other related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116,546</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ind w:left="360"/>
              <w:spacing w:after="0"/>
              <w:rPr>
                <w:sz w:val="20"/>
                <w:szCs w:val="20"/>
                <w:color w:val="auto"/>
              </w:rPr>
            </w:pPr>
            <w:r>
              <w:rPr>
                <w:rFonts w:ascii="Arial" w:cs="Arial" w:eastAsia="Arial" w:hAnsi="Arial"/>
                <w:sz w:val="18"/>
                <w:szCs w:val="18"/>
                <w:color w:val="auto"/>
              </w:rPr>
              <w:t>Other restaurant 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46,769</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36,151</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39,299</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Transaction and other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loss on disposal of assets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818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1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(16,480)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 before income tax benefit</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 and total comprehensive loss</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23"/>
        </w:trPr>
        <w:tc>
          <w:tcPr>
            <w:tcW w:w="83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loss attributable to First Watch Restaurant Group, Inc.</w:t>
            </w:r>
          </w:p>
        </w:tc>
        <w:tc>
          <w:tcPr>
            <w:tcW w:w="1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attributable to First Watch Restaurant Group, Inc. – basic and diluted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3,802,481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604"/>
        </w:trPr>
        <w:tc>
          <w:tcPr>
            <w:tcW w:w="8360" w:type="dxa"/>
            <w:vAlign w:val="bottom"/>
            <w:gridSpan w:val="2"/>
          </w:tcPr>
          <w:p>
            <w:pPr>
              <w:jc w:val="right"/>
              <w:ind w:right="2670"/>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73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72732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7"/>
          </w:tcPr>
          <w:p>
            <w:pPr>
              <w:ind w:left="4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2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30, 2018</w:t>
            </w:r>
          </w:p>
        </w:tc>
      </w:tr>
      <w:tr>
        <w:trPr>
          <w:trHeight w:val="196"/>
        </w:trPr>
        <w:tc>
          <w:tcPr>
            <w:tcW w:w="260" w:type="dxa"/>
            <w:vAlign w:val="bottom"/>
          </w:tcPr>
          <w:p>
            <w:pPr>
              <w:spacing w:after="0"/>
              <w:rPr>
                <w:sz w:val="17"/>
                <w:szCs w:val="17"/>
                <w:color w:val="auto"/>
              </w:rPr>
            </w:pPr>
          </w:p>
        </w:tc>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Consolidated Statement of Cash Flows Data </w:t>
            </w:r>
            <w:r>
              <w:rPr>
                <w:rFonts w:ascii="Arial" w:cs="Arial" w:eastAsia="Arial" w:hAnsi="Arial"/>
                <w:sz w:val="18"/>
                <w:szCs w:val="18"/>
                <w:color w:val="auto"/>
              </w:rPr>
              <w:t>(in thousands)</w:t>
            </w:r>
            <w:r>
              <w:rPr>
                <w:rFonts w:ascii="Arial" w:cs="Arial" w:eastAsia="Arial" w:hAnsi="Arial"/>
                <w:sz w:val="18"/>
                <w:szCs w:val="18"/>
                <w:b w:val="1"/>
                <w:bCs w:val="1"/>
                <w:color w:val="auto"/>
              </w:rPr>
              <w:t>:</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30,775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Investing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(51,896)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30,284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24"/>
        </w:trPr>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Restaurant sales (in thousands)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342,357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System-wide sales (in thousands)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467,491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Same-restaurant sales growth</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AUV (in millions)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System-wide restaurants at fiscal year end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Company-owned</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operated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Adjusted EBITDA (in thousands)(a)</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44,230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24"/>
        </w:trPr>
        <w:tc>
          <w:tcPr>
            <w:tcW w:w="2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SLEBITDA (in thousands)(b)</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71,461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SLEBITDA Margin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1"/>
        </w:trPr>
        <w:tc>
          <w:tcPr>
            <w:tcW w:w="2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8"/>
          </w:tcPr>
          <w:p>
            <w:pPr>
              <w:ind w:left="200"/>
              <w:spacing w:after="0"/>
              <w:rPr>
                <w:sz w:val="20"/>
                <w:szCs w:val="20"/>
                <w:color w:val="auto"/>
              </w:rPr>
            </w:pPr>
            <w:r>
              <w:rPr>
                <w:rFonts w:ascii="Arial" w:cs="Arial" w:eastAsia="Arial" w:hAnsi="Arial"/>
                <w:sz w:val="14"/>
                <w:szCs w:val="14"/>
                <w:b w:val="1"/>
                <w:bCs w:val="1"/>
                <w:color w:val="auto"/>
              </w:rPr>
              <w:t>As of December 30, 2018</w:t>
            </w:r>
          </w:p>
        </w:tc>
      </w:tr>
      <w:tr>
        <w:trPr>
          <w:trHeight w:val="142"/>
        </w:trPr>
        <w:tc>
          <w:tcPr>
            <w:tcW w:w="2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8"/>
              </w:rPr>
              <w:t>Actual</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As Adjusted(c)</w:t>
            </w:r>
          </w:p>
        </w:tc>
        <w:tc>
          <w:tcPr>
            <w:tcW w:w="60" w:type="dxa"/>
            <w:vAlign w:val="bottom"/>
          </w:tcPr>
          <w:p>
            <w:pPr>
              <w:spacing w:after="0"/>
              <w:rPr>
                <w:sz w:val="12"/>
                <w:szCs w:val="12"/>
                <w:color w:val="auto"/>
              </w:rPr>
            </w:pPr>
          </w:p>
        </w:tc>
      </w:tr>
      <w:tr>
        <w:trPr>
          <w:trHeight w:val="119"/>
        </w:trPr>
        <w:tc>
          <w:tcPr>
            <w:tcW w:w="26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(unaudited)</w:t>
            </w:r>
          </w:p>
        </w:tc>
        <w:tc>
          <w:tcPr>
            <w:tcW w:w="6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16,284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664,511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Total debt(d)</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195,396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289,837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(7,461)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374,674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720" w:right="300" w:hanging="42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 discussion of Adjusted EBITDA and Adjusted EBITDA Margin, see “Non-GAAP Financial Measures.” See below for a reconciliation of net loss, the most directly comparable GAAP measure, to Adjusted EBITDA:</w:t>
      </w:r>
    </w:p>
    <w:p>
      <w:pPr>
        <w:spacing w:after="0" w:line="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16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1"/>
              </w:rPr>
              <w:t>Fiscal Year Ended</w:t>
            </w:r>
          </w:p>
        </w:tc>
      </w:tr>
      <w:tr>
        <w:trPr>
          <w:trHeight w:val="171"/>
        </w:trPr>
        <w:tc>
          <w:tcPr>
            <w:tcW w:w="18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16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1"/>
              </w:rPr>
              <w:t>December 30, 2018</w:t>
            </w:r>
          </w:p>
        </w:tc>
      </w:tr>
      <w:tr>
        <w:trPr>
          <w:trHeight w:val="142"/>
        </w:trPr>
        <w:tc>
          <w:tcPr>
            <w:tcW w:w="1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0" w:type="dxa"/>
            <w:vAlign w:val="bottom"/>
            <w:gridSpan w:val="2"/>
          </w:tcPr>
          <w:p>
            <w:pPr>
              <w:spacing w:after="0"/>
              <w:rPr>
                <w:sz w:val="12"/>
                <w:szCs w:val="12"/>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(12,302)</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26,124</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16,480</w:t>
            </w:r>
          </w:p>
        </w:tc>
        <w:tc>
          <w:tcPr>
            <w:tcW w:w="1900" w:type="dxa"/>
            <w:vAlign w:val="bottom"/>
          </w:tcPr>
          <w:p>
            <w:pPr>
              <w:spacing w:after="0"/>
              <w:rPr>
                <w:sz w:val="18"/>
                <w:szCs w:val="18"/>
                <w:color w:val="auto"/>
              </w:rPr>
            </w:pPr>
          </w:p>
        </w:tc>
      </w:tr>
      <w:tr>
        <w:trPr>
          <w:trHeight w:val="223"/>
        </w:trPr>
        <w:tc>
          <w:tcPr>
            <w:tcW w:w="188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tax benefit</w:t>
            </w: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1900" w:type="dxa"/>
            <w:vAlign w:val="bottom"/>
          </w:tcPr>
          <w:p>
            <w:pPr>
              <w:spacing w:after="0"/>
              <w:rPr>
                <w:sz w:val="19"/>
                <w:szCs w:val="19"/>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324"/>
        </w:trPr>
        <w:tc>
          <w:tcPr>
            <w:tcW w:w="5240" w:type="dxa"/>
            <w:vAlign w:val="bottom"/>
            <w:gridSpan w:val="2"/>
          </w:tcPr>
          <w:p>
            <w:pPr>
              <w:ind w:left="1880"/>
              <w:spacing w:after="0"/>
              <w:rPr>
                <w:sz w:val="20"/>
                <w:szCs w:val="20"/>
                <w:color w:val="auto"/>
              </w:rPr>
            </w:pPr>
            <w:r>
              <w:rPr>
                <w:rFonts w:ascii="Arial" w:cs="Arial" w:eastAsia="Arial" w:hAnsi="Arial"/>
                <w:sz w:val="18"/>
                <w:szCs w:val="18"/>
                <w:color w:val="auto"/>
              </w:rPr>
              <w:t>Pre-opening expenses(1)</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expense(2)</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Strategic transition costs(3)</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expense(4)</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Transaction and other expenses(5)</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3"/>
              </w:rPr>
              <w:t>Impairment and loss on disposal of assets(6)</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Severance costs(7)</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190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Recruiting and relocation costs(8)</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1900" w:type="dxa"/>
            <w:vAlign w:val="bottom"/>
          </w:tcPr>
          <w:p>
            <w:pPr>
              <w:spacing w:after="0"/>
              <w:rPr>
                <w:sz w:val="18"/>
                <w:szCs w:val="18"/>
                <w:color w:val="auto"/>
              </w:rPr>
            </w:pPr>
          </w:p>
        </w:tc>
      </w:tr>
      <w:tr>
        <w:trPr>
          <w:trHeight w:val="223"/>
        </w:trPr>
        <w:tc>
          <w:tcPr>
            <w:tcW w:w="5240" w:type="dxa"/>
            <w:vAlign w:val="bottom"/>
            <w:gridSpan w:val="2"/>
          </w:tcPr>
          <w:p>
            <w:pPr>
              <w:ind w:left="1880"/>
              <w:spacing w:after="0"/>
              <w:rPr>
                <w:sz w:val="20"/>
                <w:szCs w:val="20"/>
                <w:color w:val="auto"/>
              </w:rPr>
            </w:pPr>
            <w:r>
              <w:rPr>
                <w:rFonts w:ascii="Arial" w:cs="Arial" w:eastAsia="Arial" w:hAnsi="Arial"/>
                <w:sz w:val="18"/>
                <w:szCs w:val="18"/>
                <w:b w:val="1"/>
                <w:bCs w:val="1"/>
                <w:color w:val="auto"/>
              </w:rPr>
              <w:t>Adjusted EBITDA</w:t>
            </w:r>
          </w:p>
        </w:tc>
        <w:tc>
          <w:tcPr>
            <w:tcW w:w="2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44,230</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34"/>
        </w:trPr>
        <w:tc>
          <w:tcPr>
            <w:tcW w:w="18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604"/>
        </w:trPr>
        <w:tc>
          <w:tcPr>
            <w:tcW w:w="18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20" w:type="dxa"/>
            <w:vAlign w:val="bottom"/>
          </w:tcPr>
          <w:p>
            <w:pPr>
              <w:jc w:val="right"/>
              <w:ind w:right="217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right="100" w:hanging="523"/>
        <w:spacing w:after="0" w:line="255"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Represents expenses directly incurred to open new restaurants, including pre-opening rent, manager salaries, recruiting expenses, employee payroll and training expenses. These expenses are recorded in other restaurant operating expenses and occupancy expenses on the consolidated statement of operations and comprehensive loss.</w:t>
      </w:r>
    </w:p>
    <w:p>
      <w:pPr>
        <w:spacing w:after="0" w:line="2" w:lineRule="exact"/>
        <w:rPr>
          <w:rFonts w:ascii="Arial" w:cs="Arial" w:eastAsia="Arial" w:hAnsi="Arial"/>
          <w:sz w:val="18"/>
          <w:szCs w:val="18"/>
          <w:color w:val="auto"/>
        </w:rPr>
      </w:pPr>
    </w:p>
    <w:p>
      <w:pPr>
        <w:ind w:left="1240" w:right="60" w:hanging="523"/>
        <w:spacing w:after="0" w:line="250"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Consists of the non-cash portion of straight-line rent expense primarily included in occupancy expenses on the consolidated statement of operations and comprehensive loss.</w:t>
      </w:r>
    </w:p>
    <w:p>
      <w:pPr>
        <w:ind w:left="1240" w:right="60" w:hanging="523"/>
        <w:spacing w:after="0" w:line="250"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Represents transition costs related to IT support and external professional service costs incurred in the assessment and redesign of our systems and processes. These costs are recorded within general and administrative expenses on the consolidated statement of operations and comprehensive loss.</w:t>
      </w:r>
    </w:p>
    <w:p>
      <w:pPr>
        <w:spacing w:after="0" w:line="1" w:lineRule="exact"/>
        <w:rPr>
          <w:rFonts w:ascii="Arial" w:cs="Arial" w:eastAsia="Arial" w:hAnsi="Arial"/>
          <w:sz w:val="18"/>
          <w:szCs w:val="18"/>
          <w:color w:val="auto"/>
        </w:rPr>
      </w:pPr>
    </w:p>
    <w:p>
      <w:pPr>
        <w:ind w:left="1240" w:hanging="523"/>
        <w:spacing w:after="0" w:line="250"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which is recorded in general and administrative expenses on the consolidated statement of operations and comprehensive loss.</w:t>
      </w:r>
    </w:p>
    <w:p>
      <w:pPr>
        <w:ind w:left="1240" w:right="420" w:hanging="523"/>
        <w:spacing w:after="0" w:line="250"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Primarily represents costs incurred in connection with the acquisition of certain restaurants, costs incurred in connection with the conversion of certain restaurants to company-owned restaurants operating under the First Watch trade name and costs related to restaurant closures.</w:t>
      </w:r>
    </w:p>
    <w:p>
      <w:pPr>
        <w:spacing w:after="0" w:line="1" w:lineRule="exact"/>
        <w:rPr>
          <w:rFonts w:ascii="Arial" w:cs="Arial" w:eastAsia="Arial" w:hAnsi="Arial"/>
          <w:sz w:val="18"/>
          <w:szCs w:val="18"/>
          <w:color w:val="auto"/>
        </w:rPr>
      </w:pPr>
    </w:p>
    <w:p>
      <w:pPr>
        <w:ind w:left="1240" w:hanging="523"/>
        <w:spacing w:after="0"/>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Primarily includes costs related to the disposal of assets due to retirements, replacements or certain restaurant closures.</w:t>
      </w:r>
    </w:p>
    <w:p>
      <w:pPr>
        <w:spacing w:after="0" w:line="9" w:lineRule="exact"/>
        <w:rPr>
          <w:rFonts w:ascii="Arial" w:cs="Arial" w:eastAsia="Arial" w:hAnsi="Arial"/>
          <w:sz w:val="18"/>
          <w:szCs w:val="18"/>
          <w:color w:val="auto"/>
        </w:rPr>
      </w:pPr>
    </w:p>
    <w:p>
      <w:pPr>
        <w:ind w:left="1240" w:right="180" w:hanging="523"/>
        <w:spacing w:after="0" w:line="250"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Severance costs are recorded in general and administrative expenses on the consolidated statement of operations and comprehensive loss.</w:t>
      </w:r>
    </w:p>
    <w:p>
      <w:pPr>
        <w:ind w:left="1240" w:right="260" w:hanging="523"/>
        <w:spacing w:after="0" w:line="323"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Represents costs incurred for hiring qualified individuals as we assessed the redesign of our systems and processes. These costs are recorded within general and administrative expenses on the consolidated statement of operations and comprehensive loss.</w:t>
      </w:r>
    </w:p>
    <w:p>
      <w:pPr>
        <w:spacing w:after="0" w:line="43" w:lineRule="exact"/>
        <w:rPr>
          <w:rFonts w:ascii="Arial" w:cs="Arial" w:eastAsia="Arial" w:hAnsi="Arial"/>
          <w:sz w:val="16"/>
          <w:szCs w:val="16"/>
          <w:color w:val="auto"/>
        </w:rPr>
      </w:pP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discussion of SLEBITDA and SLEBITDA Margin, see “Non-GAAP Financial Measures.”</w:t>
      </w:r>
    </w:p>
    <w:p>
      <w:pPr>
        <w:spacing w:after="0" w:line="11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See below for a reconciliation of income from operations, the most directly comparable GAAP measure, to SLEBITDA.</w:t>
      </w:r>
    </w:p>
    <w:p>
      <w:pPr>
        <w:spacing w:after="0" w:line="23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Franchise revenues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Pre-opening expenses(1)</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expense(2)</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Transaction and other expenses(3)</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loss on disposal of assets(4)</w:t>
            </w:r>
          </w:p>
        </w:tc>
        <w:tc>
          <w:tcPr>
            <w:tcW w:w="1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SLEBITDA</w:t>
            </w:r>
          </w:p>
        </w:tc>
        <w:tc>
          <w:tcPr>
            <w:tcW w:w="13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Franchise revenues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Restaurant sales</w:t>
            </w:r>
          </w:p>
        </w:tc>
        <w:tc>
          <w:tcPr>
            <w:tcW w:w="14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SLEBITDA Margin</w:t>
            </w: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240" w:right="40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expenses directly incurred to open new restaurants, including pre-opening rent, manager salaries, recruiting expenses, employee payroll and training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09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009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hanging="523"/>
        <w:spacing w:after="0" w:line="258"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the non-cash portion of straight-line rent expense primarily included in occupancy expenses on the consolidated statement of operations and comprehensive loss.</w:t>
      </w:r>
    </w:p>
    <w:p>
      <w:pPr>
        <w:spacing w:after="0" w:line="1" w:lineRule="exact"/>
        <w:rPr>
          <w:rFonts w:ascii="Arial" w:cs="Arial" w:eastAsia="Arial" w:hAnsi="Arial"/>
          <w:sz w:val="18"/>
          <w:szCs w:val="18"/>
          <w:color w:val="auto"/>
        </w:rPr>
      </w:pPr>
    </w:p>
    <w:p>
      <w:pPr>
        <w:ind w:left="1240" w:right="40" w:hanging="523"/>
        <w:spacing w:after="0" w:line="250"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represents costs incurred in connection with the acquisition of certain franchised restaurants, costs incurred in connection with the conversion of certain restaurants to company-owned restaurants operating under the First Watch trade name and costs related to restaurant closures.</w:t>
      </w:r>
    </w:p>
    <w:p>
      <w:pPr>
        <w:spacing w:after="0" w:line="1" w:lineRule="exact"/>
        <w:rPr>
          <w:rFonts w:ascii="Arial" w:cs="Arial" w:eastAsia="Arial" w:hAnsi="Arial"/>
          <w:sz w:val="18"/>
          <w:szCs w:val="18"/>
          <w:color w:val="auto"/>
        </w:rPr>
      </w:pPr>
    </w:p>
    <w:p>
      <w:pPr>
        <w:ind w:left="1240" w:hanging="52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includes costs related to the disposal of assets due to retirements, replacements or certain restaurant closures.</w:t>
      </w:r>
    </w:p>
    <w:p>
      <w:pPr>
        <w:spacing w:after="0" w:line="116" w:lineRule="exact"/>
        <w:rPr>
          <w:sz w:val="20"/>
          <w:szCs w:val="20"/>
          <w:color w:val="auto"/>
        </w:rPr>
      </w:pPr>
    </w:p>
    <w:p>
      <w:pPr>
        <w:ind w:left="720" w:hanging="419"/>
        <w:spacing w:after="0" w:line="274" w:lineRule="auto"/>
        <w:tabs>
          <w:tab w:leader="none" w:pos="700" w:val="left"/>
        </w:tabs>
        <w:rPr>
          <w:sz w:val="20"/>
          <w:szCs w:val="20"/>
          <w:color w:val="auto"/>
        </w:rPr>
      </w:pPr>
      <w:r>
        <w:rPr>
          <w:rFonts w:ascii="Arial" w:cs="Arial" w:eastAsia="Arial" w:hAnsi="Arial"/>
          <w:sz w:val="17"/>
          <w:szCs w:val="17"/>
          <w:color w:val="auto"/>
        </w:rPr>
        <w:t>(c)</w:t>
        <w:tab/>
        <w:t>We present certain information on an as adjusted basis to give further effect to (i) the sale by us of shares of our common stock in this offering, assuming no exercise of the underwriters’ option to purchase additional shares, at an assumed initial public offering price of</w:t>
      </w:r>
    </w:p>
    <w:p>
      <w:pPr>
        <w:ind w:left="720" w:right="200"/>
        <w:spacing w:after="0" w:line="250" w:lineRule="auto"/>
        <w:rPr>
          <w:sz w:val="20"/>
          <w:szCs w:val="20"/>
          <w:color w:val="auto"/>
        </w:rPr>
      </w:pPr>
      <w:r>
        <w:rPr>
          <w:rFonts w:ascii="Arial" w:cs="Arial" w:eastAsia="Arial" w:hAnsi="Arial"/>
          <w:sz w:val="18"/>
          <w:szCs w:val="18"/>
          <w:color w:val="auto"/>
        </w:rPr>
        <w:t>$ per share (the midpoint of the estimated public offering price range set forth on the cover page of this prospectus), less estimated underwriting discounts and commissions and estimated expenses, and (ii) the application of the net proceeds to be received by us from this offering as described in “Use of Proceeds.”</w:t>
      </w:r>
    </w:p>
    <w:p>
      <w:pPr>
        <w:spacing w:after="0" w:line="1"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debt excludes unamortized debt discount and deferred issuance costs.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common stock. The occurrence of any of the following risks could materially and adversely affect our business, prospects, financial condition, results of operations and cash flow, in which case the trading price of our common stock could decline and you could lose all or part of your investment.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economic conditions and consumer preferences that could have a material adverse effect on our business, financial condition and results of operations.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restaurants in particular. Adverse changes in any of these factors could reduce consumer traffic or impose practical limits on pricing that could have a material adverse effect on our business, financial condition and results of operations. There can also be no assurance that consumers will continue to regard our menu offerings favorably, that we will be able to develop new menu items that appeal to consumer preferences or that there will not be a drop in consumer demands for restaurant dining during breakfast and lunch dayparts. Restaurant traffic and our resulting sales depend in part on our ability to anticipate, identify and respond to changing consumer preferences and economic conditions. In addition, the restaurant industry is subject to scrutiny, resulting from the perception that the practices of restaurant companies have contributed to poor nutrition, high caloric intake, obesity or other health concerns of their customers. If we are unable to adapt to changes in consumer preferences and trends, we may lose customers, which could have a material adverse effect on our business, financial condition and results of operations.</w:t>
      </w:r>
    </w:p>
    <w:p>
      <w:pPr>
        <w:spacing w:after="0" w:line="17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laws and regulations affecting permissible ingredients and menu items. A number of counties, cities and states have enacted menu labeling laws requiring multi-unit restaurant operators to disclose to consumers certain nutritional information, or have enacted legislation restricting the use of certain types of ingredients in restaurants. An unfavorable report on, or reaction to, our menu ingredients, the size of our portions or the nutritional content of our menu items could negatively influence the demand for our menu offerings.</w:t>
      </w:r>
    </w:p>
    <w:p>
      <w:pPr>
        <w:spacing w:after="0" w:line="19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Compliance with current and future laws and regulations regarding the ingredients and nutritional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An important aspect of our growth strategy involves opening new restaurants in existing and new markets. We may be unsuccessful in opening new restaurants or establishing new markets and our new restaurants may not perform as well as anticipated, which could have a material adverse effect on our business, financial condition and results of operations.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key part of our growth strategy includes opening new restaurants in existing and new markets and operating those restaurants on a profitable</w:t>
      </w:r>
    </w:p>
    <w:p>
      <w:pPr>
        <w:spacing w:after="0" w:line="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basis. We opened 38 new company-owned restaurants in fiscal 2019 and plan to open company-owned restaurants over . Our franchisees opened 18 new franchise-operated restaurants in fiscal 2019. We must identify target markets where we can enter or expand, and we may not be able to open our planned new restaurants within budget or on a timely basis, and our new restaurants may not perform as well as anticipated. Our and our franchisees’ ability to successfully open new restaurants is affected by a number of factors, many of which are beyond our control, including our and our franchisees’ ability to:</w:t>
      </w:r>
    </w:p>
    <w:p>
      <w:pPr>
        <w:spacing w:after="0" w:line="9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restaurant sites;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develop and operate new restaurants, including construction and opening costs, which includes access to leases and equipment leases at favorable interest and capitalization rates;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our selected restaurant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mitigate the impact of inclement weather, natural disasters and other calamities on the development of restaurant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 of new restaurants;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 and respond effectively to any changes in local, state or federal law and regulations that adversely affect our and our franchisees’ costs or ability to open new restaurants;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respond to construction and equipment cost increases for new restaurants.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There is no guarantee that a sufficient number of suitable restaurant sites will be available in desirable areas or on terms that are acceptable to us in order to achieve our growth plan. If we are unable to open new restaurants, or if planned restaurant openings are significantly delayed, it could have a material adverse effect on our business, financial condition and results of operations.</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As part of our long-term growth strategy, we may open restaurants in geographic markets in which we have little or no prior operating experience. Our system-wide restaurant base is geographically concentrated in the Southeastern United States, and we may encounter new challenges as we enter new markets. The challenges of entering new markets include: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company-owned and franchised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manage our growth effectively could harm our business and results of operations.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growth plan includes opening new restaurants. Our existing restaurant management systems, financial and management controls and information systems may be inadequate to support our planned expansion. Managing our growth effectively will require us to continue to enhance these systems, procedures and controls and to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Opening new restaurants in existing markets may negatively impact sales at our and our franchisees’ existing restaurants.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consumer target area of our and our franchisees’ restaurants varies by location, depending on a number of factors, including population density, other local retail and business attractions, area demographics and geography. As a result, if we open new restaurants in or near markets in which we or our franchisees’ already have restaurants, it could have a material adverse effect on sales at these existing restaurants. Existing restaurants could also make it more difficult to build our and our franchisees’ consumer base for a new restaurant in the same market. Our core business strategy does not entail opening new restaurants that we believe will materially affect sales at our or our franchisees’ existing restaurants over the long term. However, due to brand recognition and logistical synergies, as part of our growth strategy, we also intend to open new restaurants in areas where we have existing restaurants. This could have a material adverse effect on the results of operations and same- restaurant sales growth for our restaurants in such markets due to the close proximity with our other restaurants and market saturation. Sales cannibalization between our restaurants may become significant in the future as we continue to open new restaurants and could affect our sales growth, which could, in turn, have a material adverse effect on our business, financial condition and results of operations.</w:t>
      </w:r>
    </w:p>
    <w:p>
      <w:pPr>
        <w:spacing w:after="0" w:line="29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 decline in visitors to any of the retail centers, lifestyle centers, or entertainment centers where our restaurants are located could negatively affect our restaurant sales.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Our restaurants are primarily located in high-activity trade areas that often contain retail centers, lifestyle centers, and entertainment centers. We depend on high visitor rates in these trade areas to attract customers to our restaurants. Factors that may result in declining visitor rates at these locations include economic or political conditions, anchor tenants closing in retail centers in which we operate, changes in consumer preferences or shopping patterns, changes in discretionary consumer spending, increasing petroleum prices, or other factors. A decline in traffic at these locations for a sustained period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same-restaurant sales growth may be lower than we expect in future periods.</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Same-restaurant sales growth will continue to be a critical factor affecting our ability to generate profits because the profit margin on same-restaurant sales growth is generally higher than the profit margin on new restaurant sales. Our ability to increase same-restaurant sales growth depends in part on our ability to successfully implement our initiatives to build sales. It is possible such initiatives will not be successful, that we will not achieve our target same-restaurant sales growth or that the change in same-restaurant sales growth could be negative, which may cause a decrease in sales growth and ability to achieve profitability. This could have a material adverse effect on our business, financial condition and results of operations.</w:t>
      </w:r>
    </w:p>
    <w:p>
      <w:pPr>
        <w:spacing w:after="0" w:line="26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Our marketing programs and our limited time new offerings may not be successful and could fail to meet expectations, and our new menu items, advertising campaigns and restaurant designs and remodels may not generate increased sales or profits.</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incur costs and expend other resources in our marketing efforts on new and seasonal menu items, advertising campaigns and restaurant designs and remodels to raise brand awareness and attract and retain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customers.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Additionally, our limited time menu offerings, which we offer as a key part of our promotional activities from time to time, may not perform as anticipated, which could have an adverse impact on our results of operations for the related period. If these initiatives are not successful, it could result in us incurring expenses without the benefit of higher revenues, which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the cost of food could have a material adverse effect on our business, financial condition and results of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profitability depends in part on our ability to anticipate and react to changes in the cost of sales, including, among other things, pork, coffee, eggs, avocados, potatoes, bread, cheese, fresh fruit and produce items. We are susceptible to increases in the cost of food as a result of factors beyond our control, such as freight and delivery charges, general economic conditions, seasonal economic fluctuations, weather conditions, global demand, food safety concerns, infectious diseases, fluctuations in the U.S. dollar, tariffs and import taxes, product recalls and government regulations. Dependence on frequent deliveries of fresh produce and other food products subjects our business to the risk that shortages or interruptions in supply could adversely affect the availability, quality or cost of ingredients or require us to incur additional costs to obtain adequate supplies. Deliveries of supplies may be affected by adverse weather conditions, natural disasters, labor shortages, or financial or solvency issues of our distributors or suppliers, product recalls or other issues. Further, increases in fuel prices could result in increased distribution costs. In addition, a material adverse effect on our business, financial condition and results of operations could occur if any of our distributors, suppliers, vendors, or other contractors fail to meet our quality or safety standards or otherwise do not perform adequately, or if any one or more of them seeks to terminate its agreement or fails to perform as anticipated, or if there is any disruption in any of our distribution or supply relationships or operations for any reason.</w:t>
      </w:r>
    </w:p>
    <w:p>
      <w:pPr>
        <w:spacing w:after="0" w:line="17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Weather related issues, such as freezes or drought, may lead to temporary price increases for some ingredients such as produce or meats. Increases in the prices of the ingredients most critical to our menu, such as pork, coffee, eggs, avocados, potatoes and bread, could have a material adverse effect on our business, financial condition and results of operations. Changes in the cost of ingredients can result from a number of factors, including seasonality, increases in the cost of grain, disease and viruses and other factors that affect availability and greater international demand for domestic pork products. In the event of cost increases with respect to one or more of our raw ingredients, we may choose to temporarily suspend or permanently discontinue serving menu items rather than paying the increased cost for the ingredients. Any such changes to our available menu could negatively impact our restaurant traffic, business and same-restaurant sales growth during the shortage and thereafter. While future cost increases can be partially offset by increasing menu prices, there can be no assurance that we will be able to offset future cost increases by increasing menu prices. If we or our franchisees implement menu prices increases, there can be no assurance that increased menu prices will be fully absorbed by our customers without any resulting change to their visit frequencies or purchasing patterns. Competitive conditions may limit our menu pricing flexibility and if we or our franchisees implement menu price increases to protect our margins, restaurant traffic could be materially adversely affected, at both company-owned and franchised restaurants.</w:t>
      </w:r>
    </w:p>
    <w:p>
      <w:pPr>
        <w:spacing w:after="0" w:line="2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Food safety and quality concerns may negatively impact our business and profitability, our internal operational controls and standards may not always be met and our employees may not always act professionally, responsibly and in our and our customers’ best interests. Any possible instances of food-borne illness could reduce our restaurant sales.</w:t>
      </w:r>
    </w:p>
    <w:p>
      <w:pPr>
        <w:spacing w:after="0" w:line="7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Food safety is a top priority, and we dedicate substantial resources to help ensure that our customers enjoy safe, quality food products. However, food-borne illnesses and other food safety issues have occurred in the food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industry in the past, and could occur in the future. Incidents or reports of food-borne or water-borne illness or other food safety issues, food contamination or tampering, employee hygiene and cleanliness failures or improper employee conduct at our restaurants could lead to product liability or other claims. Such incidents or reports could negatively affect our brand and reputation and could have a material adverse effect on our business, financial condition and results of operations. Similar incidents or reports occurring at competitors in our industry unrelated to us could likewise create negative publicity, which could negatively impact consumer behavior towards us.</w:t>
      </w:r>
    </w:p>
    <w:p>
      <w:pPr>
        <w:spacing w:after="0" w:line="1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cannot guarantee to consumers that our food safety controls, procedures and training will be fully effective in preventing all food safety issues at our restaurants, including any occurrences of pathogens (i.e., Ebola, “mad cow disease,” “SARS,” “swine flu,” Zika virus, avian influenza, hepatitis A, porcine epidemic diarrhea virus, norovirus or other virus), bacteria (i.e., salmonella, listeria or E.coli), parasites or other toxins infecting our food supply. In addition, there is no guarantee that our restaurant locations will maintain the high levels of internal controls and training we require at our restaurants. Furthermore, our reliance on third-party food processors makes it difficult to monitor food safety compliance and may increase the risk that food-borne illness would affect multiple locations rather than single restaurants. Some food-borne illness incidents could be caused by third-party food suppliers and transporters outside of our control, and may affect multiple restaurant locations as a result. We cannot assure that all food items will be properly maintained during transport throughout the supply chain and that our employees will identify all products that may be spoiled and should not be used in our restaurants. The risk of food-borne illness may also increase whenever our menu items are served outside of our control, such as by third-party food delivery services, customer take out or at catered events. New illnesses resistant to our current precautions may develop in the future, or diseases with long incubation periods could arise, that could give rise to claims or allegations on a retroactive basis. One or more instances of food-borne illness in one of our company-owned or franchised restaurants could negatively affect sales at all our restaurants if highly publicized, such as on national media outlets or through social media, especially due to the geographic concentration of many of our restaurants. This risk exists even if it were later determined that the illness was wrongly attributed to one of our restaurants.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17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Finally, although we have followed industry standard food safety protocols in the past and have endeavored to continually enhance our food safety procedures to ensure that our food is as safe as it can possibly be, we may still be at a higher risk for food-borne illness occurrences than some competitors due to our greater use of fresh, unprocessed produce and meats, our reliance on employees cooking with traditional methods rather than automation, and our avoidance of frozen ingredients.</w:t>
      </w:r>
    </w:p>
    <w:p>
      <w:pPr>
        <w:spacing w:after="0" w:line="29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New restaurants may not be profitable or may close, and the performance of our restaurants that we have experienced in the past may not be indicative of future results.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Some of our restaurants open with an initial start-up period of higher or lower than normal sales volumes. Our SLEBITDA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AUV and same-restaurant sales growth may not increase at the rates our existing restaurants have achieved over the past several years. Our ability to operate new restaurants profitably and increase AUV and same-restaurant sales growth will depend on many factors, some of which are beyond our control, including:</w:t>
      </w:r>
    </w:p>
    <w:p>
      <w:pPr>
        <w:spacing w:after="0" w:line="67"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awareness and understanding of our brand;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which can affect restaurant traffic, local labor costs and prices we pay for the food products and other supplies we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consumption patterns and food preferences that may differ from region to region;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preferences and discretionary spending;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obtaining or maintaining adequate relationships with distributors or suppliers in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prices for commodities;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inefficiency in our labor costs as the staff gains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either from our competitors in the restaurant industry or our own restaurants;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temporary and permanent site characteristics of new restaurants;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unanticipated increases in costs, any of which could give rise to delays or cost overruns.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292"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We face significant competition for customers, and our inability to compete effectively may affect our traffic, our sales and our operating profit margins, which could have a material adverse effect on our business, financial condition and results of operations.</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Any inability to successfully compete with the restaurants in our existing or new markets will place downward pressure on our customer traffic and could have a material adverse effect on our business, financial condition and results of operations.</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continued success also depends in part on the continued popularity of our menu and the experience we offer customers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Additionally, some of our competitors have greater financial resources, which enable them to spend significantly more on marketing and advertising and other initiatives than we are able to. Should our competitors increase spending on marketing and advertising and other initiatives or our marketing expenditures decrease for any reason, or should our advertising, promotions, new menu items and restaurant designs and locations be less effective than our competitors, it could have a material adverse effect on our business, financial condition and results of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financial performance of our franchisees can have a material adverse effect on our business, financial condition and results of operations.</w:t>
      </w:r>
    </w:p>
    <w:p>
      <w:pPr>
        <w:spacing w:after="0" w:line="140"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As 19% of our restaurants were franchised as of December 29, 2019, our results of operations are dependent in part upon the operational and financial success of our franchisees. We receive royalties, franchise fees and contributions to a system fund used for advertising from our franchisees. We have limited control over how our franchisees’ businesses are run, and our franchisees may not comply with our established operational standards and guidelines. While we are responsible for ensuring the success of our system-wide restaurants and for taking a long-term view with respect to system-wide improvements, our franchisees have individual business strategies and objectives, which may conflict with our interests. Our franchisees may not be able to secure adequate financing to open or continue operating their restaurants. If they incur too much debt or if economic or sales trends deteriorate such that they are unable to repay existing debt, our franchisees could experience financial distress or even bankruptcy. If a significant number of franchisees become financially distressed or close their restaurants, it could result in reduced franchise revenues, which could have a material adverse effect on our business, financial condition and results of operations.</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material adverse effect on our business, financial condition and results of operations.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Franchisees are independent business operators and are not our employees, and we do not exercise control over the day-to-day operations of the franchised restaurants. We provide training and support to franchisees, and set and monitor operational standards and guidelines, however, because we do not have day-to-day control over the franchisees, we cannot give assurance that the franchisees operate restaurants in a manner consistent with our standards, guidelines and requirements, or hire and train qualified managers and other restaurant personnel. If franchisees do not operate to our expectations, our image and reputation, and the image and reputation of other franchisees, may suffer, which could have a material adverse effect on our business, financial condition and results of operations.</w:t>
      </w:r>
    </w:p>
    <w:p>
      <w:pPr>
        <w:spacing w:after="0" w:line="30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are unable to maintain good relationships with our franchisees, revenues could decrease and we may be unable to expand our presence in certain markets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franchisees pay us fees pursuant to our franchise agreements. The viability of our franchise business depends on our ability to maintain good relationships with our franchisees. If we are unable to maintain good relationships with our franchisees, we may be unable to renew franchise agreements, which would result in a decrease in our franchise revenues and our presence in certain markets, which could have a material adverse effect on our business, financial condition and results of operations.</w:t>
      </w:r>
    </w:p>
    <w:p>
      <w:pPr>
        <w:spacing w:after="0" w:line="29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interests of our franchisees may conflict with ours or yours in the future and we could face liability from our franchisees or related to our relationship with our franchisees.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Franchisees, as independent business operators, may from time to time disagree with us on our strategies regarding the business or our interpretation of our respective rights and obligations under the franchise agreement and the terms and conditions of the franchisee/franchisor relationship. In addition, franchise agreements require us and our franchisees to comply with operational and performance conditions that are subject to interpretation and could result in disagreements. As a result, at any given time, we may be in disputes with one or more of our franchisees. Such disputes may result in legal action against us. To the extent we have such disputes, the attention, time and financial resources of our management and our franchisees will be diverted from our company-owned restaurants, which could, even if we prevail, have a material adverse effect on our business, financial condition and results of operations.</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various state and federal laws govern our relationship with our franchisees. A franchisee and/or a government agency may bring legal action against us based on the franchisee/franchisor relationship that could result in the award of damages to franchisees and/or the imposition of fines or other penalties against 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system-wide restaurant base is geographically concentrated in the Southeastern United States, and we could be negatively affected by conditions specific to that region.</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restaurants in the Southeastern United States represented approximately 39% of our system-wide restaurants as of December 29, 2019. Our restaurants in Florida represented approximately 25% of our system-wide restaurants as of December 29, 2019. Adverse changes in demographic, unemployment, economic, regulatory or weather conditions in the Southeastern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161"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In addition, our competitors could open additional restaurants in the Southeastern United States, which could result in reduced market share for us in this key geographic region, which could have a material adverse effect on our business, financial condition and results of operations.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Damage to our reputation and negative publicity could have a material adverse effect on our business, financial condition and results of operations.</w:t>
      </w:r>
    </w:p>
    <w:p>
      <w:pPr>
        <w:spacing w:after="0" w:line="152"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Our reputation and the quality of our brand are critical to our business and success in existing markets, and will be critical to our success as we enter into new markets. Any incident that erodes consumer loyalty for our brand could significantly reduce its value and damage our business. We may be adversely affected by negative publicity relating to food quality, the safety, sanitation and welfare of our restaurant facilities, customer complaints or litigation alleging illness or injury, health inspection scores, integrity of our or our suppliers’ food processing and other policies, practices and procedures, employee relationships and welfare or other matters at one or more of our restaurants. In addition, incidents of restaurant commentary has increased dramatically with the proliferation of social media platforms. Negative publicity may adversely affect us, regardless of whether the allegations are valid or whether we are held to be responsible. In addition, the negative impact of adverse publicity may extend far beyond the restaurant involved, especially due to the high geographic concentration of many of our restaurants, and affect some or all our other restaurants, including our franchised restaurants. For example, we, or other restaurant companies generally, could come under criticism from animal rights and welfare activists for our business practices or those of our suppliers. Such criticisms could impair our brand, our restaurant sales, our hiring, our expansion plans, and the performance of our franchisees. If we changed our practices because of concerns about animal welfare, or in response to such criticisms, our costs might increase, or we may have to change our suppliers or our menu. The risk of negative publicity is particularly great with respect to our franchised restaurants because we are limited in the manner in which we can regulate them, especially on a real-time basis and negative publicity from our franchised restaurants may also significantly impact company-owned restaurants. A similar risk exists with respect to food service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have a material adverse effect on our business, financial condition and results of operations.</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inability or failure to recognize, respond to and effectively manage the accelerated impact of social media could have a material adverse effect on our business, financial condition or results of operations.</w:t>
      </w:r>
    </w:p>
    <w:p>
      <w:pPr>
        <w:spacing w:after="0" w:line="6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Our marketing efforts rely heavily on the use of social media. In recent years, there has been a marked increase in the use of social media platforms, including weblogs (blogs), mini-blogs, chat platforms, social media websites, and other forms of Internet-based communications which allow individuals access to a broad audience of consumers and other interested persons. Many of our competitors are expanding their use of social media,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new social media platforms are rapidly being developed, potentially making more traditional social media platforms obsolete. As a result, we need to continuously innovate and develop our social media strategies in order to maintain broad appeal with customers and brand relevance.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our website or social media platforms and may be adverse to our reputation or business. This harm may be immediate, without affording us an opportunity for redress or correction.</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laws and regulations rapidly evolve to govern the use of these platforms and devices, the failure by us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results of operations. 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w:t>
      </w:r>
    </w:p>
    <w:p>
      <w:pPr>
        <w:spacing w:after="0" w:line="26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3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have a limited number of suppliers and distributors for many of our ingredients. As of December 29, 2019, we purchased 100% of our pork from two suppliers, 100% of our eggs from two suppliers and 80% of our avocados from one supplier. We also purchased 100% of our coffee from one supplier. Due to this concentration of suppliers and distributors, the cancellation of our supply arrangements with these suppliers or the disruption, delay or inability of these suppliers to deliver these major products to our restaurants due to problems in production or distribution, inclement weather, unanticipated demand or other conditions may materially and adversely affect our results of operations while we establish alternative distribution channels. In addition, we do not control the businesses of our suppliers and our efforts to monitor the standards by which they perform may not be successful. If our suppliers fail to comply with food safety or other laws and regulations, or face allegations of non-compliance, their operations may be disrupted. If that were to occur, we may not be able to find replacement suppliers on commercially reasonable terms or a timely basis, if at all.</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Accordingly, although we believe that alternative supply and distribution sources are available, there can be no assurance that we will continue to be able to identify or negotiate with such sources on terms that are commercially reasonable to us. If our suppliers or distributors are unable to fulfill their obligations under their contracts or we are unable to identify alternative sources, we could encounter supply shortages and incur higher costs, each of which could have a material adverse effect on our business, financial condition and results of operations.</w:t>
      </w:r>
    </w:p>
    <w:p>
      <w:pPr>
        <w:spacing w:after="0" w:line="27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which could fail to detect material misstatements of our financial statements or could fail to prevent fraud. If our remediation of the material weaknesses is not effective, or if we otherwise fail to maintain an effective system of internal controls over financial reporting in the future, we may not be able to accurately or timely report our financial condition or results of operations, which, in turn, could negatively impact the market value of our common stock.</w:t>
      </w:r>
    </w:p>
    <w:p>
      <w:pPr>
        <w:spacing w:after="0" w:line="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becoming a public company, we will be required to comply with Section 404 of the Sarbanes-Oxley Act (“Section 404”), which will require management to certify financial and other information in our quarterly and annual reports and provide an annual management report on the effectiveness of our internal control over financial reporting commencing with our second annual report after this offering. In addition, under Section 404 our independent registered public accounting firm will also need to attest to the effectiveness of our internal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control over financial in the future to the extent that we are no longer an emerging growth company or a smaller reporting company. To achieve compliance with Section 404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connection with the audit of our consolidated financial statements for fiscal 2018, we identified material weaknesses in our internal control over financial reporting. The material weaknesses we identified were as follows:</w:t>
      </w:r>
    </w:p>
    <w:p>
      <w:pPr>
        <w:spacing w:after="0" w:line="170" w:lineRule="exact"/>
        <w:rPr>
          <w:sz w:val="20"/>
          <w:szCs w:val="20"/>
          <w:color w:val="auto"/>
        </w:rPr>
      </w:pPr>
    </w:p>
    <w:p>
      <w:pPr>
        <w:ind w:left="560" w:right="60" w:firstLine="423"/>
        <w:spacing w:after="0" w:line="255" w:lineRule="auto"/>
        <w:rPr>
          <w:sz w:val="20"/>
          <w:szCs w:val="20"/>
          <w:color w:val="auto"/>
        </w:rPr>
      </w:pPr>
      <w:r>
        <w:rPr>
          <w:rFonts w:ascii="Arial" w:cs="Arial" w:eastAsia="Arial" w:hAnsi="Arial"/>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w:t>
      </w:r>
    </w:p>
    <w:p>
      <w:pPr>
        <w:spacing w:after="0" w:line="98" w:lineRule="exact"/>
        <w:rPr>
          <w:sz w:val="20"/>
          <w:szCs w:val="20"/>
          <w:color w:val="auto"/>
        </w:rPr>
      </w:pPr>
    </w:p>
    <w:p>
      <w:pPr>
        <w:ind w:left="1080" w:right="4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financial statements. This material weakness resulted in adjustments to accruals and within the statement of cash flows which were recorded prior to the issuance of our fiscal 2018 financial statements.</w:t>
      </w:r>
    </w:p>
    <w:p>
      <w:pPr>
        <w:spacing w:after="0" w:line="92"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which were recorded prior to the issuance of our fiscal 2018 financial statements.</w:t>
      </w:r>
    </w:p>
    <w:p>
      <w:pPr>
        <w:spacing w:after="0" w:line="70" w:lineRule="exact"/>
        <w:rPr>
          <w:rFonts w:ascii="Arial" w:cs="Arial" w:eastAsia="Arial" w:hAnsi="Arial"/>
          <w:sz w:val="17"/>
          <w:szCs w:val="17"/>
          <w:color w:val="auto"/>
        </w:rPr>
      </w:pPr>
    </w:p>
    <w:p>
      <w:pPr>
        <w:ind w:left="1080" w:right="40" w:hanging="424"/>
        <w:spacing w:after="0" w:line="289"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general controls for information systems and applications that are relevant to the preparation of the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 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Management determined that, in the aggregate, these information technology deficiencies could result in financial misstatements occurring without prevention or detection.</w:t>
      </w:r>
    </w:p>
    <w:p>
      <w:pPr>
        <w:spacing w:after="0" w:line="166"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Each of the aforementioned material weaknesses could result in a misstatement of the financial statements that would result in a material misstatement to the financial statements that would not be prevented or detected.</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in the process of implementing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personnel, evaluating our financial and information technology control environments and augmenting our internal controls with new accounting policies and procedures, financial reporting controls and information technology general controls.</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While we believe that these measures will improve our internal control over financial reporting, the implementation of these measures is ongoing, and we cannot assure you that we will be successful in doing so or that these measures will significantly improve or remediate the material weaknesses described above.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We also cannot assure you that there will not be any additional material weaknesses in our internal controls over financial reporting in the future</w:t>
      </w:r>
    </w:p>
    <w:p>
      <w:pPr>
        <w:spacing w:after="0" w:line="16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may not be able to remediate any material weaknesses in time to meet the deadline imposed by the Sarbanes-Oxley Act for compliance with the requirements of Section 404(a) thereof. The failure to achieve and maintain an effective internal control environment could have a material adverse effect on our business, financial condition and results of operations. In the event that we are not able to successfully remediate the existing material weaknesses in our internal control over financial reporting or demonstrate compliance with Section 404, or if our internal control over financial reporting is perceived as inadequate or it is perceived that we are unable to produce timely or accurate consolidated financial statements, investors may lose confidence in our results of operations, the price of our common stock could decline, we could become subject to investigations by the stock exchange on which our common stock is listed, the SEC or other regulatory agencies, which could require addition financial and management resources, or our common stock may not be able to remain listed on such exchange.</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Information technology system failures or breaches of our network security could interrupt our operations and have a material adverse effect on our business, financial condition and results of operations.</w:t>
      </w:r>
    </w:p>
    <w:p>
      <w:pPr>
        <w:spacing w:after="0" w:line="6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and our franchisees rely heavily on our computer systems and network infrastructure across our operations, including point-of-sale processing at our restaurants, for management of our supply chain, accounting, payment of obligations, collection of cash, credit and debit card transactions and other processes and procedures. Our ability to efficiently and effectively manage our business depends significantly on the reliability and capacity of these systems. Our and our franchisees’ operations depend upon our and our franchisees’ ability to protect our computer equipment and systems against damage from physical theft, fire, power loss, telecommunications failure or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or our franchisees to litigation or to actions by regulatory authorities.</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continuing to expand, upgrade and develop our information technology capabilities, including the implementation of a new credit card processing system. If we are unable to successfully upgrade or expand our technological capabilities, we may not be able to take advantage of market opportunities, manage our costs and transactional data effectively, satisfy customer requirements, execute our business plan or respond to competitive pressures. Additionally, unforeseen problems with our point-of-sale system or our credit card processing system may affect our operational abilities and internal controls and we may incur additional costs in connection with such upgrades and expansion.</w:t>
      </w:r>
    </w:p>
    <w:p>
      <w:pPr>
        <w:spacing w:after="0" w:line="284"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b w:val="1"/>
          <w:bCs w:val="1"/>
          <w:i w:val="1"/>
          <w:iCs w:val="1"/>
          <w:color w:val="auto"/>
        </w:rPr>
        <w:t>Failure to comply with federal and state laws and regulations relating to privacy, data protection, advertising and consumer protection, or the expansion of current or the enactment of new laws or regulations relating to privacy, data protection, advertising and consumer protection, could have a material adverse effect on our business, financial condition and results of operations.</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business requires the collection, transmission and retention of large volumes of customer and employee data, including credit and debit card numbers and other personally identifiable information, in various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information technology systems that we maintain and in those maintained by our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spacing w:after="0" w:line="18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 A variety of federal and state laws and regulations govern the collection, use, retention, sharing and security of consumer data, particularly in the context of digital marketing which we rely upon to attract new customers.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Laws and regulations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Any failure, or perceived failure, by us to comply with our posted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could hurt our reputation, brand and business, force us to incur significant expenses in defense of such proceedings or actions, distract our management, increase our costs of doing business, result in a loss of customers, suppliers or vendors and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18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18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various federal and state legislative and regulatory bodies, or self-regulatory organizations, may expand current laws or regulations, enact new laws or regulations or issue revised rules or guidance regarding privacy, data protection, consumer protection, and advertising. Additionally, the Federal Trade Commission (the “FTC”) and many state attorneys general are interpreting federal and state consumer protection laws to impose standards for the online collection, use, dissemination and security of data. 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addition, any such changes could compromise our ability to develop an adequate marketing strategy and pursue our growth strategy effectively, which, in turn, could have a material adverse effect on our business, financial condition and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Our gift cards, which may be used to purchase food and beverages in our restaurants, may be considered stored value cards by certain states in accordance with their abandoned and unclaimed property laws. These laws could require a company to remit to the state cash in an amount equal to all or a designated portion of the unredeemed balance on the gift cards based on certain card attributes and the length of time that the cards are inactive; however, we are not required to remit any amounts relating to unredeemed gift cards to states as that obligation has been assumed by the third party issuer of the gift cards. We recognize income from unredeemed cards when we determine that the likelihood of the cards being redeemed is remote and that recognition is appropriate based on governing state statutes.</w:t>
      </w:r>
    </w:p>
    <w:p>
      <w:pPr>
        <w:spacing w:after="0" w:line="178"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16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Additionally, we rely on third-party service providers to administer aspects of our gift cards. Any failure on the part of this service provider to fulfill their contract in a way that adversely effects the use or purchase of our gift cards could result in a material adverse effect on our business, financial condition and results of operations.</w:t>
      </w:r>
    </w:p>
    <w:p>
      <w:pPr>
        <w:spacing w:after="0" w:line="2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have a material adverse effect on our business, including our ability to establish and maintain brand awareness.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registered First Watch</w:t>
      </w:r>
      <w:r>
        <w:rPr>
          <w:rFonts w:ascii="Arial" w:cs="Arial" w:eastAsia="Arial" w:hAnsi="Arial"/>
          <w:sz w:val="14"/>
          <w:szCs w:val="14"/>
          <w:color w:val="auto"/>
        </w:rPr>
        <w:t>®</w:t>
      </w:r>
      <w:r>
        <w:rPr>
          <w:rFonts w:ascii="Arial" w:cs="Arial" w:eastAsia="Arial" w:hAnsi="Arial"/>
          <w:sz w:val="17"/>
          <w:szCs w:val="17"/>
          <w:color w:val="auto"/>
        </w:rPr>
        <w:t xml:space="preserve"> and certain other names used by our restaurants as trademarks or service marks with the United States Patent and Trademark Office (“USPTO”). The First Watch</w:t>
      </w:r>
      <w:r>
        <w:rPr>
          <w:rFonts w:ascii="Arial" w:cs="Arial" w:eastAsia="Arial" w:hAnsi="Arial"/>
          <w:sz w:val="14"/>
          <w:szCs w:val="14"/>
          <w:color w:val="auto"/>
        </w:rPr>
        <w:t>®</w:t>
      </w:r>
      <w:r>
        <w:rPr>
          <w:rFonts w:ascii="Arial" w:cs="Arial" w:eastAsia="Arial" w:hAnsi="Arial"/>
          <w:sz w:val="17"/>
          <w:szCs w:val="17"/>
          <w:color w:val="auto"/>
        </w:rPr>
        <w:t xml:space="preserve"> trademark is also registered in Canada. In addition, the First Watch logo, website name and address and Facebook and Twitter accounts are our intellectual property. The success of our business strategy depends on our continued ability to use our existing trademarks and service marks in order to increase brand awareness and develop our branded products. If our efforts to protect our intellectual property are not adequate, or if any third-party misappropriates or infringes on our intellectual property, whether in print, on the Internet or through other media, the value of our brands may be harmed, which could have a material adverse effect on our business, including the failure of our brands and branded products to achieve and maintain market acceptance. There can be no assurance that all the steps we have taken to protect our intellectual property in the United States will be adequate.</w:t>
      </w:r>
    </w:p>
    <w:p>
      <w:pPr>
        <w:spacing w:after="0" w:line="17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or our suppliers maintain the seasonings and additives for our menu items, as well as certain standards, specifications and operating procedures, as trade secrets or confidential information. We may not be able to prevent the unauthorized disclosure or use of our trade secrets or information, despite the existence of confidentiality agreements and other measures. While we try to ensure that the quality of our brand and branded products is maintained by all our franchisees, we cannot be certain that these franchisees will not take actions that adversely affect the value of our intellectual property or reputation. If any of our trade secrets or information were to be disclosed to or independently developed by a competitor, it could have a material adverse effect on our business, financial condition and results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Litigation with respect to intellectual property assets, if decided against us, may result in competing uses or require adoption of new, non-infringing intellectual property, which may in turn adversely affect sales and revenues.</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There can be no assurance that third parties will not assert infringement or misappropriation claims against us, or assert claims that our rights in our trademarks, service marks, trade names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our results of operations.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 We may also from time to time be required to institute litigation to enforce our trademarks, service marks and other intellectual property. Any such litigation could result in substantial costs and diversion of resources and could have a material adverse effect on our business, financial condition and results of operations regardless of whether we are able to successfully enforce our rights.</w:t>
      </w:r>
    </w:p>
    <w:p>
      <w:pPr>
        <w:spacing w:after="0" w:line="27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certain other key employees, the loss of whom could have a material adverse effect on our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rely upon the accumulated knowledge, skills and experience of our executive officers and certain other key employees. Our chief executive officer has been with us for more than 13 years and our executive officers have a combined total of 57 years of experience in the food service industry.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inability to identify qualified individuals for our workforce could slow our growth and adversely impact our ability to operate our restaurants.</w:t>
      </w:r>
    </w:p>
    <w:p>
      <w:pPr>
        <w:spacing w:after="0" w:line="152"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believe that the “You First” culture of our employee workforce is a key factor to our success. Accordingly, our success depends in part upon our ability to attract, motivate and retain a sufficient number of qualified managers and employees to meet the needs of our existing restaurants and to staff new restaurants. A sufficient number of qualified individuals to fill these positions may be in short supply in some communities. Competition in these communities for qualified staff could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could have a material adverse effect on our business, financial condition and results of operations. Any such inability could also delay the planned openings of new restaurants and could adversely impact our existing restaurants. The inability to retain or recruit qualified employees, increased costs of attracting qualified employees or delays in restaurant openings could have a material adverse effect on our business, financial condition and results of operations.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 failure to obtain or to properly verify the employment eligibility of our employees could have a material adverse effect on our business, financial condition and results of operations.</w:t>
      </w:r>
    </w:p>
    <w:p>
      <w:pPr>
        <w:spacing w:after="0" w:line="62"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Although we require all workers to provide us with government-specified documentation evidencing their employment eligibility, some of our employees may, without our knowledge, be unauthorized workers. We currently participate in the “E-Verify” program, an Internet-based, free program run by the U.S. government to verify employment eligibility, in states in which participation is required. However, use of the “E-Verify” program does not guarantee that we will properly identify all applicants who are ineligible for employment. Unauthorized workers are subject to deportation and may subject us to fines or penalties, and if any of our workers are found to be unauthorized, we could experience adverse publicity that may negatively impact our brand and may make it more difficult to hire and keep qualified employees. Termination of a significant number of employees who are unauthorized employees may disrupt our operations, cause temporary increases in our labor costs as we train new employees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spacing w:after="0" w:line="293"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Failure to maintain our corporate culture as we grow could have a material adverse effect on our business, financial condition and results of operations.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that a critical component to our success has been our corporate culture.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Unionization activities may disrupt our operations and increase our costs.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employees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303"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Matters relating to employment and labor law could have a material adverse effect on our business, financial condition and results of operations and restaurant companies have been the target of class action lawsuits and other proceedings alleging violations of workplace and employment laws. Proceedings of this nature are costly, divert management attention and, if successful, could result in our payment of substantial damages or settlement costs.</w:t>
      </w:r>
    </w:p>
    <w:p>
      <w:pPr>
        <w:spacing w:after="0" w:line="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Various federal and state labor laws govern our relationships with our employees.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unemployment tax rates, workers’ compensation rates, state and local payroll taxes, federal and state laws which prohibit discrimination, citizenship requirements and other wage and benefit requirements for employees classified as non-exempt. Significant additional government regulations and new laws, including mandated increases in minimum wages, changes in exempt and non-exempt status, or mandated benefits such as health insurance could have a material adverse effect on our business, financial condition and results of operations.</w:t>
      </w:r>
    </w:p>
    <w:p>
      <w:pPr>
        <w:spacing w:after="0" w:line="17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Our business is subject to the risk of litigation by employees, consumers, suppliers, franchisees, stockholders or others through private actions, class actions, administrative proceedings, regulatory actions or other litigation. Moreover, claims asserted against franchisees may at times be made against us as a franchisor. The outcome of litigation, particularly class action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could be party to litigation that could distract management, increase our expenses or subject us to material monetary damages or other remedies.</w:t>
      </w:r>
    </w:p>
    <w:p>
      <w:pPr>
        <w:spacing w:after="0" w:line="15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Our customers occasionally file complaints or lawsuits against us alleging we caused an illness or injury they suffered at or after a visit to our restaurants, or that we have problems with food quality or operations. We may also be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become subject to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negatively impact our reputation, which could have a material adverse effect on our business, financial condition and results of operations.</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restaurant industry has been subject to a growing number of claims based on the nutritional content of food products sold and disclosure and advertising practices. We may also be subject to this type of proceeding in the future and, even if we are not, publicity about these matters (particularly directed at the fast casual or traditional fast food segments of the industry) may harm our reputation and could have a material adverse effect on our business, financial condition and results of operations.</w:t>
      </w:r>
    </w:p>
    <w:p>
      <w:pPr>
        <w:spacing w:after="0" w:line="2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and our franchisees face labor shortages or increased labor costs, it could have a material adverse effect on our business, financial condition and results of operations.</w:t>
      </w:r>
    </w:p>
    <w:p>
      <w:pPr>
        <w:spacing w:after="0" w:line="6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Labor is a primary component in the cost of operating our restaurants. If we or our franchisees face labor shortages or increased labor costs because of increased competition for employees, higher employee-turnover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rates, unionization of restaurant workers, or increases in the federally-mandated or state-mandated minimum wage, change in exempt and non-exempt status, or other employee benefits costs (including costs associated with health insurance coverage or workers’ compensation insurance), our operating expenses could increase and our growth could be adversely affected.</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 substantial number of hourly employees who are paid wage rates at or based on the applicable federal or state minimum wage and increases in the minimum wage will increase our labor costs and the labor costs of our franchisees. Additionally, we operate in states and localities where the minimum wage is significantly higher than the federal minimum wage and in such areas our staff members receive minimum compensation equal to the state’s or locality’s minimum wage. In other geographic areas, some of our staff members may be paid a tip credit wage that is supplemented by gratuities received from our customers. We rely on our employees to accurately disclose the full amount of their tip income, and we base our Federal Insurance Contributions Act tax reporting on the disclosures provided to us by such employees. Increases in the tip credit minimum wage in these states or localities, or under federal law, may have a material adverse effect on our labor costs, and our financial performance. Increases in federal or state minimum wage may also result in increases in the wage rates paid for non-minimum wage positions. We may be unable to increase our menu prices in order to pass future increased labor costs on to our customers, in which case our operating margins would be negatively affected. If menu prices are increased by us or our franchisees to cover increased labor costs, the higher prices could adversely affect demand for our menu items, resulting in lower sales and decreased franchise revenues.</w:t>
      </w:r>
    </w:p>
    <w:p>
      <w:pPr>
        <w:spacing w:after="0" w:line="18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Competition for these employees could require us or our franchisees to pay higher wages, which could also result in higher labor costs. In addition, limited service restaurants have traditionally experienced relatively high employee turnover rates. Although we have not yet experienced any significant problems in recruiting employees, our and our franchisees’ ability to recruit and retain such individuals may delay the planned openings of new restaurants or result in higher employee turnover in existing restaurants, which could increase our and our franchisees’ labor costs and have a material adverse effect on our business, financial condition and results of operations.</w:t>
      </w:r>
    </w:p>
    <w:p>
      <w:pPr>
        <w:spacing w:after="0" w:line="2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our restaurant leases are non-cancelable and typically have initial terms of 10 years, providing for two to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are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construction costs related to leasehold improvements and other costs and risks. Additionally, the revenues and profit, if any, generated at a relocated restaurant may not equal the revenues and profit generated at the existing restaurant.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risks related to our sale of alcoholic beverages.</w:t>
      </w:r>
    </w:p>
    <w:p>
      <w:pPr>
        <w:spacing w:after="0" w:line="117"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We serve alcoholic beverages at certain of our restaurants, and we may introduce alcoholic beverages at additional restaurants in the future. Alcoholic beverage control regulations generally require our restaurants to apply to a state authority and, in certain locations, county or municipal authorities for a license that must be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renewed annually and may be revoked or suspended for cause at any time. Alcoholic beverage control regulations relate to numerous aspects of daily operations of our restaurants, including minimum age of patrons and employees, hours of operation, advertising, trade practices, wholesale purchasing, other relationships with alcoholic beverages manufacturers, wholesalers and distributors, inventory control and handling, storage and dispensing of alcoholic beverages. Any future failure to comply with these regulations and obtain or retain licenses could have a material adverse effect on our business, financial condition and results of operations.</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We carry liquor liability coverage as part of our existing comprehensive general liability insurance.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or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higher labor costs and health care costs.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Various federal and state labor laws govern our relationships with our employees and affect our operating costs. These laws include employee classifications as exempt or non-exempt, minimum wage requirements, unemployment tax rates, workers’ compensation rates, overtime, family leave, safety standards, payroll taxes, citizenship requirements and other wage and benefit requirements for employees classified as non-exempt. As our team members are paid at rates set above, but related to, the applicable minimum wage, further increases in the minimum wage could increase our labor costs. Significant additional government regulations could have a material adverse effect on our business, financial condition and results of operations.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have a material adverse effect on our business, financial condition and results of operations.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With the passage in 2010 of the U.S. Patient Protection and Affordable Care Act (the “ACA”), we are required to provide affordable coverage, as defined in the ACA, to all employees, or otherwise be subject to a payment per employee based on the affordability criteria in the ACA. Additionally, some states and localities have passed state and local laws mandating the provision of certain levels of health benefits by some employers. Increased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is both costly and complex.</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restaurant industry is subject to extensive federal, state and local laws and regulations, including the recently enacted comprehensive health care reform legislation discussed above, those relating to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14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Food Safety Modernization Act,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17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subject to the Americans with Disabilities Act (the “ADA”), which, among other things, requires our restaurants to meet federally mandated requirements for the disabled. The ADA prohibits discrimination in employment and public accommodations on the basis of disability. Under the ADA, we could be required to expend funds to modify our restaurants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18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addition, our franchising activities are subject to laws enacted by a number of states, rules and regulations promulgated by the FTC and certain rules and requirements regulating licensing activities in foreign countries. Failure to comply with new or existing licensing laws, rules and regulations in any jurisdiction or to obtain required government approvals could negatively affect our licensing sales and our relationships with our franchisees.</w:t>
      </w:r>
    </w:p>
    <w:p>
      <w:pPr>
        <w:spacing w:after="0" w:line="14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in accounting principles applicable to us could have a material adverse effect on our financial condition and results of operations.</w:t>
      </w:r>
    </w:p>
    <w:p>
      <w:pPr>
        <w:spacing w:after="0" w:line="14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Generally accepted accounting principles in the U.S.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9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An impairment in the carrying value of our goodwill or indefinite-lived intangible assets could have a material adverse effect on our financial condition and results of operations.</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As of December 30, 2018, we had $330.8 million of goodwill and $178.2 million of intangible assets, primarily related to the purchase price allocation performed in connection with the Advent Acquisition. We test goodwill and indefinite-lived intangible assets for impairment in the fourth quarter of each fiscal year and whenever events or changes in circumstances indicate that impairment may have occurred. In the event that the book value of goodwill or other indefinite-lived intangible assets is impaired, any such impairment would be charged to earnings in the period of impairment. During fiscal 2018, we did not record any goodwill or indefinite-lived intangible asset impairment charges. During fiscal 2019, we expect to record a non-cash impairment charge of approximately $29.3 million as a result of our assessment of the value of The Egg &amp; I indefinite-lived trade name. We cannot accurately predict the amount and timing of any impairment of assets. Should the value of goodwill or other indefinite-lived intangible assets become impaired in the future, any impairment could have a material adverse effect on our financial condition and results of operations. See Note 7 – </w:t>
      </w:r>
      <w:r>
        <w:rPr>
          <w:rFonts w:ascii="Arial" w:cs="Arial" w:eastAsia="Arial" w:hAnsi="Arial"/>
          <w:sz w:val="17"/>
          <w:szCs w:val="17"/>
          <w:i w:val="1"/>
          <w:iCs w:val="1"/>
          <w:color w:val="auto"/>
        </w:rPr>
        <w:t>Goodwill</w:t>
      </w:r>
      <w:r>
        <w:rPr>
          <w:rFonts w:ascii="Arial" w:cs="Arial" w:eastAsia="Arial" w:hAnsi="Arial"/>
          <w:sz w:val="17"/>
          <w:szCs w:val="17"/>
          <w:color w:val="auto"/>
        </w:rPr>
        <w:t>, Note 8 –</w:t>
      </w:r>
      <w:r>
        <w:rPr>
          <w:rFonts w:ascii="Arial" w:cs="Arial" w:eastAsia="Arial" w:hAnsi="Arial"/>
          <w:sz w:val="17"/>
          <w:szCs w:val="17"/>
          <w:i w:val="1"/>
          <w:iCs w:val="1"/>
          <w:color w:val="auto"/>
        </w:rPr>
        <w:t xml:space="preserve"> Intangibles </w:t>
      </w:r>
      <w:r>
        <w:rPr>
          <w:rFonts w:ascii="Arial" w:cs="Arial" w:eastAsia="Arial" w:hAnsi="Arial"/>
          <w:sz w:val="17"/>
          <w:szCs w:val="17"/>
          <w:color w:val="auto"/>
        </w:rPr>
        <w:t>and Note 20 –</w:t>
      </w:r>
      <w:r>
        <w:rPr>
          <w:rFonts w:ascii="Arial" w:cs="Arial" w:eastAsia="Arial" w:hAnsi="Arial"/>
          <w:sz w:val="17"/>
          <w:szCs w:val="17"/>
          <w:i w:val="1"/>
          <w:iCs w:val="1"/>
          <w:color w:val="auto"/>
        </w:rPr>
        <w:t xml:space="preserve"> Subsequent Events </w:t>
      </w:r>
      <w:r>
        <w:rPr>
          <w:rFonts w:ascii="Arial" w:cs="Arial" w:eastAsia="Arial" w:hAnsi="Arial"/>
          <w:sz w:val="17"/>
          <w:szCs w:val="17"/>
          <w:color w:val="auto"/>
        </w:rPr>
        <w:t>in the notes to the audited consolidated financial statements included elsewhere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for additional information.</w:t>
      </w:r>
    </w:p>
    <w:p>
      <w:pPr>
        <w:spacing w:after="0" w:line="293"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Changes to estimates related to our property, fixtures and equipment and definite-lived intangible assets or operating results that are lower than our current estimates at certain restaurant locations may cause us to incur impairment charges on certain long-lived assets, which may adversely affect our results of operations.</w:t>
      </w:r>
    </w:p>
    <w:p>
      <w:pPr>
        <w:spacing w:after="0" w:line="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Changes to estimates related to our property, fixtures and equipment and definite-lived intangible assets or operating results that are lower than our current estimates at certain restaurant locations may cause us to incur impairment charges or accelerate the amortization on certain long-lived assets, which may adversely affect our results of operations. During fiscal 2018, we did not record any material long-lived asset impairment charges. During fiscal 2019, we expect to record a non-cash impairment charge of approximately $3.2 million as a result of our assessment of the value of The Egg &amp; I definite-lived franchise rights. If actual results differ from our estimates, additional charges for asset impairments may be required in the future.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Compliance with environmental laws or liabilities arising from environmental laws could increase our operating expenses and could have a material adverse effect on our business, financial condition and results of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31" w:lineRule="exact"/>
        <w:rPr>
          <w:sz w:val="20"/>
          <w:szCs w:val="20"/>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to air and water, as well as waste handling and disposal practices for solid and hazardous wastes;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impose liability for the costs of cleaning up, and damage resulting from, sites of past spills, disposals or other releases of hazardous materials.</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may be subject to associated liabilities, including liabilities for clean-up costs and personal injury or property damage, relating to our restaurants and the land on which our restaurants are located, regardless of whether such environmental conditions were created by us or by a prior owner or tenant. These environmental laws provide for significant fines and penalties for non-compliance and liabilities for remediation, sometimes without regard to whether the owner or operator of the property knew of, or was responsible for, the release or presence of hazardous toxic substances. Third parties may also make claims against owners or operators of properties for personal injuries and property damage associated with releases of, or actual or alleged exposure to, such hazardous or toxic substances at, on or from our restaurants. If we are found liable for the costs of remediating contamination at any of our properties, our operating expenses would likely increase and such finding could have a material adverse effect on our business, financial condition and results of operations. Some of our leases provide for indemnification of our landlords for environmental contamination, clean-up or owner liability. See “Business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Environmental Matters.”</w:t>
      </w:r>
    </w:p>
    <w:p>
      <w:pPr>
        <w:spacing w:after="0" w:line="21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Further, environmental laws and regulations, and the administration, interpretation and enforcement thereof, are subject to change and may become more stringent in the future, which could have a material adverse effect on our business, financial condition and results of operations.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2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Natural disasters, unusual weather conditions, pandemic outbreaks, political events, war and terrorism could disrupt our business and result in lower sales, increased operating costs and capital expenditures.</w:t>
      </w:r>
    </w:p>
    <w:p>
      <w:pPr>
        <w:spacing w:after="0" w:line="6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Our Home Office, company-owned and franchised restaurant locations, third-party sole distributor and its facilities, as well as certain of our vendors and customers, are located in areas that have been and could be subject to natural disasters such as floods, hurricanes, tornadoes, fires or earthquakes. As a result of the concentration of our restaurants in the Southeastern United States, adverse weather conditions or other extreme changes in the weather, including those that may result in electrical and technological failures, may disrupt our and our franchisees’ business and may adversely affect our and our franchisees’ ability to obtain food and supplies and sell menu items. Our business may be harmed if our or our franchisees’ ability to obtain food and supplies and sell menu items is impacted by any such events, any of which could influence customer trends and purchases and may negatively impact our and our franchisees’ revenues, properties or operations. Such events could result in physical damage to one or more of our or our franchisees’ properties, the temporary closure of some or all of our company-owned restaurants, franchised restaurants and third-party sole distributor, the temporary lack of an adequate work force in a market, temporary or long-term disruption in the transport of goods, delay in the delivery of goods and supplies to our company-owned and franchised restaurants and third-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party sole distributor, disruption of our technology support or information systems, or fuel shortages or dramatic increases in fuel prices, all of which would increase the cost of doing business. These events also could have indirect consequences such as increases in the costs of insurance if they result in significant loss of property or other insurable damage. Any of these factors, or any combination thereof,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or opportunities, including the need to open additional restaurants, develop new menu items or enhance our existing menu items, and enhance our operating infrastructure. Accordingly, we may need to engage in equity or debt financings to secure additional funds.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 which could have a material adverse effect on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The total principal amount of debt outstanding under our Senior Credit Facilities, excluding unamortized debt discount and deferred issuance costs, as of December 30, 2018 was $195.4 million. Our indebtedness could have significant effects on our business, such as:</w:t>
      </w:r>
    </w:p>
    <w:p>
      <w:pPr>
        <w:spacing w:after="0" w:line="52" w:lineRule="exact"/>
        <w:rPr>
          <w:sz w:val="20"/>
          <w:szCs w:val="20"/>
          <w:color w:val="auto"/>
        </w:rPr>
      </w:pPr>
    </w:p>
    <w:p>
      <w:pPr>
        <w:ind w:left="1080" w:right="3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financial condition and results of operations.</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Pursuant to the Senior Credit Facilities, we are required to maintain, on a consolidated basis, a maximum ratio of consolidated total net debt to consolidated EBITDA (with certain adjustments as set forth in the Senior Credit Facilities), test as of the last day of each fiscal quarter. Our ability to borrow under our Senior Credit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Facilities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the volatile credit and capital markets could have a material adverse effect on our financial condition.</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ability to manage our debt is dependent on our level of positive cash flow from company-owned and franchised restaurants.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interest rates of loans under our Credit Agreement are priced using a spread over LIBOR.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for the Senior Credit Facilities under our Credit Agreement such that the interest due to the applicable lenders with respect to a term loan or revolving loan under our Senior Credit Facilities is calculated using LIBOR plus an applicable spread above LIBOR. On July 27, 2017, the United Kingdom’s Financial Conduct Authority, which regulates LIBOR, announced that it intends to phase out LIBOR by the end of 2021. It is unclear whether or not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If LIBOR ceases to be available, we may seek to amend the Credit Agreement to replace LIBOR with a new standard to the extent one is established. At this time, due to a lack of consensus as to what rate or rates may become accepted alternatives to LIBOR, it is impossible to predict the effect of any such alternatives on our liquidity, interest expense, or the value of the Initial Term Loans or Revolving Loans.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have a material adverse effect on the market price of our common stock.</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by offering debt or other equity securities, including senior or subordinated notes, debt securities convertible into equity or shares of preferred stock.</w:t>
      </w:r>
    </w:p>
    <w:p>
      <w:pPr>
        <w:spacing w:after="0" w:line="12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common stock. The issuance of additional shares of our common stock or other equity securities or securities convertible into equity may dilute the economic and voting rights of our existing stockholders or reduce the market price of our common stock or both. Debt securities convertible into equity could be subject to adjustments in the conversion ratio pursuant to which certain events may increase the number of equity securities issuable upon conversion.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have a material adverse effect on the amount, timing, or nature of our future offerings. Thus, holders of our common stock bear the risk that our future offerings may reduce the market price of our common stock and dilute their stockholdings in us.</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left="120" w:right="560" w:firstLine="440"/>
        <w:spacing w:after="0" w:line="274" w:lineRule="auto"/>
        <w:rPr>
          <w:sz w:val="20"/>
          <w:szCs w:val="20"/>
          <w:color w:val="auto"/>
        </w:rPr>
      </w:pPr>
      <w:r>
        <w:rPr>
          <w:rFonts w:ascii="Arial" w:cs="Arial" w:eastAsia="Arial" w:hAnsi="Arial"/>
          <w:sz w:val="17"/>
          <w:szCs w:val="17"/>
          <w:color w:val="auto"/>
        </w:rPr>
        <w:t>Following the closing of this offering, Advent will indirectly beneficially own approximately of our outstanding common stock, or if the underwriters’ option to purchase additional shares is fully exercised. As a result, Advent will indirectly beneficially own shares</w:t>
      </w:r>
    </w:p>
    <w:p>
      <w:pPr>
        <w:jc w:val="both"/>
        <w:ind w:left="120" w:right="180"/>
        <w:spacing w:after="0" w:line="255" w:lineRule="auto"/>
        <w:rPr>
          <w:sz w:val="20"/>
          <w:szCs w:val="20"/>
          <w:color w:val="auto"/>
        </w:rPr>
      </w:pPr>
      <w:r>
        <w:rPr>
          <w:rFonts w:ascii="Arial" w:cs="Arial" w:eastAsia="Arial" w:hAnsi="Arial"/>
          <w:sz w:val="18"/>
          <w:szCs w:val="18"/>
          <w:color w:val="auto"/>
        </w:rPr>
        <w:t>sufficient for majority votes over all matters requiring stockholder votes, including: the election of directors; mergers, consolidations and acquisitions; the sale of all or substantially all of our assets and other decisions affecting our capital structure; amendments to our certificate of incorporation or our bylaws; and our winding up and dissolution.</w:t>
      </w:r>
    </w:p>
    <w:p>
      <w:pPr>
        <w:spacing w:after="0" w:line="190"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The interests of Advent may not always coincide with our interests or the interests of our other stockholders. This concentration of ownership may also have the effect of delaying, preventing or deterring a change in control of us. Also, Advent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Stockholders” and “Description of Capital Stock – Anti-takeover Provisions.”</w:t>
      </w:r>
    </w:p>
    <w:p>
      <w:pPr>
        <w:sectPr>
          <w:pgSz w:w="11900" w:h="16838" w:orient="portrait"/>
          <w:cols w:equalWidth="0" w:num="1">
            <w:col w:w="11120"/>
          </w:cols>
          <w:pgMar w:left="320" w:top="459" w:right="459" w:bottom="1440" w:gutter="0" w:footer="0" w:header="0"/>
        </w:sect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As a controlled company, we will not be subject to all of the corporate governance rules of the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t>
      </w:r>
    </w:p>
    <w:p>
      <w:pPr>
        <w:spacing w:after="0" w:line="222" w:lineRule="exact"/>
        <w:rPr>
          <w:sz w:val="20"/>
          <w:szCs w:val="20"/>
          <w:color w:val="auto"/>
        </w:rPr>
      </w:pPr>
    </w:p>
    <w:p>
      <w:pPr>
        <w:sectPr>
          <w:pgSz w:w="11900" w:h="16838" w:orient="portrait"/>
          <w:cols w:equalWidth="0" w:num="2">
            <w:col w:w="7100" w:space="720"/>
            <w:col w:w="3300"/>
          </w:cols>
          <w:pgMar w:left="320" w:top="459" w:right="459" w:bottom="1440" w:gutter="0" w:footer="0" w:header="0"/>
          <w:type w:val="continuous"/>
        </w:sectPr>
      </w:pPr>
    </w:p>
    <w:p>
      <w:pPr>
        <w:spacing w:after="0" w:line="168"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color w:val="auto"/>
        </w:rPr>
        <w:t>rules of the . Controlled companies are exempt from the corporate governance rules requiring that listed companies have (i) a majority of the board of directors consist of “independent” directors under the listing standards of the , (ii) a nominating/corporate governance</w:t>
      </w:r>
    </w:p>
    <w:p>
      <w:pPr>
        <w:sectPr>
          <w:pgSz w:w="11900" w:h="16838" w:orient="portrait"/>
          <w:cols w:equalWidth="0" w:num="1">
            <w:col w:w="11120"/>
          </w:cols>
          <w:pgMar w:left="320" w:top="459" w:right="459" w:bottom="1440" w:gutter="0" w:footer="0" w:header="0"/>
          <w:type w:val="continuous"/>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composed entirely of independent directors and a written nominating/corporate governance committee charter meeting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requirements and (iii) a compensation committee composed entirely of independent directors and a written compensation committee charter meeting the</w:t>
      </w:r>
    </w:p>
    <w:p>
      <w:pPr>
        <w:spacing w:after="0" w:line="32" w:lineRule="exact"/>
        <w:rPr>
          <w:sz w:val="20"/>
          <w:szCs w:val="20"/>
          <w:color w:val="auto"/>
        </w:rPr>
      </w:pPr>
    </w:p>
    <w:p>
      <w:pPr>
        <w:ind w:left="120" w:right="180"/>
        <w:spacing w:after="0" w:line="281" w:lineRule="auto"/>
        <w:rPr>
          <w:sz w:val="20"/>
          <w:szCs w:val="20"/>
          <w:color w:val="auto"/>
        </w:rPr>
      </w:pPr>
      <w:r>
        <w:rPr>
          <w:rFonts w:ascii="Arial" w:cs="Arial" w:eastAsia="Arial" w:hAnsi="Arial"/>
          <w:sz w:val="16"/>
          <w:szCs w:val="16"/>
          <w:color w:val="auto"/>
        </w:rPr>
        <w:t>requirements of the . Following this offering, we intend to use some or all these exemptions. As a result, we may not have a majority of independent directors, our nomination and corporate governance committee and compensation committee may not consist entirely of independent directors and such committees may not be subject to annual performance evaluations. Accordingly, you may not have the same protections afforded to</w:t>
      </w:r>
    </w:p>
    <w:p>
      <w:pPr>
        <w:spacing w:after="0" w:line="2" w:lineRule="exact"/>
        <w:rPr>
          <w:sz w:val="20"/>
          <w:szCs w:val="20"/>
          <w:color w:val="auto"/>
        </w:rPr>
      </w:pPr>
    </w:p>
    <w:p>
      <w:pPr>
        <w:ind w:left="120"/>
        <w:spacing w:after="0"/>
        <w:tabs>
          <w:tab w:leader="none" w:pos="7820" w:val="left"/>
        </w:tabs>
        <w:rPr>
          <w:sz w:val="20"/>
          <w:szCs w:val="20"/>
          <w:color w:val="auto"/>
        </w:rPr>
      </w:pPr>
      <w:r>
        <w:rPr>
          <w:rFonts w:ascii="Arial" w:cs="Arial" w:eastAsia="Arial" w:hAnsi="Arial"/>
          <w:sz w:val="18"/>
          <w:szCs w:val="18"/>
          <w:color w:val="auto"/>
        </w:rPr>
        <w:t>stockholders of companies that are subject to all of the corporate governance requirements of the</w:t>
      </w:r>
      <w:r>
        <w:rPr>
          <w:sz w:val="20"/>
          <w:szCs w:val="20"/>
          <w:color w:val="auto"/>
        </w:rPr>
        <w:tab/>
      </w:r>
      <w:r>
        <w:rPr>
          <w:rFonts w:ascii="Arial" w:cs="Arial" w:eastAsia="Arial" w:hAnsi="Arial"/>
          <w:sz w:val="16"/>
          <w:szCs w:val="16"/>
          <w:color w:val="auto"/>
        </w:rPr>
        <w:t>. See “Management.”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do not expect to declare or pay any cash or other dividends in the foreseeable future on our common stock because we intend to use cash flow generated by operations to grow our business. Our Senior Credit Facilities restrict our ability to pay cash dividends on our common stock. We may also enter into other credit agreements or other borrowing arrangements in the future that restrict or limit our ability to pay cash dividends on our common stock. As a result, you may not receive any return on an investment in our common stock unless you sell our common stock for a price greater than that which you paid for it. See “Dividend Policy.”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quarterly results of operations may fluctuate due principally to seasonal factors and the timing of holidays. Accordingly, results for any one quarter are not necessarily indicative of results to be expected for any other quarter or for any year and same-restaurant sales growth for any particular future period may decrease. In addition, as we expand our number of restaurants in cold weather climates, the seasonality of our business may be amplified. In the future, results of operations may fall below the expectations of securities analysts and investors. In that event, the price of our common stock could be adversely impacted.</w:t>
      </w:r>
    </w:p>
    <w:p>
      <w:pPr>
        <w:spacing w:after="0" w:line="29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common stock at prices equal to or greater than the initial public offering price.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market currently exists for our common stock and we cannot assure you that an active market will develop for such stock.</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has been determined through negotiations among us and the representatives of the underwriters and may not be indicative of the market price of our common stock after this offering or to any other established criteria of the value of our business. If you purchase shares of our common stock, you may not be able to resell those shares at or above the initial public offering price. We cannot predict the extent to which investor interest in us will lead to the</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development of an active trading market on the or otherwise or how liquid that market might become. An active public market for our common stock may not develop or be sustained after this offering. If an active public market does not develop or is not sustained, it may be difficult for you to sell your shares of common stock at a price that is attractive to you or at all.</w:t>
      </w:r>
    </w:p>
    <w:p>
      <w:pPr>
        <w:spacing w:after="0" w:line="29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which could result in rapid and substantial losses for our stockholders, and you may lose all or part of your investment.</w:t>
      </w:r>
    </w:p>
    <w:p>
      <w:pPr>
        <w:spacing w:after="0" w:line="6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Shares of our common stock sold in this offering may experience significant volatility on the . An active, liquid and orderly market for our common stock may not be sustained, which could depress the trading price of our common stock or cause it to be highly volatile or subject to wide fluctuations. The market price of our common stock may fluctuate or may decline significantly in the future and you could lose all or part of your investment. Some of the factors that could negatively affect our share price or result in fluctuations in the price or trading volume of our common stock include:</w:t>
      </w:r>
    </w:p>
    <w:p>
      <w:pPr>
        <w:spacing w:after="0" w:line="93"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contents of published research reports about us or our industry or the failure of securities analysts to cover our common stock;</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These broad market and industry factors may decrease the market price of our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this offering, we will have shares of common stock outstanding. Of our issued and outstanding shares, all the common stock sold in this offering will be freely transferable, except for any shares held by our “affiliates,” as that term is defined in Rule 144 under the Securities Act. Following closing of this offering, approximately % of our outstanding 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76" w:lineRule="exact"/>
        <w:rPr>
          <w:sz w:val="20"/>
          <w:szCs w:val="20"/>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 or</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180 days after the date of this prospectus without the prior written consent of the representatives of the underwriters.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This restriction terminates after the close of trading of the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 – No Sales of Similar Securities.”</w:t>
      </w:r>
    </w:p>
    <w:p>
      <w:pPr>
        <w:spacing w:after="0" w:line="16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market price of our common stock may decline significantly when the restrictions on resale by our existing stockholders lapse. A decline in the price of our common stock might impede our ability to raise capital through the issuance of additional common stock or other equity securities.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any equity plans, acquisitions or otherwise will dilute all other stockholdings.</w:t>
      </w:r>
    </w:p>
    <w:p>
      <w:pPr>
        <w:spacing w:after="0" w:line="15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After this offering, we will have an aggregate of shares of common stock authorized but unissued and not reserved for issuance under our equity incentive plans. We may issue all these shares of common stock without any action or approval by our stockholders, subject to certain exceptions. Any common stock, issued in connection with any equity incentive plan, the exercise of outstanding stock options, or otherwise, would dilute the percentage ownership held by the investors who purchase common stock in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purchase common stock in this offering, you will pay more for your shares than the amounts paid by existing stockholders for their shares.</w:t>
      </w:r>
    </w:p>
    <w:p>
      <w:pPr>
        <w:spacing w:after="0" w:line="46"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color w:val="auto"/>
        </w:rPr>
        <w:t>As a result, you will incur immediate dilution of $</w:t>
      </w:r>
      <w:r>
        <w:rPr>
          <w:sz w:val="20"/>
          <w:szCs w:val="20"/>
          <w:color w:val="auto"/>
        </w:rPr>
        <w:tab/>
      </w:r>
      <w:r>
        <w:rPr>
          <w:rFonts w:ascii="Arial" w:cs="Arial" w:eastAsia="Arial" w:hAnsi="Arial"/>
          <w:sz w:val="16"/>
          <w:szCs w:val="16"/>
          <w:color w:val="auto"/>
        </w:rPr>
        <w:t>per share, representing the difference between the assumed initial public offering price of</w:t>
      </w:r>
    </w:p>
    <w:p>
      <w:pPr>
        <w:spacing w:after="0" w:line="9" w:lineRule="exact"/>
        <w:rPr>
          <w:sz w:val="20"/>
          <w:szCs w:val="20"/>
          <w:color w:val="auto"/>
        </w:rPr>
      </w:pPr>
    </w:p>
    <w:p>
      <w:pPr>
        <w:ind w:left="120" w:right="460" w:hanging="4"/>
        <w:spacing w:after="0" w:line="260"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 share (the midpoint of the estimated initial public offering price range set forth on the cover of this prospectus) and our pro forma net tangible book value (deficit) per share after giving effect to this offering. See “Dilution.”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Company and Organizational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interests of Advent may conflict with our interests or the interests of the holders of our common stock in the future.</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Advent engages in a range of investing activities, including investments in restaurants and other consumer-related companies in particular. In the ordinary course of its business activities, Advent may engage in activities where its interests conflict with our interests or those of our stockholders. Our amended and restated certificate of incorporation will contain provisions renouncing any interest or expectancy held by our directors affiliated with Advent in certain corporate opportunities. Accordingly, the interests of Advent may supersede ours, causing them or their affiliates to compete against us or to pursue opportunities instead of us, for which we have no recourse. Such actions on the part of Advent and inaction on our part could have a material adverse effect on our business, financial condition and results of operations. In addition, Advent may have an interest in pursuing acquisitions, divestitures and other transactions that, in its judgment, could enhance its investment in us, even though such transactions might involve risks to you, such as debt-financed acquisitions.</w:t>
      </w:r>
    </w:p>
    <w:p>
      <w:pPr>
        <w:spacing w:after="0" w:line="286"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First Watch Restaurant Group, Inc. is a holding company with no operations and relies on its operating subsidiaries to provide it with funds necessary to meet its financial obligations and to pay dividends.</w:t>
      </w:r>
    </w:p>
    <w:p>
      <w:pPr>
        <w:spacing w:after="0" w:line="62"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First Watch Restaurant Group, Inc. is a holding company with no material direct operations. First Watch Restaurant Group, Inc.’s principal assets are the equity interests it indirectly holds in its operating subsidiaries which own our operating assets. As a result, First Watch Restaurant Group, Inc. is dependent on loans, dividends and other payments from its operating subsidiaries to generate the funds necessary to meet its financial obligations and to pay dividends on its common stock. Its subsidiaries are legally distinct from First Watch Restaurant Group, Inc. and may be prohibited or restricted from paying dividends, including the restrictions contained in our Senior Credit Facilities described below, or otherwise making funds available to us under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certain conditions. Although First Watch Restaurant Group, Inc. does not expect to pay dividends on its common stock for the foreseeable future, if it is unable to obtain funds from its subsidiaries, it may be unable to, or its board of directors (the “Board”) may exercise its discretion not to, pay dividends.</w:t>
      </w:r>
    </w:p>
    <w:p>
      <w:pPr>
        <w:spacing w:after="0" w:line="23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public company, we are subject to the reporting requirements of the Exchange Act, the Sarbanes-Oxley Act, and the listing requirements of</w:t>
      </w:r>
    </w:p>
    <w:p>
      <w:pPr>
        <w:spacing w:after="0" w:line="4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and results of operations. We will need to hire more employees in the future to comply with these requirements, which will increase our costs and expenses.</w:t>
      </w:r>
    </w:p>
    <w:p>
      <w:pPr>
        <w:spacing w:after="0" w:line="18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management does not have experience managing a public company and our current resources may not be sufficient to fulfill our public company obligations.</w:t>
      </w:r>
    </w:p>
    <w:p>
      <w:pPr>
        <w:sectPr>
          <w:pgSz w:w="11900" w:h="16838" w:orient="portrait"/>
          <w:cols w:equalWidth="0" w:num="1">
            <w:col w:w="11100"/>
          </w:cols>
          <w:pgMar w:left="320" w:top="459" w:right="479" w:bottom="1440" w:gutter="0" w:footer="0" w:header="0"/>
        </w:sectPr>
      </w:pP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Following the closing of this offering, we will be subject to various regulatory requirements, including those of the SEC and the requirements include record keeping, financial reporting and corporate governance rules and regulations. Our management team does not have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 These</w:t>
      </w:r>
    </w:p>
    <w:p>
      <w:pPr>
        <w:spacing w:after="0" w:line="274" w:lineRule="exact"/>
        <w:rPr>
          <w:sz w:val="20"/>
          <w:szCs w:val="20"/>
          <w:color w:val="auto"/>
        </w:rPr>
      </w:pPr>
    </w:p>
    <w:p>
      <w:pPr>
        <w:sectPr>
          <w:pgSz w:w="11900" w:h="16838" w:orient="portrait"/>
          <w:cols w:equalWidth="0" w:num="2">
            <w:col w:w="10380" w:space="160"/>
            <w:col w:w="560"/>
          </w:cols>
          <w:pgMar w:left="320" w:top="459" w:right="479" w:bottom="1440" w:gutter="0" w:footer="0" w:header="0"/>
          <w:type w:val="continuous"/>
        </w:sectPr>
      </w:pPr>
    </w:p>
    <w:p>
      <w:pPr>
        <w:ind w:left="120" w:right="200"/>
        <w:spacing w:after="0" w:line="292" w:lineRule="auto"/>
        <w:rPr>
          <w:sz w:val="20"/>
          <w:szCs w:val="20"/>
          <w:color w:val="auto"/>
        </w:rPr>
      </w:pPr>
      <w:r>
        <w:rPr>
          <w:rFonts w:ascii="Arial" w:cs="Arial" w:eastAsia="Arial" w:hAnsi="Arial"/>
          <w:sz w:val="16"/>
          <w:szCs w:val="16"/>
          <w:color w:val="auto"/>
        </w:rPr>
        <w:t>experience in managing a public company and, historically,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 Oxley Act, reduced disclosure obligations regarding executive compensation in our periodic reports and proxy statements, and exemptions from the requirements of holding a non-binding advisory vote on executive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compensation and of stockholder approval of any golden parachute payments not previously approved. We may take advantage of some of these exemptions. If we do, we do not know if some investors will find our common stock less attractive as a result. The result may be a less-active trading market for our common stock and our stock price may be more volatile.</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bylaws that will be effective upon closing of this offering may make it more difficult for, or prevent a third-party from, acquiring control of us without the approval of our Board. Among other things, these provisions:</w:t>
      </w:r>
    </w:p>
    <w:p>
      <w:pPr>
        <w:spacing w:after="0" w:line="77"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the power of our Board to fill any vacancy on our Board,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30" w:lineRule="exact"/>
        <w:rPr>
          <w:rFonts w:ascii="Arial" w:cs="Arial" w:eastAsia="Arial" w:hAnsi="Arial"/>
          <w:sz w:val="18"/>
          <w:szCs w:val="18"/>
          <w:color w:val="auto"/>
        </w:rPr>
      </w:pPr>
    </w:p>
    <w:p>
      <w:pPr>
        <w:ind w:left="1080" w:right="800" w:hanging="424"/>
        <w:spacing w:after="0" w:line="25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 and</w:t>
      </w:r>
    </w:p>
    <w:p>
      <w:pPr>
        <w:spacing w:after="0" w:line="1" w:lineRule="exact"/>
        <w:rPr>
          <w:rFonts w:ascii="Arial" w:cs="Arial" w:eastAsia="Arial" w:hAnsi="Arial"/>
          <w:sz w:val="18"/>
          <w:szCs w:val="18"/>
          <w:color w:val="auto"/>
        </w:rPr>
      </w:pPr>
    </w:p>
    <w:p>
      <w:pPr>
        <w:ind w:left="1080" w:right="160" w:hanging="424"/>
        <w:spacing w:after="0" w:line="33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that a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supermajority vote will be required to amend or repeal provisions relating to, among other things, the classification of the Board, the filling of vacancies on the Board and the ability of stockholders to call special meetings of stockholders.</w:t>
      </w:r>
    </w:p>
    <w:p>
      <w:pPr>
        <w:spacing w:after="0" w:line="8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our Senior Credit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foregoing factors, as well as the significant common stock ownership by Advent could impede a merger, takeover, or other business combination, or discourage a potential investor from making a tender offer for our common stock, which, under certain circumstances, could reduce the market value of our common stock. See “Description of Capital Stock.”</w:t>
      </w:r>
    </w:p>
    <w:p>
      <w:pPr>
        <w:spacing w:after="0" w:line="2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amended and restated bylaws will provide that, subject to certain exceptions, unless we consent in writing in advance to the selection of an alternative forum, the Court of Chancery of the State of Delaware shall be the sole and exclusive forum for (i) any derivative action or proceeding brought on our behalf, (ii) any action asserting a claim of breach of a fiduciary duty owed by, or any wrongdoing by, any of our directors, officers or employees to us or our stockholders, (iii) any action asserting a claim against us or our directors, officers or employees arising pursuant to any provision of the Delaware General Corporation Law, or DGCL, our certificate of incorporation or our bylaws, or (iv) any action to interpret, apply, enforce or determine the validity of our certificate of incorporation or our bylaws, or (v) any action asserting a claim against us or our directors, officers or employees governed by the internal affairs doctrine. 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of our amended and restated bylaws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and results of operations.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5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vulnerability to changes in consumer preferences and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open new restaurants in new and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generate same-restaurant sales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visitors to areas where our restaurants are located may decline;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marketing programs and limited-time menu offerings may fail to generate profits;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shortages or disruptions in the supply or delivery of frequently used food items or increases in the cost of our frequently used food items;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prevent instances of food-borne illness in our restaurants;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compete successfully with other breakfast and lunch restaurants;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issues with our existing franchisees, including their financial performance, our lack of control over their operations, and conflicting business interests;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vulnerability to adverse demographic, unemployment, economic, regulatory and weather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damage to our reputation and negative publicity, even if unwarranted;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a small number of suppliers for a substantial amount of our food and coffee;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effectively manage our internal controls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adequately protect our network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federal and local environmental, labor, employment and food safety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level of indebtedness and our duty to comply with covenants under our Credit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interests of Advent may differ from those of our public stockholders.</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b w:val="1"/>
                <w:bCs w:val="1"/>
                <w:color w:val="auto"/>
              </w:rPr>
              <w:t>USE OF PROCEEDS</w:t>
            </w:r>
          </w:p>
        </w:tc>
        <w:tc>
          <w:tcPr>
            <w:tcW w:w="1120" w:type="dxa"/>
            <w:vAlign w:val="bottom"/>
          </w:tcPr>
          <w:p>
            <w:pPr>
              <w:spacing w:after="0"/>
              <w:rPr>
                <w:sz w:val="24"/>
                <w:szCs w:val="24"/>
                <w:color w:val="auto"/>
              </w:rPr>
            </w:pPr>
          </w:p>
        </w:tc>
      </w:tr>
      <w:tr>
        <w:trPr>
          <w:trHeight w:val="432"/>
        </w:trPr>
        <w:tc>
          <w:tcPr>
            <w:tcW w:w="4680" w:type="dxa"/>
            <w:vAlign w:val="bottom"/>
            <w:gridSpan w:val="2"/>
          </w:tcPr>
          <w:p>
            <w:pPr>
              <w:ind w:left="560"/>
              <w:spacing w:after="0"/>
              <w:rPr>
                <w:sz w:val="20"/>
                <w:szCs w:val="20"/>
                <w:color w:val="auto"/>
              </w:rPr>
            </w:pPr>
            <w:r>
              <w:rPr>
                <w:rFonts w:ascii="Arial" w:cs="Arial" w:eastAsia="Arial" w:hAnsi="Arial"/>
                <w:sz w:val="18"/>
                <w:szCs w:val="18"/>
                <w:color w:val="auto"/>
                <w:w w:val="91"/>
              </w:rPr>
              <w:t>We estimate that the net proceeds to us from our sale of</w:t>
            </w:r>
          </w:p>
        </w:tc>
        <w:tc>
          <w:tcPr>
            <w:tcW w:w="5200" w:type="dxa"/>
            <w:vAlign w:val="bottom"/>
          </w:tcPr>
          <w:p>
            <w:pPr>
              <w:ind w:left="420"/>
              <w:spacing w:after="0"/>
              <w:rPr>
                <w:sz w:val="20"/>
                <w:szCs w:val="20"/>
                <w:color w:val="auto"/>
              </w:rPr>
            </w:pPr>
            <w:r>
              <w:rPr>
                <w:rFonts w:ascii="Arial" w:cs="Arial" w:eastAsia="Arial" w:hAnsi="Arial"/>
                <w:sz w:val="18"/>
                <w:szCs w:val="18"/>
                <w:color w:val="auto"/>
                <w:w w:val="95"/>
              </w:rPr>
              <w:t>shares of common stock in this offering will be approximately $</w:t>
            </w:r>
          </w:p>
        </w:tc>
        <w:tc>
          <w:tcPr>
            <w:tcW w:w="1120" w:type="dxa"/>
            <w:vAlign w:val="bottom"/>
          </w:tcPr>
          <w:p>
            <w:pPr>
              <w:ind w:left="180"/>
              <w:spacing w:after="0"/>
              <w:rPr>
                <w:sz w:val="20"/>
                <w:szCs w:val="20"/>
                <w:color w:val="auto"/>
              </w:rPr>
            </w:pPr>
            <w:r>
              <w:rPr>
                <w:rFonts w:ascii="Arial" w:cs="Arial" w:eastAsia="Arial" w:hAnsi="Arial"/>
                <w:sz w:val="18"/>
                <w:szCs w:val="18"/>
                <w:color w:val="auto"/>
                <w:w w:val="94"/>
              </w:rPr>
              <w:t>million, after</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deducting underwriting discounts and commissions and estimated expenses payable by us in connection with this offering. The underwriters also have</w:t>
      </w:r>
    </w:p>
    <w:p>
      <w:pPr>
        <w:spacing w:after="0" w:line="386"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an option to purchase up to an additional shares of common stock from us. We estimate that the net proceeds to us, if the underwriters exercise their right to purchase the maximum of additional shares of common stock from us, will be approximately $ million, after deducting</w:t>
      </w:r>
    </w:p>
    <w:p>
      <w:pPr>
        <w:ind w:left="120"/>
        <w:spacing w:after="0"/>
        <w:rPr>
          <w:sz w:val="20"/>
          <w:szCs w:val="20"/>
          <w:color w:val="auto"/>
        </w:rPr>
      </w:pPr>
      <w:r>
        <w:rPr>
          <w:rFonts w:ascii="Arial" w:cs="Arial" w:eastAsia="Arial" w:hAnsi="Arial"/>
          <w:sz w:val="16"/>
          <w:szCs w:val="16"/>
          <w:color w:val="auto"/>
        </w:rPr>
        <w:t>underwriting discounts and commissions and estimated expenses payable by us in connection with this offering. This assumes a public offering price of</w:t>
      </w:r>
    </w:p>
    <w:p>
      <w:pPr>
        <w:spacing w:after="0" w:line="32" w:lineRule="exact"/>
        <w:rPr>
          <w:sz w:val="20"/>
          <w:szCs w:val="20"/>
          <w:color w:val="auto"/>
        </w:rPr>
      </w:pPr>
    </w:p>
    <w:p>
      <w:pPr>
        <w:ind w:left="560" w:hanging="444"/>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of this prospectus.</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intend to use the net proceeds from this offering to repay borrowings outstanding under our Senior Credit Facilities. Our Senior Credit Facilities are comprised of our Initial Term Loan Facility, our Initial Delayed Draw Term Facility and our Revolving Facility. Loans under the Senior Credit Facilities mature on August 21, 2023. As of December 29, 2019, our Initial Term Loan Facility bears interest at a rate of 7.292%, our Initial Delayed Draw Term Facility bears interest at a rate of 7.292%, and our Revolving Credit Facility bears interest at a rate of 7.292%. See “Description of Material Indebtedness.”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w:t>
      </w:r>
    </w:p>
    <w:p>
      <w:pPr>
        <w:spacing w:after="0" w:line="46"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6"/>
          <w:szCs w:val="16"/>
          <w:color w:val="auto"/>
        </w:rPr>
        <w:t>per share (the midpoint of the price range set forth on the cover of this prospectus) would increase (decrease) the net proceeds to us from</w:t>
      </w:r>
    </w:p>
    <w:p>
      <w:pPr>
        <w:spacing w:after="0" w:line="9"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this offering by $ million, assuming the number of shares offered by us, as set forth on the cover of this prospectus, remains the same and after deducting underwriting discounts and commissions and estimated expenses payable by us.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4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do not currently intend to pay cash dividends on our common stock in the foreseeable future. However, in the future, subject to the factors described below and our future liquidity and capitalization, we may change this policy and choose to pay dividends.</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Our ability to pay dividends is currently restricted by the terms of our Senior Credit Facilities and may be further restricted by any future indebtedness we incur.</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are a holding company that does not conduct any business operations of our own. As a result, our ability to pay cash dividends on our common stock is dependent upon cash dividends and distributions and other transfers from our subsidiaries.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under Delaware law, our Board may declare dividends only to the extent of our surplus (which is defined as total assets at fair market value minus total liabilities, minus statutory capital) or, if there is no surplus, out of our net profits for the then current and/or immediately preceding fiscal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future determination to pay dividends will be at the discretion of our Board and will take into account:</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in our debt instruments, including our Senior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business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earnings, financial condition,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prospects;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restrictions;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other factors as our Board may deem relevant.</w:t>
      </w:r>
    </w:p>
    <w:p>
      <w:pPr>
        <w:spacing w:after="0" w:line="225"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See “Risk Factors – Risks Related to this Offering and Ownership of Our Common Stock – We do not anticipate paying any dividends on our common stock in the foreseeable future,” “Management’s Discussion and Analysis of Financial Condition and Results of Operations – Results of Operations – Liquidity and Capital Resources,” “Description of Material Indebtedness,” and “Description of Capital Stock.”</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29, 2019:</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an as adjusted basis to give effect to (i) our amended and restated certificate of incorporation and amended and restated bylaws as they</w:t>
      </w:r>
    </w:p>
    <w:p>
      <w:pPr>
        <w:sectPr>
          <w:pgSz w:w="11900" w:h="16838" w:orient="portrait"/>
          <w:cols w:equalWidth="0" w:num="1">
            <w:col w:w="11140"/>
          </w:cols>
          <w:pgMar w:left="320" w:top="459" w:right="439" w:bottom="1440" w:gutter="0" w:footer="0" w:header="0"/>
        </w:sectPr>
      </w:pPr>
    </w:p>
    <w:p>
      <w:pPr>
        <w:spacing w:after="0" w:line="46" w:lineRule="exact"/>
        <w:rPr>
          <w:sz w:val="20"/>
          <w:szCs w:val="20"/>
          <w:color w:val="auto"/>
        </w:rPr>
      </w:pPr>
    </w:p>
    <w:p>
      <w:pPr>
        <w:ind w:left="1080" w:right="60"/>
        <w:spacing w:after="0" w:line="265" w:lineRule="auto"/>
        <w:rPr>
          <w:sz w:val="20"/>
          <w:szCs w:val="20"/>
          <w:color w:val="auto"/>
        </w:rPr>
      </w:pPr>
      <w:r>
        <w:rPr>
          <w:rFonts w:ascii="Arial" w:cs="Arial" w:eastAsia="Arial" w:hAnsi="Arial"/>
          <w:sz w:val="17"/>
          <w:szCs w:val="17"/>
          <w:color w:val="auto"/>
        </w:rPr>
        <w:t>will be in effect upon the consummation of this offering and (ii) the sale of shares of our common stock in this offering at an assumed public offering price of $ per share, which is the midpoint of the price range set forth on the cover of this prospectus, and the</w:t>
      </w:r>
    </w:p>
    <w:p>
      <w:pPr>
        <w:sectPr>
          <w:pgSz w:w="11900" w:h="16838" w:orient="portrait"/>
          <w:cols w:equalWidth="0" w:num="1">
            <w:col w:w="11140"/>
          </w:cols>
          <w:pgMar w:left="320" w:top="459" w:right="43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application of the net proceeds received by us from this offering as described under “Use of Proceeds.”</w:t>
      </w:r>
    </w:p>
    <w:p>
      <w:pPr>
        <w:spacing w:after="0" w:line="21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This table should be read in conjunction with “Use of Proceeds,” “Selected Historical Consolidated Financial Data,” “Management’s Discussion and Analysis of Financial Condition and Results of Operations,” “Description of Capital Stock” and the audited consolidated financial statements and notes thereto appearing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As of December 29, 2019</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Actual</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3"/>
          </w:tcPr>
          <w:p>
            <w:pPr>
              <w:jc w:val="center"/>
              <w:ind w:right="50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5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4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4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debt(2)</w:t>
            </w:r>
          </w:p>
        </w:tc>
        <w:tc>
          <w:tcPr>
            <w:tcW w:w="55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liabilities(3)</w:t>
            </w:r>
          </w:p>
        </w:tc>
        <w:tc>
          <w:tcPr>
            <w:tcW w:w="552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49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Common stock, $0.01 par value per share,</w:t>
            </w:r>
          </w:p>
        </w:tc>
        <w:tc>
          <w:tcPr>
            <w:tcW w:w="5520" w:type="dxa"/>
            <w:vAlign w:val="bottom"/>
            <w:gridSpan w:val="2"/>
          </w:tcPr>
          <w:p>
            <w:pPr>
              <w:jc w:val="right"/>
              <w:ind w:right="1808"/>
              <w:spacing w:after="0" w:line="201" w:lineRule="exact"/>
              <w:rPr>
                <w:sz w:val="20"/>
                <w:szCs w:val="20"/>
                <w:color w:val="auto"/>
              </w:rPr>
            </w:pPr>
            <w:r>
              <w:rPr>
                <w:rFonts w:ascii="Arial" w:cs="Arial" w:eastAsia="Arial" w:hAnsi="Arial"/>
                <w:sz w:val="18"/>
                <w:szCs w:val="18"/>
                <w:color w:val="auto"/>
                <w:w w:val="89"/>
              </w:rPr>
              <w:t>shares authorized, actual, authorized, as adjusted,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540"/>
              <w:spacing w:after="0"/>
              <w:rPr>
                <w:sz w:val="20"/>
                <w:szCs w:val="20"/>
                <w:color w:val="auto"/>
              </w:rPr>
            </w:pPr>
            <w:r>
              <w:rPr>
                <w:rFonts w:ascii="Arial" w:cs="Arial" w:eastAsia="Arial" w:hAnsi="Arial"/>
                <w:sz w:val="18"/>
                <w:szCs w:val="18"/>
                <w:color w:val="auto"/>
              </w:rPr>
              <w:t>shares issued and outstanding, actual and</w:t>
            </w:r>
          </w:p>
        </w:tc>
        <w:tc>
          <w:tcPr>
            <w:tcW w:w="5520" w:type="dxa"/>
            <w:vAlign w:val="bottom"/>
            <w:gridSpan w:val="2"/>
          </w:tcPr>
          <w:p>
            <w:pPr>
              <w:jc w:val="right"/>
              <w:ind w:right="2248"/>
              <w:spacing w:after="0"/>
              <w:rPr>
                <w:sz w:val="20"/>
                <w:szCs w:val="20"/>
                <w:color w:val="auto"/>
              </w:rPr>
            </w:pPr>
            <w:r>
              <w:rPr>
                <w:rFonts w:ascii="Arial" w:cs="Arial" w:eastAsia="Arial" w:hAnsi="Arial"/>
                <w:sz w:val="18"/>
                <w:szCs w:val="18"/>
                <w:color w:val="auto"/>
                <w:w w:val="91"/>
              </w:rPr>
              <w:t>shares issued and outstanding, as adjusted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Preferred stock, $0.01 par value per share, no shares authorized, actual, shares authorized, as adjusted, no shares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issued and outstanding, actual and as adjusted</w:t>
            </w:r>
          </w:p>
        </w:tc>
        <w:tc>
          <w:tcPr>
            <w:tcW w:w="4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4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720"/>
              <w:spacing w:after="0"/>
              <w:rPr>
                <w:sz w:val="20"/>
                <w:szCs w:val="20"/>
                <w:color w:val="auto"/>
              </w:rPr>
            </w:pPr>
            <w:r>
              <w:rPr>
                <w:rFonts w:ascii="Arial" w:cs="Arial" w:eastAsia="Arial" w:hAnsi="Arial"/>
                <w:sz w:val="18"/>
                <w:szCs w:val="18"/>
                <w:color w:val="auto"/>
              </w:rPr>
              <w:t>Total equity</w:t>
            </w:r>
          </w:p>
        </w:tc>
        <w:tc>
          <w:tcPr>
            <w:tcW w:w="552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5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$1.00 increase or decrease in the public offering price per share would increase or decrease, as applicable, our net proceeds, after deducting</w:t>
      </w:r>
    </w:p>
    <w:p>
      <w:pPr>
        <w:spacing w:after="0" w:line="46" w:lineRule="exact"/>
        <w:rPr>
          <w:sz w:val="20"/>
          <w:szCs w:val="20"/>
          <w:color w:val="auto"/>
        </w:rPr>
      </w:pPr>
    </w:p>
    <w:p>
      <w:pPr>
        <w:ind w:left="540" w:right="60"/>
        <w:spacing w:after="0" w:line="186" w:lineRule="auto"/>
        <w:rPr>
          <w:sz w:val="20"/>
          <w:szCs w:val="20"/>
          <w:color w:val="auto"/>
        </w:rPr>
      </w:pPr>
      <w:r>
        <w:rPr>
          <w:rFonts w:ascii="Arial" w:cs="Arial" w:eastAsia="Arial" w:hAnsi="Arial"/>
          <w:sz w:val="12"/>
          <w:szCs w:val="12"/>
          <w:color w:val="auto"/>
        </w:rPr>
        <w:t>the underwriting discount and estimated offering expenses payable by us, by $ million (assuming no exercise of the underwriters’ option to purchase additional shares). Similarly, an increase or decrease of one million shares of common stock sold in this offering by us would increase 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40" w:right="400"/>
        <w:spacing w:after="0" w:line="255" w:lineRule="auto"/>
        <w:rPr>
          <w:sz w:val="20"/>
          <w:szCs w:val="20"/>
          <w:color w:val="auto"/>
        </w:rPr>
      </w:pPr>
      <w:r>
        <w:rPr>
          <w:rFonts w:ascii="Arial" w:cs="Arial" w:eastAsia="Arial" w:hAnsi="Arial"/>
          <w:sz w:val="18"/>
          <w:szCs w:val="18"/>
          <w:color w:val="auto"/>
        </w:rPr>
        <w:t>decrease, as applicable, our net proceeds, after deducting the underwriting discount and estimated offering expenses payable by us, by $ , based on an assumed initial public offering price of $ per share, which is the midpoint of the price range set forth on the cover of this prospectus.</w:t>
      </w:r>
    </w:p>
    <w:p>
      <w:pPr>
        <w:spacing w:after="0" w:line="3"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debt does not reflect unamortized debt discount and deferred issuance costs.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a description of facilities, see “Description of Material Indebtedness.”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If you invest in our common stock, your interest will be diluted to the extent of the difference between the initial public offering price per share of our common stock and the net tangible book value per share of our common stock upon the consummation of this offering. Dilution results from the fact that the per share offering price of our common stock is in excess of the book value per share attributable to new investors.</w:t>
      </w:r>
    </w:p>
    <w:p>
      <w:pPr>
        <w:spacing w:after="0" w:line="16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pro forma net tangible book value as of was $ , or $ per share of common stock. Pro forma net tangible book value represents the amount of total tangible assets less total liabilities, and pro forma net tangible book value per share represents pro forma net tangible book value divided by the number of shares of common stock outstanding.</w:t>
      </w:r>
    </w:p>
    <w:p>
      <w:pPr>
        <w:spacing w:after="0" w:line="184" w:lineRule="exact"/>
        <w:rPr>
          <w:sz w:val="20"/>
          <w:szCs w:val="20"/>
          <w:color w:val="auto"/>
        </w:rPr>
      </w:pPr>
    </w:p>
    <w:p>
      <w:pPr>
        <w:ind w:left="120" w:right="340" w:firstLine="440"/>
        <w:spacing w:after="0" w:line="274" w:lineRule="auto"/>
        <w:rPr>
          <w:sz w:val="20"/>
          <w:szCs w:val="20"/>
          <w:color w:val="auto"/>
        </w:rPr>
      </w:pPr>
      <w:r>
        <w:rPr>
          <w:rFonts w:ascii="Arial" w:cs="Arial" w:eastAsia="Arial" w:hAnsi="Arial"/>
          <w:sz w:val="17"/>
          <w:szCs w:val="17"/>
          <w:color w:val="auto"/>
        </w:rPr>
        <w:t>After giving effect to (i) the sale of shares of common stock in this offering at the assumed initial public offering price of $ per share (the midpoint of the price range set forth on the cover of this prospectus) and (ii) the application of the net proceeds from this offering, our pro</w:t>
      </w:r>
    </w:p>
    <w:tbl>
      <w:tblPr>
        <w:tblLayout w:type="fixed"/>
        <w:tblInd w:w="120" w:type="dxa"/>
        <w:tblCellMar>
          <w:top w:w="0" w:type="dxa"/>
          <w:left w:w="0" w:type="dxa"/>
          <w:bottom w:w="0" w:type="dxa"/>
          <w:right w:w="0" w:type="dxa"/>
        </w:tblCellMar>
      </w:tblPr>
      <w:tr>
        <w:trPr>
          <w:trHeight w:val="202"/>
        </w:trPr>
        <w:tc>
          <w:tcPr>
            <w:tcW w:w="4020" w:type="dxa"/>
            <w:vAlign w:val="bottom"/>
            <w:gridSpan w:val="3"/>
          </w:tcPr>
          <w:p>
            <w:pPr>
              <w:spacing w:after="0" w:line="201" w:lineRule="exact"/>
              <w:rPr>
                <w:sz w:val="20"/>
                <w:szCs w:val="20"/>
                <w:color w:val="auto"/>
              </w:rPr>
            </w:pPr>
            <w:r>
              <w:rPr>
                <w:rFonts w:ascii="Arial" w:cs="Arial" w:eastAsia="Arial" w:hAnsi="Arial"/>
                <w:sz w:val="18"/>
                <w:szCs w:val="18"/>
                <w:color w:val="auto"/>
              </w:rPr>
              <w:t>forma as adjusted net tangible book value as of</w:t>
            </w:r>
          </w:p>
        </w:tc>
        <w:tc>
          <w:tcPr>
            <w:tcW w:w="1500" w:type="dxa"/>
            <w:vAlign w:val="bottom"/>
          </w:tcPr>
          <w:p>
            <w:pPr>
              <w:ind w:left="80"/>
              <w:spacing w:after="0" w:line="201" w:lineRule="exact"/>
              <w:rPr>
                <w:sz w:val="20"/>
                <w:szCs w:val="20"/>
                <w:color w:val="auto"/>
              </w:rPr>
            </w:pPr>
            <w:r>
              <w:rPr>
                <w:rFonts w:ascii="Arial" w:cs="Arial" w:eastAsia="Arial" w:hAnsi="Arial"/>
                <w:sz w:val="18"/>
                <w:szCs w:val="18"/>
                <w:color w:val="auto"/>
                <w:w w:val="92"/>
              </w:rPr>
              <w:t>would have been $</w:t>
            </w:r>
          </w:p>
        </w:tc>
        <w:tc>
          <w:tcPr>
            <w:tcW w:w="1500" w:type="dxa"/>
            <w:vAlign w:val="bottom"/>
          </w:tcPr>
          <w:p>
            <w:pPr>
              <w:ind w:left="380"/>
              <w:spacing w:after="0" w:line="201" w:lineRule="exact"/>
              <w:rPr>
                <w:sz w:val="20"/>
                <w:szCs w:val="20"/>
                <w:color w:val="auto"/>
              </w:rPr>
            </w:pPr>
            <w:r>
              <w:rPr>
                <w:rFonts w:ascii="Arial" w:cs="Arial" w:eastAsia="Arial" w:hAnsi="Arial"/>
                <w:sz w:val="18"/>
                <w:szCs w:val="18"/>
                <w:color w:val="auto"/>
              </w:rPr>
              <w:t>million, or $</w:t>
            </w:r>
          </w:p>
        </w:tc>
        <w:tc>
          <w:tcPr>
            <w:tcW w:w="3900" w:type="dxa"/>
            <w:vAlign w:val="bottom"/>
            <w:gridSpan w:val="3"/>
          </w:tcPr>
          <w:p>
            <w:pPr>
              <w:jc w:val="right"/>
              <w:spacing w:after="0" w:line="201" w:lineRule="exact"/>
              <w:rPr>
                <w:sz w:val="20"/>
                <w:szCs w:val="20"/>
                <w:color w:val="auto"/>
              </w:rPr>
            </w:pPr>
            <w:r>
              <w:rPr>
                <w:rFonts w:ascii="Arial" w:cs="Arial" w:eastAsia="Arial" w:hAnsi="Arial"/>
                <w:sz w:val="18"/>
                <w:szCs w:val="18"/>
                <w:color w:val="auto"/>
                <w:w w:val="93"/>
              </w:rPr>
              <w:t>per share. This represents an immediate increase in</w:t>
            </w: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pro forma as adjusted net tangible book value of $</w:t>
            </w:r>
          </w:p>
        </w:tc>
        <w:tc>
          <w:tcPr>
            <w:tcW w:w="6900" w:type="dxa"/>
            <w:vAlign w:val="bottom"/>
            <w:gridSpan w:val="5"/>
          </w:tcPr>
          <w:p>
            <w:pPr>
              <w:jc w:val="right"/>
              <w:ind w:right="460"/>
              <w:spacing w:after="0"/>
              <w:rPr>
                <w:sz w:val="20"/>
                <w:szCs w:val="20"/>
                <w:color w:val="auto"/>
              </w:rPr>
            </w:pPr>
            <w:r>
              <w:rPr>
                <w:rFonts w:ascii="Arial" w:cs="Arial" w:eastAsia="Arial" w:hAnsi="Arial"/>
                <w:sz w:val="18"/>
                <w:szCs w:val="18"/>
                <w:color w:val="auto"/>
                <w:w w:val="90"/>
              </w:rPr>
              <w:t>per share to our existing investors and an immediate dilution in pro forma as adjusted net</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tangible book value of $</w:t>
            </w:r>
          </w:p>
        </w:tc>
        <w:tc>
          <w:tcPr>
            <w:tcW w:w="3560" w:type="dxa"/>
            <w:vAlign w:val="bottom"/>
            <w:gridSpan w:val="2"/>
          </w:tcPr>
          <w:p>
            <w:pPr>
              <w:ind w:left="240"/>
              <w:spacing w:after="0"/>
              <w:rPr>
                <w:sz w:val="20"/>
                <w:szCs w:val="20"/>
                <w:color w:val="auto"/>
              </w:rPr>
            </w:pPr>
            <w:r>
              <w:rPr>
                <w:rFonts w:ascii="Arial" w:cs="Arial" w:eastAsia="Arial" w:hAnsi="Arial"/>
                <w:sz w:val="18"/>
                <w:szCs w:val="18"/>
                <w:color w:val="auto"/>
              </w:rPr>
              <w:t>per share to new investors.</w:t>
            </w:r>
          </w:p>
        </w:tc>
        <w:tc>
          <w:tcPr>
            <w:tcW w:w="15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20" w:type="dxa"/>
            <w:vAlign w:val="bottom"/>
            <w:gridSpan w:val="5"/>
          </w:tcPr>
          <w:p>
            <w:pPr>
              <w:spacing w:after="0"/>
              <w:rPr>
                <w:sz w:val="20"/>
                <w:szCs w:val="20"/>
                <w:color w:val="auto"/>
              </w:rPr>
            </w:pPr>
            <w:r>
              <w:rPr>
                <w:rFonts w:ascii="Arial" w:cs="Arial" w:eastAsia="Arial" w:hAnsi="Arial"/>
                <w:sz w:val="18"/>
                <w:szCs w:val="18"/>
                <w:color w:val="auto"/>
              </w:rPr>
              <w:t>The following table illustrates this dilution on a per share of common stock basis:</w:t>
            </w:r>
          </w:p>
        </w:tc>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3580" w:type="dxa"/>
            <w:vAlign w:val="bottom"/>
            <w:gridSpan w:val="2"/>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Assumed initial public offering price per share</w:t>
            </w:r>
          </w:p>
        </w:tc>
        <w:tc>
          <w:tcPr>
            <w:tcW w:w="1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540" w:type="dxa"/>
            <w:vAlign w:val="bottom"/>
            <w:tcBorders>
              <w:right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w w:val="90"/>
              </w:rPr>
              <w:t>Pro forma net tangible book value per share as of</w:t>
            </w:r>
          </w:p>
        </w:tc>
        <w:tc>
          <w:tcPr>
            <w:tcW w:w="1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Increase in pro forma net tangible book value per share attributable to new investors</w:t>
            </w:r>
          </w:p>
        </w:tc>
        <w:tc>
          <w:tcPr>
            <w:tcW w:w="3540" w:type="dxa"/>
            <w:vAlign w:val="bottom"/>
            <w:tcBorders>
              <w:right w:val="single" w:sz="8" w:color="CCEEFF"/>
            </w:tcBorders>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gridSpan w:val="5"/>
          </w:tcPr>
          <w:p>
            <w:pPr>
              <w:ind w:left="44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800" w:type="dxa"/>
            <w:vAlign w:val="bottom"/>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28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4"/>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4"/>
          </w:tcPr>
          <w:p>
            <w:pPr>
              <w:ind w:left="440"/>
              <w:spacing w:after="0"/>
              <w:rPr>
                <w:sz w:val="20"/>
                <w:szCs w:val="20"/>
                <w:color w:val="auto"/>
              </w:rPr>
            </w:pPr>
            <w:r>
              <w:rPr>
                <w:rFonts w:ascii="Arial" w:cs="Arial" w:eastAsia="Arial" w:hAnsi="Arial"/>
                <w:sz w:val="18"/>
                <w:szCs w:val="18"/>
                <w:color w:val="auto"/>
              </w:rPr>
              <w:t>The following table summarizes, on an as adjusted basis as of</w:t>
            </w:r>
          </w:p>
        </w:tc>
        <w:tc>
          <w:tcPr>
            <w:tcW w:w="5400" w:type="dxa"/>
            <w:vAlign w:val="bottom"/>
            <w:gridSpan w:val="4"/>
          </w:tcPr>
          <w:p>
            <w:pPr>
              <w:jc w:val="right"/>
              <w:spacing w:after="0"/>
              <w:rPr>
                <w:sz w:val="20"/>
                <w:szCs w:val="20"/>
                <w:color w:val="auto"/>
              </w:rPr>
            </w:pPr>
            <w:r>
              <w:rPr>
                <w:rFonts w:ascii="Arial" w:cs="Arial" w:eastAsia="Arial" w:hAnsi="Arial"/>
                <w:sz w:val="18"/>
                <w:szCs w:val="18"/>
                <w:color w:val="auto"/>
                <w:w w:val="93"/>
              </w:rPr>
              <w:t>, after giving effect to this offering, the total number of shares of common</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stock purchased from us, the total cash consideration paid to us, or to be paid, and the average price per share paid, or to be paid, by new investors</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w w:val="91"/>
              </w:rPr>
              <w:t>purchasing shares in this offering, at an assumed initial public offering price of $</w:t>
            </w:r>
          </w:p>
        </w:tc>
        <w:tc>
          <w:tcPr>
            <w:tcW w:w="220" w:type="dxa"/>
            <w:vAlign w:val="bottom"/>
          </w:tcPr>
          <w:p>
            <w:pPr>
              <w:spacing w:after="0"/>
              <w:rPr>
                <w:sz w:val="18"/>
                <w:szCs w:val="18"/>
                <w:color w:val="auto"/>
              </w:rPr>
            </w:pPr>
          </w:p>
        </w:tc>
        <w:tc>
          <w:tcPr>
            <w:tcW w:w="4980" w:type="dxa"/>
            <w:vAlign w:val="bottom"/>
            <w:gridSpan w:val="13"/>
          </w:tcPr>
          <w:p>
            <w:pPr>
              <w:ind w:left="180"/>
              <w:spacing w:after="0"/>
              <w:rPr>
                <w:sz w:val="20"/>
                <w:szCs w:val="20"/>
                <w:color w:val="auto"/>
              </w:rPr>
            </w:pPr>
            <w:r>
              <w:rPr>
                <w:rFonts w:ascii="Arial" w:cs="Arial" w:eastAsia="Arial" w:hAnsi="Arial"/>
                <w:sz w:val="18"/>
                <w:szCs w:val="18"/>
                <w:color w:val="auto"/>
                <w:w w:val="90"/>
              </w:rPr>
              <w:t>per share, which is the midpoint of the range set forth on the cover</w:t>
            </w:r>
          </w:p>
        </w:tc>
        <w:tc>
          <w:tcPr>
            <w:tcW w:w="0" w:type="dxa"/>
            <w:vAlign w:val="bottom"/>
          </w:tcPr>
          <w:p>
            <w:pPr>
              <w:spacing w:after="0"/>
              <w:rPr>
                <w:sz w:val="1"/>
                <w:szCs w:val="1"/>
                <w:color w:val="auto"/>
              </w:rPr>
            </w:pPr>
          </w:p>
        </w:tc>
      </w:tr>
      <w:tr>
        <w:trPr>
          <w:trHeight w:val="230"/>
        </w:trPr>
        <w:tc>
          <w:tcPr>
            <w:tcW w:w="7260" w:type="dxa"/>
            <w:vAlign w:val="bottom"/>
            <w:gridSpan w:val="5"/>
          </w:tcPr>
          <w:p>
            <w:pPr>
              <w:spacing w:after="0"/>
              <w:rPr>
                <w:sz w:val="20"/>
                <w:szCs w:val="20"/>
                <w:color w:val="auto"/>
              </w:rPr>
            </w:pPr>
            <w:r>
              <w:rPr>
                <w:rFonts w:ascii="Arial" w:cs="Arial" w:eastAsia="Arial" w:hAnsi="Arial"/>
                <w:sz w:val="18"/>
                <w:szCs w:val="18"/>
                <w:color w:val="auto"/>
                <w:w w:val="98"/>
              </w:rPr>
              <w:t>of this prospectus, before deducting the estimated underwriting discounts and commissions: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8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8"/>
              </w:rPr>
              <w:t>Shares Purchased</w:t>
            </w:r>
          </w:p>
        </w:tc>
        <w:tc>
          <w:tcPr>
            <w:tcW w:w="420" w:type="dxa"/>
            <w:vAlign w:val="bottom"/>
            <w:vMerge w:val="restart"/>
          </w:tcPr>
          <w:p>
            <w:pPr>
              <w:spacing w:after="0"/>
              <w:rPr>
                <w:sz w:val="24"/>
                <w:szCs w:val="24"/>
                <w:color w:val="auto"/>
              </w:rPr>
            </w:pPr>
          </w:p>
        </w:tc>
        <w:tc>
          <w:tcPr>
            <w:tcW w:w="14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Total Consideration</w:t>
            </w:r>
          </w:p>
        </w:tc>
        <w:tc>
          <w:tcPr>
            <w:tcW w:w="3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1860" w:type="dxa"/>
            <w:vAlign w:val="bottom"/>
          </w:tcPr>
          <w:p>
            <w:pPr>
              <w:spacing w:after="0"/>
              <w:rPr>
                <w:sz w:val="6"/>
                <w:szCs w:val="6"/>
                <w:color w:val="auto"/>
              </w:rPr>
            </w:pPr>
          </w:p>
        </w:tc>
        <w:tc>
          <w:tcPr>
            <w:tcW w:w="3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Borders>
              <w:bottom w:val="single" w:sz="8" w:color="auto"/>
            </w:tcBorders>
            <w:gridSpan w:val="3"/>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40" w:type="dxa"/>
            <w:vAlign w:val="bottom"/>
            <w:tcBorders>
              <w:bottom w:val="single" w:sz="8" w:color="auto"/>
            </w:tcBorders>
            <w:gridSpan w:val="4"/>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9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9"/>
              </w:rPr>
              <w:t>Percent</w:t>
            </w:r>
          </w:p>
        </w:tc>
        <w:tc>
          <w:tcPr>
            <w:tcW w:w="6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85"/>
              </w:rPr>
              <w:t>Percent</w:t>
            </w: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9"/>
        </w:trPr>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rPr>
              <w:t>New investors</w:t>
            </w: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40" w:type="dxa"/>
            <w:vAlign w:val="bottom"/>
            <w:gridSpan w:val="3"/>
          </w:tcPr>
          <w:p>
            <w:pPr>
              <w:ind w:left="440"/>
              <w:spacing w:after="0"/>
              <w:rPr>
                <w:sz w:val="20"/>
                <w:szCs w:val="20"/>
                <w:color w:val="auto"/>
              </w:rPr>
            </w:pPr>
            <w:r>
              <w:rPr>
                <w:rFonts w:ascii="Arial" w:cs="Arial" w:eastAsia="Arial" w:hAnsi="Arial"/>
                <w:sz w:val="18"/>
                <w:szCs w:val="18"/>
                <w:color w:val="auto"/>
                <w:w w:val="93"/>
              </w:rPr>
              <w:t>A $1.00 increase (decrease) in the assumed initial public offering price of $</w:t>
            </w:r>
          </w:p>
        </w:tc>
        <w:tc>
          <w:tcPr>
            <w:tcW w:w="4980" w:type="dxa"/>
            <w:vAlign w:val="bottom"/>
            <w:gridSpan w:val="13"/>
          </w:tcPr>
          <w:p>
            <w:pPr>
              <w:jc w:val="right"/>
              <w:ind w:right="80"/>
              <w:spacing w:after="0"/>
              <w:rPr>
                <w:sz w:val="20"/>
                <w:szCs w:val="20"/>
                <w:color w:val="auto"/>
              </w:rPr>
            </w:pPr>
            <w:r>
              <w:rPr>
                <w:rFonts w:ascii="Arial" w:cs="Arial" w:eastAsia="Arial" w:hAnsi="Arial"/>
                <w:sz w:val="18"/>
                <w:szCs w:val="18"/>
                <w:color w:val="auto"/>
                <w:w w:val="91"/>
              </w:rPr>
              <w:t>per share would increase (decrease) our pro forma as adjusted net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4"/>
              </w:rPr>
              <w:t>tangible book value by $</w:t>
            </w:r>
          </w:p>
        </w:tc>
        <w:tc>
          <w:tcPr>
            <w:tcW w:w="7180" w:type="dxa"/>
            <w:vAlign w:val="bottom"/>
            <w:gridSpan w:val="8"/>
          </w:tcPr>
          <w:p>
            <w:pPr>
              <w:jc w:val="right"/>
              <w:ind w:right="299"/>
              <w:spacing w:after="0"/>
              <w:rPr>
                <w:sz w:val="20"/>
                <w:szCs w:val="20"/>
                <w:color w:val="auto"/>
              </w:rPr>
            </w:pPr>
            <w:r>
              <w:rPr>
                <w:rFonts w:ascii="Arial" w:cs="Arial" w:eastAsia="Arial" w:hAnsi="Arial"/>
                <w:sz w:val="18"/>
                <w:szCs w:val="18"/>
                <w:color w:val="auto"/>
                <w:w w:val="94"/>
              </w:rPr>
              <w:t>million, the pro forma as adjusted net tangible book value per share after this offering by $</w:t>
            </w:r>
          </w:p>
        </w:tc>
        <w:tc>
          <w:tcPr>
            <w:tcW w:w="1980" w:type="dxa"/>
            <w:vAlign w:val="bottom"/>
            <w:gridSpan w:val="7"/>
          </w:tcPr>
          <w:p>
            <w:pPr>
              <w:ind w:left="20"/>
              <w:spacing w:after="0"/>
              <w:rPr>
                <w:sz w:val="20"/>
                <w:szCs w:val="20"/>
                <w:color w:val="auto"/>
              </w:rPr>
            </w:pPr>
            <w:r>
              <w:rPr>
                <w:rFonts w:ascii="Arial" w:cs="Arial" w:eastAsia="Arial" w:hAnsi="Arial"/>
                <w:sz w:val="18"/>
                <w:szCs w:val="18"/>
                <w:color w:val="auto"/>
                <w:w w:val="95"/>
              </w:rPr>
              <w:t>and the dilution per share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to new investors by $</w:t>
            </w:r>
          </w:p>
        </w:tc>
        <w:tc>
          <w:tcPr>
            <w:tcW w:w="9160" w:type="dxa"/>
            <w:vAlign w:val="bottom"/>
            <w:gridSpan w:val="15"/>
          </w:tcPr>
          <w:p>
            <w:pPr>
              <w:ind w:left="80"/>
              <w:spacing w:after="0"/>
              <w:rPr>
                <w:sz w:val="20"/>
                <w:szCs w:val="20"/>
                <w:color w:val="auto"/>
              </w:rPr>
            </w:pPr>
            <w:r>
              <w:rPr>
                <w:rFonts w:ascii="Arial" w:cs="Arial" w:eastAsia="Arial" w:hAnsi="Arial"/>
                <w:sz w:val="18"/>
                <w:szCs w:val="18"/>
                <w:color w:val="auto"/>
                <w:w w:val="95"/>
              </w:rPr>
              <w:t>assuming the number of shares offered by us, as set forth on the cover of this prospectus, remains the same, and after</w:t>
            </w:r>
          </w:p>
        </w:tc>
        <w:tc>
          <w:tcPr>
            <w:tcW w:w="0" w:type="dxa"/>
            <w:vAlign w:val="bottom"/>
          </w:tcPr>
          <w:p>
            <w:pPr>
              <w:spacing w:after="0"/>
              <w:rPr>
                <w:sz w:val="1"/>
                <w:szCs w:val="1"/>
                <w:color w:val="auto"/>
              </w:rPr>
            </w:pPr>
          </w:p>
        </w:tc>
      </w:tr>
      <w:tr>
        <w:trPr>
          <w:trHeight w:val="230"/>
        </w:trPr>
        <w:tc>
          <w:tcPr>
            <w:tcW w:w="8420" w:type="dxa"/>
            <w:vAlign w:val="bottom"/>
            <w:gridSpan w:val="8"/>
          </w:tcPr>
          <w:p>
            <w:pPr>
              <w:spacing w:after="0"/>
              <w:rPr>
                <w:sz w:val="20"/>
                <w:szCs w:val="20"/>
                <w:color w:val="auto"/>
              </w:rPr>
            </w:pPr>
            <w:r>
              <w:rPr>
                <w:rFonts w:ascii="Arial" w:cs="Arial" w:eastAsia="Arial" w:hAnsi="Arial"/>
                <w:sz w:val="18"/>
                <w:szCs w:val="18"/>
                <w:color w:val="auto"/>
                <w:w w:val="92"/>
              </w:rPr>
              <w:t>deducting the estimated underwriting discounts and commissions and estimated offering expenses payable by us.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20" w:type="dxa"/>
            <w:vAlign w:val="bottom"/>
            <w:gridSpan w:val="2"/>
          </w:tcPr>
          <w:p>
            <w:pPr>
              <w:ind w:left="440"/>
              <w:spacing w:after="0"/>
              <w:rPr>
                <w:sz w:val="20"/>
                <w:szCs w:val="20"/>
                <w:color w:val="auto"/>
              </w:rPr>
            </w:pPr>
            <w:r>
              <w:rPr>
                <w:rFonts w:ascii="Arial" w:cs="Arial" w:eastAsia="Arial" w:hAnsi="Arial"/>
                <w:sz w:val="18"/>
                <w:szCs w:val="18"/>
                <w:color w:val="auto"/>
              </w:rPr>
              <w:t>If the underwriters were to fully exercise their option to purchase</w:t>
            </w:r>
          </w:p>
        </w:tc>
        <w:tc>
          <w:tcPr>
            <w:tcW w:w="5200" w:type="dxa"/>
            <w:vAlign w:val="bottom"/>
            <w:gridSpan w:val="14"/>
          </w:tcPr>
          <w:p>
            <w:pPr>
              <w:jc w:val="right"/>
              <w:ind w:right="80"/>
              <w:spacing w:after="0"/>
              <w:rPr>
                <w:sz w:val="20"/>
                <w:szCs w:val="20"/>
                <w:color w:val="auto"/>
              </w:rPr>
            </w:pPr>
            <w:r>
              <w:rPr>
                <w:rFonts w:ascii="Arial" w:cs="Arial" w:eastAsia="Arial" w:hAnsi="Arial"/>
                <w:sz w:val="18"/>
                <w:szCs w:val="18"/>
                <w:color w:val="auto"/>
                <w:w w:val="89"/>
              </w:rPr>
              <w:t>additional shares of our common stock, the percentage of shares of our</w:t>
            </w:r>
          </w:p>
        </w:tc>
        <w:tc>
          <w:tcPr>
            <w:tcW w:w="0" w:type="dxa"/>
            <w:vAlign w:val="bottom"/>
          </w:tcPr>
          <w:p>
            <w:pPr>
              <w:spacing w:after="0"/>
              <w:rPr>
                <w:sz w:val="1"/>
                <w:szCs w:val="1"/>
                <w:color w:val="auto"/>
              </w:rPr>
            </w:pPr>
          </w:p>
        </w:tc>
      </w:tr>
      <w:tr>
        <w:trPr>
          <w:trHeight w:val="230"/>
        </w:trPr>
        <w:tc>
          <w:tcPr>
            <w:tcW w:w="10160" w:type="dxa"/>
            <w:vAlign w:val="bottom"/>
            <w:gridSpan w:val="13"/>
          </w:tcPr>
          <w:p>
            <w:pPr>
              <w:spacing w:after="0"/>
              <w:rPr>
                <w:sz w:val="20"/>
                <w:szCs w:val="20"/>
                <w:color w:val="auto"/>
              </w:rPr>
            </w:pPr>
            <w:r>
              <w:rPr>
                <w:rFonts w:ascii="Arial" w:cs="Arial" w:eastAsia="Arial" w:hAnsi="Arial"/>
                <w:sz w:val="18"/>
                <w:szCs w:val="18"/>
                <w:color w:val="auto"/>
                <w:w w:val="92"/>
              </w:rPr>
              <w:t>common stock held by existing investors would be   %, and the percentage of shares of our common stock held by new investors would be</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60" w:type="dxa"/>
            <w:vAlign w:val="bottom"/>
          </w:tcPr>
          <w:p>
            <w:pPr>
              <w:spacing w:after="0"/>
              <w:rPr>
                <w:sz w:val="24"/>
                <w:szCs w:val="24"/>
                <w:color w:val="auto"/>
              </w:rPr>
            </w:pPr>
          </w:p>
        </w:tc>
        <w:tc>
          <w:tcPr>
            <w:tcW w:w="396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9580" w:val="left"/>
        </w:tabs>
        <w:rPr>
          <w:sz w:val="20"/>
          <w:szCs w:val="20"/>
          <w:color w:val="auto"/>
        </w:rPr>
      </w:pPr>
      <w:r>
        <w:rPr>
          <w:rFonts w:ascii="Arial" w:cs="Arial" w:eastAsia="Arial" w:hAnsi="Arial"/>
          <w:sz w:val="18"/>
          <w:szCs w:val="18"/>
          <w:color w:val="auto"/>
        </w:rPr>
        <w:t>The above discussion and tables are based on the number of shares and options to purchase shares outstanding as of</w:t>
      </w:r>
      <w:r>
        <w:rPr>
          <w:sz w:val="20"/>
          <w:szCs w:val="20"/>
          <w:color w:val="auto"/>
        </w:rPr>
        <w:tab/>
      </w:r>
      <w:r>
        <w:rPr>
          <w:rFonts w:ascii="Arial" w:cs="Arial" w:eastAsia="Arial" w:hAnsi="Arial"/>
          <w:sz w:val="16"/>
          <w:szCs w:val="16"/>
          <w:color w:val="auto"/>
        </w:rPr>
        <w:t>. In addition, we</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following tables set forth our selected historical consolidated financial data for the periods as of the dates indicated. We derived the summary consolidated statement of operations data for the fiscal year ended December 30, 2018 from the audited consolidated financial statements and related notes thereto included elsewhere in this prospectus. We derived the consolidated balance sheet data as of December 30, 2018 from our audited consolidated financial statements and related notes thereto included elsewhere in this prospectus.</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historical results are not necessarily indicative of future results of operations. You should read the information set forth below together with “Prospectus Summary – Summary Historical Consolidated Financial and Other Data,” “Management’s Discussion and Analysis of Financial Condition and Results of Operations,” “Capitalization” and our audited consolidated financial statements and the related notes thereto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8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30, 2018</w:t>
            </w:r>
          </w:p>
        </w:tc>
      </w:tr>
      <w:tr>
        <w:trPr>
          <w:trHeight w:val="119"/>
        </w:trPr>
        <w:tc>
          <w:tcPr>
            <w:tcW w:w="8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jc w:val="center"/>
              <w:ind w:right="32"/>
              <w:spacing w:after="0" w:line="119" w:lineRule="exact"/>
              <w:rPr>
                <w:sz w:val="20"/>
                <w:szCs w:val="20"/>
                <w:color w:val="auto"/>
              </w:rPr>
            </w:pPr>
            <w:r>
              <w:rPr>
                <w:rFonts w:ascii="Arial" w:cs="Arial" w:eastAsia="Arial" w:hAnsi="Arial"/>
                <w:sz w:val="13"/>
                <w:szCs w:val="13"/>
                <w:b w:val="1"/>
                <w:bCs w:val="1"/>
                <w:color w:val="auto"/>
                <w:w w:val="97"/>
              </w:rPr>
              <w:t>(in thousands, except</w:t>
            </w:r>
          </w:p>
        </w:tc>
        <w:tc>
          <w:tcPr>
            <w:tcW w:w="120" w:type="dxa"/>
            <w:vAlign w:val="bottom"/>
          </w:tcPr>
          <w:p>
            <w:pPr>
              <w:spacing w:after="0"/>
              <w:rPr>
                <w:sz w:val="10"/>
                <w:szCs w:val="10"/>
                <w:color w:val="auto"/>
              </w:rPr>
            </w:pPr>
          </w:p>
        </w:tc>
      </w:tr>
      <w:tr>
        <w:trPr>
          <w:trHeight w:val="171"/>
        </w:trPr>
        <w:tc>
          <w:tcPr>
            <w:tcW w:w="8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share and per share data)</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and Comprehensive Loss: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Restaurant sales</w:t>
            </w:r>
          </w:p>
        </w:tc>
        <w:tc>
          <w:tcPr>
            <w:tcW w:w="13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342,357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Franchise revenues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7,409</w:t>
            </w:r>
          </w:p>
        </w:tc>
      </w:tr>
      <w:tr>
        <w:trPr>
          <w:trHeight w:val="27"/>
        </w:trPr>
        <w:tc>
          <w:tcPr>
            <w:tcW w:w="8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349,766</w:t>
            </w: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Restaurant operating expenses (exclusive of depreciation and amortization shown below):</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Cost of sales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78,939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 and other related expenses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116,546</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Other restaurant operating expenses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46,769</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 expenses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36,151</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39,299</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26,124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Transaction and other expenses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2,047</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loss on disposal of assets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r>
      <w:tr>
        <w:trPr>
          <w:trHeight w:val="230"/>
        </w:trPr>
        <w:tc>
          <w:tcPr>
            <w:tcW w:w="814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1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346,533</w:t>
            </w:r>
          </w:p>
        </w:tc>
        <w:tc>
          <w:tcPr>
            <w:tcW w:w="12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(16,480)</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Loss before income tax benefit</w:t>
            </w:r>
          </w:p>
        </w:tc>
        <w:tc>
          <w:tcPr>
            <w:tcW w:w="1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Net loss and total comprehensive loss</w:t>
            </w:r>
          </w:p>
        </w:tc>
        <w:tc>
          <w:tcPr>
            <w:tcW w:w="1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19"/>
                <w:szCs w:val="19"/>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23"/>
        </w:trPr>
        <w:tc>
          <w:tcPr>
            <w:tcW w:w="8140" w:type="dxa"/>
            <w:vAlign w:val="bottom"/>
          </w:tcPr>
          <w:p>
            <w:pPr>
              <w:spacing w:after="0"/>
              <w:rPr>
                <w:sz w:val="20"/>
                <w:szCs w:val="20"/>
                <w:color w:val="auto"/>
              </w:rPr>
            </w:pPr>
            <w:r>
              <w:rPr>
                <w:rFonts w:ascii="Arial" w:cs="Arial" w:eastAsia="Arial" w:hAnsi="Arial"/>
                <w:sz w:val="18"/>
                <w:szCs w:val="18"/>
                <w:b w:val="1"/>
                <w:bCs w:val="1"/>
                <w:color w:val="auto"/>
              </w:rPr>
              <w:t>Net loss attributable to First Watch Restaurant Group, Inc.</w:t>
            </w:r>
          </w:p>
        </w:tc>
        <w:tc>
          <w:tcPr>
            <w:tcW w:w="1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(12,296)</w:t>
            </w:r>
          </w:p>
        </w:tc>
        <w:tc>
          <w:tcPr>
            <w:tcW w:w="12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attributable to First Watch Restaurant Group, Inc. – basic and diluted</w:t>
            </w:r>
          </w:p>
        </w:tc>
        <w:tc>
          <w:tcPr>
            <w:tcW w:w="13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3,802,481</w:t>
            </w:r>
          </w:p>
        </w:tc>
      </w:tr>
      <w:tr>
        <w:trPr>
          <w:trHeight w:val="350"/>
        </w:trPr>
        <w:tc>
          <w:tcPr>
            <w:tcW w:w="8140" w:type="dxa"/>
            <w:vAlign w:val="bottom"/>
          </w:tcPr>
          <w:p>
            <w:pPr>
              <w:ind w:left="5420"/>
              <w:spacing w:after="0"/>
              <w:rPr>
                <w:sz w:val="20"/>
                <w:szCs w:val="20"/>
                <w:color w:val="auto"/>
              </w:rPr>
            </w:pPr>
            <w:r>
              <w:rPr>
                <w:rFonts w:ascii="Arial" w:cs="Arial" w:eastAsia="Arial" w:hAnsi="Arial"/>
                <w:sz w:val="18"/>
                <w:szCs w:val="18"/>
                <w:color w:val="auto"/>
              </w:rPr>
              <w:t>51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30, 2018</w:t>
            </w:r>
          </w:p>
        </w:tc>
      </w:tr>
      <w:tr>
        <w:trPr>
          <w:trHeight w:val="142"/>
        </w:trPr>
        <w:tc>
          <w:tcPr>
            <w:tcW w:w="9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16,284</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664,511</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Total debt(1)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195,396</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289,837</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(7,461)</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374,674</w:t>
            </w:r>
          </w:p>
        </w:tc>
      </w:tr>
    </w:tbl>
    <w:p>
      <w:pPr>
        <w:spacing w:after="0" w:line="229" w:lineRule="exact"/>
        <w:rPr>
          <w:sz w:val="20"/>
          <w:szCs w:val="20"/>
          <w:color w:val="auto"/>
        </w:rPr>
      </w:pPr>
    </w:p>
    <w:p>
      <w:pPr>
        <w:ind w:left="5540" w:right="5080" w:hanging="5424"/>
        <w:spacing w:after="0" w:line="413" w:lineRule="auto"/>
        <w:tabs>
          <w:tab w:leader="none" w:pos="662"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Total debt excludes unamortized debt discount and deferred issuance costs. 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together with the sections entitled “Prospectus Summary</w:t>
      </w:r>
    </w:p>
    <w:p>
      <w:pPr>
        <w:ind w:left="120" w:right="80"/>
        <w:spacing w:after="0" w:line="252" w:lineRule="auto"/>
        <w:rPr>
          <w:sz w:val="20"/>
          <w:szCs w:val="20"/>
          <w:color w:val="auto"/>
        </w:rPr>
      </w:pPr>
      <w:r>
        <w:rPr>
          <w:rFonts w:ascii="Arial" w:cs="Arial" w:eastAsia="Arial" w:hAnsi="Arial"/>
          <w:sz w:val="18"/>
          <w:szCs w:val="18"/>
          <w:i w:val="1"/>
          <w:iCs w:val="1"/>
          <w:color w:val="auto"/>
        </w:rPr>
        <w:t>– Summary Historical Consolidated Financial and Other Data,” “Risk Factors,” “Cautionary Note Regarding Forward-Looking Statements,” “Selected Historical Consolidated Financial Data” and our audited consolidated financial statements and the related notes thereto included elsewhere in this prospectus.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“Risk Factors” and “Cautionary Note Regarding Forward-Looking Statements.” Our actual results may differ materially from those contained in or implied by these forward-looking statements.</w:t>
      </w:r>
    </w:p>
    <w:p>
      <w:pPr>
        <w:spacing w:after="0" w:line="30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We use a 52- or 53-week fiscal year ending on the last Sunday of each calendar year. All references to fiscal 2018 reflect the results of the 52-week fiscal year ended December 30, 2018. All references to fiscal 2019 reflect the results of the 52-week fiscal year ended December 29, 2019. Our fiscal quarters are comprised of 13 weeks each, except for fiscal years consisting of 53 weeks for which the fourth quarter will consist of 14 weeks, and end on the 13th Sunday of each quarter (14th Sunday of the fourth quarter, when applicable).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First Watch is a high-growth daytime restaurant concept serving made-to-order breakfast, brunch and lunch using fresh ingredients. The original First Watch opened in 1983 in Pacific Grove, California. Founder John Sullivan and his colleague Ken Pendery set out to create a place of their own based upon their shared vision of what a neighborhood cafe should be. Long before “farm to table” became a culinary mantra, First Watch incorporated fresh, quality ingredients into elevated executions of classic dishes. In addition, the new concept was established as a “daytime café” with limited hours of 7:00 a.m. until 2:30 p.m. which allowed for specialization in breakfast, brunch and lunch. Over the course of the next several decades, First Watch proved its portability by expanding into a number of different markets.</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2014 and 2015, we completed a series of acquisitions, including The Egg &amp; I, The Good Egg and Bread and Company, consisting of 136 total system-wide restaurants. As of the end of fiscal 2019, The Egg &amp; I and The Good Egg brands have been rebranded as First Watch. The single Bread and Company restaurant has been rebranded to Sun &amp; Fork by First Watch.</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2017, we entered into a merger transaction through which we were acquired by funds affiliated with or managed by Advent, referred to as the Advent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our continued growth will come from: (i) opening new restaurants in existing and new geographies and (ii) driving traffic and building sales at our restaurants.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 Our Brand Footprint by Consistently Opening New Restaurants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Opening new company-owned restaurants in new and existing markets is central to our growth strategy.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Drive Restaurant Traffic and Build Sales</w:t>
      </w:r>
    </w:p>
    <w:p>
      <w:pPr>
        <w:spacing w:after="0" w:line="117" w:lineRule="exact"/>
        <w:rPr>
          <w:sz w:val="20"/>
          <w:szCs w:val="20"/>
          <w:color w:val="auto"/>
        </w:rPr>
      </w:pPr>
    </w:p>
    <w:p>
      <w:pPr>
        <w:ind w:left="560" w:right="220" w:firstLine="423"/>
        <w:spacing w:after="0" w:line="277" w:lineRule="auto"/>
        <w:rPr>
          <w:sz w:val="20"/>
          <w:szCs w:val="20"/>
          <w:color w:val="auto"/>
        </w:rPr>
      </w:pPr>
      <w:r>
        <w:rPr>
          <w:rFonts w:ascii="Arial" w:cs="Arial" w:eastAsia="Arial" w:hAnsi="Arial"/>
          <w:sz w:val="18"/>
          <w:szCs w:val="18"/>
          <w:color w:val="auto"/>
        </w:rPr>
        <w:t>We intend to grow same-restaurant sales by continuing to offer innovative menu items, increase awareness of our brand, deliver excellent customer service and launch relevant sales platforms and initiatives.</w:t>
      </w:r>
    </w:p>
    <w:p>
      <w:pPr>
        <w:spacing w:after="0" w:line="62" w:lineRule="exact"/>
        <w:rPr>
          <w:sz w:val="20"/>
          <w:szCs w:val="20"/>
          <w:color w:val="auto"/>
        </w:rPr>
      </w:pPr>
    </w:p>
    <w:p>
      <w:pPr>
        <w:ind w:left="1100" w:right="460"/>
        <w:spacing w:after="0" w:line="311" w:lineRule="auto"/>
        <w:rPr>
          <w:sz w:val="20"/>
          <w:szCs w:val="20"/>
          <w:color w:val="auto"/>
        </w:rPr>
      </w:pPr>
      <w:r>
        <w:rPr>
          <w:rFonts w:ascii="Arial" w:cs="Arial" w:eastAsia="Arial" w:hAnsi="Arial"/>
          <w:sz w:val="16"/>
          <w:szCs w:val="16"/>
          <w:b w:val="1"/>
          <w:bCs w:val="1"/>
          <w:i w:val="1"/>
          <w:iCs w:val="1"/>
          <w:color w:val="auto"/>
        </w:rPr>
        <w:t xml:space="preserve">Continue Menu Innovation: </w:t>
      </w:r>
      <w:r>
        <w:rPr>
          <w:rFonts w:ascii="Arial" w:cs="Arial" w:eastAsia="Arial" w:hAnsi="Arial"/>
          <w:sz w:val="16"/>
          <w:szCs w:val="16"/>
          <w:color w:val="auto"/>
        </w:rPr>
        <w:t>The ongoing evolution of our menu keeps First Watch relevant for our customers. The development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award-winning menu items and the training and experience of our staff enable us to replicate complex preparations across all our restaurants. Our seasonal menus attract new customers and encourage our regular customers to return.</w:t>
      </w:r>
    </w:p>
    <w:p>
      <w:pPr>
        <w:spacing w:after="0" w:line="41" w:lineRule="exact"/>
        <w:rPr>
          <w:sz w:val="20"/>
          <w:szCs w:val="20"/>
          <w:color w:val="auto"/>
        </w:rPr>
      </w:pPr>
    </w:p>
    <w:p>
      <w:pPr>
        <w:ind w:left="1100" w:right="540"/>
        <w:spacing w:after="0" w:line="308" w:lineRule="auto"/>
        <w:rPr>
          <w:sz w:val="20"/>
          <w:szCs w:val="20"/>
          <w:color w:val="auto"/>
        </w:rPr>
      </w:pPr>
      <w:r>
        <w:rPr>
          <w:rFonts w:ascii="Arial" w:cs="Arial" w:eastAsia="Arial" w:hAnsi="Arial"/>
          <w:sz w:val="17"/>
          <w:szCs w:val="17"/>
          <w:b w:val="1"/>
          <w:bCs w:val="1"/>
          <w:i w:val="1"/>
          <w:iCs w:val="1"/>
          <w:color w:val="auto"/>
        </w:rPr>
        <w:t xml:space="preserve">Increase Our Brand Awareness: </w:t>
      </w:r>
      <w:r>
        <w:rPr>
          <w:rFonts w:ascii="Arial" w:cs="Arial" w:eastAsia="Arial" w:hAnsi="Arial"/>
          <w:sz w:val="17"/>
          <w:szCs w:val="17"/>
          <w:color w:val="auto"/>
        </w:rPr>
        <w:t>The continued evolution of our marketing and advertising strategy to focus on building our brand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awareness principally through digital marketing that emphasizes connection with First Watch customers.</w:t>
      </w:r>
    </w:p>
    <w:p>
      <w:pPr>
        <w:spacing w:after="0" w:line="38"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b w:val="1"/>
          <w:bCs w:val="1"/>
          <w:i w:val="1"/>
          <w:iCs w:val="1"/>
          <w:color w:val="auto"/>
        </w:rPr>
        <w:t xml:space="preserve">Deliver an Excellent Dining Experience: </w:t>
      </w:r>
      <w:r>
        <w:rPr>
          <w:rFonts w:ascii="Arial" w:cs="Arial" w:eastAsia="Arial" w:hAnsi="Arial"/>
          <w:sz w:val="18"/>
          <w:szCs w:val="18"/>
          <w:color w:val="auto"/>
        </w:rPr>
        <w:t>We will continue to train our staff to provide superior and gracious service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built on our philosophy of “You First.”</w:t>
      </w:r>
    </w:p>
    <w:p>
      <w:pPr>
        <w:spacing w:after="0" w:line="62" w:lineRule="exact"/>
        <w:rPr>
          <w:sz w:val="20"/>
          <w:szCs w:val="20"/>
          <w:color w:val="auto"/>
        </w:rPr>
      </w:pPr>
    </w:p>
    <w:p>
      <w:pPr>
        <w:jc w:val="both"/>
        <w:ind w:left="1100" w:right="80"/>
        <w:spacing w:after="0" w:line="263" w:lineRule="auto"/>
        <w:rPr>
          <w:sz w:val="20"/>
          <w:szCs w:val="20"/>
          <w:color w:val="auto"/>
        </w:rPr>
      </w:pPr>
      <w:r>
        <w:rPr>
          <w:rFonts w:ascii="Arial" w:cs="Arial" w:eastAsia="Arial" w:hAnsi="Arial"/>
          <w:sz w:val="18"/>
          <w:szCs w:val="18"/>
          <w:b w:val="1"/>
          <w:bCs w:val="1"/>
          <w:i w:val="1"/>
          <w:iCs w:val="1"/>
          <w:color w:val="auto"/>
        </w:rPr>
        <w:t xml:space="preserve">Future Platforms and Initiatives: </w:t>
      </w:r>
      <w:r>
        <w:rPr>
          <w:rFonts w:ascii="Arial" w:cs="Arial" w:eastAsia="Arial" w:hAnsi="Arial"/>
          <w:sz w:val="18"/>
          <w:szCs w:val="18"/>
          <w:color w:val="auto"/>
        </w:rPr>
        <w:t>We intend to implement strategies and initiatives in the long-term such as increasing incremental visits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lunch daypart and introducing alcohol to our menu in certain restaurants. In addition, we are developing a third-party delivery program for all of our company-owned restaurants.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Changes in general economic conditions can affect our traffic and sales. Our results of operations are impacted by prices of a broad range of ingredients used in our menu, labor costs, costs of occupancy and other restaurant industry expenses. Our results are also impacted by timing and pace of new restaurant openings. Results for any one quarter are not necessarily indicative of results to be expected for any other quarter, and same-restaurant sales growth for any particular future period may decrease.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restaurant sales, same-restaurant sales growth, new restaurant development, AUV, Adjusted EBITDA, Adjusted EBITDA Margin, SLEBITDA and SLEBITDA Margin.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Same-Restaurant Sales Growth</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Same-restaurant sales growth is the percentage change in year-over-year restaurant sales (excluding gift card breakage) for the Comparable Restaurant Base. For fiscal 2018, there were 143 restaurants in our Comparable Restaurant Base.</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 increase in same-restaurant sales growth is the result of increased restaurant traffic, increased average customer check or a combination of the two. We gather daily sales data and regularly analyze the customer traffic counts and the mix of menu items sold to aid in developing menu pricing, product offerings and promotional strategies designed to produce sustainable same-restaurant sales growth.</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Restaurant Development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New restaurant development is central to growing our footprint and executing our growth strategy. New restaurant development has historically included both new restaurant openings and conversion of acquired restaurants.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Potential new restaurant sites are typically identified and evaluated at least 18 months prior to opening. New restaurant opening dates trigger advance staff recruiting and training, in addition to the relocation of experienced general managers from existing restaurants and other pre-opening expenses.</w:t>
      </w:r>
    </w:p>
    <w:p>
      <w:pPr>
        <w:spacing w:after="0" w:line="184" w:lineRule="exact"/>
        <w:rPr>
          <w:sz w:val="20"/>
          <w:szCs w:val="20"/>
          <w:color w:val="auto"/>
        </w:rPr>
      </w:pPr>
    </w:p>
    <w:p>
      <w:pPr>
        <w:ind w:left="560"/>
        <w:spacing w:after="0"/>
        <w:tabs>
          <w:tab w:leader="none" w:pos="3060" w:val="left"/>
          <w:tab w:leader="none" w:pos="6220" w:val="left"/>
        </w:tabs>
        <w:rPr>
          <w:sz w:val="20"/>
          <w:szCs w:val="20"/>
          <w:color w:val="auto"/>
        </w:rPr>
      </w:pPr>
      <w:r>
        <w:rPr>
          <w:rFonts w:ascii="Arial" w:cs="Arial" w:eastAsia="Arial" w:hAnsi="Arial"/>
          <w:sz w:val="18"/>
          <w:szCs w:val="18"/>
          <w:color w:val="auto"/>
        </w:rPr>
        <w:t>We intend to open more than</w:t>
      </w:r>
      <w:r>
        <w:rPr>
          <w:sz w:val="20"/>
          <w:szCs w:val="20"/>
          <w:color w:val="auto"/>
        </w:rPr>
        <w:tab/>
      </w:r>
      <w:r>
        <w:rPr>
          <w:rFonts w:ascii="Arial" w:cs="Arial" w:eastAsia="Arial" w:hAnsi="Arial"/>
          <w:sz w:val="18"/>
          <w:szCs w:val="18"/>
          <w:color w:val="auto"/>
        </w:rPr>
        <w:t>company-owned restaurants over</w:t>
      </w:r>
      <w:r>
        <w:rPr>
          <w:sz w:val="20"/>
          <w:szCs w:val="20"/>
          <w:color w:val="auto"/>
        </w:rPr>
        <w:tab/>
      </w:r>
      <w:r>
        <w:rPr>
          <w:rFonts w:ascii="Arial" w:cs="Arial" w:eastAsia="Arial" w:hAnsi="Arial"/>
          <w:sz w:val="16"/>
          <w:szCs w:val="16"/>
          <w:color w:val="auto"/>
        </w:rPr>
        <w:t>, which is expected to be the primary driver of our expected</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restaurant sales growth, but which may impact operating profit margins in the interim, as our SLEBITDA Margins are generally lower through the first 12 months of operation.</w:t>
      </w:r>
    </w:p>
    <w:p>
      <w:pPr>
        <w:spacing w:after="0" w:line="18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number of new restaurants per year and the timing of new restaurant openings has, and will continue to have, an impact on our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Average Unit Volume (AUV)</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AUV is the total restaurant sales (excluding gift card breakage) recognized in the Comparable Restaurant Base, divided by the number of restaurants in the Comparable Restaurant Base during the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Adjusted EBITDA represents net loss before depreciation and amortization, interest expense and income taxes, adjusted for the impact of certain non-cash and other items that we do not consider in our evaluation of ongoing core operating performance as identified in the reconciliation of net loss, the most directly comparable GAAP measure, to Adjusted EBITDA, included in “Prospectus Summary – Summary Historical Consolidated Financial and Other Data.” Adjusted EBITDA Margin represents Adjusted EBITDA as a percentage of total revenues. 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We believe that Adjusted EBITDA and Adjusted EBITDA Margin are important measures of operating performance because they eliminate the impact of expenses that do not relate to our core operating performance. Adjusted EBITDA and Adjusted EBITDA Margin have important limitations as analytical tools and should not be considered in isolation as substitutes for analysis of our results as reported under GAAP.</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SLEBITDA and SLEBITDA Margin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SLEBITDA is defined as restaurant sales, less restaurant operating expenses, which include cost of sales, labor and other related expenses, other restaurant operating expenses and occupancy expenses. SLEBITDA excludes corporate level expenses, pre-opening expenses and deferred rent expense. SLEBITDA Margin represents SLEBITDA as a percentage of restaurant sales. SLEBITDA and SLEBITDA Margin are not required by, nor presented in accordance with GAAP. Rather, SLEBITDA and SLEBITDA Margin are supplemental measures of operating performance of our restaurants and our calculations thereof may not be comparable to similar measures reported by other companies. We believe that SLEBITDA and SLEBITDA Margin are important measures to evaluate the performance and profitability of each restaurant, individually and in the aggregate. SLEBITDA and SLEBITDA Margin have limitations as analytical tools and should not be considered as a substitute for analysis of our results as reported under GAAP. For a reconciliation of income from operations, the most directly comparable GAAP measure, to SLEBITDA, see “Prospectus Summary – Summary Historical Consolidated Financial and Other Data.”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Restaurant Sales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Restaurant sales represent the aggregate sales of food and beverages, net of discounts, at our company-owned restaurants. Restaurant sales in any period are directly influenced by the number of operating weeks in the period, the number of open restaurants, customer traffic, our menu prices and product mix.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franchised restaurants.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Cost of sales includes the direct costs associated with food and beverages at our company-owned restaurants. The components of cost of sales are variable by nature, change with sales volume, are impacted by product mix and are subject to increases or decreases in commodity costs.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Labor and other related expenses include hourly and management wages, bonuses, payroll taxes, workers’ compensation expense and employee benefits. Factors that influence labor costs include minimum wage and payroll tax legislation, health care costs and the performance of our company-owned restaurants.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Other restaurant operating expenses consist of marketing expenses, utilities and other operating expenses incidental to operating our company-owned restaurants, such as operating supplies (including paper products and to-go supplies), credit card fees, repairs and maintenance and certain pre-opening expenses for our new company-owned restaurants. Pre-opening expenses primarily consist of manager salaries, recruiting expenses, employee payroll and training costs. Pre-opening expenses are recognized in the period in which the expense was incurred. Pre-opening expenses can fluctuate from period to period, based on the number and timing of new restaurant openings. Additionally, new restaurant openings in new geographic market areas may initially experience higher pre-opening expenses than our established geographic market areas where we have greater economies of scale and incur lower travel costs for our training team. Pre-opening expenses recorded in other restaurant operating expenses for fiscal 2018 were $2.3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Occupancy expenses primarily consist of rent, property insurance, common area expenses and property taxes. Rent expense also includes pre-opening rent expense recognized during the period between the date of possession of the restaurant facility and the restaurant opening date. Pre-opening expenses recorded in occupancy expenses for fiscal 2018 were $1.4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General and administrative expenses primarily consist of costs associated with our Home Office and administrative functions that support restaurant development and operations, including marketing and advertising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costs incurred as well as legal and professional fees. General and administrative expenses also include stock-based compensation expense. We grant stock-based compensation awards to certain employees, officers and non-employee directors as long-term incentive compensation. We recognize the related expense for service-based awards on a graded vesting schedule over the requisite service period. The fair value of performance-based stock option awards is recognized as stock-based compensation expense when the condition is deemed probable of being achieved. Certain of our stock-based compensation awards may convert from performance-based to service-based at the time of the offering if certain conditions are not met, which will result in a change to the recognition of the related expense.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29, 2019, we had total unrecognized stock-based compensation expense related to unvested service-based awards of $</w:t>
      </w:r>
    </w:p>
    <w:p>
      <w:pPr>
        <w:spacing w:after="0" w:line="35"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million, which we expect to recognize over the next years. Included in this amount is approximately $ million of expense related to awards that will vest upon consummation of this offering resulting in incremental expense being recognized in the period in which this offering is consummated. Following consummation of this offering, if certain options to purchase shares of our common stock have not vested, then those options will convert to</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service-based vesting if certain performance-based criteria has been satisfied. This could occur as early as , which could result in an aggregate expense of up to $ million in .</w:t>
      </w:r>
    </w:p>
    <w:p>
      <w:pPr>
        <w:spacing w:after="0" w:line="18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General and administrative expenses are impacted by changes in our employee count and costs related to strategic and growth initiatives. In preparation for and after the consummation of this offering, we have incurred and we expect to incur in the future significant additional legal, accounting and other expenses associated with being a public company, including costs associated with our compliance with the Sarbanes-Oxley Act.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Depreciation and amortization expense consists of the depreciation of fixed assets, including leasehold improvements, fixtures and equipment and the amortization of definite-lived intangible assets, which are primarily comprised of franchise rights and favorable leasehold positions, as well as the amortization for unfavorable leasehold positions.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and Loss on Disposal of Assets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Impairment and loss on disposal of assets primarily include the impairment of long-lived assets where the carrying amount of the asset is not recoverable and exceeds the fair value of the asset. Loss on asset disposals includes the write-off of the net book value of assets that have been retired or replaced in the normal course of business, as well as the write-off of the net book value of assets in connection with restaurant closures.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and Other Expenses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Transaction and other expenses primarily include costs incurred in connection with the acquisition of certain franchised restaurants, costs incurred in connection with the conversion of certain restaurants to company-owned restaurants operating under the First Watch trade name and costs related to restaurant closures.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Interest expense primarily consists of interest and fees on our Senior Credit Facilities and the amortization expense for debt discount and deferred issuance costs. We expect to pay down a portion of our outstanding debt using the proceeds of this offering. Additionally, the amount of proceeds used to pay down our outstanding debt may result in a decrease of the interest rate on our Senior Credit Facilities. We expect that these changes will reduce our annual interest expense by $ million following this offering. See “Use of Proceeds” and “Description of Material Indebtedness.”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Income tax benefit primarily consists of various federal and state taxes. Our effective tax rate differs significantly from the federal statutory rate due to the valuation allowance for federal and state deferred tax assets, partially offset by the benefit of tax credits for certain employees’ tips.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Other income (expense), net includes items deemed to be non-operating based on management’s assessment of the nature of the item in relation to our core operations. These items can include, among other items, insurance proceeds and costs related to refinancing of our Senior Credit Facilities.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key components of our results of operations for the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30, 2018</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and Comprehensive Loss Data:</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342,357</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Franchise revenues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349,766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 operating expenses(1)(excluding depreciation and amortization shown below):</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78,939</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Labor and other related expenses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116,546</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Other restaurant operating expenses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46,769</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Occupancy expenses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36,151</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39,299</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Transaction and other expenses</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2,047</w:t>
            </w:r>
          </w:p>
        </w:tc>
        <w:tc>
          <w:tcPr>
            <w:tcW w:w="4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loss on disposal of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costs and operating expenses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346,533</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(16,480)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 benefit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(12,523)</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and total comprehensive loss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(12,302)</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loss income attributable to non-controlling interest</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Net loss attributable to First Watch Restaurant Group, Inc.</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w w:val="74"/>
              </w:rPr>
              <w:t>)</w:t>
            </w: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(12,296</w:t>
            </w:r>
          </w:p>
        </w:tc>
        <w:tc>
          <w:tcPr>
            <w:tcW w:w="440" w:type="dxa"/>
            <w:vAlign w:val="bottom"/>
            <w:gridSpan w:val="2"/>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As a percentage of restaurant sales.</w:t>
      </w:r>
    </w:p>
    <w:p>
      <w:pPr>
        <w:spacing w:after="0" w:line="2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(2)</w:t>
        <w:tab/>
        <w:t>Not meaningful.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Operating Data:</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5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30, 2018</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System-wide sales (in thousands)</w:t>
            </w:r>
          </w:p>
        </w:tc>
        <w:tc>
          <w:tcPr>
            <w:tcW w:w="1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Same-restaurant sales growth</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AUV (in millions)</w:t>
            </w:r>
          </w:p>
        </w:tc>
        <w:tc>
          <w:tcPr>
            <w:tcW w:w="23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System-wide restaurants at fiscal year end</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Company-owned</w:t>
            </w: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Franchise operated</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(in thousands)</w:t>
            </w:r>
          </w:p>
        </w:tc>
        <w:tc>
          <w:tcPr>
            <w:tcW w:w="23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44,230</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Adjusted EBITDA Margin</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SLEBITDA (in thousands)</w:t>
            </w:r>
          </w:p>
        </w:tc>
        <w:tc>
          <w:tcPr>
            <w:tcW w:w="232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71,461</w:t>
            </w: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SLEBITDA Margin</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Restaurant Sales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Restaurant sales in fiscal 2018 were $342.4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Franchise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Franchise revenues in fiscal 2018 were $7.4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of sales in fiscal 2018 were $78.9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and Other Related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Labor and other related expenses in fiscal 2018 were $116.5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Restaurant 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restaurant operating expenses in fiscal 2018 were $46.8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Occupancy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Occupancy expenses in fiscal 2018 were $36.2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expenses in fiscal 2018 were $39.3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in fiscal 2018 was $26.1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and Other Expenses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Transaction and other expenses in fiscal 2018 were $2.0 million and primarily include costs incurred for the acquisition of certain franchised restaurants, costs incurred in connection with the conversion of certain restaurants to company-owned restaurants operating under the First Watch trade name and costs related to restaurant closures.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320" w:top="459"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and Loss on Disposal of Assets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Loss on disposal of assets in fiscal 2018 was $0.7 million and primarily includes costs related to the disposal of assets due to retirement, replacements or certain restaurant closures.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from operations for fiscal 2018 was $3.2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in fiscal 2018 was $16.5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(expense), net for fiscal 2018 was $0.7 million of income, which included insurance proceeds of approximately $0.3 million.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tax benefit in fiscal 2018 was $0.2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primary sources of liquidity are, and after the completion of this offering are expected to continue to be, cash flow from operations, cash and cash equivalents, credit capacity under our Senior Credit Facilities, and proceeds from equity offerings, including this offering. As of December 30, 2018, we had cash and cash equivalents of $16.3 million and availability under our Senior Credit Facilities of $27.1 million. Our total indebtedness was $195.4 million, excluding unamortized debt discount and deferred issuance costs, as of December 30, 2018. See “Description of Material Indebtedness.”</w:t>
      </w:r>
    </w:p>
    <w:p>
      <w:pPr>
        <w:spacing w:after="0" w:line="1" w:lineRule="exact"/>
        <w:rPr>
          <w:sz w:val="20"/>
          <w:szCs w:val="20"/>
          <w:color w:val="auto"/>
        </w:rPr>
      </w:pPr>
    </w:p>
    <w:p>
      <w:pPr>
        <w:ind w:left="120" w:right="360"/>
        <w:spacing w:after="0" w:line="292" w:lineRule="auto"/>
        <w:rPr>
          <w:sz w:val="20"/>
          <w:szCs w:val="20"/>
          <w:color w:val="auto"/>
        </w:rPr>
      </w:pPr>
      <w:r>
        <w:rPr>
          <w:rFonts w:ascii="Arial" w:cs="Arial" w:eastAsia="Arial" w:hAnsi="Arial"/>
          <w:sz w:val="16"/>
          <w:szCs w:val="16"/>
          <w:color w:val="auto"/>
        </w:rPr>
        <w:t>After giving effect to the application of the estimated net proceeds from this offering, our total indebtedness will be $ million. See “Use of Proceeds.” Our principal uses of cash include capital expenditures, developing new restaurants, remodeling and converting franchised restaurants to company-owned restaurants under the First Watch trade name, lease obligations, principal and interest payments on our debt and investments in technology.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1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estimate that our capital expenditures will total to in fiscal 2020, which we plan to fund primarily with cash generated from our operating activities as well as with borrowings under the undrawn portions of our Senior Credit Facilities.</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believe that our cash flow from operations, availability under our Senior Credit Facilities and available cash and cash equivalents will be sufficient to meet our liquidity needs for at least the next 12 months. We anticipate that to the extent that we require additional liquidity, it will be funded through the incurrence of additional indebtedness, the issuance of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Accordingly, we cannot assure you that our business will generate sufficient cash flow from operations or that future borrowings will be available from additional indebtedness or otherwise to meet our liquidity needs.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Credit Facilities and Unused Borrowing Capacity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Senior Credit Facilities mature on August 20, 2023. We have pledged substantially all our assets under our Senior Credit Facilities. For our Senior Credit Facilities excluding the Revolving Facility, principal payments at a rate of 0.25% of the original principal amounts are due quarterly with the remainder of principal and unpaid interest due at maturity, and have a commitment fee payable quarterly in arrears at 1% per annum, applicable to unused commitments. Our Revolving Facility includes a commitment fee at a rate of 0.50% per annum of the initial revolving credit commitment. The Senior Credit Facilities contain covenants that provide for, among other things, maintenance of certain ratios and restrictions on additional indebtedness. We were in compliance with the covenants as of December 30, 2018.</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available liquidity as of the period presented:</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As of</w:t>
            </w:r>
          </w:p>
        </w:tc>
      </w:tr>
      <w:tr>
        <w:trPr>
          <w:trHeight w:val="171"/>
        </w:trPr>
        <w:tc>
          <w:tcPr>
            <w:tcW w:w="6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3"/>
              </w:rPr>
              <w:t>December 30, 2018</w:t>
            </w: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Undrawn revolving facility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12,120</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Undrawn initial delayed draw term facility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available liquidity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Statement of Cash Flows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presents a summary of our cash flows provided by (used in) operating, investing and financing activities for the period presented:</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30, 2018</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(51,896)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30,284</w:t>
            </w:r>
          </w:p>
        </w:tc>
        <w:tc>
          <w:tcPr>
            <w:tcW w:w="8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Cash provided by operating activities in fiscal 2018 consisted primarily of net loss adjusted to add back (i) $26.1 million for depreciation and amortization, (ii) $1.0 million for amortization of debt discount and deferred issuance costs, (iii) $0.7 million for impairment and loss on disposal of assets and (iv) $1.3 million for stock-based compensation expense. Cash provided by operating activities in fiscal 2018 also included the positive impact of the change in working capital.</w:t>
      </w:r>
    </w:p>
    <w:p>
      <w:pPr>
        <w:spacing w:after="0" w:line="18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Cash used in investing activities in fiscal 2018 primarily consisted of capital expenditures and acquisitions of restaurants. In fiscal 2018, we had capital expenditures totaling $37.7 million and used cash of approximately $14.2 million for the acquisition of certain franchised restaurants.</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Cash provided by financing activities in fiscal 2018 consisted primarily of proceeds from our Senior Credit Facilities, which was partially offset by repayments made on our Senior Credit Facilities.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sets forth certain contractual obligations, debt obligations and commitments as of December 29, 2019, whether or not they appear on our consolidated balance sheet. All amounts in the table may reflect rounding.</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8"/>
              </w:rPr>
              <w:t>Payments due by period</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color w:val="auto"/>
              </w:rPr>
              <w:t>Total</w:t>
            </w:r>
          </w:p>
        </w:tc>
        <w:tc>
          <w:tcPr>
            <w:tcW w:w="960" w:type="dxa"/>
            <w:vAlign w:val="bottom"/>
          </w:tcPr>
          <w:p>
            <w:pPr>
              <w:ind w:left="20"/>
              <w:spacing w:after="0" w:line="142" w:lineRule="exact"/>
              <w:rPr>
                <w:sz w:val="20"/>
                <w:szCs w:val="20"/>
                <w:color w:val="auto"/>
              </w:rPr>
            </w:pPr>
            <w:r>
              <w:rPr>
                <w:rFonts w:ascii="Arial" w:cs="Arial" w:eastAsia="Arial" w:hAnsi="Arial"/>
                <w:sz w:val="14"/>
                <w:szCs w:val="14"/>
                <w:color w:val="auto"/>
                <w:w w:val="88"/>
              </w:rPr>
              <w:t>Less than 1 year</w:t>
            </w:r>
          </w:p>
        </w:tc>
        <w:tc>
          <w:tcPr>
            <w:tcW w:w="70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1-3 years</w:t>
            </w:r>
          </w:p>
        </w:tc>
        <w:tc>
          <w:tcPr>
            <w:tcW w:w="1260" w:type="dxa"/>
            <w:vAlign w:val="bottom"/>
            <w:gridSpan w:val="2"/>
          </w:tcPr>
          <w:p>
            <w:pPr>
              <w:spacing w:after="0" w:line="142" w:lineRule="exact"/>
              <w:rPr>
                <w:sz w:val="20"/>
                <w:szCs w:val="20"/>
                <w:color w:val="auto"/>
              </w:rPr>
            </w:pPr>
            <w:r>
              <w:rPr>
                <w:rFonts w:ascii="Arial" w:cs="Arial" w:eastAsia="Arial" w:hAnsi="Arial"/>
                <w:sz w:val="14"/>
                <w:szCs w:val="14"/>
                <w:color w:val="auto"/>
              </w:rPr>
              <w:t>3-5 years</w:t>
            </w:r>
          </w:p>
        </w:tc>
        <w:tc>
          <w:tcPr>
            <w:tcW w:w="1060" w:type="dxa"/>
            <w:vAlign w:val="bottom"/>
          </w:tcPr>
          <w:p>
            <w:pPr>
              <w:spacing w:after="0" w:line="142" w:lineRule="exact"/>
              <w:rPr>
                <w:sz w:val="20"/>
                <w:szCs w:val="20"/>
                <w:color w:val="auto"/>
              </w:rPr>
            </w:pPr>
            <w:r>
              <w:rPr>
                <w:rFonts w:ascii="Arial" w:cs="Arial" w:eastAsia="Arial" w:hAnsi="Arial"/>
                <w:sz w:val="14"/>
                <w:szCs w:val="14"/>
                <w:color w:val="auto"/>
                <w:w w:val="92"/>
              </w:rPr>
              <w:t>More than 5 years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above table excludes short-term, exclusive contracts we enter into with certain vendors to supply us with food, beverages and paper goods, obligating us to purchase specified quantities and/or products at fixed prices. These commitments are cancellable and there are no material financial penalties associated with these agreements in the event of early termination. We also enter into purchase commitments related to construction, marketing and other service-related arrangements that occur in the normal course of business. Such commitments are excluded from the above table as they are typically short-term in nature and are not material as of December 29,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Except for operating leases entered into in the normal course of business, certain letters of credit entered into as security under the terms of several of our leases and the unrecorded contractual obligations set forth above, we did not have any off-balance sheet arrangements as of December 30, 2018.</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and related notes included elsewhere in this prospectus, which have been prepared in accordance with GAAP. The preparation of these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information provided by our clients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 accounting policies that we believe to be the most critical to an understanding of our financial condition and results of operations and that require the most complex and subjective management judgments are discussed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Indefinite-lived Intangibles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Goodwill and indefinite-lived intangibles, which include our registered trade names, trademarks and domains, are tested for impairment annually, during the fourth quarter of the fiscal year, or whenever events or changes in circumstances indicate that the carrying amount may be impaired. Significant judgments are used to determine if an indicator of impairment has occurred. Such indicators could include negative operating performance of our restaurants, economic and restaurant industry trends, legal factors, significant competition or changes in our business strategy. Any adverse change in these factors could have a significant impact on the recoverability of our goodwill and indefinite-lived intangible assets and could have a material impact on our consolidated financial statements.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have identified one reporting unit to which we have attributed goodwill. If we determine that it is more likely than not that the carrying value of our reporting unit exceeds the fair value, a quantitative analysis is performed. We estimate fair value of our reporting unit using the best information available, including market information (also referred to as the market approach) and discounted cash flow projections (also referred to as the income approach). A market approach estimates fair value by applying cash flow and sales multiples to the reporting unit’s operating performance. The multiples are derived from comparable publicly traded companies with similar operating and investment characteristics. The income approach uses the reporting unit’s projection of estimated operating results and cash flows that are discounted using a weighted-average cost of capital that reflects current market conditions. We recognize an impairment loss when the carrying value of the reporting unit exceeds the estimated fair value.</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estimate the fair value of trade names and trademarks using the relief-from-royalty method, which requires assumptions related to projected sales, assumed royalty rates that could be payable if we did not own the trademarks and a discount rate. We recognize an impairment loss when the carrying value of the trademarks exceed the estimated fair value.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intangibles in the fourth quarter of fiscal 2018 and determined there were no indicators of impairment.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fixtures and equipment and definite-lived intangible assets</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Property, fixtures and equipment are reviewed for impairment whenever events or changes in circumstances indicate that the carrying amount of an asset may not be recoverable. Recoverability of an asset is measured by a comparison of the carrying amount of an asset group to the estimated undiscounted future cash flows expected to be generated by the asset group. The comparison is performed at the lowest level of identifiable cash flows, which is primarily at the individual restaurant level. Significant judgement is used to determine the expected useful lives of long-lived assets and the estimated future cash flows, including projected sales growth and operating margins. If the carrying amount of the asset group exceeds its estimated undiscounted future cash flows, an impairment charge is recognized. Based on a review of operating results for each of our restaurants, we did not record any material impairment charges during fiscal 2018.</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Intangible assets with definite lives consist of franchise rights and favorable leasehold positions. Franchise rights were recognized from the purchase price allocation performed in conjunction with the Advent Acquisition and relate to franchised restaurants. Franchise rights also include reacquired rights from our acquisitions of franchised restaurants. Favorable leasehold positions relate to leases acquired resulting from our acquisitions of franchised restaurants where the terms of the leasehold contracts are more favorable than the estimated market terms of the leases at the acquisition date. Intangible assets are amortized on a straight-line basis over the estimated remaining terms of the original franchise agreements. Definite-lived intangible assets are also reviewed for impairment whenever events or change in circumstances indicate that the carrying amount of an asset may not be recoverable. Significant judgments are used to determine if an indicator of impairment has occurred. Such indicators may include, among others: a significant decline in our expected future cash flows; a significant change in our business or a significant change in the extent or the manner an asset is used. Any adverse change in these factors could have a significant impact on the recoverability of these assets and the resulting impairment charge could have a material impact on our consolidated financial statements. Recoverability of definite-lived assets is measured by a comparison of the carrying amount of the asset group to the estimated undiscounted future cash flows expected to be generated by the asset group. If the carrying amount of the asset group exceeds its estimated undiscounted future cash flows, an impairment charge is recognized. This charge is determined as the difference between the carrying value of the asset group and the discounted future cash flows expected from future use of the asset group. We did not record any material impairment loss for definite-lived intangible assets during fiscal 2018.</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lease our restaurant facilities and corporate offices, as well as certain restaurant equipment under various non-cancelable agreements. Each lease’s commencement date is the date on which we have the right to control the use of the leased property and each lease’s term includes the non-cancelable base term plus all option periods we are reasonably assured to exercise. In fiscal 2018, the majority of our leases were classified as operating leases under Accounting Standards Codification (“ASC”) 840-</w:t>
      </w:r>
      <w:r>
        <w:rPr>
          <w:rFonts w:ascii="Arial" w:cs="Arial" w:eastAsia="Arial" w:hAnsi="Arial"/>
          <w:sz w:val="16"/>
          <w:szCs w:val="16"/>
          <w:i w:val="1"/>
          <w:iCs w:val="1"/>
          <w:color w:val="auto"/>
        </w:rPr>
        <w:t>Leases</w:t>
      </w:r>
      <w:r>
        <w:rPr>
          <w:rFonts w:ascii="Arial" w:cs="Arial" w:eastAsia="Arial" w:hAnsi="Arial"/>
          <w:sz w:val="16"/>
          <w:szCs w:val="16"/>
          <w:color w:val="auto"/>
        </w:rPr>
        <w:t>. Rent expense, including rent-free periods, is recognized on a straight-line basis over the lease term and the difference between the base cash rent paid and the straight-line rent expense is recorded as deferred rent.</w:t>
      </w:r>
    </w:p>
    <w:p>
      <w:pPr>
        <w:spacing w:after="0" w:line="161"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capitalize as leasehold improvements our expenditures to construct our leased restaurant facilities. To the extent a portion of these leasehold improvements are contractually due to us by our landlords pursuant to lease terms, we classify tenant improvement allowances as deferred rent on the consolidated balance sheet and amortize the tenant improvement allowances on a straight-line basis over the lease term as an offset to rent expense.</w:t>
      </w:r>
    </w:p>
    <w:p>
      <w:pPr>
        <w:spacing w:after="0" w:line="149"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Determining the appropriate expected term for each lease impacts the classification and accounting for leases as either operating or capital, the calculation of the straight-line rent and the term over which the leasehold improvements for each restaurant facility is amortized. If different expected lease terms were used, the amounts of depreciation, amortization and rent expense could be materially different.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use the asset and liability method of accounting for income taxes. Under this method, deferred tax assets or liabilities are recognized for the estimated future tax effects attributable to temporary differences between the carrying value and the tax basis of assets and liabilities as well as tax credit carryforwards. The estimates we make under this method include, among other items, depreciation and amortization expense allowable for tax purposes, credits for items such as taxes paid on reported employee tip income, effective rates for state and local income taxes and the deductibility of certain items. In addition, our annual effective income tax rate is adjusted as additional information becomes available during the reporting period.</w:t>
      </w:r>
    </w:p>
    <w:p>
      <w:pPr>
        <w:spacing w:after="0" w:line="16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recognized deferred tax assets for all deductible temporary differences to the extent that it is probable that taxable income will be available against which the deductible temporary differences can be utilized. A valuation allowance for deferred tax assets is provided when it is more likely than not that some portion or all of the deferred tax assets will not be realized. Potential for recovery of deferred tax assets is evaluated by estimating the future taxable profits expected, scheduling of anticipated reversal of taxable temporary differences, and considering prudent and feasible tax planning strategies. We continue to monitor and evaluate the rationale for recording a valuation allowance against deferred tax assets. As we increase earnings and utilize deferred tax assets, it is possible the valuation allowance could be reduced or eliminated.</w:t>
      </w:r>
    </w:p>
    <w:p>
      <w:pPr>
        <w:spacing w:after="0" w:line="16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assess liabilities for uncertain tax positions and recognize a liability when a position taken or expected to be taken in a tax return is more likely than not, or more than a 50% likelihood, to be sustained upon examination by tax authorities based on its technical merits. A recognized tax position is then measured at the largest amount of benefit that is more likely than not of being realized upon ultimate settlement. We determined that there were no material uncertain tax positions which were required to be recorded or disclosed in the financial statements for fiscal 2018.</w:t>
      </w:r>
    </w:p>
    <w:p>
      <w:pPr>
        <w:spacing w:after="0" w:line="171" w:lineRule="exact"/>
        <w:rPr>
          <w:sz w:val="20"/>
          <w:szCs w:val="20"/>
          <w:color w:val="auto"/>
        </w:rPr>
      </w:pPr>
    </w:p>
    <w:p>
      <w:pPr>
        <w:ind w:left="120" w:right="1060" w:firstLine="440"/>
        <w:spacing w:after="0" w:line="277" w:lineRule="auto"/>
        <w:rPr>
          <w:sz w:val="20"/>
          <w:szCs w:val="20"/>
          <w:color w:val="auto"/>
        </w:rPr>
      </w:pPr>
      <w:r>
        <w:rPr>
          <w:rFonts w:ascii="Arial" w:cs="Arial" w:eastAsia="Arial" w:hAnsi="Arial"/>
          <w:sz w:val="18"/>
          <w:szCs w:val="18"/>
          <w:color w:val="auto"/>
        </w:rPr>
        <w:t>Interest and penalties, when incurred, are recognized in other income (expense), net on the consolidated statement of operations and comprehensive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Stock-based compensation expense is measured based on fair value. Stock-based compensation expense related to time-based stock options is recognized as stock-based compensation expense on an accelerated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342" w:lineRule="auto"/>
        <w:rPr>
          <w:sz w:val="20"/>
          <w:szCs w:val="20"/>
          <w:color w:val="auto"/>
        </w:rPr>
      </w:pPr>
      <w:r>
        <w:rPr>
          <w:rFonts w:ascii="Arial" w:cs="Arial" w:eastAsia="Arial" w:hAnsi="Arial"/>
          <w:sz w:val="16"/>
          <w:szCs w:val="16"/>
          <w:color w:val="auto"/>
        </w:rPr>
        <w:t>recognition method over the requisite service period. The fair value of performance-based stock option awards is recognized as stock-based compensation expense when the condition is deemed probable of being achieved. We account for forfeitures as they occur.</w:t>
      </w:r>
    </w:p>
    <w:p>
      <w:pPr>
        <w:spacing w:after="0" w:line="1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estimate fair value of stock options using the Black-Scholes valuation model. Calculating the fair value of stock-based awards requires certain assumptions and judgments. For our 2018 stock options, we estimated our equity value using a combination of the income approach (discounted cash flows of internal projected future cash flows) and the market approach (comparing comparable publicly-traded peer group in the restaurant industry). We based our volatility assumption of 31.4% on the historical volatility of the selected peer group and we based our expected term of 5.6 years using the historical information of the selected peer group. If factors change and we employ different assumptions, stock-based compensation expense may differ significantly from what we have recorded in the past.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retain large deductibles or self-insured retentions for employee group health claims nationally and workers’ compensation in Ohio. We maintain coverage with a third-party insurer to limit our total exposure for these programs. The accrued liabilities associated with our self-insured programs are based on our estimate of the ultimate costs to settle known claims, as well as claims incurred but not yet reported to us (“IBNR”) as of the balance sheet date. Our estimated liabilities are based on information provided by our insurance broker and insurer, combined with our judgment regarding a number of assumptions and factors, including the frequency and severity of claims, claims development history, case jurisdiction, applicable legislation and our claims settlement practices. Significant judgment is required to estimate IBNR amounts, as parties have yet to assert such claims. If actual claims trends, including the severity or frequency of claims, differ from our estimates, our financial results could be impacted.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We account for acquisitions using the purchase method of accounting. Accordingly, assets acquired and liabilities assumed are recorded at their estimated fair values at the acquisition date. Our purchase price allocation methodology contains uncertainties because it requires us to make certain assumptions and to apply judgment to estimate the fair value of acquired assets and liabilities, including, but not limited to, property and equipment, intangible assets, and goodwill. The excess of purchase price over fair value of net assets acquired, including the amount assigned to identifiable intangible assets, is recorded as goodwill. Given the time it takes to obtain pertinent information to finalize our purchase price allocation, it may be several quarters before we are able to finalize those initial fair value estimates. Accordingly, it is not uncommon for the initial estimates to be subsequently revised. The results of operations of acquired businesses are included in the consolidated financial statements from the acquisition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Gift Card Revenue Recognition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sell gift cards to customers in our restaurants, through our websites and through select third parties. A liability is initially established for the value of the gift card when sold. We recognize revenue from gift cards at the time the gift cards are redeemed. Since an uncertain amount of gift cards sold are not redeemed, we recognize gift card breakage revenue using estimates based on historical redemption patterns. If actual redemptions vary from the estimated breakage, gift card breakage revenue may differ from the amount recorded. We periodically update our estimates used for breakage and apply that rate to gift card redemptions. A change in our breakage rate estimates by 5% would have resulted in an adjustment in our breakage revenue of $0.3 million for fiscal 2018.</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Commodity and Food Price Risks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profitability is dependent on, among other things, our ability to anticipate and react to changes in the costs of key operating resources, including food and beverage, energy and other commodities. We have been able to partially offset cost increases resulting from a number of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could impact our results of operations to the extent that such increases cannot be offset by menu price increases.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Our Senior Credit Facilities incur interest at a floating rate. We seek to manage exposure to adverse interest rate changes through our normal operating and financing activities. As of December 30, 2018, we had $195.4 million in outstanding borrowings under our Senior Credit Facilities, excluding unamortized debt discount and deferred issuance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Inflation impacts all our restaurant operating expenses. While we have been able to partially offset inflation and other changes in operating expenses by gradually increasing menu prices, coupled with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make additional menu price increases imprudent. We anticipate cost pressure on several commodities for fiscal 2020. We are planning moderate price increases in fiscal 2020, which may or may not be enough to recover increased operating expenses. There can be no assurance that future cost increases can be offset by increased menu prices or that increased menu prices will be fully absorbed without any resulting change to their visit frequencies or purchasing patterns. In addition, there can be no assurance that we will generate same-restaurants sales growth in an amount sufficient to offset inflationary or other cost pressures. However, we anticipate our cost of sales as a percentage of restaurant sales will remain consistent with fiscal 2019 from a combination of price increases, product mix changes and recipe modifications.</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Additionally, wages paid in our restaurants are impacted by changes in federal and state hourly minimum wage rates. Accordingly, changes in the federal and state hourly minimum wage rates directly affect our labor costs. Wages and benefits are also affected by supply and demand forces in specific regions. The restaurant industry and we typically attempt to offset the effect of inflation, at least in part, through periodic menu price increases and various cost reduction programs.</w:t>
      </w:r>
    </w:p>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 portion of the leases for our company-owned restaurants provide for contingent rent obligations based on a percentage of sales. As a result, an increase in occupancy and related expenses will offset a proportionate share of any menu price increases at our company-owned restaurants.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For a discussion of recently issued accounting pronouncements,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audited consolidated financial statements included elsewhere in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Jumpstart Our Business Startups Act of 2012</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JOBS Act permits us, as an emerging growth company, to take advantage of an extended transition period to comply with new or revised accounting standards applicable to public companies. We are choosing to “opt out” of this provision and, as a result, we will comply with new or revised accounting standards as required when they are adopted. This decision to opt out of the extended transition period under the JOBS Act is irrevocable.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First Watch</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First Watch – a high-growth daytime restaurant concept serving made-to-order breakfast, brunch and lunch using fresh ingredients. Since our founding in 1983, we have built our brand on our commitment to operational excellence, our “You First” culture and our culinary mission centered around an innovative menu that is always fresh and evolving. Our one shift, from 7:00 a.m. to 2:30 p.m., and one menu enable us to optimize restaurant operations and attract and retain employees who are passionate about hospitality and drawn to our “No Night Shifts Ever” approach. These foundational brand pillars have resulted in strong consumer demand and operating performance as evidenced by our 20 consecutive quarters of positive same-restaurant sales growth and traffic growth since 2014. For fiscal 2018, we generated $350 million of total revenues. As of December 29, 2019, we had 368 restaurants across 29 states, 299 of our restaurants were company-owned and 69 were operated by our franchisees.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Promise: Yeah, It’s Fresh!</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At First Watch, we take a creative approach to daytime dining with a focus on freshness. Each item is made-to-order and prepared with care – you will not find microwave ovens, heat lamps or deep fryers in our kitchens. Every morning, we arrive at the crack of dawn to slice and juice fresh fruits and vegetables, bake muffins, brew our fresh coffee and whip up our French Toast batter from scratch. Our award-winning chef-driven menu includes elevated executions of classic favorites, along with First Watch-specific specialties such as our protein-packed Quinoa Power Bowl, Farmstand Breakfast Tacos, Avocado Toast, Kale Tonic (juiced in-house daily), Chickichangas and our famous Million Dollar Bacon. While our menu constantly evolves, our focus on – and commitment to – freshness never wavers.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 You First</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For more than 36 years, our management has cultivated an organizational culture built on our mission of “You First,” which puts serving others above all else. As a company, we put our employees first and empower them to do whatever it takes to put our customers first. We give back in meaningful ways to the local communities in which we operate and also support national and international causes we care about, such as our Project Sunrise partnership. Our “You First” mission, in addition to our quality of life advantage inherent in our single-shift operating model, has led us to be recognized as an employer of choice in our industry.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Proven Record of Sustained Growth</w:t>
      </w:r>
    </w:p>
    <w:p>
      <w:pPr>
        <w:spacing w:after="0" w:line="121"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Our long track record of results, spanning almost four decades, demonstrates our broad brand appeal, compelling economic proposition and difficult-to-replicate business model. We have achieved growth in total restaurants to 368 in 2019, from 148 restaurants in 2014. Over the five-year period ended December 30, 2018, we have achieved:</w:t>
      </w:r>
    </w:p>
    <w:p>
      <w:pPr>
        <w:spacing w:after="0" w:line="8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Consistently positive annual same-restaurant sales growth, averaging 6.5%</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Consistently positive annual same-restaurant traffic growth, averaging 1.4%</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AUV growth of 23%, from $1.2 million in 2014 to $1.5 million in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58464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6045" cy="584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Consumer Trends in Our Favor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we are well-positioned to continue to benefit from the confluence of a number of long-term multi-generational consumer trends:</w:t>
      </w:r>
    </w:p>
    <w:p>
      <w:pPr>
        <w:spacing w:after="0" w:line="24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Increasing Morning Meal Occasions. </w:t>
      </w:r>
      <w:r>
        <w:rPr>
          <w:rFonts w:ascii="Arial" w:cs="Arial" w:eastAsia="Arial" w:hAnsi="Arial"/>
          <w:sz w:val="18"/>
          <w:szCs w:val="18"/>
          <w:color w:val="auto"/>
        </w:rPr>
        <w:t>The morning meal (Breakfast and morning Snack) is the only foodservice daypart with consistent year-over-year growth for the last several years, according to third-party industry sources. The restaurant industry captured two additional breakfast visits per capita, from 2015 to 2018,</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and with 78% of breakfasts still being prepared at home as of 2019, morning restaurant traffic provides a compelling long-term opportunity for future growth.</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Demand for Fresh, Healthy Food. </w:t>
      </w:r>
      <w:r>
        <w:rPr>
          <w:rFonts w:ascii="Arial" w:cs="Arial" w:eastAsia="Arial" w:hAnsi="Arial"/>
          <w:sz w:val="18"/>
          <w:szCs w:val="18"/>
          <w:color w:val="auto"/>
        </w:rPr>
        <w:t>More than half of consumers consider a healthy menu an important factor in their restaurant choice and 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consumers say they want more protein in their diet, according to third-party industry sources. Our freshly made food, with simple, high-quality, protein-rich ingredients, such as cage-free eggs and quinoa, aligns well with these consumer trends.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Consumers Want “On-Demand” Dining. </w:t>
      </w:r>
      <w:r>
        <w:rPr>
          <w:rFonts w:ascii="Arial" w:cs="Arial" w:eastAsia="Arial" w:hAnsi="Arial"/>
          <w:sz w:val="16"/>
          <w:szCs w:val="16"/>
          <w:color w:val="auto"/>
        </w:rPr>
        <w:t>Consumers want the ability to order what they want and when they want it without regard to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daypart conventions. Increasingly busy schedules, the rise of the “gig” economy, flexible job hours and growth of remote workers are powering demand for convenient, fast and flexible daytime dining offerings, for which traditional rigid breakfast and lunch dayparts were not designed.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Disrupting a Massive Category</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consumer needs have evolved, so have we. Our “Urban Farm” positioning provides a creative, farm-fresh breakfast, brunch and lunch menu in a rustic yet contemporary atmosphere – creating an energizing daytime dining experience that resonates with consumers. We enjoy broad appeal that includes attracting, healthier and more affluent consumers. These digital-centric consumers care about food and quality, are willing to pay more and report higher advocacy for and share of visits to First Watch. There is no other concept with an offering similar to ours at a comparable scale. Our operating hours encompass breakfast, brunch and lunch, which represent 63% of all restaurant sales in the U.S., according to third-party industry sources. Our operating model and our scale position us for continued growth within this massive category.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Unrelenting Commitment to Fresh Ingredients and Culinary Innovation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creative, on-trend menu and seasonal offerings define the culinary voice of our brand and highlight our commitment to quality and freshness. We believe this commitment is a key differentiator between First Watch and larger restaurant concepts that have failed to evolve. When we say “Yeah, It’s Fresh,” we mean it. While many established restaurant concepts are outsourcing a large part of the preparation of their food, we still do much of it in-house in each restaurant every day.</w:t>
      </w:r>
    </w:p>
    <w:p>
      <w:pPr>
        <w:spacing w:after="0" w:line="18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That commitment to quality and freshness is further evidenced throughout our award-winning menu with ingredients such as cage-free eggs, organic mixed greens and all-natural chicken, just to name a few. Our highly-curated menu of less than 60 entrée items – small relative to most in our industry – features a thoughtful balance of classic favorites prepared and presented in an elevated way using high-quality ingredients, along with innovative and interesting specialty dishes that take the consumer on a culinary exploration.</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creativity and innovation extends beyond today’s offerings and into our overall menu strategy. Successful platform introductions such as our Fresh Juice program and Shareables, which include menu items such as Million Dollar Bacon and Holey Donuts, were added in the past few years, adding incremental revenue opportunities while enhancing our culinary credibility.</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sourcing mission is simple: “Follow the sun and partner with growers who have the best produce at the height of season.” We receive fresh produce deliveries at least three times per week because we believe that is how it should be. Our kitchens are designed and appointed to efficiently execute our fresh food menu at high volumes and during peak hours throughout the day.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One Shift, One Menu, One Focus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that our compelling business model, built around “One Shift, One Menu, One Focus” affords us competitive advantages. Our single-shift restaurant hours, by design, result in “No Night Shifts Ever.” This helps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make us an employer of choice in the foodservice industry, which we believe allows us to attract superior talent, retain employees longer and create a unifying organizational culture. Our single menu, throughout the day and across all restaurants in our system, streamlines our supply chain and restaurant operations, simplifies our employee training and provides for a consistent customer experience. Our singular emphasis on daytime dining gives us the clarity of purpose to relentlessly focus on delivering a superior daytime dining experience.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First” Culture Elevates Employee and Customer Satisfaction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“You First” mission permeates every level of our organization. We have designed our hiring, training and retention strategies such that our more than 9,000 employees, united by our culture, are empowered to deliver superior customer experiences. We invest heavily in our leaders by conducting 11 weeks of training for all managers, including a one-week F.A.R.M program held at our Home Office in University Park, Florida, where each of our managers-in-training is immersed in our culture, vision and mission. Our restaurant-level general manager turnover averaged 19.3% in fiscal 2019, which is meaningfully lower than the industry-reported average of 43%. A five-year longitudinal study of employee surveys on Glassdoor published in 2019 ranked us #1 for work/life balance and among the top five employers in the restaurant industry.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Track Record of Exceptional Same-Restaurant Traffic and Sales Growth</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strong brand with growing awareness, broad consumer appeal and excellence in execution have created outstanding performance over time. Over the five-year period ended December 30, 2018, our same-restaurant sales growth has been positive every year, averaging 6.5%. Importantly, that growth was driven by positive same-restaurant traffic every year during that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Restaurant Productivity and Proven Portability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success of our brand is reflected in our restaurant-level performance and Cash-on-Cash Returns. In fiscal 2019, we generated AUV of</w:t>
      </w:r>
    </w:p>
    <w:p>
      <w:pPr>
        <w:spacing w:after="0" w:line="35" w:lineRule="exact"/>
        <w:rPr>
          <w:sz w:val="20"/>
          <w:szCs w:val="20"/>
          <w:color w:val="auto"/>
        </w:rPr>
      </w:pPr>
    </w:p>
    <w:p>
      <w:pPr>
        <w:ind w:left="800" w:hanging="684"/>
        <w:spacing w:after="0"/>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 single shift, comparable to many restaurants open for several shifts or in some cases around the clock. We have demonstrated the</w:t>
      </w:r>
    </w:p>
    <w:p>
      <w:pPr>
        <w:spacing w:after="0" w:line="21"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portability of our model by successfully operating restaurants in 29 states. Restaurants in our top decile, by fiscal 2019 sales, span different states and DMAs.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Experienced, Passionate Leadership Team and Deep Talent Bench</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team is led by passionate executives who have an extensive mix of experience in our brand and with other leading consumer facing businesses. Christopher A. Tomasso, our President, Chief Executive Officer and Director, has more than 23 years of industry experience and joined First Watch in 2006. Mr. Tomasso sets the strategic vision and brand positioning for the company, while preserving its organizational culture. Mel Hope, our Chief Financial Officer and Treasurer, has more than 35 years of public accounting and industry experience including serving as Chief Financial Officer of large, successful public companies. We have a deep bench of talent throughout the organization. Our executives and key employees average more than 13 years of industry experience and our restaurant general managers have an average tenure at First Watch of five years. In addition, we have dozens of fully-trained, tested, high-performing managers positioned throughout our system who are poised to step into the general manager role as we execute our growth strategy and open new restaurants.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We Intend to Grow Sales and Profits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While we are proud of our success in having grown sales and SLEBITDA consistently for many years, our focus is on the future. We believe our continued growth will come from: (i) opening new restaurants in existing and new geographies and (ii) driving traffic and building sales at our restaurants.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Our Brand Footprint by Consistently Opening New Restaurants</w:t>
      </w:r>
    </w:p>
    <w:p>
      <w:pPr>
        <w:spacing w:after="0" w:line="117" w:lineRule="exact"/>
        <w:rPr>
          <w:sz w:val="20"/>
          <w:szCs w:val="20"/>
          <w:color w:val="auto"/>
        </w:rPr>
      </w:pPr>
    </w:p>
    <w:p>
      <w:pPr>
        <w:ind w:left="560"/>
        <w:spacing w:after="0"/>
        <w:tabs>
          <w:tab w:leader="none" w:pos="10260" w:val="left"/>
        </w:tabs>
        <w:rPr>
          <w:sz w:val="20"/>
          <w:szCs w:val="20"/>
          <w:color w:val="auto"/>
        </w:rPr>
      </w:pPr>
      <w:r>
        <w:rPr>
          <w:rFonts w:ascii="Arial" w:cs="Arial" w:eastAsia="Arial" w:hAnsi="Arial"/>
          <w:sz w:val="18"/>
          <w:szCs w:val="18"/>
          <w:color w:val="auto"/>
        </w:rPr>
        <w:t>First Watch has grown from 148 restaurants in 2014 to 368 restaurants in 2019 while increasing the AUV from $1.2 million to</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achieving positive same-restaurant sales growth and traffic in each of those years. In Florida, our most mature market with the greatest number of company-owned restaurants, we have grown from 45 to 90 restaurants over the last six years, while generating average annual same-restaurant sales growth of 5.9% over the same period. We believe we have significant potential to expand our presence within all the states in which we currently operate as well as new ones.</w:t>
      </w:r>
    </w:p>
    <w:p>
      <w:pPr>
        <w:spacing w:after="0" w:line="193" w:lineRule="exact"/>
        <w:rPr>
          <w:sz w:val="20"/>
          <w:szCs w:val="20"/>
          <w:color w:val="auto"/>
        </w:rPr>
      </w:pPr>
    </w:p>
    <w:p>
      <w:pPr>
        <w:ind w:left="660" w:hanging="98"/>
        <w:spacing w:after="0" w:line="258" w:lineRule="auto"/>
        <w:rPr>
          <w:sz w:val="20"/>
          <w:szCs w:val="20"/>
          <w:color w:val="auto"/>
        </w:rPr>
      </w:pPr>
      <w:r>
        <w:rPr>
          <w:rFonts w:ascii="Arial" w:cs="Arial" w:eastAsia="Arial" w:hAnsi="Arial"/>
          <w:sz w:val="18"/>
          <w:szCs w:val="18"/>
          <w:color w:val="auto"/>
        </w:rPr>
        <w:t>We estimate potential for</w:t>
      </w:r>
      <w:r>
        <w:rPr>
          <w:sz w:val="20"/>
          <w:szCs w:val="20"/>
          <w:color w:val="auto"/>
        </w:rPr>
        <w:t xml:space="preserve"> </w:t>
      </w:r>
      <w:r>
        <w:rPr>
          <w:rFonts w:ascii="Arial" w:cs="Arial" w:eastAsia="Arial" w:hAnsi="Arial"/>
          <w:sz w:val="18"/>
          <w:szCs w:val="18"/>
          <w:color w:val="auto"/>
        </w:rPr>
        <w:t>restaurants across the United States. We intend to leverage our rigorous real estate site selection process to open company-owned restaurants over . While our existing franchisees are committed to developing restaurants in the future, we expect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company-owned restaurants will be the primary growth driver of our footprint over the long term.</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Drive Restaurant Traffic and Build Sales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 significant runway to continue to grow traffic and restaurant sales by executing against a defined set of strategies.</w:t>
      </w:r>
    </w:p>
    <w:p>
      <w:pPr>
        <w:spacing w:after="0" w:line="22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b w:val="1"/>
          <w:bCs w:val="1"/>
          <w:i w:val="1"/>
          <w:iCs w:val="1"/>
          <w:color w:val="auto"/>
        </w:rPr>
        <w:t>Continue Menu Innovation</w:t>
      </w:r>
      <w:r>
        <w:rPr>
          <w:rFonts w:ascii="Arial" w:cs="Arial" w:eastAsia="Arial" w:hAnsi="Arial"/>
          <w:sz w:val="16"/>
          <w:szCs w:val="16"/>
          <w:color w:val="auto"/>
        </w:rPr>
        <w:t>. We continuously evolve our offering to keep our menu fresh and interesting. Our chef-led culinary innovation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leverages consumer research to maintain a keen awareness of emerging culinary trends, immerses themselves in the marketplace through frequent culinary inspiration tours and uses those experiences to develop a robust pipeline of exciting new recipes and menu offerings. We intend to drive continued incremental customer spending through our five highly-anticipated seasonal menus and the introduction of wholly new menu platforms</w:t>
      </w:r>
    </w:p>
    <w:p>
      <w:pPr>
        <w:spacing w:after="0" w:line="1" w:lineRule="exact"/>
        <w:rPr>
          <w:sz w:val="20"/>
          <w:szCs w:val="20"/>
          <w:color w:val="auto"/>
        </w:rPr>
      </w:pPr>
    </w:p>
    <w:p>
      <w:pPr>
        <w:ind w:left="120" w:right="240"/>
        <w:spacing w:after="0" w:line="290" w:lineRule="auto"/>
        <w:rPr>
          <w:sz w:val="20"/>
          <w:szCs w:val="20"/>
          <w:color w:val="auto"/>
        </w:rPr>
      </w:pPr>
      <w:r>
        <w:rPr>
          <w:rFonts w:ascii="Arial" w:cs="Arial" w:eastAsia="Arial" w:hAnsi="Arial"/>
          <w:sz w:val="17"/>
          <w:szCs w:val="17"/>
          <w:color w:val="auto"/>
        </w:rPr>
        <w:t>similar to our introductions of Fresh Juices and Shareables. For fiscal 2019, % of customers purchased our seasonal menu, % purchased Fresh Juices and % purchased Shareables. We expect menu innovation to continue to provide incremental growth opportunities in the future.</w:t>
      </w:r>
    </w:p>
    <w:p>
      <w:pPr>
        <w:spacing w:after="0" w:line="16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Increase Our Brand Awareness</w:t>
      </w:r>
      <w:r>
        <w:rPr>
          <w:rFonts w:ascii="Arial" w:cs="Arial" w:eastAsia="Arial" w:hAnsi="Arial"/>
          <w:sz w:val="17"/>
          <w:szCs w:val="17"/>
          <w:color w:val="auto"/>
        </w:rPr>
        <w:t>. We believe First Watch is still in the early stages of our life cycle, as consumers in our existing and new markets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discover the First Watch brand. In a 2017 survey, only 33% of respondents in our existing markets were aware of First Watch. Our advertising costs represent less than 1% of total revenues in fiscal 2018. We intend to grow our brand awareness primarily through increased investment in cost-efficient digital, social and to some extent, traditional media. Additionally, and perhaps even more importantly, our brand awareness will continue to increase as our customers share their experiences online and offline with their family and friends.</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Deliver An Excellent Dining Experience. </w:t>
      </w:r>
      <w:r>
        <w:rPr>
          <w:rFonts w:ascii="Arial" w:cs="Arial" w:eastAsia="Arial" w:hAnsi="Arial"/>
          <w:sz w:val="16"/>
          <w:szCs w:val="16"/>
          <w:color w:val="auto"/>
        </w:rPr>
        <w:t>Excellence in restaurant-level execution, recognized by customers and reinforced by the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accolades we have received, increases the frequency of our customer visits, promotes trial by new consumers and ultimately creates loyalty. We have received hundreds of awards from local and national media outlets that we believe matter to consumers – including being named one of TripAdvisor’s Best Restaurant Chains in 2019. We aim to continue to leverage our “One Shift, One Menu, One Focus” model to stay distinguishably different from our competitors by focusing on delivering a superior dining experience every day to further drive traffic and build sales.</w:t>
      </w:r>
    </w:p>
    <w:p>
      <w:pPr>
        <w:spacing w:after="0" w:line="16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Future Platforms and Initiatives. </w:t>
      </w:r>
      <w:r>
        <w:rPr>
          <w:rFonts w:ascii="Arial" w:cs="Arial" w:eastAsia="Arial" w:hAnsi="Arial"/>
          <w:sz w:val="18"/>
          <w:szCs w:val="18"/>
          <w:color w:val="auto"/>
        </w:rPr>
        <w:t>We see opportunity, over time, to selectively evolve our concept and offerings via the implementation of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and initiatives.</w:t>
      </w:r>
    </w:p>
    <w:p>
      <w:pPr>
        <w:spacing w:after="0" w:line="76" w:lineRule="exact"/>
        <w:rPr>
          <w:sz w:val="20"/>
          <w:szCs w:val="20"/>
          <w:color w:val="auto"/>
        </w:rPr>
      </w:pPr>
    </w:p>
    <w:p>
      <w:pPr>
        <w:ind w:left="1080" w:right="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Alcohol: </w:t>
      </w:r>
      <w:r>
        <w:rPr>
          <w:rFonts w:ascii="Arial" w:cs="Arial" w:eastAsia="Arial" w:hAnsi="Arial"/>
          <w:sz w:val="18"/>
          <w:szCs w:val="18"/>
          <w:color w:val="auto"/>
        </w:rPr>
        <w:t>We believe offering alcoholic beverages will be a highly-incremental new sales platform while opening up new occasions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This initiative is in the early stages of testing with encouraging results.</w:t>
      </w:r>
    </w:p>
    <w:p>
      <w:pPr>
        <w:spacing w:after="0" w:line="75"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Off-Premise: </w:t>
      </w:r>
      <w:r>
        <w:rPr>
          <w:rFonts w:ascii="Arial" w:cs="Arial" w:eastAsia="Arial" w:hAnsi="Arial"/>
          <w:sz w:val="16"/>
          <w:szCs w:val="16"/>
          <w:color w:val="auto"/>
        </w:rPr>
        <w:t>We are in the early stages of integrating technology into our business to enhance customer access and leverage off-premise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consumption. Third-party delivery is offered at less than 50 of our restaurants as of the end of fiscal 2019. We are setting the foundation to optimize the off-premise opportunity through a system-wide rollout that takes advantage of improving delivery-related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308" w:lineRule="auto"/>
        <w:rPr>
          <w:sz w:val="20"/>
          <w:szCs w:val="20"/>
          <w:color w:val="auto"/>
        </w:rPr>
      </w:pPr>
      <w:r>
        <w:rPr>
          <w:rFonts w:ascii="Arial" w:cs="Arial" w:eastAsia="Arial" w:hAnsi="Arial"/>
          <w:sz w:val="17"/>
          <w:szCs w:val="17"/>
          <w:color w:val="auto"/>
        </w:rPr>
        <w:t>economics in the marketplace. We also intend to evolve our mobile app and the Sun eClub email program, which currently has more than 1.5 million members, to reduce customer friction and enhance targeted campaigns to increase customer frequency.</w:t>
      </w:r>
    </w:p>
    <w:p>
      <w:pPr>
        <w:spacing w:after="0" w:line="52"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Lunch: </w:t>
      </w:r>
      <w:r>
        <w:rPr>
          <w:rFonts w:ascii="Arial" w:cs="Arial" w:eastAsia="Arial" w:hAnsi="Arial"/>
          <w:sz w:val="16"/>
          <w:szCs w:val="16"/>
          <w:color w:val="auto"/>
        </w:rPr>
        <w:t>We believe that we have the opportunity to significantly increase market share by driving incremental customer visits during the</w:t>
      </w:r>
    </w:p>
    <w:p>
      <w:pPr>
        <w:spacing w:after="0" w:line="46" w:lineRule="exact"/>
        <w:rPr>
          <w:sz w:val="20"/>
          <w:szCs w:val="20"/>
          <w:color w:val="auto"/>
        </w:rPr>
      </w:pPr>
    </w:p>
    <w:p>
      <w:pPr>
        <w:ind w:left="1080" w:right="80"/>
        <w:spacing w:after="0" w:line="323" w:lineRule="auto"/>
        <w:rPr>
          <w:sz w:val="20"/>
          <w:szCs w:val="20"/>
          <w:color w:val="auto"/>
        </w:rPr>
      </w:pPr>
      <w:r>
        <w:rPr>
          <w:rFonts w:ascii="Arial" w:cs="Arial" w:eastAsia="Arial" w:hAnsi="Arial"/>
          <w:sz w:val="16"/>
          <w:szCs w:val="16"/>
          <w:color w:val="auto"/>
        </w:rPr>
        <w:t>weekday lunch daypart through the evolution of our menu with fresh, convenient and differentiated lunch-oriented offerings. Only % of our weekday customer transactions occurred between the hours of 12:00 p.m. and 2:30 p.m. Monday through Friday for fiscal 2019.</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Menu</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serve breakfast, brunch and lunch classics, as well as innovative dishes, all made from fresh ingredients. Our limited menu of less than 60 entrée items is customizable to personal preference. While the menu is curated, we offer something for everybody through our classic favorites, our “healthier side” options and everything in between, including our power bowls, salads and egg-sclusives. Additionally, we offer a seasonal menu, which is rotated five times per year, and adds optionality to our customers.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29, 2019, we had 299 company-owned restaurants and 69 franchised restaurants located in 29 states, including a large presence in Florida, Texas, Ohio, Arizona and Missouri. We lease all our company-owned restaurant facilities.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29, 2019, company-owned, franchised and total restaurants by jurisdiction were:</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color w:val="auto"/>
                <w:w w:val="85"/>
              </w:rPr>
              <w:t>State</w:t>
            </w:r>
          </w:p>
        </w:tc>
        <w:tc>
          <w:tcPr>
            <w:tcW w:w="2500" w:type="dxa"/>
            <w:vAlign w:val="bottom"/>
            <w:vMerge w:val="restart"/>
          </w:tcPr>
          <w:p>
            <w:pPr>
              <w:spacing w:after="0"/>
              <w:rPr>
                <w:sz w:val="14"/>
                <w:szCs w:val="14"/>
                <w:color w:val="auto"/>
              </w:rPr>
            </w:pPr>
          </w:p>
        </w:tc>
        <w:tc>
          <w:tcPr>
            <w:tcW w:w="3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Franchise</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412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Company-Owned</w:t>
            </w:r>
          </w:p>
        </w:tc>
        <w:tc>
          <w:tcPr>
            <w:tcW w:w="680" w:type="dxa"/>
            <w:vAlign w:val="bottom"/>
          </w:tcPr>
          <w:p>
            <w:pPr>
              <w:spacing w:after="0"/>
              <w:rPr>
                <w:sz w:val="15"/>
                <w:szCs w:val="15"/>
                <w:color w:val="auto"/>
              </w:rPr>
            </w:pPr>
          </w:p>
        </w:tc>
        <w:tc>
          <w:tcPr>
            <w:tcW w:w="580" w:type="dxa"/>
            <w:vAlign w:val="bottom"/>
          </w:tcPr>
          <w:p>
            <w:pPr>
              <w:jc w:val="right"/>
              <w:spacing w:after="0" w:line="154" w:lineRule="exact"/>
              <w:rPr>
                <w:sz w:val="20"/>
                <w:szCs w:val="20"/>
                <w:color w:val="auto"/>
              </w:rPr>
            </w:pPr>
            <w:r>
              <w:rPr>
                <w:rFonts w:ascii="Arial" w:cs="Arial" w:eastAsia="Arial" w:hAnsi="Arial"/>
                <w:sz w:val="14"/>
                <w:szCs w:val="14"/>
                <w:color w:val="auto"/>
                <w:w w:val="89"/>
              </w:rPr>
              <w:t>Operated</w:t>
            </w:r>
          </w:p>
        </w:tc>
        <w:tc>
          <w:tcPr>
            <w:tcW w:w="700" w:type="dxa"/>
            <w:vAlign w:val="bottom"/>
          </w:tcPr>
          <w:p>
            <w:pPr>
              <w:spacing w:after="0"/>
              <w:rPr>
                <w:sz w:val="15"/>
                <w:szCs w:val="15"/>
                <w:color w:val="auto"/>
              </w:rPr>
            </w:pPr>
          </w:p>
        </w:tc>
        <w:tc>
          <w:tcPr>
            <w:tcW w:w="380" w:type="dxa"/>
            <w:vAlign w:val="bottom"/>
            <w:gridSpan w:val="2"/>
          </w:tcPr>
          <w:p>
            <w:pPr>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Alabama</w:t>
            </w:r>
          </w:p>
        </w:tc>
        <w:tc>
          <w:tcPr>
            <w:tcW w:w="3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Kansas</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Nebraska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Ohio</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Utah</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West Virginia</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Wisconsin</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6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70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Pr>
          <w:p>
            <w:pPr>
              <w:jc w:val="right"/>
              <w:ind w:right="1091"/>
              <w:spacing w:after="0"/>
              <w:rPr>
                <w:sz w:val="20"/>
                <w:szCs w:val="20"/>
                <w:color w:val="auto"/>
              </w:rPr>
            </w:pPr>
            <w:r>
              <w:rPr>
                <w:rFonts w:ascii="Arial" w:cs="Arial" w:eastAsia="Arial" w:hAnsi="Arial"/>
                <w:sz w:val="18"/>
                <w:szCs w:val="18"/>
                <w:color w:val="auto"/>
              </w:rPr>
              <w:t>74</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restaurant development has historically included both new restaurant openings and conversion of acquired restaurants.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2"/>
              </w:rPr>
              <w:t>Fiscal Year Ended</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7480" w:type="dxa"/>
            <w:vAlign w:val="bottom"/>
          </w:tcPr>
          <w:p>
            <w:pPr>
              <w:spacing w:after="0"/>
              <w:rPr>
                <w:sz w:val="14"/>
                <w:szCs w:val="14"/>
                <w:color w:val="auto"/>
              </w:rPr>
            </w:pPr>
          </w:p>
        </w:tc>
        <w:tc>
          <w:tcPr>
            <w:tcW w:w="22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90"/>
              </w:rPr>
              <w:t>December 30, 2018</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29, 2019</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First Watch Restaurants</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b w:val="1"/>
                <w:bCs w:val="1"/>
                <w:color w:val="auto"/>
                <w:w w:val="79"/>
              </w:rPr>
              <w:t>294</w:t>
            </w:r>
          </w:p>
        </w:tc>
        <w:tc>
          <w:tcPr>
            <w:tcW w:w="1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Company-owned First Watch</w:t>
            </w:r>
          </w:p>
        </w:tc>
        <w:tc>
          <w:tcPr>
            <w:tcW w:w="2260" w:type="dxa"/>
            <w:vAlign w:val="bottom"/>
            <w:gridSpan w:val="2"/>
          </w:tcPr>
          <w:p>
            <w:pPr>
              <w:jc w:val="right"/>
              <w:ind w:right="1100"/>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Franchise operated First Watch</w:t>
            </w:r>
          </w:p>
        </w:tc>
        <w:tc>
          <w:tcPr>
            <w:tcW w:w="2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r>
      <w:tr>
        <w:trPr>
          <w:trHeight w:val="432"/>
        </w:trPr>
        <w:tc>
          <w:tcPr>
            <w:tcW w:w="7480" w:type="dxa"/>
            <w:vAlign w:val="bottom"/>
          </w:tcPr>
          <w:p>
            <w:pPr>
              <w:spacing w:after="0"/>
              <w:rPr>
                <w:sz w:val="20"/>
                <w:szCs w:val="20"/>
                <w:color w:val="auto"/>
              </w:rPr>
            </w:pPr>
            <w:r>
              <w:rPr>
                <w:rFonts w:ascii="Arial" w:cs="Arial" w:eastAsia="Arial" w:hAnsi="Arial"/>
                <w:sz w:val="18"/>
                <w:szCs w:val="18"/>
                <w:b w:val="1"/>
                <w:bCs w:val="1"/>
                <w:color w:val="auto"/>
              </w:rPr>
              <w:t>First Watch Company-owned Development</w:t>
            </w:r>
          </w:p>
        </w:tc>
        <w:tc>
          <w:tcPr>
            <w:tcW w:w="226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37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Company-owned First Watch New Restaurant Openings</w:t>
            </w:r>
          </w:p>
        </w:tc>
        <w:tc>
          <w:tcPr>
            <w:tcW w:w="2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Company-owned First Watch Conversions</w:t>
            </w:r>
          </w:p>
        </w:tc>
        <w:tc>
          <w:tcPr>
            <w:tcW w:w="2260" w:type="dxa"/>
            <w:vAlign w:val="bottom"/>
            <w:gridSpan w:val="2"/>
          </w:tcPr>
          <w:p>
            <w:pPr>
              <w:jc w:val="right"/>
              <w:ind w:right="110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02"/>
        </w:trPr>
        <w:tc>
          <w:tcPr>
            <w:tcW w:w="7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First Watch Franchise operated Development</w:t>
            </w:r>
          </w:p>
        </w:tc>
        <w:tc>
          <w:tcPr>
            <w:tcW w:w="2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b w:val="1"/>
                <w:bCs w:val="1"/>
                <w:color w:val="auto"/>
              </w:rPr>
              <w:t>19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First Watch Franchise operated New Restaurant Openings</w:t>
            </w:r>
          </w:p>
        </w:tc>
        <w:tc>
          <w:tcPr>
            <w:tcW w:w="2260" w:type="dxa"/>
            <w:vAlign w:val="bottom"/>
            <w:gridSpan w:val="2"/>
          </w:tcPr>
          <w:p>
            <w:pPr>
              <w:jc w:val="right"/>
              <w:ind w:right="110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Watch Franchise operated Conversions</w:t>
            </w:r>
          </w:p>
        </w:tc>
        <w:tc>
          <w:tcPr>
            <w:tcW w:w="2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Acquired First Watch Franchise operated Locations</w:t>
            </w:r>
          </w:p>
        </w:tc>
        <w:tc>
          <w:tcPr>
            <w:tcW w:w="2260" w:type="dxa"/>
            <w:vAlign w:val="bottom"/>
            <w:gridSpan w:val="2"/>
          </w:tcPr>
          <w:p>
            <w:pPr>
              <w:jc w:val="right"/>
              <w:ind w:right="1100"/>
              <w:spacing w:after="0"/>
              <w:rPr>
                <w:sz w:val="20"/>
                <w:szCs w:val="20"/>
                <w:color w:val="auto"/>
              </w:rPr>
            </w:pPr>
            <w:r>
              <w:rPr>
                <w:rFonts w:ascii="Arial" w:cs="Arial" w:eastAsia="Arial" w:hAnsi="Arial"/>
                <w:sz w:val="18"/>
                <w:szCs w:val="18"/>
                <w:color w:val="auto"/>
              </w:rPr>
              <w:t>11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Company-owned Relocations</w:t>
            </w:r>
          </w:p>
        </w:tc>
        <w:tc>
          <w:tcPr>
            <w:tcW w:w="22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Franchise operated Relocations</w:t>
            </w:r>
          </w:p>
        </w:tc>
        <w:tc>
          <w:tcPr>
            <w:tcW w:w="2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Restaurant Design</w:t>
      </w:r>
    </w:p>
    <w:p>
      <w:pPr>
        <w:spacing w:after="0" w:line="117"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Our typical restaurant reflects our “Urban Farm” branding in a rustic yet contemporary atmosphere. Our restaurants typically range from approximately 3,200 square feet to 3,800 square feet in size with indoor seating that accommodates approximately 115-130 customers. Additionally, many of our restaurants have patio seating, which accommodates additional customers. Our restaurants are characterized by distinctive exterior and interior design, color schemes, and layout, including custom designed decor and furnishings consistent with our brand imaging. We supplement our nationally consistent design with local decor elements such as paintings and other fixtures that are unique to each restaurant.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Site Selection Criteria and Approval Process</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Currently, we operate restaurants successfully in 29 states and in a variety of commercial retail environments. Our track record of operating 299 existing restaurants furnishes us with significant insight for new site selection. We prefer free-standing or end cap sites in high-quality trade areas.</w:t>
      </w:r>
    </w:p>
    <w:p>
      <w:pPr>
        <w:spacing w:after="0" w:line="12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restaurant development team is staffed with experienced commercial real estate personnel who use site modeling analysis to identify and prioritize areas of unmet demand. Based upon these priorities, trade areas, traffic patterns, current and future commercial and residential development, competitive forces and sales transfer from existing restaurants are taken into consideration. The teams are then aided by commercial brokers with whom they prospect for potential sites with targeted characteristics for visibility, co-tenancy, access and egress, parking and square footage.</w:t>
      </w:r>
    </w:p>
    <w:p>
      <w:pPr>
        <w:spacing w:after="0" w:line="15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On average, new company-owned restaurant sites are typically identified and evaluated at least 18 months prior to opening. Potential sites are modeled for financial performance based upon proposed lease terms and projected sales. The financial models, together with site and architectural renderings, trade area characteristics, competitive information and proposed lease terms are presented for approval or rejection by the Company’s real estate committee comprised of senior leadership from real estate, operations, marketing, legal and finance teams.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and Food Safety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and our franchisees are focused on maintaining high food quality and food safety in each restaurant through the careful training and supervision of personnel and by following rigorous quality and cleanliness standards that have been established. Standards for food preparation and cleaning procedures are defined, monitored and maintained by our quality assurance department. Third-party inspectors are hired to regularly monitor restaurant performance through unannounced food safety audits.</w:t>
      </w:r>
    </w:p>
    <w:p>
      <w:pPr>
        <w:spacing w:after="0" w:line="18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Restaurant management incentive plans provide strong motivation to meet and exceed standards. In addition, as part of our overall food quality assurance, we have a process in place to review vendors’ food safety practices to ensure they meet or exceed industry standards.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Managers and Restaurant Staff</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Each restaurant operates with a staff of approximately 20 to 30 team members led by the general manager(s) of the restaurant. General managers report to directors of operations, who monitor service, quality and performance metrics.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Our kitchen staff begin food preparation prior to our 7:00 a.m. opening time. During a restaurant’s 7:00 a.m. to 2:30 p.m. shift, our staff focus intensely on operational execution including, among other things, gracious service, order accuracy, food preparation and aesthetically-pleasing plating.</w:t>
      </w:r>
    </w:p>
    <w:p>
      <w:pPr>
        <w:spacing w:after="0" w:line="12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Applicants for restaurant positions are pre-qualified for interview through their entry of certain information into our hiring portal. We are diligent in reviewing applicants, each of whom is interviewed by the general manager in advance of hiring. We seek to staff our restaurants with employees who are friendly, service oriented, eager to prepare high-quality food and a good fit for our “You First” culture. As of December 29, 2019, we had approximately 8,900 in-restaurant and regional operations personnel.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a legacy of operational excellence that ensures a pleasant customer experience and allows us to reliably execute new and creative meal preparations. To continue that legacy, we established a training facility at our Home Office named the F.A.R.M. Our new managers-in-training travel to the F.A.R.M for a week-long immersion in the processes, culture and management tools we have developed. Managers in training also serve alongside experienced managers in restaurants for a minimum of 11 weeks before they are promoted. In addition, there is on-going in-restaurant training conducted for staff by general managers and directors of operations as well as on-line training developed by our training department. Our commitment to training and leveraging our base of veteran general managers in new restaurants ensures that all restaurants benefit from a shared culture and deliver a consistently gracious customer experience.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Our existing franchised restaurant base consists of successful, experienced multi-unit restaurant operators. As a result of attractive returns on company-owned restaurants, we curtailed our franchising program in 2017 and are not extending franchise agreements to new franchisees. As of December 29, 2019, we had 16 franchisees that operated 69 restaurants. Our existing franchisees hold 58 new restaurant development obligations which are required to be filled over the next five years. Our typical agreements grant a franchisee the right to operate for an initial term of 10 years with additional renewal terms that total 10 years subject to various conditions that include upgrades to the restaurant facility and brand image. All franchise agreements grant licenses to use our trademarks, trade secrets and proprietary methods, recipes and procedures. The initial franchise fee for each restaurant is $35,000 to $40,000. Franchisees are required to pay 4.0%-4.5% of franchised restaurant sales in royalties and contribute 1%-3% of franchised restaurant sales to a system fund, which is used for advertising, marketing and public relations programs and materials on a system-wide basis.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use a variety of marketing channels, including email communications, affiliate partnerships, social media interactions, digital marketing, direct mailers, public relations initiatives and local community sponsorships, promotions and partnerships, to drive brand awareness and traffic to our restaurants. We are active in the communities in which we operate, and partner with local organizations to create meaningful bonds. We focus our marketing efforts on building a connection with our customers. Additionally, we are focused on increasing our engagement with social media platforms in order to generate brand awareness and also to gather information we can then apply to future marketing efforts.</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promote our brand through our “Yeah, It’s Fresh” slogan. The slogan aims to deliver our message that First Watch delivers a made-to-order menu prepared with quality, fresh ingredients.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Maintaining high standards of quality in our restaurants depends in part on our ability to acquire fresh ingredients and other necessary supplies that meet our standards and specifications from reliable suppliers. We regularly inspect vendors to ensure that products purchased conform to our standards and that prices offered are competitive. Our quality assurance department requires a third-party supplier audit or Global Food Safety Initiative certification for all food distributors and manufacturing facilities to ensure good manufacturing practices, food safety, pest control, sanitation, training, regulatory compliance and food defense systems are in place. We negotiate and contract directly with the suppliers of our food, and we contract with two distributors for delivery to our restaurants of the majority of all our food, produce and supplies. Most restaurants accept deliveries at least three times per week. In the normal course of business, we evaluate bids from multiple suppliers for various products. Our most frequently used food items are bacon, coffee, eggs, avocados, potatoes and bread. Fluctuations in supply and prices can significantly impact our restaurant service and profit performance.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registered First Watch the Daytime Cafe, You First and certain other names used by our restaurants as trademarks or service marks with the USPTO. In addition, the First Watch logo, website name and address and Facebook and Twitter accounts are our intellectual property. Our policy is to pursue and maintain registration of service marks and trademarks and to oppose vigorously any infringement or dilution of the service marks or trademarks. We maintain certain recipes for our menu items, as well as certain standards, specifications and operating procedures, as trade secrets or confidential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consumers increasingly seek higher quality breakfast, brunch and lunch experiences, we believe we are well-positioned to compete with a wide range of national, regional and local establishments that operate during our hours of operation.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estate may be liable for the costs of removal or remediation of hazardous or toxic substances on, in or emanating from such property. Such liability may be imposed without regard to whether the owner or operator knew of, or was responsible for, the presence of such hazardous or toxic substances, and in some cases, we may have obligations imposed by indemnity provisions in our leases.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are subject to extensive federal, state and local government regulation, including those relating to, among others, public health and safety, zoning and fire codes, and franchising. Failure to obtain or retain food or other licenses and registrations or exemptions would adversely affect the operations of restaurants, or the ability to franchise.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development of additional restaurants will be subject to compliance with applicable regulations, including those relating to zoning, land use, water quality and retention, and environment. We believe federal and state environmental regulations have not had a material effect on operations, but more stringent and varied requirements of local government bodies with respect to zoning, land use and environmental factors, among others, could delay construction and increase development costs for new restaurants.</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We are also subject to the Fair Labor Standards Act, the Immigration Reform and Control Act of 1986 and various federal and state laws governing such matters as minimum wages, exempt versus non-exempt, overtime, unemployment tax rates, workers’ compensation rates, citizenship requirements and other working conditions. A significant portion of the hourly staff is paid at rates consistent with the applicable federal or state minimum wage and, accordingly, increases in the minimum wage and/or changes in exempt versus non-exempt status will increase labor costs. We are also subject to the ADA, which prohibits discrimination on the basis of disability in public accommodations and employment, which may require us to design or modify our restaurants to make reasonable accommodations for disabled persons.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of our restaurants sell alcoholic beverages, and we are exploring adding alcoholic beverage offerings in more restaurants. Alcoholic beverage control regulations require each of our restaurants that will sell alcoholic beverages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the minimum age of patrons and employees, hours of operation, advertising, trade practices, wholesale purchasing, other relationships with alcoholic beverages manufacturers, wholesalers and distributors, inventory control and handling, storage and dispensing of alcoholic beverages. We are also subject in certain states to “dram shop” statutes, which generally provide a person injured by an intoxicated person the right to recover damages from an establishment that wrongfully served alcoholic beverages to the intoxicated person. We carry liquor liability coverage as part of our existing comprehensive general liability insurance for restaurants that serve alcoholic beverages. We may decide not to obtain liquor licenses in certain jurisdictions due to the high costs associated with obtaining liquor licenses in such jurisdictions.</w:t>
      </w:r>
    </w:p>
    <w:p>
      <w:pPr>
        <w:spacing w:after="0" w:line="18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franchising activities are subject to the rules and regulations of the FTC and various state laws regulating the offer and sale of franchises. Substantive state laws that regulate the franchisor-franchisee relationship exist in a substantial number of states, and bills have been introduced in Congress from time to time that would provide for federal regulation of the franchisor-franchisee relationship. The state laws often limit, among other things, the duration and scope of non- competition provisions, the ability of a licensor to terminate or refuse to renew a franchise agreement and the ability of a franchisor to designate sources of supply. We believe that our franchising procedures comply in all material respects with both the FTC franchise rule and all applicable state laws regulating franchising in those states in which we have offered franchises.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the various risks we face from regulation and compliance matters, see “Risk Factors.”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All our restaurants use computerized management information systems, which we believe are scalable to support our future growth plans. These systems are designed to enable functionality, improve operating efficiencies, provide us with timely access to financial and marketing data and reduce restaurant and corporate administrative time and expense. In addition, our in-restaurant systems are used to process customer orders, credit card payments, employee time-keeping and scheduling.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of December 29, 2019, we had more than 9,000 employees, a majority of whom were restaurant employees. None of our employees are part of a collective bargaining agreement, and we believe our relationships with our employees are satisfactory.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We are involved in various claims and legal actions that arise in the ordinary course of business. We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Executive Officers and Key Employees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the names and ages, as of December 29, 2019, of the individuals who will serve as our executive officers, key employees and members of our Board at the time of the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33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0" w:type="dxa"/>
            <w:vAlign w:val="bottom"/>
          </w:tcPr>
          <w:p>
            <w:pPr>
              <w:spacing w:after="0"/>
              <w:rPr>
                <w:sz w:val="16"/>
                <w:szCs w:val="16"/>
                <w:color w:val="auto"/>
              </w:rPr>
            </w:pPr>
          </w:p>
        </w:tc>
      </w:tr>
      <w:tr>
        <w:trPr>
          <w:trHeight w:val="189"/>
        </w:trPr>
        <w:tc>
          <w:tcPr>
            <w:tcW w:w="3680" w:type="dxa"/>
            <w:vAlign w:val="bottom"/>
            <w:gridSpan w:val="2"/>
          </w:tcPr>
          <w:p>
            <w:pPr>
              <w:spacing w:after="0" w:line="189" w:lineRule="exact"/>
              <w:rPr>
                <w:sz w:val="20"/>
                <w:szCs w:val="20"/>
                <w:color w:val="auto"/>
              </w:rPr>
            </w:pPr>
            <w:r>
              <w:rPr>
                <w:rFonts w:ascii="Arial" w:cs="Arial" w:eastAsia="Arial" w:hAnsi="Arial"/>
                <w:sz w:val="18"/>
                <w:szCs w:val="18"/>
                <w:color w:val="auto"/>
              </w:rPr>
              <w:t>Christopher A. Tomasso</w:t>
            </w: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6"/>
                <w:szCs w:val="16"/>
                <w:color w:val="auto"/>
              </w:rPr>
            </w:pPr>
          </w:p>
        </w:tc>
        <w:tc>
          <w:tcPr>
            <w:tcW w:w="380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5"/>
              </w:rPr>
              <w:t>President, Chief Executive Officer and Director</w:t>
            </w:r>
          </w:p>
        </w:tc>
        <w:tc>
          <w:tcPr>
            <w:tcW w:w="280" w:type="dxa"/>
            <w:vAlign w:val="bottom"/>
          </w:tcPr>
          <w:p>
            <w:pPr>
              <w:spacing w:after="0"/>
              <w:rPr>
                <w:sz w:val="16"/>
                <w:szCs w:val="16"/>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Mel Hope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Jay Wolszczak</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Greg Barber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Chief Transformation Officer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Eric Hartman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Chief Development Officer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Laura Sorensen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Chief People Officer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Rob Conti</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Technology</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Matt Eisenacher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w w:val="90"/>
              </w:rPr>
              <w:t>Senior Vice President, Brand Strategy and Innovation</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Brian Fisher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Senior Vice President, Operations</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Calum Middleton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Rania Khouri</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Vice President, Financial Reporting</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Lilah Rippett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Vice President, Purchasing and Distribution</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Shane Schaibly</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Vice President, Culinary Strategy</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John Zimmermann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w w:val="93"/>
              </w:rPr>
              <w:t>Vice President, Quality Assurance and Food Safety</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Kenneth L. Pendery, Jr.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 and Chairman Emeritus</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Ralph Alvarez</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Tricia Glynn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William Kussell</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David Mussafer</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Michael White</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Christopher A. Tomasso</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Tomasso has served as a director since December 2019, and has served as our President and Chief Executive Officer since August 2017 and December 2019, respectively. Mr. Tomasso has also served as director, president and chief executive officer of First Watch Restaurants, Inc., a wholly-owned subsidiary of the Company, since October 2017, December 2015 and June 2018, respectively. In addition, Mr. Tomasso served as chief marketing officer of First Watch Restaurants, Inc. from August 2006 to December 2015.</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Tomasso’s management, investment, marketing, and corporate strategy expertise make him well qualified to serve as a director.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Mel Hope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Mr. Hope has served as our Chief Financial Officer and Treasurer since December 2019. Mr. Hope has also served as chief financial officer, executive vice president and treasurer of First Watch Restaurants, Inc., a wholly-owned subsidiary of the Company, since July 2018. Prior to joining us, Mr. Hope served as managing director and chief operating officer of Genesis Real Estate Advisers, LLC from March 2016 to August 2018 and, as managing director of Blue Plate Development and Consulting, LLC from May 2014 to February 2016.</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Jay Wolszczak</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Mr. Wolszczak has served as our General Counsel and Secretary since December 2019. Mr. Wolszczak has also served as chief legal officer, general counsel and secretary of First Watch Restaurants, Inc., a wholly-owned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subsidiary of the Company, since May 2018. Previously, Mr. Wolszczak served as general counsel of Hard Rock Café International (USA), Inc. from October 1997 to April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Greg Barber</w:t>
      </w:r>
    </w:p>
    <w:p>
      <w:pPr>
        <w:spacing w:after="0" w:line="117"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Mr. Barber has served as Chief Transformation Officer of First Watch Restaurants, Inc., a wholly-owned subsidiary of the Company, since October 2019. Previously, Mr. Barber was the vice president of Global Business Development at PepsiCo from September 2016 to March 2019. In addition, he was the vice president of North American Beverage Strategy at PepsiCo from December 2013 to September 2016.</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Eric Hartman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Mr. Hartman has served as Chief Development Officer and Executive Vice President of First Watch Restaurants, Inc., a wholly-owned subsidiary of the Company, since November 2016. In addition, Mr. Hartman founded the business SEVA Development Services LLC and served as its president from January 2014 to November 2016.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Laura Sorensen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Ms. Sorensen has served as Chief People Officer of First Watch Restaurants, Inc., a wholly-owned subsidiary of the Company, since August 2016.</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joining us, Ms. Sorensen served as chief people officer of Darden Restaurants from June 2010 to August 2016.</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Rob Conti</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Mr. Conti has served as Senior Vice President of Technology of First Watch Restaurants, Inc., a wholly-owned subsidiary of the Company, since March 2019. Prior to joining us, Mr. Conti served as the Florida manager of systems engineering of Cisco Systems, Inc. from February 2018 to March 2019 and as the chief technology officer of Holiday Retirement from August 2017 to February 2018. Prior to these positions, he served as vice president of information technology of Hard Rock Café International (USA), Inc. from June 1999 to August 2017.</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Matt Eisenacher</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Mr. Eisenacher has served as Senior Vice President of Brand Strategy and Innovation of First Watch Restaurants, Inc., a wholly-owned subsidiary of the Company, since April 2019. Prior to joining us, Mr. Eisenacher served as chief concept officer of the Piada Group from December 2013 to March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Brian Fisher</w:t>
      </w:r>
    </w:p>
    <w:p>
      <w:pPr>
        <w:spacing w:after="0" w:line="11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Mr. Fisher has served as Senior Vice President of Operations of First Watch Restaurants, Inc., a wholly-owned subsidiary of the Company, since January 2015, and as vice president of operations at First Watch Restaurants, Inc. from January 2012 to January 2015.</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Calum Middleton</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Mr. Middleton has served as Senior Vice President of Finance of First Watch Restaurants, Inc., a wholly-owned subsidiary of the Company, since January 2019. Mr. Middleton also served as vice president of finance of First Watch Restaurants, Inc. from February 2018 to January 2019 and director of financial planning &amp; analysis of First Watch Restaurants, Inc. from March 2015 to February 2018. Prior to joining us, he served as senior vice president of financial planning and analysis and treasurer of Star2Star Communications, LLC from November 2012 to January 2015.</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Rania Khouri</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Ms. Khouri has served as Vice President of Financial Reporting of First Watch Restaurants, Inc., a wholly-owned subsidiary of the Company, since April 2019. Prior to joining us, she served as the controller and vice president of finance of Hard Rock Café International (USA), Inc. from August 2017 to May 2018. Prior to that, she served as the head of external reporting of Fiat Chrysler Automobiles N.V. from January 2015 to July 2017.</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Lilah Rippett</w:t>
      </w:r>
    </w:p>
    <w:p>
      <w:pPr>
        <w:spacing w:after="0" w:line="11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Ms. Rippett has served as Vice President of Purchasing and Distribution of First Watch Restaurants, Inc., a wholly-owned subsidiary of the Company, since January 2017. Prior to joining us, she served as the vice president of strategic integration of Benihana, Inc. from October 2014 to October 2016.</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Shane Schaibly</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Mr. Schaibly has served as Vice President of Culinary Strategy of First Watch Restaurants, Inc., a wholly-owned subsidiary of the Company, since January 2017 and was director of culinary operations of First Watch Restaurants, Inc. from February 2014 to December 2016.</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Zimmermann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Zimmermann has served as Vice President of Quality Assurance and Food Safety of First Watch Restaurants, Inc., a wholly-owned subsidiary of the Company, since March 2017. Prior to joining us, Mr. Zimmermann served as regional director of food safety of Sysco Corporation from November 2015 to March 2017. He also previously served as senior director of quality assurance and food safety of Sodexo, Inc. from May 1995 to March 2017.</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Kenneth L. Pendery, Jr.</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Pendery has served as a director and as Chairman Emeritus of our Board since December 2019. He has also served as a director and executive chairman of First Watch Restaurants, Inc., a wholly-owned subsidiary of the Company, since October 1994 and June 2018, respectively. In addition, Mr. Pendery previously served as chief executive officer of First Watch Restaurants, Inc. from May 1999 until June 2018 and has been a key leader of First Watch Restaurants, Inc. of over 35 years.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Mr. Pendery’s broad management, investment, and corporate strategy expertise make him well qualified to serve as a director.</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Ralph Alvarez</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Mr. Alvarez has served as a director and as chairman since December 2019. Mr. Alvarez has served as an operating partner of Advent since July 2017. Previously, Mr. Alvarez served as the executive chairman of Skylark Co., Ltd. from January 2013 to March 2018 and as a director of Realogy Holdings Corp. from August 2013 until May 2018, and currently serves as a director of Lowe’s Companies, Inc., Dunkin’ Brands Group, Inc., and Eli Lilly &amp; Company.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Mr. Alvarez’s extensive management expertise and his leadership experience on several boards of directors across multiple industries make him well qualified to serve as a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Tricia Glynn</w:t>
      </w:r>
    </w:p>
    <w:p>
      <w:pPr>
        <w:spacing w:after="0" w:line="117" w:lineRule="exact"/>
        <w:rPr>
          <w:sz w:val="20"/>
          <w:szCs w:val="20"/>
          <w:color w:val="auto"/>
        </w:rPr>
      </w:pPr>
    </w:p>
    <w:p>
      <w:pPr>
        <w:ind w:left="120" w:right="520" w:firstLine="440"/>
        <w:spacing w:after="0" w:line="286" w:lineRule="auto"/>
        <w:rPr>
          <w:sz w:val="20"/>
          <w:szCs w:val="20"/>
          <w:color w:val="auto"/>
        </w:rPr>
      </w:pPr>
      <w:r>
        <w:rPr>
          <w:rFonts w:ascii="Arial" w:cs="Arial" w:eastAsia="Arial" w:hAnsi="Arial"/>
          <w:sz w:val="17"/>
          <w:szCs w:val="17"/>
          <w:color w:val="auto"/>
        </w:rPr>
        <w:t>Ms. Glynn has served as a director since August 2017. Ms. Glynn has also served as a managing director of Advent since October 2016. Previously, she served as principal of Bain Capital Private Equity from August 2004 to July 2016. In addition, she has also served as a director of lululemon athletica inc. since August 2017 and of Burlington Stores, Inc. from August 2012 to June 2018.</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Ms. Glynn’s extensive management, investment, and leadership expertise in public companies make her well qualified to serve as a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William Kussell</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Mr. Kussell has served as a director since December 2019. He has served as an operating partner of Advent since February 2010. Previously, Mr. Kussell served as chairman of the board of directors of Bojangles’, Inc. from August 2011 to January 2019, and as a director of Extended Stay America, Inc. from June 2010 until June 2016.</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believe Mr. Kussell’s extensive management expertise and his leadership experience on boards of directors across multiple industries make him well qualified to serve as a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Mussafer</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Mr. Mussafer has served as a director since December 2019. He has served as a managing partner of Advent since 1990. He has served as a director of Advent since 1990, of lululemon athletica inc. since September 2014, and of Serta Simmons Holdings since October 2012. Previously, Mr. Mussafer served as a director of Vantiv, Inc. from June 2009 to June 2015, Five Below, Inc. from October 2010 to April 2016 and Charlotte Russe Holding, Inc. from October 2009 to October 2017.</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Mussafer’s extensive leadership expertise on the boards of several public companies across multiple industries make him well qualified to serve as a director.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Michael White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Mr. White has served as a director since April 2019. He has served as a vice president of Advent since January 2019. Previously, Mr. White served as vice president of TPG Capital from August 2016 to December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Mr. White’s extensive investment and management expertise make him well qualified to serve as a director.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the total number of directors constituting our Board shall be at least one, or such larger number as may be fixed from time to time by resolution of at least a</w:t>
      </w:r>
    </w:p>
    <w:p>
      <w:pPr>
        <w:ind w:left="120"/>
        <w:spacing w:after="0"/>
        <w:tabs>
          <w:tab w:leader="none" w:pos="8540" w:val="left"/>
        </w:tabs>
        <w:rPr>
          <w:sz w:val="20"/>
          <w:szCs w:val="20"/>
          <w:color w:val="auto"/>
        </w:rPr>
      </w:pPr>
      <w:r>
        <w:rPr>
          <w:rFonts w:ascii="Arial" w:cs="Arial" w:eastAsia="Arial" w:hAnsi="Arial"/>
          <w:sz w:val="18"/>
          <w:szCs w:val="18"/>
          <w:color w:val="auto"/>
        </w:rPr>
        <w:t>majority of directors then in office. Contemporaneously with this offering, our Board will be composed of</w:t>
      </w:r>
      <w:r>
        <w:rPr>
          <w:sz w:val="20"/>
          <w:szCs w:val="20"/>
          <w:color w:val="auto"/>
        </w:rPr>
        <w:tab/>
      </w:r>
      <w:r>
        <w:rPr>
          <w:rFonts w:ascii="Arial" w:cs="Arial" w:eastAsia="Arial" w:hAnsi="Arial"/>
          <w:sz w:val="16"/>
          <w:szCs w:val="16"/>
          <w:color w:val="auto"/>
        </w:rPr>
        <w:t>directors.</w:t>
      </w:r>
    </w:p>
    <w:p>
      <w:pPr>
        <w:spacing w:after="0" w:line="21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our Board will be divided into three classes, with one class being elected at each annual meeting of stockholders. Each director will serve a three-year term, with expiration staggered according to class. Class I will initially</w:t>
      </w:r>
    </w:p>
    <w:p>
      <w:pPr>
        <w:ind w:left="120" w:right="20"/>
        <w:spacing w:after="0" w:line="252" w:lineRule="auto"/>
        <w:rPr>
          <w:sz w:val="20"/>
          <w:szCs w:val="20"/>
          <w:color w:val="auto"/>
        </w:rPr>
      </w:pPr>
      <w:r>
        <w:rPr>
          <w:rFonts w:ascii="Arial" w:cs="Arial" w:eastAsia="Arial" w:hAnsi="Arial"/>
          <w:sz w:val="18"/>
          <w:szCs w:val="18"/>
          <w:color w:val="auto"/>
        </w:rPr>
        <w:t>consist of directors, Class II will initially consist of directors and Class III will initially consist of directors. The Class I directors, whose terms will 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 will expire at the third annual meeting of our stockholders following the filing of our amended and restated certificate of incorporation, will be . See “Description of Capital Stock – Anti-takeover Provisions.”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 and Controlled Company Exemption</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Following the completion of this offering, Advent will continue to indirectly beneficially own more than 50% of the voting power of our common stock. As a result, we will be considered a “controlled company” under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listing standards. “Controlled companies” under those rules are companies of which more than 50% of the voting power is held by an individual, a group or another company. On this basis, we may avail ourselves of the “controlled company” exemption under the corporate governance rules of</w:t>
      </w:r>
    </w:p>
    <w:p>
      <w:pPr>
        <w:ind w:left="880" w:right="580" w:hanging="764"/>
        <w:spacing w:after="0" w:line="281" w:lineRule="auto"/>
        <w:tabs>
          <w:tab w:leader="none" w:pos="86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 Accordingly, we will not be required to have a majority of “independent directors” on our Board as defined under the rules of the nor will we have a compensation committee and a corporate governance and nominating committee composed entirely of independent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The “controlled company” exemption does not modify the independence requirements for the audit committee, and we intend to comply with</w:t>
      </w:r>
    </w:p>
    <w:p>
      <w:pPr>
        <w:spacing w:after="0" w:line="32" w:lineRule="exact"/>
        <w:rPr>
          <w:sz w:val="20"/>
          <w:szCs w:val="20"/>
          <w:color w:val="auto"/>
        </w:rPr>
      </w:pPr>
    </w:p>
    <w:p>
      <w:pPr>
        <w:ind w:left="120" w:right="160"/>
        <w:spacing w:after="0" w:line="396" w:lineRule="auto"/>
        <w:rPr>
          <w:sz w:val="20"/>
          <w:szCs w:val="20"/>
          <w:color w:val="auto"/>
        </w:rPr>
      </w:pPr>
      <w:r>
        <w:rPr>
          <w:rFonts w:ascii="Arial" w:cs="Arial" w:eastAsia="Arial" w:hAnsi="Arial"/>
          <w:sz w:val="17"/>
          <w:szCs w:val="17"/>
          <w:color w:val="auto"/>
        </w:rPr>
        <w:t>the requirements of Sarbanes-Oxley and the , which require that our audit committee be composed of at least three members, one of whom will be independent upon the listing of our common stock, a majority of whom will be independent within 90 days of listing and each of whom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40" w:right="540" w:hanging="719"/>
        <w:spacing w:after="0" w:line="258" w:lineRule="auto"/>
        <w:rPr>
          <w:sz w:val="20"/>
          <w:szCs w:val="20"/>
          <w:color w:val="auto"/>
        </w:rPr>
      </w:pPr>
      <w:r>
        <w:rPr>
          <w:rFonts w:ascii="Arial" w:cs="Arial" w:eastAsia="Arial" w:hAnsi="Arial"/>
          <w:sz w:val="18"/>
          <w:szCs w:val="18"/>
          <w:color w:val="auto"/>
        </w:rPr>
        <w:t>independent within one year of listing. Our Board has affirmatively determined that</w:t>
      </w:r>
      <w:r>
        <w:rPr>
          <w:sz w:val="20"/>
          <w:szCs w:val="20"/>
          <w:color w:val="auto"/>
        </w:rPr>
        <w:t xml:space="preserve"> </w:t>
      </w:r>
      <w:r>
        <w:rPr>
          <w:rFonts w:ascii="Arial" w:cs="Arial" w:eastAsia="Arial" w:hAnsi="Arial"/>
          <w:sz w:val="18"/>
          <w:szCs w:val="18"/>
          <w:color w:val="auto"/>
        </w:rPr>
        <w:t>are independent directors under the applicable rules of the .</w:t>
      </w:r>
    </w:p>
    <w:p>
      <w:pPr>
        <w:spacing w:after="0" w:line="200" w:lineRule="exact"/>
        <w:rPr>
          <w:sz w:val="20"/>
          <w:szCs w:val="20"/>
          <w:color w:val="auto"/>
        </w:rPr>
      </w:pPr>
    </w:p>
    <w:p>
      <w:pPr>
        <w:spacing w:after="0" w:line="21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at any time we cease to be a “controlled company” under the rules of the , our Board will take all action necessary to comply with the corporate governance rules, including appointing a majority of independent directors to the Board and establishing certain committees composed entirely of independent directors, subject to a permitted “phase-in”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Board has established an audit committee, compensation committee, and a nominating and corporate governance committee. Each committee operates under a charter that has been approved by our Board and will have the composition and responsibilities described below. Members serve on these committees until their resignations or until otherwise determined by our Board. The charter of each committee will be available on our website.</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primary purposes of our audit committee are to produce the annual report of the audit committee required by the rules of the SEC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assist the Board’s oversight of:</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audit committee is currently composed of Messrs. , and . Upon the consummation of this offering, and prior to the listing of our common stock, our audit committee will be composed of Messrs. , and . Mr. will serve as chair of the audit committee. Mr. qualifies as an “audit committee financial expert” as such term has been defined by the SEC in Item 407(d) of Regulation S-K. Our Board has affirmatively determined that Mr. and meet the definition of an “independent director” for the purposes of serving on the audit committee under applicable rules and Rule 10A-3 under the Exchange Act. We intend to comply with these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independence requirements for all members of the audit committee within the time periods specified under such rules. The audit committee will be</w:t>
      </w:r>
    </w:p>
    <w:p>
      <w:pPr>
        <w:spacing w:after="0" w:line="21" w:lineRule="exact"/>
        <w:rPr>
          <w:sz w:val="20"/>
          <w:szCs w:val="20"/>
          <w:color w:val="auto"/>
        </w:rPr>
      </w:pPr>
    </w:p>
    <w:p>
      <w:pPr>
        <w:ind w:left="120"/>
        <w:spacing w:after="0"/>
        <w:tabs>
          <w:tab w:leader="none" w:pos="5140" w:val="left"/>
        </w:tabs>
        <w:rPr>
          <w:sz w:val="20"/>
          <w:szCs w:val="20"/>
          <w:color w:val="auto"/>
        </w:rPr>
      </w:pPr>
      <w:r>
        <w:rPr>
          <w:rFonts w:ascii="Arial" w:cs="Arial" w:eastAsia="Arial" w:hAnsi="Arial"/>
          <w:sz w:val="18"/>
          <w:szCs w:val="18"/>
          <w:color w:val="auto"/>
        </w:rPr>
        <w:t>governed by a charter that complies with the rules of the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 xml:space="preserve">Nominating and Corporate Governance Committee. </w:t>
      </w:r>
      <w:r>
        <w:rPr>
          <w:rFonts w:ascii="Arial" w:cs="Arial" w:eastAsia="Arial" w:hAnsi="Arial"/>
          <w:sz w:val="17"/>
          <w:szCs w:val="17"/>
          <w:color w:val="auto"/>
        </w:rPr>
        <w:t>The primary purposes of our nominating and corporate governance committee are to recommend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for appointment to the Board and to review the corporate governance guidelines of the Company, including:</w:t>
      </w:r>
    </w:p>
    <w:p>
      <w:pPr>
        <w:spacing w:after="0" w:line="52" w:lineRule="exact"/>
        <w:rPr>
          <w:sz w:val="20"/>
          <w:szCs w:val="20"/>
          <w:color w:val="auto"/>
        </w:rPr>
      </w:pPr>
    </w:p>
    <w:p>
      <w:pPr>
        <w:ind w:left="5540" w:right="5140" w:hanging="4884"/>
        <w:spacing w:after="0" w:line="535" w:lineRule="auto"/>
        <w:tabs>
          <w:tab w:leader="none" w:pos="10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identifying and screening individuals qualified to serve as directors; 84</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color w:val="auto"/>
        </w:rPr>
        <w:t>The nominating and corporate governance committee is currently composed of Messrs. , and . Mr. will serve as the chair of the nominating and corporate governance committee. We intend to avail ourselves of the “controlled company” exemption under</w:t>
      </w:r>
    </w:p>
    <w:p>
      <w:pPr>
        <w:spacing w:after="0" w:line="1"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the rules of the , which exempts us from the requirement that we have a nominating and corporate governance committee composed entirely of independent directors. The nominating and corporate governance committee will be governed by a charter that complies with the rules of the</w:t>
      </w:r>
    </w:p>
    <w:p>
      <w:pPr>
        <w:ind w:left="8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primary purposes of our compensation committee are to produce the annual report of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by the rules of the SEC and to assist the Board in overseeing our employee compensation policies and practices, including:</w:t>
      </w:r>
    </w:p>
    <w:p>
      <w:pPr>
        <w:spacing w:after="0" w:line="29" w:lineRule="exact"/>
        <w:rPr>
          <w:sz w:val="20"/>
          <w:szCs w:val="20"/>
          <w:color w:val="auto"/>
        </w:rPr>
      </w:pPr>
    </w:p>
    <w:p>
      <w:pPr>
        <w:ind w:left="1080" w:right="1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Chief Executive Officer and determining, approving and recommending to the Board for its approval the compensation of our other executive officers;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for its approval incentive compensation and equity compensation policies and programs.</w:t>
      </w:r>
    </w:p>
    <w:p>
      <w:pPr>
        <w:spacing w:after="0" w:line="17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color w:val="auto"/>
        </w:rPr>
        <w:t>The compensation committee is currently composed of Messrs. , , and . Upon the consummation of this offering, and prior to the listing of our common stock, our compensation committee will be composed of , , and .</w:t>
      </w:r>
    </w:p>
    <w:p>
      <w:pPr>
        <w:spacing w:after="0" w:line="1" w:lineRule="exact"/>
        <w:rPr>
          <w:sz w:val="20"/>
          <w:szCs w:val="20"/>
          <w:color w:val="auto"/>
        </w:rPr>
      </w:pPr>
    </w:p>
    <w:p>
      <w:pPr>
        <w:ind w:left="1060" w:right="20" w:hanging="179"/>
        <w:spacing w:after="0" w:line="280" w:lineRule="auto"/>
        <w:rPr>
          <w:sz w:val="20"/>
          <w:szCs w:val="20"/>
          <w:color w:val="auto"/>
        </w:rPr>
      </w:pPr>
      <w:r>
        <w:rPr>
          <w:rFonts w:ascii="Arial" w:cs="Arial" w:eastAsia="Arial" w:hAnsi="Arial"/>
          <w:sz w:val="16"/>
          <w:szCs w:val="16"/>
          <w:color w:val="auto"/>
        </w:rPr>
        <w:t>will serve as chair of the compensation committee. We intend to avail ourselves of the “controlled company” exemption under the rules of the , which exempts us from the requirement that we have a compensation committee composed entirely of independent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tabs>
          <w:tab w:leader="none" w:pos="7300" w:val="left"/>
        </w:tabs>
        <w:rPr>
          <w:sz w:val="20"/>
          <w:szCs w:val="20"/>
          <w:color w:val="auto"/>
        </w:rPr>
      </w:pPr>
      <w:r>
        <w:rPr>
          <w:rFonts w:ascii="Arial" w:cs="Arial" w:eastAsia="Arial" w:hAnsi="Arial"/>
          <w:sz w:val="18"/>
          <w:szCs w:val="18"/>
          <w:color w:val="auto"/>
        </w:rPr>
        <w:t>compensation committee will be governed by a charter that complies with the rules of the</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560"/>
        <w:spacing w:after="0"/>
        <w:tabs>
          <w:tab w:leader="none" w:pos="6480" w:val="left"/>
          <w:tab w:leader="none" w:pos="7340" w:val="left"/>
          <w:tab w:leader="none" w:pos="8360" w:val="left"/>
        </w:tabs>
        <w:rPr>
          <w:sz w:val="20"/>
          <w:szCs w:val="20"/>
          <w:color w:val="auto"/>
        </w:rPr>
      </w:pPr>
      <w:r>
        <w:rPr>
          <w:rFonts w:ascii="Arial" w:cs="Arial" w:eastAsia="Arial" w:hAnsi="Arial"/>
          <w:sz w:val="18"/>
          <w:szCs w:val="18"/>
          <w:color w:val="auto"/>
        </w:rPr>
        <w:t>The members of our compensation committee during 2019 were Messrs.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During 2019, none of our executive</w:t>
      </w:r>
    </w:p>
    <w:p>
      <w:pPr>
        <w:spacing w:after="0" w:line="23" w:lineRule="exact"/>
        <w:rPr>
          <w:sz w:val="20"/>
          <w:szCs w:val="20"/>
          <w:color w:val="auto"/>
        </w:rPr>
      </w:pPr>
    </w:p>
    <w:p>
      <w:pPr>
        <w:jc w:val="both"/>
        <w:ind w:left="120" w:right="280"/>
        <w:spacing w:after="0" w:line="323" w:lineRule="auto"/>
        <w:rPr>
          <w:sz w:val="20"/>
          <w:szCs w:val="20"/>
          <w:color w:val="auto"/>
        </w:rPr>
      </w:pPr>
      <w:r>
        <w:rPr>
          <w:rFonts w:ascii="Arial" w:cs="Arial" w:eastAsia="Arial" w:hAnsi="Arial"/>
          <w:sz w:val="16"/>
          <w:szCs w:val="16"/>
          <w:color w:val="auto"/>
        </w:rPr>
        <w:t>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we will indemnify our directors and officers to the fullest extent permitted by the DGCL.</w:t>
      </w:r>
    </w:p>
    <w:p>
      <w:pPr>
        <w:spacing w:after="0" w:line="170"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Prior to the completion of this offering, we will amend our code of business conduct and ethics that applies to all of our employees, officers, agents, consultants, representatives, affiliates, subsidiaries and anyone who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authorized to act on our behalf. A copy of the amended code will be available on our website located at www.firstwatch.com. We intend to satisfy the disclosure requirement regarding any amendments to or waivers from our code for our principal executive officer, principal financial officer, principal accounting officer or controller, or persons performing similar functions, by posting such information on our Internet website promptly following the date of such amendment or waiver.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560"/>
        <w:spacing w:after="0"/>
        <w:tabs>
          <w:tab w:leader="none" w:pos="9380" w:val="left"/>
        </w:tabs>
        <w:rPr>
          <w:sz w:val="20"/>
          <w:szCs w:val="20"/>
          <w:color w:val="auto"/>
        </w:rPr>
      </w:pPr>
      <w:r>
        <w:rPr>
          <w:rFonts w:ascii="Arial" w:cs="Arial" w:eastAsia="Arial" w:hAnsi="Arial"/>
          <w:sz w:val="18"/>
          <w:szCs w:val="18"/>
          <w:color w:val="auto"/>
        </w:rPr>
        <w:t>Our Board will adopt corporate governance guidelines in accordance with the corporate governance rules of the</w:t>
      </w:r>
      <w:r>
        <w:rPr>
          <w:sz w:val="20"/>
          <w:szCs w:val="20"/>
          <w:color w:val="auto"/>
        </w:rPr>
        <w:tab/>
      </w:r>
      <w:r>
        <w:rPr>
          <w:rFonts w:ascii="Arial" w:cs="Arial" w:eastAsia="Arial" w:hAnsi="Arial"/>
          <w:sz w:val="16"/>
          <w:szCs w:val="16"/>
          <w:color w:val="auto"/>
        </w:rPr>
        <w:t>that serve as a flexible</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framework within which our Board and its committees operate. These guidelines will cover a number of areas including the duties and responsibilities of the Board, director independence, Board leadership structure,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standing board committees, director compensation and annual board and committee performance evaluations. A copy of our corporate governance guidelines will be posted on our website.</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The following discussion and analysis of compensation arrangements should be read with the compensation tables and related disclosures set forth below.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discussion below includes a review of our compensation decisions with respect to 2018 for our “named executive officers,” or NEOs, namely our principal executive officer and our two other most highly compensated executive officers. Our NEOs for 2019 were:</w:t>
      </w:r>
    </w:p>
    <w:p>
      <w:pPr>
        <w:spacing w:after="0" w:line="7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Christopher A. Tomasso, our President, Chief Executive Officer and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Mel Hope, our Chief Financial Officer and Treasurer;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Jay Wolszczak, our General Counsel and Secretary.</w:t>
      </w:r>
    </w:p>
    <w:p>
      <w:pPr>
        <w:spacing w:after="0" w:line="225"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 2019, we compensated our NEOs through a combination of base salary and annual cash bonuses as well as grants of stock options under the terms of our equity incentive plan. Our executive officers are also eligible to receive certain benefits, which include a 401(k) plan with matching contributions, life insurance, automobile allowances and group health insurance, including medical, dental and vision insurance.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certain information for 2019 concerning the total compensation awarded to, earned by or paid to our NEOs.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Non-Equity</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w w:val="93"/>
              </w:rPr>
              <w:t>Non-Qualified</w:t>
            </w:r>
          </w:p>
        </w:tc>
        <w:tc>
          <w:tcPr>
            <w:tcW w:w="22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7"/>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68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Deferred</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6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22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20" w:type="dxa"/>
            <w:vAlign w:val="bottom"/>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00" w:type="dxa"/>
            <w:vAlign w:val="bottom"/>
            <w:gridSpan w:val="2"/>
          </w:tcPr>
          <w:p>
            <w:pPr>
              <w:jc w:val="right"/>
              <w:ind w:right="187"/>
              <w:spacing w:after="0" w:line="158"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right"/>
              <w:ind w:right="187"/>
              <w:spacing w:after="0" w:line="158"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center"/>
              <w:ind w:left="156"/>
              <w:spacing w:after="0" w:line="158" w:lineRule="exact"/>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5"/>
                <w:szCs w:val="15"/>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ind w:left="180"/>
              <w:spacing w:after="0" w:line="158" w:lineRule="exact"/>
              <w:rPr>
                <w:sz w:val="20"/>
                <w:szCs w:val="20"/>
                <w:color w:val="auto"/>
              </w:rPr>
            </w:pPr>
            <w:r>
              <w:rPr>
                <w:rFonts w:ascii="Arial" w:cs="Arial" w:eastAsia="Arial" w:hAnsi="Arial"/>
                <w:sz w:val="14"/>
                <w:szCs w:val="14"/>
                <w:b w:val="1"/>
                <w:bCs w:val="1"/>
                <w:color w:val="auto"/>
              </w:rPr>
              <w:t>Earnings</w:t>
            </w:r>
          </w:p>
        </w:tc>
        <w:tc>
          <w:tcPr>
            <w:tcW w:w="1080" w:type="dxa"/>
            <w:vAlign w:val="bottom"/>
            <w:gridSpan w:val="2"/>
          </w:tcPr>
          <w:p>
            <w:pPr>
              <w:jc w:val="right"/>
              <w:ind w:right="262"/>
              <w:spacing w:after="0" w:line="158"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Christopher A. Tomasso</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President, Chief Executive Officer and</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Mel Hope</w:t>
            </w:r>
          </w:p>
        </w:tc>
        <w:tc>
          <w:tcPr>
            <w:tcW w:w="700" w:type="dxa"/>
            <w:vAlign w:val="bottom"/>
            <w:gridSpan w:val="3"/>
          </w:tcPr>
          <w:p>
            <w:pPr>
              <w:ind w:left="220"/>
              <w:spacing w:after="0"/>
              <w:rPr>
                <w:sz w:val="20"/>
                <w:szCs w:val="20"/>
                <w:color w:val="auto"/>
              </w:rPr>
            </w:pPr>
            <w:r>
              <w:rPr>
                <w:rFonts w:ascii="Arial" w:cs="Arial" w:eastAsia="Arial" w:hAnsi="Arial"/>
                <w:sz w:val="18"/>
                <w:szCs w:val="18"/>
                <w:color w:val="auto"/>
              </w:rPr>
              <w:t>2019</w:t>
            </w:r>
          </w:p>
        </w:tc>
        <w:tc>
          <w:tcPr>
            <w:tcW w:w="8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Jay Wolszczak</w:t>
            </w:r>
          </w:p>
        </w:tc>
        <w:tc>
          <w:tcPr>
            <w:tcW w:w="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80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 and Secretary</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920" w:hanging="424"/>
        <w:spacing w:after="0" w:line="25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annual salary and bonus amounts paid pursuant to the terms of each NEO’s employment arrangement. See “– Employment Arrangements.”</w:t>
      </w:r>
    </w:p>
    <w:p>
      <w:pPr>
        <w:spacing w:after="0" w:line="1" w:lineRule="exact"/>
        <w:rPr>
          <w:rFonts w:ascii="Arial" w:cs="Arial" w:eastAsia="Arial" w:hAnsi="Arial"/>
          <w:sz w:val="18"/>
          <w:szCs w:val="18"/>
          <w:color w:val="auto"/>
        </w:rPr>
      </w:pPr>
    </w:p>
    <w:p>
      <w:pPr>
        <w:ind w:left="540" w:right="240" w:hanging="424"/>
        <w:spacing w:after="0" w:line="255"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Represents the aggregate grant date fair value of the option awards granted in 2019, computed in accordance with FASB ASC Topic 718. These values have been determined based on the assumptions set forth in Note 15 –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to our audited consolidated financial statements included elsewhere in this prospectus.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the following, as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401(k)</w:t>
            </w:r>
          </w:p>
        </w:tc>
        <w:tc>
          <w:tcPr>
            <w:tcW w:w="2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Relocation</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Health</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Automobile</w:t>
            </w: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matching</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related</w:t>
            </w:r>
          </w:p>
        </w:tc>
        <w:tc>
          <w:tcPr>
            <w:tcW w:w="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insurance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travel</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insurance</w:t>
            </w:r>
          </w:p>
        </w:tc>
        <w:tc>
          <w:tcPr>
            <w:tcW w:w="26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720" w:type="dxa"/>
            <w:vAlign w:val="bottom"/>
          </w:tcPr>
          <w:p>
            <w:pPr>
              <w:ind w:left="60"/>
              <w:spacing w:after="0" w:line="158" w:lineRule="exact"/>
              <w:rPr>
                <w:sz w:val="20"/>
                <w:szCs w:val="20"/>
                <w:color w:val="auto"/>
              </w:rPr>
            </w:pPr>
            <w:r>
              <w:rPr>
                <w:rFonts w:ascii="Arial" w:cs="Arial" w:eastAsia="Arial" w:hAnsi="Arial"/>
                <w:sz w:val="14"/>
                <w:szCs w:val="14"/>
                <w:b w:val="1"/>
                <w:bCs w:val="1"/>
                <w:color w:val="auto"/>
                <w:w w:val="95"/>
              </w:rPr>
              <w:t>allowance</w:t>
            </w:r>
          </w:p>
        </w:tc>
        <w:tc>
          <w:tcPr>
            <w:tcW w:w="280" w:type="dxa"/>
            <w:vAlign w:val="bottom"/>
          </w:tcPr>
          <w:p>
            <w:pPr>
              <w:spacing w:after="0"/>
              <w:rPr>
                <w:sz w:val="15"/>
                <w:szCs w:val="15"/>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Premiums</w:t>
            </w:r>
          </w:p>
        </w:tc>
        <w:tc>
          <w:tcPr>
            <w:tcW w:w="820" w:type="dxa"/>
            <w:vAlign w:val="bottom"/>
          </w:tcPr>
          <w:p>
            <w:pPr>
              <w:spacing w:after="0" w:line="158" w:lineRule="exact"/>
              <w:rPr>
                <w:sz w:val="20"/>
                <w:szCs w:val="20"/>
                <w:color w:val="auto"/>
              </w:rPr>
            </w:pPr>
            <w:r>
              <w:rPr>
                <w:rFonts w:ascii="Arial" w:cs="Arial" w:eastAsia="Arial" w:hAnsi="Arial"/>
                <w:sz w:val="14"/>
                <w:szCs w:val="14"/>
                <w:b w:val="1"/>
                <w:bCs w:val="1"/>
                <w:color w:val="auto"/>
                <w:w w:val="89"/>
              </w:rPr>
              <w:t>contributions</w:t>
            </w:r>
          </w:p>
        </w:tc>
        <w:tc>
          <w:tcPr>
            <w:tcW w:w="260" w:type="dxa"/>
            <w:vAlign w:val="bottom"/>
          </w:tcPr>
          <w:p>
            <w:pPr>
              <w:spacing w:after="0"/>
              <w:rPr>
                <w:sz w:val="15"/>
                <w:szCs w:val="15"/>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4"/>
              </w:rPr>
              <w:t>expenses</w:t>
            </w: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premiums</w:t>
            </w:r>
          </w:p>
        </w:tc>
        <w:tc>
          <w:tcPr>
            <w:tcW w:w="2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Christopher A. Tomasso</w:t>
            </w:r>
          </w:p>
        </w:tc>
        <w:tc>
          <w:tcPr>
            <w:tcW w:w="17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Mel Hope</w:t>
            </w:r>
          </w:p>
        </w:tc>
        <w:tc>
          <w:tcPr>
            <w:tcW w:w="24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Wolszczak</w:t>
            </w:r>
          </w:p>
        </w:tc>
        <w:tc>
          <w:tcPr>
            <w:tcW w:w="248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29,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about outstanding equity awards held by our NEOs as of December 29,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4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134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6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grant</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exercisable</w:t>
            </w: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unexercisable</w:t>
            </w:r>
          </w:p>
        </w:tc>
        <w:tc>
          <w:tcPr>
            <w:tcW w:w="220" w:type="dxa"/>
            <w:vAlign w:val="bottom"/>
          </w:tcPr>
          <w:p>
            <w:pPr>
              <w:spacing w:after="0"/>
              <w:rPr>
                <w:sz w:val="12"/>
                <w:szCs w:val="12"/>
                <w:color w:val="auto"/>
              </w:rPr>
            </w:pPr>
          </w:p>
        </w:tc>
        <w:tc>
          <w:tcPr>
            <w:tcW w:w="14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0"/>
              </w:rPr>
              <w:t>date</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9"/>
              </w:rPr>
              <w:t>price</w:t>
            </w:r>
          </w:p>
        </w:tc>
        <w:tc>
          <w:tcPr>
            <w:tcW w:w="9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expiration date</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Christopher A. Tomasso</w:t>
            </w:r>
          </w:p>
        </w:tc>
        <w:tc>
          <w:tcPr>
            <w:tcW w:w="6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24"/>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President, Chief Executive Officer and Director</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Mel Hope</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Jay Wolszczak</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 and Secretary</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are currently party to an employment agreement with Christopher A. Tomasso. The material provisions of the employment agreement are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Christopher A. Tomasso</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entered into an employment agreement with Christopher A. Tomasso (the “Employment Agreement”) in August 2017. The Employment Agreement provides for a one-year term beginning on August 21, 2017, with automatic one-year renewals. The Employment Agreement provides that Mr. Tomasso will receive an annualized base salary. Under the Employment Agreement, our Board, in its discretion, may at any time change the amount</w:t>
      </w:r>
    </w:p>
    <w:p>
      <w:pPr>
        <w:spacing w:after="0" w:line="2" w:lineRule="exact"/>
        <w:rPr>
          <w:sz w:val="20"/>
          <w:szCs w:val="20"/>
          <w:color w:val="auto"/>
        </w:rPr>
      </w:pPr>
    </w:p>
    <w:p>
      <w:pPr>
        <w:ind w:left="120" w:right="520"/>
        <w:spacing w:after="0" w:line="281" w:lineRule="auto"/>
        <w:rPr>
          <w:sz w:val="20"/>
          <w:szCs w:val="20"/>
          <w:color w:val="auto"/>
        </w:rPr>
      </w:pPr>
      <w:r>
        <w:rPr>
          <w:rFonts w:ascii="Arial" w:cs="Arial" w:eastAsia="Arial" w:hAnsi="Arial"/>
          <w:sz w:val="16"/>
          <w:szCs w:val="16"/>
          <w:color w:val="auto"/>
        </w:rPr>
        <w:t>of Mr. Tomasso’s annualized base salary to such greater amount as it may deem appropriate. In 2019, Mr. Tomasso’s salary was $ . The Employment Agreement also provides that Mr. Tomasso is eligible to receive an annual performance-based cash bonus based on his performance,</w:t>
      </w:r>
    </w:p>
    <w:p>
      <w:pPr>
        <w:spacing w:after="0" w:line="1"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subject to his continued employment on the date the bonus is paid. In 2019, Mr. Tomasso’s annual cash bonus at target was $ . During fiscal 2019, Mr. Tomasso received $ for his 2019 annual performance-based cash bonus, which represented approximately % of his base salary.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the above, Mr. Tomasso participates in the employee benefits programs offered by us to our similarly-situated employees.</w:t>
      </w:r>
    </w:p>
    <w:p>
      <w:pPr>
        <w:spacing w:after="0" w:line="23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Mr. Tomasso may terminate the agreement any time with 30 days’ prior written notice, provided, however, we may accelerate Mr. Tomasso’s last day of employment to any date within the 30 day notice period without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converting the resignation into anything other than a voluntary resignation. We may terminate Mr. Tomasso’s employment for death, “disability” or “cause,” as defined in the Employment Agreement, by written notice to Mr. Tomasso. Mr. Tomasso may resign with prior written notice for any reason.</w:t>
      </w:r>
    </w:p>
    <w:p>
      <w:pPr>
        <w:spacing w:after="0" w:line="12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we terminate Mr. Tomasso’s employment without “cause” or Mr. Tomasso terminates his employment for “good cause,” then we must provide Mr. Tomasso with (i) the unpaid annual base salary due for the period prior to and through the date of termination, and following submission of proper expense reports by Mr. Tomasso, reimbursement for all expenses properly incurred under the terms of the Employment Agreement (the “Accrued Obligations”); (ii) continued payment of Mr. Tomasso’s annual base salary for a period of 12 months following the date of termination; (iii) accrued but unused vacation through the termination date; and (iv) a pro rata portion of Mr. Tomasso’s annual bonus. These payments are subject to Mr. Tomasso’s execution and non-revocation of a waiver and release of claims.</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the event that Mr. Tomasso’s employment is terminated due to his death or disability, we must provide Mr. Tomasso’s beneficiaries with (i) the Accrued Obligations; (ii) continued payment of Mr. Tomasso’s annual base salary for a period of six months following the date of termination;</w:t>
      </w:r>
    </w:p>
    <w:p>
      <w:pPr>
        <w:ind w:left="120" w:hanging="4"/>
        <w:spacing w:after="0" w:line="290" w:lineRule="auto"/>
        <w:tabs>
          <w:tab w:leader="none" w:pos="4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accrued but unused vacation through the termination date payable on the next regular payroll date following the termination date; and (iv) a pro rata portion of Mr. Tomasso’s annual bonus that Mr. Tomasso would have earned for the year in which his death or disability occurred.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the agreement, “good cause” means the occurrence of one or more of the following conditions, without Mr. Tomasso’s consent:</w:t>
      </w:r>
    </w:p>
    <w:p>
      <w:pPr>
        <w:spacing w:after="0" w:line="46" w:lineRule="exact"/>
        <w:rPr>
          <w:sz w:val="20"/>
          <w:szCs w:val="20"/>
          <w:color w:val="auto"/>
        </w:rPr>
      </w:pPr>
    </w:p>
    <w:p>
      <w:pPr>
        <w:ind w:left="120" w:right="140" w:hanging="4"/>
        <w:spacing w:after="0" w:line="281"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material reduction in Mr. Tomasso’s annual base salary or annual bonus; (ii) any material diminution in Mr. Tomasso’s responsibilities; or (iii) the relocation of our headquarters more than 20 miles from the existing location; provided that any such condition will only constitute good cause if</w:t>
      </w:r>
    </w:p>
    <w:p>
      <w:pPr>
        <w:spacing w:after="0" w:line="1" w:lineRule="exact"/>
        <w:rPr>
          <w:rFonts w:ascii="Arial" w:cs="Arial" w:eastAsia="Arial" w:hAnsi="Arial"/>
          <w:sz w:val="16"/>
          <w:szCs w:val="16"/>
          <w:color w:val="auto"/>
        </w:rPr>
      </w:pPr>
    </w:p>
    <w:p>
      <w:pPr>
        <w:ind w:left="120" w:right="320"/>
        <w:spacing w:after="0" w:line="260" w:lineRule="auto"/>
        <w:rPr>
          <w:rFonts w:ascii="Arial" w:cs="Arial" w:eastAsia="Arial" w:hAnsi="Arial"/>
          <w:sz w:val="16"/>
          <w:szCs w:val="16"/>
          <w:color w:val="auto"/>
        </w:rPr>
      </w:pPr>
      <w:r>
        <w:rPr>
          <w:rFonts w:ascii="Arial" w:cs="Arial" w:eastAsia="Arial" w:hAnsi="Arial"/>
          <w:sz w:val="18"/>
          <w:szCs w:val="18"/>
          <w:color w:val="auto"/>
        </w:rPr>
        <w:t>Mr. Tomasso provides us with a prior written notice of his intent to resign for good cause and we have not remedied the alleged violations within 30 days of such notice.</w:t>
      </w:r>
    </w:p>
    <w:p>
      <w:pPr>
        <w:spacing w:after="0" w:line="18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For purposes of the Employment Agreement, “cause” means (i) indictment for any crime involving moral turpitude, fraud or misrepresentation or Mr. Tomasso pleading guilty or nolo contendere to, any felony or crime involving moral turpitude that is damaging to our reputation; (ii) commission of any act which is a felony; (iii) gross misconduct or fraud involving the operations of the Company; (iv) misappropriation or embezzlement of funds or property of the Company; (v) willful conduct which is materially injurious to the reputation, business or business relationships of the Company;</w:t>
      </w:r>
    </w:p>
    <w:p>
      <w:pPr>
        <w:spacing w:after="0" w:line="1" w:lineRule="exact"/>
        <w:rPr>
          <w:sz w:val="20"/>
          <w:szCs w:val="20"/>
          <w:color w:val="auto"/>
        </w:rPr>
      </w:pPr>
    </w:p>
    <w:p>
      <w:pPr>
        <w:ind w:left="120" w:right="40" w:hanging="4"/>
        <w:spacing w:after="0" w:line="255" w:lineRule="auto"/>
        <w:tabs>
          <w:tab w:leader="none" w:pos="4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violation of any of the provisions of the Employment Agreement or any material Company policy or work rule; (vii) failure to follow reasonable directions or instructions by our Board, or refusal or failure to substantially perform his duties and responsibilities under the Employment Agreement to the reasonable satisfaction of the Board.</w:t>
      </w:r>
    </w:p>
    <w:p>
      <w:pPr>
        <w:spacing w:after="0" w:line="19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Employment Agreement includes perpetual confidentiality, non-compete and mutual non-disparagement provisions, as well as provisions relating to assignment of inventions.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Mel Hope</w:t>
      </w:r>
    </w:p>
    <w:p>
      <w:pPr>
        <w:spacing w:after="0" w:line="121"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We entered into an offer letter with Mr. Hope in July 2018. Mr. Hope’s annual base salary as of fiscal 2019 was $ . During fiscal 2019, Mr. Hope received $ for his 2019 annual performance-based cash bonus, which represented approximately % of his base salary. Mr. Hope is</w:t>
      </w:r>
    </w:p>
    <w:p>
      <w:pPr>
        <w:ind w:left="120" w:right="80"/>
        <w:spacing w:after="0" w:line="292" w:lineRule="auto"/>
        <w:rPr>
          <w:sz w:val="20"/>
          <w:szCs w:val="20"/>
          <w:color w:val="auto"/>
        </w:rPr>
      </w:pPr>
      <w:r>
        <w:rPr>
          <w:rFonts w:ascii="Arial" w:cs="Arial" w:eastAsia="Arial" w:hAnsi="Arial"/>
          <w:sz w:val="16"/>
          <w:szCs w:val="16"/>
          <w:color w:val="auto"/>
        </w:rPr>
        <w:t>also eligible to participate in the executive health program that includes a concierge doctor. Additionally, Mr. Hope is eligible to receive cell phone reimbursement, fitness reimbursement and reimbursement for documented regular and customary professional licensing fees and expenses. If we terminate Mr. Hope’s employment without “cause,” or if Mr. Hope terminates his employment for “good reason,” then we must provide Mr. Hope with continued payment of his base salary for a period of 12 months, consistent with Company payroll policies. In addition, Mr. Hope will be entitled to accelerated vesting of his unvested time-based equity awards outstanding immediately prior to a change in control (as defined in the 2017 Plan).</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For purposes of our arrangement with Mr. Hope, “cause” means (i) indictment for any crime involving moral turpitude, fraud or misrepresentation or Mr. Hope pleading guilty or nolo contendere to, any felony or crime involving moral turpitude that is damaging to our reputation; (ii) commission of any act which is a felony; (iii) gross misconduct or fraud involving the operations of the Company; (iv) misappropriation or embezzlement of funds or property of the Company; (v) willful conduct which is materially injurious to the reputation, business or business relationships of the Company;</w:t>
      </w:r>
    </w:p>
    <w:p>
      <w:pPr>
        <w:spacing w:after="0" w:line="1" w:lineRule="exact"/>
        <w:rPr>
          <w:sz w:val="20"/>
          <w:szCs w:val="20"/>
          <w:color w:val="auto"/>
        </w:rPr>
      </w:pPr>
    </w:p>
    <w:p>
      <w:pPr>
        <w:ind w:left="120" w:right="140" w:hanging="4"/>
        <w:spacing w:after="0" w:line="277" w:lineRule="auto"/>
        <w:tabs>
          <w:tab w:leader="none" w:pos="425" w:val="left"/>
        </w:tabs>
        <w:numPr>
          <w:ilvl w:val="0"/>
          <w:numId w:val="52"/>
        </w:numPr>
        <w:rPr>
          <w:rFonts w:ascii="Arial" w:cs="Arial" w:eastAsia="Arial" w:hAnsi="Arial"/>
          <w:sz w:val="17"/>
          <w:szCs w:val="17"/>
          <w:color w:val="auto"/>
        </w:rPr>
      </w:pPr>
      <w:r>
        <w:rPr>
          <w:rFonts w:ascii="Arial" w:cs="Arial" w:eastAsia="Arial" w:hAnsi="Arial"/>
          <w:sz w:val="17"/>
          <w:szCs w:val="17"/>
          <w:color w:val="auto"/>
        </w:rPr>
        <w:t>violation of any of the provisions of the letter agreement by which Mr. Hope accepted our offer of employment or any material Company policy or work rule; (vii) failure to follow reasonable directions or instructions by the Board, or refusal or failure to substantially perform his duties and responsibilities under the letter agreement by which Mr. Hope accepted our offer of employment to the reasonable satisfaction of the Board.</w:t>
      </w:r>
    </w:p>
    <w:p>
      <w:pPr>
        <w:spacing w:after="0" w:line="173"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purposes of our arrangement with Mr. Hope, “good reason” means (i) any material diminution in his responsibilities, authorities or duties, or (ii) a relocation of more than 50 miles from his primary work location and primary residence.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Jay Wolszczak</w:t>
      </w:r>
    </w:p>
    <w:p>
      <w:pPr>
        <w:spacing w:after="0" w:line="121"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We entered into an offer letter with Mr. Wolszczak in April 2018. Mr. Wolszczak’s annual base salary as of fiscal 2019 was $ . During fiscal 2019, Mr. Wolszczak received $ for his 2019 annual performance-based cash bonus, which represented approximately % of his base salary.</w:t>
      </w:r>
    </w:p>
    <w:p>
      <w:pPr>
        <w:jc w:val="both"/>
        <w:ind w:left="120" w:right="40"/>
        <w:spacing w:after="0" w:line="273" w:lineRule="auto"/>
        <w:rPr>
          <w:sz w:val="20"/>
          <w:szCs w:val="20"/>
          <w:color w:val="auto"/>
        </w:rPr>
      </w:pPr>
      <w:r>
        <w:rPr>
          <w:rFonts w:ascii="Arial" w:cs="Arial" w:eastAsia="Arial" w:hAnsi="Arial"/>
          <w:sz w:val="17"/>
          <w:szCs w:val="17"/>
          <w:color w:val="auto"/>
        </w:rPr>
        <w:t>Mr. Wolszczak is also included in the executive health program that includes a concierge doctor. Additionally, Mr. Wolszczak is eligible to receive cell phone reimbursement. If we terminate Mr. Wolszczak’s employment without “cause,” then we must provide Mr. Wolszczak with continued payment of his base salary for a period of 12 months, consistent with Company payroll policies. In addition, Mr. Wolszczak will be entitled to accelerated vesting of his unvested time-based equity awards outstanding immediately prior to a change in control (as defined in the 2017 Plan).</w:t>
      </w:r>
    </w:p>
    <w:p>
      <w:pPr>
        <w:spacing w:after="0" w:line="176"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For purposes of our arrangement with Mr. Wolszczak, “cause” means (i) indictment for any crime involving moral turpitude, fraud or misrepresentation or Mr. Wolszczak pleading guilty or nolo contendere to, any felony or crime involving moral turpitude that is damaging to our reputation; (ii) commission of any act which is a felony; (iii) gross misconduct or fraud involving the operations of the Company; (iv) misappropriation or embezzlement of funds or property of the Company; (v) willful conduct which is materially injurious to the reputation, business or business relationships of the Company; (vi) violation of any of the provisions of the letter agreement by which Mr. Wolszczak accepted our offer of employment or any material Company policy or work rule; (vii) failure to follow reasonable directions or instructions by the Board, or refusal or failure to substantially perform his duties and responsibilities under the letter agreement by which Mr. Wolszczak accepted our offer of employment to the reasonable satisfaction of the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NEOs are entitled to receive severance payments upon termination of employment and acceleration of time-based vesting equity awards upon a change in control as provided above in “– Employment Arrangements.”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Prior to this offering, we paid certain of our directors $75,000 each in annual board fees for service on the board of directors of First Watch Restaurants, Inc., our subsidiary.</w:t>
      </w:r>
    </w:p>
    <w:p>
      <w:pPr>
        <w:spacing w:after="0" w:line="170" w:lineRule="exact"/>
        <w:rPr>
          <w:sz w:val="20"/>
          <w:szCs w:val="20"/>
          <w:color w:val="auto"/>
        </w:rPr>
      </w:pPr>
    </w:p>
    <w:p>
      <w:pPr>
        <w:jc w:val="center"/>
        <w:ind w:left="680" w:right="200"/>
        <w:spacing w:after="0" w:line="449" w:lineRule="auto"/>
        <w:rPr>
          <w:sz w:val="20"/>
          <w:szCs w:val="20"/>
          <w:color w:val="auto"/>
        </w:rPr>
      </w:pPr>
      <w:r>
        <w:rPr>
          <w:rFonts w:ascii="Arial" w:cs="Arial" w:eastAsia="Arial" w:hAnsi="Arial"/>
          <w:sz w:val="18"/>
          <w:szCs w:val="18"/>
          <w:color w:val="auto"/>
        </w:rPr>
        <w:t>Following this offering, we expect to pay certain of our directors, the chair of the audit committee and the chair of the compensation committee. 90</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Plan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2017 Plan provides for the grant of options, stock appreciation rights, restricted stock, and other stock-option awards to our directors, and employees, as well as to directors, and employees of any of our subsidiaries or affiliates. The maximum number of shares available for issuance to participants pursuant to awards under the Plan is 518,520. The shares available for issuance under the 2017 Plan may consist, in whole or in part, of authorized and unissued shares or treasury shares. A total of 438,318 shares of our common stock are subject to outstanding option awards under the 2017 Plan as of December 29, 2019. After the completion of this offering, we do not intend to grant any further awards under the 2017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connection with this offering, our Board expects to adopt, and our stockholders expect to approve, a new equity incentive plan (the “2020 Plan”) prior to the completion of this offering.</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820"/>
          </w:cols>
          <w:pgMar w:left="320" w:top="459" w:right="7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04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7040" w:type="dxa"/>
            <w:vAlign w:val="bottom"/>
          </w:tcPr>
          <w:p>
            <w:pPr>
              <w:ind w:left="300"/>
              <w:spacing w:after="0"/>
              <w:rPr>
                <w:sz w:val="20"/>
                <w:szCs w:val="20"/>
                <w:color w:val="auto"/>
              </w:rPr>
            </w:pPr>
            <w:r>
              <w:rPr>
                <w:rFonts w:ascii="Arial" w:cs="Arial" w:eastAsia="Arial" w:hAnsi="Arial"/>
                <w:sz w:val="18"/>
                <w:szCs w:val="18"/>
                <w:b w:val="1"/>
                <w:bCs w:val="1"/>
                <w:color w:val="auto"/>
              </w:rPr>
              <w:t>PRINCIPAL STOCKHOLDERS</w:t>
            </w:r>
          </w:p>
        </w:tc>
      </w:tr>
      <w:tr>
        <w:trPr>
          <w:trHeight w:val="418"/>
        </w:trPr>
        <w:tc>
          <w:tcPr>
            <w:tcW w:w="4060" w:type="dxa"/>
            <w:vAlign w:val="bottom"/>
            <w:gridSpan w:val="2"/>
          </w:tcPr>
          <w:p>
            <w:pPr>
              <w:ind w:left="560"/>
              <w:spacing w:after="0"/>
              <w:rPr>
                <w:sz w:val="20"/>
                <w:szCs w:val="20"/>
                <w:color w:val="auto"/>
              </w:rPr>
            </w:pPr>
            <w:r>
              <w:rPr>
                <w:rFonts w:ascii="Arial" w:cs="Arial" w:eastAsia="Arial" w:hAnsi="Arial"/>
                <w:sz w:val="18"/>
                <w:szCs w:val="18"/>
                <w:color w:val="auto"/>
              </w:rPr>
              <w:t>The following table shows information as of</w:t>
            </w:r>
          </w:p>
        </w:tc>
        <w:tc>
          <w:tcPr>
            <w:tcW w:w="7040" w:type="dxa"/>
            <w:vAlign w:val="bottom"/>
          </w:tcPr>
          <w:p>
            <w:pPr>
              <w:ind w:left="640"/>
              <w:spacing w:after="0"/>
              <w:rPr>
                <w:sz w:val="20"/>
                <w:szCs w:val="20"/>
                <w:color w:val="auto"/>
              </w:rPr>
            </w:pPr>
            <w:r>
              <w:rPr>
                <w:rFonts w:ascii="Arial" w:cs="Arial" w:eastAsia="Arial" w:hAnsi="Arial"/>
                <w:sz w:val="18"/>
                <w:szCs w:val="18"/>
                <w:color w:val="auto"/>
                <w:w w:val="90"/>
              </w:rPr>
              <w:t>, 2020 regarding the beneficial ownership of our common stock as adjusted to give effect</w:t>
            </w:r>
          </w:p>
        </w:tc>
      </w:tr>
      <w:tr>
        <w:trPr>
          <w:trHeight w:val="230"/>
        </w:trPr>
        <w:tc>
          <w:tcPr>
            <w:tcW w:w="4060" w:type="dxa"/>
            <w:vAlign w:val="bottom"/>
            <w:gridSpan w:val="2"/>
          </w:tcPr>
          <w:p>
            <w:pPr>
              <w:ind w:left="120"/>
              <w:spacing w:after="0"/>
              <w:rPr>
                <w:sz w:val="20"/>
                <w:szCs w:val="20"/>
                <w:color w:val="auto"/>
              </w:rPr>
            </w:pPr>
            <w:r>
              <w:rPr>
                <w:rFonts w:ascii="Arial" w:cs="Arial" w:eastAsia="Arial" w:hAnsi="Arial"/>
                <w:sz w:val="18"/>
                <w:szCs w:val="18"/>
                <w:color w:val="auto"/>
              </w:rPr>
              <w:t>to this offering by:</w:t>
            </w:r>
          </w:p>
        </w:tc>
        <w:tc>
          <w:tcPr>
            <w:tcW w:w="704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member of our Board and each of our NEOs;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members of our Board and our executive officers as a group.</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w:t>
      </w:r>
    </w:p>
    <w:p>
      <w:pPr>
        <w:spacing w:after="0" w:line="2" w:lineRule="exact"/>
        <w:rPr>
          <w:sz w:val="20"/>
          <w:szCs w:val="20"/>
          <w:color w:val="auto"/>
        </w:rPr>
      </w:pPr>
    </w:p>
    <w:p>
      <w:pPr>
        <w:ind w:left="120"/>
        <w:spacing w:after="0"/>
        <w:tabs>
          <w:tab w:leader="none" w:pos="8140" w:val="left"/>
        </w:tabs>
        <w:rPr>
          <w:sz w:val="20"/>
          <w:szCs w:val="20"/>
          <w:color w:val="auto"/>
        </w:rPr>
      </w:pPr>
      <w:r>
        <w:rPr>
          <w:rFonts w:ascii="Arial" w:cs="Arial" w:eastAsia="Arial" w:hAnsi="Arial"/>
          <w:sz w:val="18"/>
          <w:szCs w:val="18"/>
          <w:color w:val="auto"/>
        </w:rPr>
        <w:t>common stock shown as beneficially owned by them. Percentage of beneficial ownership is based on</w:t>
      </w:r>
      <w:r>
        <w:rPr>
          <w:sz w:val="20"/>
          <w:szCs w:val="20"/>
          <w:color w:val="auto"/>
        </w:rPr>
        <w:tab/>
      </w:r>
      <w:r>
        <w:rPr>
          <w:rFonts w:ascii="Arial" w:cs="Arial" w:eastAsia="Arial" w:hAnsi="Arial"/>
          <w:sz w:val="16"/>
          <w:szCs w:val="16"/>
          <w:color w:val="auto"/>
        </w:rPr>
        <w:t>shares of common stock outstanding as</w:t>
      </w:r>
    </w:p>
    <w:p>
      <w:pPr>
        <w:spacing w:after="0" w:line="9" w:lineRule="exact"/>
        <w:rPr>
          <w:sz w:val="20"/>
          <w:szCs w:val="20"/>
          <w:color w:val="auto"/>
        </w:rPr>
      </w:pPr>
    </w:p>
    <w:p>
      <w:pPr>
        <w:ind w:left="120"/>
        <w:spacing w:after="0"/>
        <w:tabs>
          <w:tab w:leader="none" w:pos="1200" w:val="left"/>
          <w:tab w:leader="none" w:pos="27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2020 and</w:t>
      </w:r>
      <w:r>
        <w:rPr>
          <w:sz w:val="20"/>
          <w:szCs w:val="20"/>
          <w:color w:val="auto"/>
        </w:rPr>
        <w:tab/>
      </w:r>
      <w:r>
        <w:rPr>
          <w:rFonts w:ascii="Arial" w:cs="Arial" w:eastAsia="Arial" w:hAnsi="Arial"/>
          <w:sz w:val="16"/>
          <w:szCs w:val="16"/>
          <w:color w:val="auto"/>
        </w:rPr>
        <w:t>shares of common stock outstanding after giving effect to this offering, assuming no exercise of the underwriters’</w:t>
      </w:r>
    </w:p>
    <w:p>
      <w:pPr>
        <w:spacing w:after="0" w:line="9" w:lineRule="exact"/>
        <w:rPr>
          <w:sz w:val="20"/>
          <w:szCs w:val="20"/>
          <w:color w:val="auto"/>
        </w:rPr>
      </w:pPr>
    </w:p>
    <w:p>
      <w:pPr>
        <w:ind w:left="120"/>
        <w:spacing w:after="0"/>
        <w:tabs>
          <w:tab w:leader="none" w:pos="3680" w:val="left"/>
        </w:tabs>
        <w:rPr>
          <w:sz w:val="20"/>
          <w:szCs w:val="20"/>
          <w:color w:val="auto"/>
        </w:rPr>
      </w:pPr>
      <w:r>
        <w:rPr>
          <w:rFonts w:ascii="Arial" w:cs="Arial" w:eastAsia="Arial" w:hAnsi="Arial"/>
          <w:sz w:val="18"/>
          <w:szCs w:val="18"/>
          <w:color w:val="auto"/>
        </w:rPr>
        <w:t>option to purchase additional shares, or</w:t>
      </w:r>
      <w:r>
        <w:rPr>
          <w:sz w:val="20"/>
          <w:szCs w:val="20"/>
          <w:color w:val="auto"/>
        </w:rPr>
        <w:tab/>
      </w:r>
      <w:r>
        <w:rPr>
          <w:rFonts w:ascii="Arial" w:cs="Arial" w:eastAsia="Arial" w:hAnsi="Arial"/>
          <w:sz w:val="16"/>
          <w:szCs w:val="16"/>
          <w:color w:val="auto"/>
        </w:rPr>
        <w:t>shares of common stock, assuming the underwriters exercise their option to purchase additional shares</w:t>
      </w:r>
    </w:p>
    <w:p>
      <w:pPr>
        <w:spacing w:after="0" w:line="9" w:lineRule="exact"/>
        <w:rPr>
          <w:sz w:val="20"/>
          <w:szCs w:val="20"/>
          <w:color w:val="auto"/>
        </w:rPr>
      </w:pPr>
    </w:p>
    <w:p>
      <w:pPr>
        <w:ind w:left="120" w:right="280"/>
        <w:spacing w:after="0" w:line="252" w:lineRule="auto"/>
        <w:rPr>
          <w:sz w:val="20"/>
          <w:szCs w:val="20"/>
          <w:color w:val="auto"/>
        </w:rPr>
      </w:pPr>
      <w:r>
        <w:rPr>
          <w:rFonts w:ascii="Arial" w:cs="Arial" w:eastAsia="Arial" w:hAnsi="Arial"/>
          <w:sz w:val="18"/>
          <w:szCs w:val="18"/>
          <w:color w:val="auto"/>
        </w:rPr>
        <w:t>in full. Shares of common stock subject to options currently exercisable or exercisable within 60 days of the date of this prospectus are deemed to be outstanding and beneficially owned by the person holding the options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persons named in the table below have sole voting and investment power with respect to all shares of capital stock held by them. Unless otherwise indicated, the address for each holder listed below is 8027 Cooper Creek Blvd., #103, University Park, Florida 34201.</w:t>
      </w:r>
    </w:p>
    <w:p>
      <w:pPr>
        <w:sectPr>
          <w:pgSz w:w="11900" w:h="16838" w:orient="portrait"/>
          <w:cols w:equalWidth="0" w:num="1">
            <w:col w:w="11100"/>
          </w:cols>
          <w:pgMar w:left="320" w:top="44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and address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of beneficial owner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8" w:lineRule="exact"/>
        <w:rPr>
          <w:sz w:val="20"/>
          <w:szCs w:val="20"/>
          <w:color w:val="auto"/>
        </w:rPr>
      </w:pPr>
    </w:p>
    <w:p>
      <w:pPr>
        <w:ind w:left="300" w:hanging="179"/>
        <w:spacing w:after="0" w:line="250" w:lineRule="auto"/>
        <w:rPr>
          <w:sz w:val="20"/>
          <w:szCs w:val="20"/>
          <w:color w:val="auto"/>
        </w:rPr>
      </w:pPr>
      <w:r>
        <w:rPr>
          <w:rFonts w:ascii="Arial" w:cs="Arial" w:eastAsia="Arial" w:hAnsi="Arial"/>
          <w:sz w:val="18"/>
          <w:szCs w:val="18"/>
          <w:color w:val="auto"/>
        </w:rPr>
        <w:t>Funds managed by Advent International Corporation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NEOs and directors: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Christopher A. Tomasso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Mel Hope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Jay Wolszczak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Kenneth L. Pendery, Jr.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Ralph Alvarez</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Tricia Glynn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William Kussell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Mussafer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White</w:t>
      </w:r>
    </w:p>
    <w:p>
      <w:pPr>
        <w:spacing w:after="0" w:line="9" w:lineRule="exact"/>
        <w:rPr>
          <w:sz w:val="20"/>
          <w:szCs w:val="20"/>
          <w:color w:val="auto"/>
        </w:rPr>
      </w:pPr>
    </w:p>
    <w:p>
      <w:pPr>
        <w:ind w:left="300" w:right="300" w:hanging="179"/>
        <w:spacing w:after="0" w:line="323" w:lineRule="auto"/>
        <w:rPr>
          <w:sz w:val="20"/>
          <w:szCs w:val="20"/>
          <w:color w:val="auto"/>
        </w:rPr>
      </w:pPr>
      <w:r>
        <w:rPr>
          <w:rFonts w:ascii="Arial" w:cs="Arial" w:eastAsia="Arial" w:hAnsi="Arial"/>
          <w:sz w:val="16"/>
          <w:szCs w:val="16"/>
          <w:b w:val="1"/>
          <w:bCs w:val="1"/>
          <w:color w:val="auto"/>
        </w:rPr>
        <w:t>All Board members and executive officers as a group (9 persons)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Shares of common</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Shares of common</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stock beneficially</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 beneficially</w:t>
            </w:r>
          </w:p>
        </w:tc>
        <w:tc>
          <w:tcPr>
            <w:tcW w:w="0" w:type="dxa"/>
            <w:vAlign w:val="bottom"/>
          </w:tcPr>
          <w:p>
            <w:pPr>
              <w:spacing w:after="0"/>
              <w:rPr>
                <w:sz w:val="1"/>
                <w:szCs w:val="1"/>
                <w:color w:val="auto"/>
              </w:rPr>
            </w:pPr>
          </w:p>
        </w:tc>
      </w:tr>
      <w:tr>
        <w:trPr>
          <w:trHeight w:val="149"/>
        </w:trPr>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Shares of common</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owned after this</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owned after this</w:t>
            </w:r>
          </w:p>
        </w:tc>
        <w:tc>
          <w:tcPr>
            <w:tcW w:w="0" w:type="dxa"/>
            <w:vAlign w:val="bottom"/>
          </w:tcPr>
          <w:p>
            <w:pPr>
              <w:spacing w:after="0"/>
              <w:rPr>
                <w:sz w:val="1"/>
                <w:szCs w:val="1"/>
                <w:color w:val="auto"/>
              </w:rPr>
            </w:pPr>
          </w:p>
        </w:tc>
      </w:tr>
      <w:tr>
        <w:trPr>
          <w:trHeight w:val="148"/>
        </w:trPr>
        <w:tc>
          <w:tcPr>
            <w:tcW w:w="17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offering (assuming no</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offering assuming full</w:t>
            </w:r>
          </w:p>
        </w:tc>
        <w:tc>
          <w:tcPr>
            <w:tcW w:w="0" w:type="dxa"/>
            <w:vAlign w:val="bottom"/>
          </w:tcPr>
          <w:p>
            <w:pPr>
              <w:spacing w:after="0"/>
              <w:rPr>
                <w:sz w:val="1"/>
                <w:szCs w:val="1"/>
                <w:color w:val="auto"/>
              </w:rPr>
            </w:pPr>
          </w:p>
        </w:tc>
      </w:tr>
      <w:tr>
        <w:trPr>
          <w:trHeight w:val="158"/>
        </w:trPr>
        <w:tc>
          <w:tcPr>
            <w:tcW w:w="17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stock beneficially</w:t>
            </w:r>
          </w:p>
        </w:tc>
        <w:tc>
          <w:tcPr>
            <w:tcW w:w="500" w:type="dxa"/>
            <w:vAlign w:val="bottom"/>
          </w:tcPr>
          <w:p>
            <w:pPr>
              <w:spacing w:after="0"/>
              <w:rPr>
                <w:sz w:val="13"/>
                <w:szCs w:val="13"/>
                <w:color w:val="auto"/>
              </w:rPr>
            </w:pPr>
          </w:p>
        </w:tc>
        <w:tc>
          <w:tcPr>
            <w:tcW w:w="120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Number of</w:t>
            </w:r>
          </w:p>
        </w:tc>
        <w:tc>
          <w:tcPr>
            <w:tcW w:w="2220" w:type="dxa"/>
            <w:vAlign w:val="bottom"/>
            <w:gridSpan w:val="4"/>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exercise of the option</w:t>
            </w:r>
          </w:p>
        </w:tc>
        <w:tc>
          <w:tcPr>
            <w:tcW w:w="17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8"/>
              </w:rPr>
              <w:t>exercise of the option</w:t>
            </w:r>
          </w:p>
        </w:tc>
        <w:tc>
          <w:tcPr>
            <w:tcW w:w="0" w:type="dxa"/>
            <w:vAlign w:val="bottom"/>
          </w:tcPr>
          <w:p>
            <w:pPr>
              <w:spacing w:after="0"/>
              <w:rPr>
                <w:sz w:val="1"/>
                <w:szCs w:val="1"/>
                <w:color w:val="auto"/>
              </w:rPr>
            </w:pPr>
          </w:p>
        </w:tc>
      </w:tr>
      <w:tr>
        <w:trPr>
          <w:trHeight w:val="148"/>
        </w:trPr>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owned before this</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 of</w:t>
            </w:r>
          </w:p>
        </w:tc>
        <w:tc>
          <w:tcPr>
            <w:tcW w:w="222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to purchase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18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92"/>
              </w:rPr>
              <w:t>offering</w:t>
            </w: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common</w:t>
            </w:r>
          </w:p>
        </w:tc>
        <w:tc>
          <w:tcPr>
            <w:tcW w:w="22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1"/>
              </w:rPr>
              <w:t>additional shares)</w:t>
            </w: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r>
        <w:trPr>
          <w:trHeight w:val="119"/>
        </w:trPr>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500" w:type="dxa"/>
            <w:vAlign w:val="bottom"/>
          </w:tcPr>
          <w:p>
            <w:pPr>
              <w:spacing w:after="0"/>
              <w:rPr>
                <w:sz w:val="10"/>
                <w:szCs w:val="10"/>
                <w:color w:val="auto"/>
              </w:rPr>
            </w:pPr>
          </w:p>
        </w:tc>
        <w:tc>
          <w:tcPr>
            <w:tcW w:w="12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4"/>
              </w:rPr>
              <w:t>stock</w:t>
            </w:r>
          </w:p>
        </w:tc>
        <w:tc>
          <w:tcPr>
            <w:tcW w:w="102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50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49"/>
        </w:trPr>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being</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5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5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-8255</wp:posOffset>
            </wp:positionV>
            <wp:extent cx="6995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403225</wp:posOffset>
            </wp:positionV>
            <wp:extent cx="6995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676910</wp:posOffset>
            </wp:positionV>
            <wp:extent cx="699516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951230</wp:posOffset>
            </wp:positionV>
            <wp:extent cx="699516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1225550</wp:posOffset>
            </wp:positionV>
            <wp:extent cx="699516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1499870</wp:posOffset>
            </wp:positionV>
            <wp:extent cx="699516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1774190</wp:posOffset>
            </wp:positionV>
            <wp:extent cx="699516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3454" w:lineRule="exact"/>
        <w:rPr>
          <w:sz w:val="20"/>
          <w:szCs w:val="20"/>
          <w:color w:val="auto"/>
        </w:rPr>
      </w:pPr>
    </w:p>
    <w:p>
      <w:pPr>
        <w:sectPr>
          <w:pgSz w:w="11900" w:h="16838" w:orient="portrait"/>
          <w:cols w:equalWidth="0" w:num="2">
            <w:col w:w="3020" w:space="720"/>
            <w:col w:w="7360"/>
          </w:cols>
          <w:pgMar w:left="320" w:top="446" w:right="479" w:bottom="1440" w:gutter="0" w:footer="0" w:header="0"/>
          <w:type w:val="continuous"/>
        </w:sectPr>
      </w:pPr>
    </w:p>
    <w:p>
      <w:pPr>
        <w:ind w:left="5540" w:right="4780" w:hanging="5424"/>
        <w:spacing w:after="0" w:line="490" w:lineRule="auto"/>
        <w:tabs>
          <w:tab w:leader="none" w:pos="338"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our outstanding common stock. 92</w:t>
      </w:r>
    </w:p>
    <w:p>
      <w:pPr>
        <w:sectPr>
          <w:pgSz w:w="11900" w:h="16838" w:orient="portrait"/>
          <w:cols w:equalWidth="0" w:num="1">
            <w:col w:w="11100"/>
          </w:cols>
          <w:pgMar w:left="320" w:top="446" w:right="47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Set forth below is a description of certain relationships and related person transactions between us or our subsidiaries and our directors, executive officers or holders of more than 5% of our voting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Compensation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Prior to this offering, we paid certain of our directors $75,000 each in annual board fees for service on the board of directors of First Watch Restaurants, Inc. our subsidiary.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this offering, we expect to pay certain of our directors, the chair of the audit committee and the chair of our compensation committee.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Partnership Agreement</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21, 2017, AI Fresh Topco, LLC, a Delaware limited liability company and our indirect parent, entered into an amended and restated agreement of limited partnership of AI Fresh Holdings Limited Partnership (the “Partnership”) with Advent and the other limited partners named therein in connection with the Agreement and Plan of Merger, dated as of July 25, 2017 (the “Limited Partnership Agreement”). Pursuant to the Limited Partnership Agreement, our subsidiary AI Fresh Parent, Inc. indirectly acquired all the outstanding capital stock of FWR Holding Corporation, another of our subsidiaries.</w:t>
      </w:r>
    </w:p>
    <w:p>
      <w:pPr>
        <w:spacing w:after="0" w:line="188" w:lineRule="exact"/>
        <w:rPr>
          <w:sz w:val="20"/>
          <w:szCs w:val="20"/>
          <w:color w:val="auto"/>
        </w:rPr>
      </w:pPr>
    </w:p>
    <w:p>
      <w:pPr>
        <w:ind w:left="120" w:right="100" w:firstLine="991"/>
        <w:spacing w:after="0" w:line="293" w:lineRule="auto"/>
        <w:rPr>
          <w:sz w:val="20"/>
          <w:szCs w:val="20"/>
          <w:color w:val="auto"/>
        </w:rPr>
      </w:pPr>
      <w:r>
        <w:rPr>
          <w:rFonts w:ascii="Arial" w:cs="Arial" w:eastAsia="Arial" w:hAnsi="Arial"/>
          <w:sz w:val="16"/>
          <w:szCs w:val="16"/>
          <w:color w:val="auto"/>
        </w:rPr>
        <w:t>Pursuant to the Limited Partnership Agreement, Advent received Class A Units of AI Fresh Holdings Limited Partnership, as well as tag-along, drag-along, and preemptive rights. If such right is assigned by the Partnership, Advent also has a call right to repurchase securities to be sold by any limited partner who was an employee of the Partnership or any of its subsidiaries, subject to the terms and conditions set forth in the Limited Partnership Agreement. Advent also has certain registration rights under the Limited Partnership Agreement, including the right to make unlimited requests for registration of investor registrable securities on Form S-1, S-2 and S-3 or similar long-form or short-form registrations. The Limited Partnership Agreement grants AI Fresh Topco, LLC the exclusive right to manage and control the Partnership as its general partner.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We have entered into an employment agreement with Christopher A. Tomasso, our President, Chief Executive Officer and Director. See “Executive and Director Compensation – Employment Arrangements.”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In connection with this offering, we will adopt a written policy relating to the approval of related person transactions. A “related person transaction” is a transaction or arrangement or series of transactions or arrangements in which we participate (whether or not we are a party) and a related person has a direct or indirect material interest in such transaction. Our audit committee will review and approve or ratify all relationships and related person transactions between us and (i) our directors, director nominees or executive officers, (ii) any 5% record or beneficial owner of our common stock or (iii) any immediate family member of any person specified in (i), (ii) and (iii) above. The audit committee will review all related person transactions and, where the audit committee determines that such transactions are in our best interests, approve such transactions in advance of such transaction being given effect, or ratify such transactions, as applicable.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party transaction, the audit committee will, in its judgment, consider in light of the relevant facts and circumstances whether the transaction is, or is not inconsistent with, our best interests, including consideration of various factors enumerated in the policy.</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discussions or approval or ratification of the transaction. However, such member of the audit committee will provide all material information concerning the transaction to the audit committee. Our policy also includes certain exceptions for transactions that need not be reported and provides the audit committee with the discretion to pre-approve certain transactions.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Credit Facilities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21, 2017, FWR Holding Corporation, a Delaware corporation and a wholly-owned indirect subsidiary of the Company</w:t>
      </w:r>
    </w:p>
    <w:p>
      <w:pPr>
        <w:spacing w:after="0" w:line="23" w:lineRule="exact"/>
        <w:rPr>
          <w:sz w:val="20"/>
          <w:szCs w:val="20"/>
          <w:color w:val="auto"/>
        </w:rPr>
      </w:pPr>
    </w:p>
    <w:p>
      <w:pPr>
        <w:ind w:left="120" w:right="220"/>
        <w:spacing w:after="0" w:line="265" w:lineRule="auto"/>
        <w:rPr>
          <w:sz w:val="20"/>
          <w:szCs w:val="20"/>
          <w:color w:val="auto"/>
        </w:rPr>
      </w:pPr>
      <w:r>
        <w:rPr>
          <w:rFonts w:ascii="Arial" w:cs="Arial" w:eastAsia="Arial" w:hAnsi="Arial"/>
          <w:sz w:val="17"/>
          <w:szCs w:val="17"/>
          <w:color w:val="auto"/>
        </w:rPr>
        <w:t>(the “Borrower”), entered into a credit agreement (the “Credit Agreement”), among the Borrower, AI Fresh Parent, Inc., a Delaware corporation and a wholly-owned direct subsidiary of the Company (“Holdings”), Golub Capital Markets LLC, as administrative agent and collateral agent</w:t>
      </w:r>
    </w:p>
    <w:p>
      <w:pPr>
        <w:ind w:left="120" w:right="40"/>
        <w:spacing w:after="0" w:line="281" w:lineRule="auto"/>
        <w:rPr>
          <w:sz w:val="20"/>
          <w:szCs w:val="20"/>
          <w:color w:val="auto"/>
        </w:rPr>
      </w:pPr>
      <w:r>
        <w:rPr>
          <w:rFonts w:ascii="Arial" w:cs="Arial" w:eastAsia="Arial" w:hAnsi="Arial"/>
          <w:sz w:val="16"/>
          <w:szCs w:val="16"/>
          <w:color w:val="auto"/>
        </w:rPr>
        <w:t>(the “Administrative Agent”), and the lenders from time to time party thereto, pursuant to which the lenders party thereto agreed to provide senior secured credit facilities, consisting of (i) an initial term loan facility in an original principal amount equal to $155.0 million (the “Initial Term Loan Facility” and the loans thereunder, the “Initial Term Loans”), (ii) a delayed draw term loan facility in an original principal amount equal to $50.0 million (as increased pursuant to the First Amendment to Credit Agreement described below and the Second Amendment to Credit Agreement described below, the “Initial DDTL Facility” and the loans thereunder, the “Initial Delayed Draw Term Loans”) and (iii) a revolving credit facility in an original principal amount equal to $20.0 million (the “Revolving Facility” and the loans thereunder, the “Initial Revolving Loans”; the Revolving Facility, together with the Initial Term Loan Facility and the Initial DDTL Facility, collectively, the “Senior Credit Facilities”), including a letter of credit facility with a</w:t>
      </w:r>
    </w:p>
    <w:p>
      <w:pPr>
        <w:spacing w:after="0" w:line="4"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color w:val="auto"/>
        </w:rPr>
        <w:t>$5.0 million sublimit. On February 28, 2019, the Borrower entered into a first amendment to Credit Agreement (the “First Amendment to Credit Agreement”), pursuant to which the lenders party thereto agreed to add additional delayed draw term loan commitments in an original principal amount equal to $50.0 million (the “First Amendment DDTL Commitments”). On December 20, 2019, the Borrower entered into a second amendment to Credit Agreement (the “Second Amendment to Credit Agreement”), pursuant to which the lenders party thereto agreed to add additional delayed draw term loan commitments in an original principal amount equal to $40.0 million (the “Second Amendment DDTL Commitments”).</w:t>
      </w:r>
    </w:p>
    <w:p>
      <w:pPr>
        <w:spacing w:after="0" w:line="16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First Amendment DDTL Commitments are available for borrowings until February 28, 2021. The Second Amendment DDTL Commitments are available for borrowings until December 20,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300" w:firstLine="440"/>
        <w:spacing w:after="0" w:line="291" w:lineRule="auto"/>
        <w:rPr>
          <w:sz w:val="20"/>
          <w:szCs w:val="20"/>
          <w:color w:val="auto"/>
        </w:rPr>
      </w:pPr>
      <w:r>
        <w:rPr>
          <w:rFonts w:ascii="Arial" w:cs="Arial" w:eastAsia="Arial" w:hAnsi="Arial"/>
          <w:sz w:val="16"/>
          <w:szCs w:val="16"/>
          <w:color w:val="auto"/>
        </w:rPr>
        <w:t>Borrowings under the Senior Credit Facilities bear interest, at the Borrower’s option, at a rate per annum equal to either (a) (i) the greater of an adjusted London interbank offered rate (the “Adjusted Eurocurrency Rate”) and 1.00% plus (ii) the applicable Adjusted Eurocurrency Rate spread or</w:t>
      </w:r>
    </w:p>
    <w:p>
      <w:pPr>
        <w:ind w:left="120" w:right="120" w:hanging="4"/>
        <w:spacing w:after="0" w:line="281" w:lineRule="auto"/>
        <w:tabs>
          <w:tab w:leader="none" w:pos="375"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 the alternate base rate (“ABR”)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ABR spread. ABR is a floating rate per annum equal to the highest of (i) the federal funds effective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(ii) to the extent ascertainable, the London interbank offered rate for a 1-month interest period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1.00%,</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rate of interest last quoted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“prime rate” in the U.S. and (iv) 1.00%.</w:t>
      </w:r>
    </w:p>
    <w:p>
      <w:pPr>
        <w:spacing w:after="0" w:line="21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applicable Adjusted Eurocurrency Rate and ABR spreads are calculated based upon the total net leverage ratio of the Borrower and its restricted subsidiaries on a consolidated basis, as set forth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20" w:type="dxa"/>
            <w:vAlign w:val="bottom"/>
            <w:gridSpan w:val="2"/>
          </w:tcPr>
          <w:p>
            <w:pPr>
              <w:jc w:val="right"/>
              <w:ind w:right="341"/>
              <w:spacing w:after="0"/>
              <w:rPr>
                <w:sz w:val="20"/>
                <w:szCs w:val="20"/>
                <w:color w:val="auto"/>
              </w:rPr>
            </w:pPr>
            <w:r>
              <w:rPr>
                <w:rFonts w:ascii="Arial" w:cs="Arial" w:eastAsia="Arial" w:hAnsi="Arial"/>
                <w:sz w:val="14"/>
                <w:szCs w:val="14"/>
                <w:color w:val="auto"/>
              </w:rPr>
              <w:t>Initial Delayed Draw</w:t>
            </w:r>
          </w:p>
        </w:tc>
      </w:tr>
      <w:tr>
        <w:trPr>
          <w:trHeight w:val="182"/>
        </w:trPr>
        <w:tc>
          <w:tcPr>
            <w:tcW w:w="20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100" w:type="dxa"/>
            <w:vAlign w:val="bottom"/>
            <w:gridSpan w:val="2"/>
          </w:tcPr>
          <w:p>
            <w:pPr>
              <w:jc w:val="right"/>
              <w:ind w:right="361"/>
              <w:spacing w:after="0"/>
              <w:rPr>
                <w:sz w:val="20"/>
                <w:szCs w:val="20"/>
                <w:color w:val="auto"/>
              </w:rPr>
            </w:pPr>
            <w:r>
              <w:rPr>
                <w:rFonts w:ascii="Arial" w:cs="Arial" w:eastAsia="Arial" w:hAnsi="Arial"/>
                <w:sz w:val="14"/>
                <w:szCs w:val="14"/>
                <w:color w:val="auto"/>
              </w:rPr>
              <w:t>Initial Revolving Loans</w:t>
            </w:r>
          </w:p>
        </w:tc>
        <w:tc>
          <w:tcPr>
            <w:tcW w:w="2100" w:type="dxa"/>
            <w:vAlign w:val="bottom"/>
            <w:gridSpan w:val="2"/>
          </w:tcPr>
          <w:p>
            <w:pPr>
              <w:jc w:val="right"/>
              <w:ind w:right="501"/>
              <w:spacing w:after="0"/>
              <w:rPr>
                <w:sz w:val="20"/>
                <w:szCs w:val="20"/>
                <w:color w:val="auto"/>
              </w:rPr>
            </w:pPr>
            <w:r>
              <w:rPr>
                <w:rFonts w:ascii="Arial" w:cs="Arial" w:eastAsia="Arial" w:hAnsi="Arial"/>
                <w:sz w:val="14"/>
                <w:szCs w:val="14"/>
                <w:color w:val="auto"/>
              </w:rPr>
              <w:t>Initial Term Loans</w:t>
            </w:r>
          </w:p>
        </w:tc>
        <w:tc>
          <w:tcPr>
            <w:tcW w:w="2020" w:type="dxa"/>
            <w:vAlign w:val="bottom"/>
            <w:gridSpan w:val="2"/>
          </w:tcPr>
          <w:p>
            <w:pPr>
              <w:jc w:val="right"/>
              <w:ind w:right="601"/>
              <w:spacing w:after="0"/>
              <w:rPr>
                <w:sz w:val="20"/>
                <w:szCs w:val="20"/>
                <w:color w:val="auto"/>
              </w:rPr>
            </w:pPr>
            <w:r>
              <w:rPr>
                <w:rFonts w:ascii="Arial" w:cs="Arial" w:eastAsia="Arial" w:hAnsi="Arial"/>
                <w:sz w:val="14"/>
                <w:szCs w:val="14"/>
                <w:color w:val="auto"/>
              </w:rPr>
              <w:t>Term Loans</w:t>
            </w:r>
          </w:p>
        </w:tc>
      </w:tr>
      <w:tr>
        <w:trPr>
          <w:trHeight w:val="182"/>
        </w:trPr>
        <w:tc>
          <w:tcPr>
            <w:tcW w:w="2060" w:type="dxa"/>
            <w:vAlign w:val="bottom"/>
          </w:tcPr>
          <w:p>
            <w:pPr>
              <w:spacing w:after="0"/>
              <w:rPr>
                <w:sz w:val="15"/>
                <w:szCs w:val="15"/>
                <w:color w:val="auto"/>
              </w:rPr>
            </w:pPr>
          </w:p>
        </w:tc>
        <w:tc>
          <w:tcPr>
            <w:tcW w:w="2740" w:type="dxa"/>
            <w:vAlign w:val="bottom"/>
          </w:tcPr>
          <w:p>
            <w:pPr>
              <w:jc w:val="center"/>
              <w:ind w:left="1441"/>
              <w:spacing w:after="0"/>
              <w:rPr>
                <w:sz w:val="20"/>
                <w:szCs w:val="20"/>
                <w:color w:val="auto"/>
              </w:rPr>
            </w:pPr>
            <w:r>
              <w:rPr>
                <w:rFonts w:ascii="Arial" w:cs="Arial" w:eastAsia="Arial" w:hAnsi="Arial"/>
                <w:sz w:val="14"/>
                <w:szCs w:val="14"/>
                <w:color w:val="auto"/>
                <w:w w:val="94"/>
              </w:rPr>
              <w:t>Total Net</w:t>
            </w:r>
          </w:p>
        </w:tc>
        <w:tc>
          <w:tcPr>
            <w:tcW w:w="860" w:type="dxa"/>
            <w:vAlign w:val="bottom"/>
          </w:tcPr>
          <w:p>
            <w:pPr>
              <w:spacing w:after="0"/>
              <w:rPr>
                <w:sz w:val="15"/>
                <w:szCs w:val="15"/>
                <w:color w:val="auto"/>
              </w:rPr>
            </w:pPr>
          </w:p>
        </w:tc>
        <w:tc>
          <w:tcPr>
            <w:tcW w:w="1240" w:type="dxa"/>
            <w:vAlign w:val="bottom"/>
          </w:tcPr>
          <w:p>
            <w:pPr>
              <w:jc w:val="center"/>
              <w:ind w:right="81"/>
              <w:spacing w:after="0"/>
              <w:rPr>
                <w:sz w:val="20"/>
                <w:szCs w:val="20"/>
                <w:color w:val="auto"/>
              </w:rPr>
            </w:pPr>
            <w:r>
              <w:rPr>
                <w:rFonts w:ascii="Arial" w:cs="Arial" w:eastAsia="Arial" w:hAnsi="Arial"/>
                <w:sz w:val="14"/>
                <w:szCs w:val="14"/>
                <w:color w:val="auto"/>
                <w:w w:val="95"/>
              </w:rPr>
              <w:t>Adjusted</w:t>
            </w:r>
          </w:p>
        </w:tc>
        <w:tc>
          <w:tcPr>
            <w:tcW w:w="860" w:type="dxa"/>
            <w:vAlign w:val="bottom"/>
          </w:tcPr>
          <w:p>
            <w:pPr>
              <w:spacing w:after="0"/>
              <w:rPr>
                <w:sz w:val="15"/>
                <w:szCs w:val="15"/>
                <w:color w:val="auto"/>
              </w:rPr>
            </w:pPr>
          </w:p>
        </w:tc>
        <w:tc>
          <w:tcPr>
            <w:tcW w:w="1240" w:type="dxa"/>
            <w:vAlign w:val="bottom"/>
          </w:tcPr>
          <w:p>
            <w:pPr>
              <w:jc w:val="center"/>
              <w:ind w:right="41"/>
              <w:spacing w:after="0"/>
              <w:rPr>
                <w:sz w:val="20"/>
                <w:szCs w:val="20"/>
                <w:color w:val="auto"/>
              </w:rPr>
            </w:pPr>
            <w:r>
              <w:rPr>
                <w:rFonts w:ascii="Arial" w:cs="Arial" w:eastAsia="Arial" w:hAnsi="Arial"/>
                <w:sz w:val="14"/>
                <w:szCs w:val="14"/>
                <w:color w:val="auto"/>
                <w:w w:val="95"/>
              </w:rPr>
              <w:t>Adjusted</w:t>
            </w:r>
          </w:p>
        </w:tc>
        <w:tc>
          <w:tcPr>
            <w:tcW w:w="8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Adjusted</w:t>
            </w:r>
          </w:p>
        </w:tc>
      </w:tr>
      <w:tr>
        <w:trPr>
          <w:trHeight w:val="149"/>
        </w:trPr>
        <w:tc>
          <w:tcPr>
            <w:tcW w:w="2060" w:type="dxa"/>
            <w:vAlign w:val="bottom"/>
          </w:tcPr>
          <w:p>
            <w:pPr>
              <w:spacing w:after="0"/>
              <w:rPr>
                <w:sz w:val="12"/>
                <w:szCs w:val="12"/>
                <w:color w:val="auto"/>
              </w:rPr>
            </w:pPr>
          </w:p>
        </w:tc>
        <w:tc>
          <w:tcPr>
            <w:tcW w:w="2740" w:type="dxa"/>
            <w:vAlign w:val="bottom"/>
          </w:tcPr>
          <w:p>
            <w:pPr>
              <w:jc w:val="center"/>
              <w:ind w:left="1441"/>
              <w:spacing w:after="0" w:line="149" w:lineRule="exact"/>
              <w:rPr>
                <w:sz w:val="20"/>
                <w:szCs w:val="20"/>
                <w:color w:val="auto"/>
              </w:rPr>
            </w:pPr>
            <w:r>
              <w:rPr>
                <w:rFonts w:ascii="Arial" w:cs="Arial" w:eastAsia="Arial" w:hAnsi="Arial"/>
                <w:sz w:val="14"/>
                <w:szCs w:val="14"/>
                <w:color w:val="auto"/>
                <w:w w:val="92"/>
              </w:rPr>
              <w:t>Leverage</w:t>
            </w:r>
          </w:p>
        </w:tc>
        <w:tc>
          <w:tcPr>
            <w:tcW w:w="8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ABR</w:t>
            </w:r>
          </w:p>
        </w:tc>
        <w:tc>
          <w:tcPr>
            <w:tcW w:w="124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3"/>
              </w:rPr>
              <w:t>Eurocurrency</w:t>
            </w:r>
          </w:p>
        </w:tc>
        <w:tc>
          <w:tcPr>
            <w:tcW w:w="86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ABR</w:t>
            </w:r>
          </w:p>
        </w:tc>
        <w:tc>
          <w:tcPr>
            <w:tcW w:w="124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3"/>
              </w:rPr>
              <w:t>Eurocurrency</w:t>
            </w:r>
          </w:p>
        </w:tc>
        <w:tc>
          <w:tcPr>
            <w:tcW w:w="880" w:type="dxa"/>
            <w:vAlign w:val="bottom"/>
          </w:tcPr>
          <w:p>
            <w:pPr>
              <w:jc w:val="right"/>
              <w:ind w:right="282"/>
              <w:spacing w:after="0" w:line="149" w:lineRule="exact"/>
              <w:rPr>
                <w:sz w:val="20"/>
                <w:szCs w:val="20"/>
                <w:color w:val="auto"/>
              </w:rPr>
            </w:pPr>
            <w:r>
              <w:rPr>
                <w:rFonts w:ascii="Arial" w:cs="Arial" w:eastAsia="Arial" w:hAnsi="Arial"/>
                <w:sz w:val="14"/>
                <w:szCs w:val="14"/>
                <w:color w:val="auto"/>
              </w:rPr>
              <w:t>ABR</w:t>
            </w:r>
          </w:p>
        </w:tc>
        <w:tc>
          <w:tcPr>
            <w:tcW w:w="1140" w:type="dxa"/>
            <w:vAlign w:val="bottom"/>
          </w:tcPr>
          <w:p>
            <w:pPr>
              <w:jc w:val="center"/>
              <w:ind w:right="1"/>
              <w:spacing w:after="0" w:line="149" w:lineRule="exact"/>
              <w:rPr>
                <w:sz w:val="20"/>
                <w:szCs w:val="20"/>
                <w:color w:val="auto"/>
              </w:rPr>
            </w:pPr>
            <w:r>
              <w:rPr>
                <w:rFonts w:ascii="Arial" w:cs="Arial" w:eastAsia="Arial" w:hAnsi="Arial"/>
                <w:sz w:val="14"/>
                <w:szCs w:val="14"/>
                <w:color w:val="auto"/>
                <w:w w:val="93"/>
              </w:rPr>
              <w:t>Eurocurrency</w:t>
            </w:r>
          </w:p>
        </w:tc>
      </w:tr>
      <w:tr>
        <w:trPr>
          <w:trHeight w:val="167"/>
        </w:trPr>
        <w:tc>
          <w:tcPr>
            <w:tcW w:w="2060" w:type="dxa"/>
            <w:vAlign w:val="bottom"/>
          </w:tcPr>
          <w:p>
            <w:pPr>
              <w:spacing w:after="0"/>
              <w:rPr>
                <w:sz w:val="20"/>
                <w:szCs w:val="20"/>
                <w:color w:val="auto"/>
              </w:rPr>
            </w:pPr>
            <w:r>
              <w:rPr>
                <w:rFonts w:ascii="Arial" w:cs="Arial" w:eastAsia="Arial" w:hAnsi="Arial"/>
                <w:sz w:val="14"/>
                <w:szCs w:val="14"/>
                <w:color w:val="auto"/>
              </w:rPr>
              <w:t>Level</w:t>
            </w:r>
          </w:p>
        </w:tc>
        <w:tc>
          <w:tcPr>
            <w:tcW w:w="2740" w:type="dxa"/>
            <w:vAlign w:val="bottom"/>
          </w:tcPr>
          <w:p>
            <w:pPr>
              <w:jc w:val="center"/>
              <w:ind w:left="1461"/>
              <w:spacing w:after="0"/>
              <w:rPr>
                <w:sz w:val="20"/>
                <w:szCs w:val="20"/>
                <w:color w:val="auto"/>
              </w:rPr>
            </w:pPr>
            <w:r>
              <w:rPr>
                <w:rFonts w:ascii="Arial" w:cs="Arial" w:eastAsia="Arial" w:hAnsi="Arial"/>
                <w:sz w:val="14"/>
                <w:szCs w:val="14"/>
                <w:color w:val="auto"/>
                <w:w w:val="97"/>
              </w:rPr>
              <w:t>Ratio</w:t>
            </w:r>
          </w:p>
        </w:tc>
        <w:tc>
          <w:tcPr>
            <w:tcW w:w="860" w:type="dxa"/>
            <w:vAlign w:val="bottom"/>
          </w:tcPr>
          <w:p>
            <w:pPr>
              <w:jc w:val="right"/>
              <w:ind w:right="221"/>
              <w:spacing w:after="0"/>
              <w:rPr>
                <w:sz w:val="20"/>
                <w:szCs w:val="20"/>
                <w:color w:val="auto"/>
              </w:rPr>
            </w:pPr>
            <w:r>
              <w:rPr>
                <w:rFonts w:ascii="Arial" w:cs="Arial" w:eastAsia="Arial" w:hAnsi="Arial"/>
                <w:sz w:val="14"/>
                <w:szCs w:val="14"/>
                <w:color w:val="auto"/>
              </w:rPr>
              <w:t>Spread</w:t>
            </w:r>
          </w:p>
        </w:tc>
        <w:tc>
          <w:tcPr>
            <w:tcW w:w="1240" w:type="dxa"/>
            <w:vAlign w:val="bottom"/>
          </w:tcPr>
          <w:p>
            <w:pPr>
              <w:jc w:val="center"/>
              <w:ind w:right="61"/>
              <w:spacing w:after="0"/>
              <w:rPr>
                <w:sz w:val="20"/>
                <w:szCs w:val="20"/>
                <w:color w:val="auto"/>
              </w:rPr>
            </w:pPr>
            <w:r>
              <w:rPr>
                <w:rFonts w:ascii="Arial" w:cs="Arial" w:eastAsia="Arial" w:hAnsi="Arial"/>
                <w:sz w:val="14"/>
                <w:szCs w:val="14"/>
                <w:color w:val="auto"/>
                <w:w w:val="89"/>
              </w:rPr>
              <w:t>Rate Spread</w:t>
            </w:r>
          </w:p>
        </w:tc>
        <w:tc>
          <w:tcPr>
            <w:tcW w:w="860" w:type="dxa"/>
            <w:vAlign w:val="bottom"/>
          </w:tcPr>
          <w:p>
            <w:pPr>
              <w:jc w:val="right"/>
              <w:ind w:right="221"/>
              <w:spacing w:after="0"/>
              <w:rPr>
                <w:sz w:val="20"/>
                <w:szCs w:val="20"/>
                <w:color w:val="auto"/>
              </w:rPr>
            </w:pPr>
            <w:r>
              <w:rPr>
                <w:rFonts w:ascii="Arial" w:cs="Arial" w:eastAsia="Arial" w:hAnsi="Arial"/>
                <w:sz w:val="14"/>
                <w:szCs w:val="14"/>
                <w:color w:val="auto"/>
              </w:rPr>
              <w:t>Spread</w:t>
            </w:r>
          </w:p>
        </w:tc>
        <w:tc>
          <w:tcPr>
            <w:tcW w:w="1240" w:type="dxa"/>
            <w:vAlign w:val="bottom"/>
          </w:tcPr>
          <w:p>
            <w:pPr>
              <w:jc w:val="center"/>
              <w:ind w:right="61"/>
              <w:spacing w:after="0"/>
              <w:rPr>
                <w:sz w:val="20"/>
                <w:szCs w:val="20"/>
                <w:color w:val="auto"/>
              </w:rPr>
            </w:pPr>
            <w:r>
              <w:rPr>
                <w:rFonts w:ascii="Arial" w:cs="Arial" w:eastAsia="Arial" w:hAnsi="Arial"/>
                <w:sz w:val="14"/>
                <w:szCs w:val="14"/>
                <w:color w:val="auto"/>
                <w:w w:val="89"/>
              </w:rPr>
              <w:t>Rate Spread</w:t>
            </w:r>
          </w:p>
        </w:tc>
        <w:tc>
          <w:tcPr>
            <w:tcW w:w="880" w:type="dxa"/>
            <w:vAlign w:val="bottom"/>
          </w:tcPr>
          <w:p>
            <w:pPr>
              <w:jc w:val="right"/>
              <w:ind w:right="242"/>
              <w:spacing w:after="0"/>
              <w:rPr>
                <w:sz w:val="20"/>
                <w:szCs w:val="20"/>
                <w:color w:val="auto"/>
              </w:rPr>
            </w:pPr>
            <w:r>
              <w:rPr>
                <w:rFonts w:ascii="Arial" w:cs="Arial" w:eastAsia="Arial" w:hAnsi="Arial"/>
                <w:sz w:val="14"/>
                <w:szCs w:val="14"/>
                <w:color w:val="auto"/>
              </w:rPr>
              <w:t>Spread</w:t>
            </w:r>
          </w:p>
        </w:tc>
        <w:tc>
          <w:tcPr>
            <w:tcW w:w="1140" w:type="dxa"/>
            <w:vAlign w:val="bottom"/>
          </w:tcPr>
          <w:p>
            <w:pPr>
              <w:jc w:val="center"/>
              <w:ind w:right="1"/>
              <w:spacing w:after="0"/>
              <w:rPr>
                <w:sz w:val="20"/>
                <w:szCs w:val="20"/>
                <w:color w:val="auto"/>
              </w:rPr>
            </w:pPr>
            <w:r>
              <w:rPr>
                <w:rFonts w:ascii="Arial" w:cs="Arial" w:eastAsia="Arial" w:hAnsi="Arial"/>
                <w:sz w:val="14"/>
                <w:szCs w:val="14"/>
                <w:color w:val="auto"/>
                <w:w w:val="89"/>
              </w:rPr>
              <w:t>Rate Spread</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27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&gt; 4.25:1.00</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4.50%</w:t>
            </w:r>
          </w:p>
        </w:tc>
        <w:tc>
          <w:tcPr>
            <w:tcW w:w="12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5.50%</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4.50%</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5.50%</w:t>
            </w:r>
          </w:p>
        </w:tc>
        <w:tc>
          <w:tcPr>
            <w:tcW w:w="8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II</w:t>
            </w:r>
          </w:p>
        </w:tc>
        <w:tc>
          <w:tcPr>
            <w:tcW w:w="2740" w:type="dxa"/>
            <w:vAlign w:val="bottom"/>
          </w:tcPr>
          <w:p>
            <w:pPr>
              <w:jc w:val="right"/>
              <w:ind w:right="81"/>
              <w:spacing w:after="0"/>
              <w:rPr>
                <w:sz w:val="20"/>
                <w:szCs w:val="20"/>
                <w:color w:val="auto"/>
              </w:rPr>
            </w:pPr>
            <w:r>
              <w:rPr>
                <w:rFonts w:ascii="Arial" w:cs="Arial" w:eastAsia="Arial" w:hAnsi="Arial"/>
                <w:sz w:val="18"/>
                <w:szCs w:val="18"/>
                <w:color w:val="auto"/>
              </w:rPr>
              <w:t>£ 4.25:1.00</w:t>
            </w:r>
          </w:p>
        </w:tc>
        <w:tc>
          <w:tcPr>
            <w:tcW w:w="860" w:type="dxa"/>
            <w:vAlign w:val="bottom"/>
          </w:tcPr>
          <w:p>
            <w:pPr>
              <w:jc w:val="right"/>
              <w:ind w:right="81"/>
              <w:spacing w:after="0"/>
              <w:rPr>
                <w:sz w:val="20"/>
                <w:szCs w:val="20"/>
                <w:color w:val="auto"/>
              </w:rPr>
            </w:pPr>
            <w:r>
              <w:rPr>
                <w:rFonts w:ascii="Arial" w:cs="Arial" w:eastAsia="Arial" w:hAnsi="Arial"/>
                <w:sz w:val="18"/>
                <w:szCs w:val="18"/>
                <w:color w:val="auto"/>
              </w:rPr>
              <w:t>4.25%</w:t>
            </w:r>
          </w:p>
        </w:tc>
        <w:tc>
          <w:tcPr>
            <w:tcW w:w="1240" w:type="dxa"/>
            <w:vAlign w:val="bottom"/>
          </w:tcPr>
          <w:p>
            <w:pPr>
              <w:jc w:val="right"/>
              <w:ind w:right="81"/>
              <w:spacing w:after="0"/>
              <w:rPr>
                <w:sz w:val="20"/>
                <w:szCs w:val="20"/>
                <w:color w:val="auto"/>
              </w:rPr>
            </w:pPr>
            <w:r>
              <w:rPr>
                <w:rFonts w:ascii="Arial" w:cs="Arial" w:eastAsia="Arial" w:hAnsi="Arial"/>
                <w:sz w:val="18"/>
                <w:szCs w:val="18"/>
                <w:color w:val="auto"/>
              </w:rPr>
              <w:t>5.25%</w:t>
            </w:r>
          </w:p>
        </w:tc>
        <w:tc>
          <w:tcPr>
            <w:tcW w:w="860" w:type="dxa"/>
            <w:vAlign w:val="bottom"/>
          </w:tcPr>
          <w:p>
            <w:pPr>
              <w:jc w:val="right"/>
              <w:ind w:right="61"/>
              <w:spacing w:after="0"/>
              <w:rPr>
                <w:sz w:val="20"/>
                <w:szCs w:val="20"/>
                <w:color w:val="auto"/>
              </w:rPr>
            </w:pPr>
            <w:r>
              <w:rPr>
                <w:rFonts w:ascii="Arial" w:cs="Arial" w:eastAsia="Arial" w:hAnsi="Arial"/>
                <w:sz w:val="18"/>
                <w:szCs w:val="18"/>
                <w:color w:val="auto"/>
              </w:rPr>
              <w:t>4.25%</w:t>
            </w:r>
          </w:p>
        </w:tc>
        <w:tc>
          <w:tcPr>
            <w:tcW w:w="1240" w:type="dxa"/>
            <w:vAlign w:val="bottom"/>
          </w:tcPr>
          <w:p>
            <w:pPr>
              <w:jc w:val="right"/>
              <w:ind w:right="61"/>
              <w:spacing w:after="0"/>
              <w:rPr>
                <w:sz w:val="20"/>
                <w:szCs w:val="20"/>
                <w:color w:val="auto"/>
              </w:rPr>
            </w:pPr>
            <w:r>
              <w:rPr>
                <w:rFonts w:ascii="Arial" w:cs="Arial" w:eastAsia="Arial" w:hAnsi="Arial"/>
                <w:sz w:val="18"/>
                <w:szCs w:val="18"/>
                <w:color w:val="auto"/>
              </w:rPr>
              <w:t>5.25%</w:t>
            </w: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4.25%</w:t>
            </w:r>
          </w:p>
        </w:tc>
        <w:tc>
          <w:tcPr>
            <w:tcW w:w="1140" w:type="dxa"/>
            <w:vAlign w:val="bottom"/>
          </w:tcPr>
          <w:p>
            <w:pPr>
              <w:jc w:val="right"/>
              <w:spacing w:after="0"/>
              <w:rPr>
                <w:sz w:val="20"/>
                <w:szCs w:val="20"/>
                <w:color w:val="auto"/>
              </w:rPr>
            </w:pPr>
            <w:r>
              <w:rPr>
                <w:rFonts w:ascii="Arial" w:cs="Arial" w:eastAsia="Arial" w:hAnsi="Arial"/>
                <w:sz w:val="18"/>
                <w:szCs w:val="18"/>
                <w:color w:val="auto"/>
              </w:rPr>
              <w:t>5.25%</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31" w:lineRule="exact"/>
        <w:rPr>
          <w:sz w:val="20"/>
          <w:szCs w:val="20"/>
          <w:color w:val="auto"/>
        </w:rPr>
      </w:pPr>
    </w:p>
    <w:p>
      <w:pPr>
        <w:ind w:left="1080" w:right="3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commitment fee to each revolving lender payable quarterly in arrears at a rate equal to 0.50% per annum applicable to such revolving lender’s unused commitments under the Revolving Facility;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commitment fee to each delayed draw term loan lender payable quarterly in arrears at a rate equal to 1.00% per annum applicable to such delayed draw term loan lender’s unused commitments under the Initial Delayed Draw Term Facility;</w:t>
      </w:r>
    </w:p>
    <w:p>
      <w:pPr>
        <w:spacing w:after="0" w:line="75"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Adjusted Eurocurrency Rate margin for Initial Revolving Loans on the daily face amount of such revolving lender’s letter of credit exposure;</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customary fronting fee to each issuing bank payable quarterly in arrears on the daily face amount of such issuing bank’s letter of credit exposure and such issuing bank’s standard fees with respect to the issuance, amendment, renewal or extension of letters of credit or processing of drawings thereunder;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annual administrative agency fee payable to the Administrative Agent.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Senior Credit Facilities in whole or in part without premium or penalty other than customary “breakage” costs with respect to Adjusted Eurocurrency Rate loans.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Initial Term Loans and, once drawn, the Initial Delayed Draw Term Loans (collectively, the “Term Loans”) amortize at an annual rate equal to approximately 1.00% per annum, payable in equal quarterly installments of 0.25% of the original principal amount of the Term Loans. The Initial Revolving Loans do not require amortization payments.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31" w:lineRule="exact"/>
        <w:rPr>
          <w:sz w:val="20"/>
          <w:szCs w:val="20"/>
          <w:color w:val="auto"/>
        </w:rPr>
      </w:pPr>
    </w:p>
    <w:p>
      <w:pPr>
        <w:ind w:left="1080" w:right="20" w:hanging="424"/>
        <w:spacing w:after="0" w:line="25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50% of excess cash flow (as such term is defined in the Credit Agreement) for each fiscal year, </w:t>
      </w:r>
      <w:r>
        <w:rPr>
          <w:rFonts w:ascii="Arial" w:cs="Arial" w:eastAsia="Arial" w:hAnsi="Arial"/>
          <w:sz w:val="18"/>
          <w:szCs w:val="18"/>
          <w:u w:val="single" w:color="auto"/>
          <w:color w:val="auto"/>
        </w:rPr>
        <w:t>minus</w:t>
      </w:r>
      <w:r>
        <w:rPr>
          <w:rFonts w:ascii="Arial" w:cs="Arial" w:eastAsia="Arial" w:hAnsi="Arial"/>
          <w:sz w:val="18"/>
          <w:szCs w:val="18"/>
          <w:color w:val="auto"/>
        </w:rPr>
        <w:t>, at the Borrower’s option, the amount of any voluntary prepayment of loans under the Senior Credit Facilities (in the case of any voluntary prepayment of Initial Revolving Loans, to the extent accompanied by a permanent reduction of the related commitment), subject to other exceptions and subject to stepdowns to (i) 25% if the total net leverage ratio is less than or equal to 4.25:1.00 and greater than 3.75:1.00 and (ii) 0% if the total net leverage ratio is less than or equal to 3.75:1.00;</w:t>
      </w:r>
    </w:p>
    <w:p>
      <w:pPr>
        <w:spacing w:after="0" w:line="93"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Loans under the Senior Credit Facilities mature on August 21, 2023.</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obligations of the Borrower under the Credit Agreement are guaranteed by Holdings and each wholly-owned domestic subsidiary of the Borrower, subject to certain exceptions. Certain future-formed or acquired wholly owned domestic subsidiaries of the Borrower will also be required to guarantee the obligations under the Credit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secured by first-priority security interests in substantially all of the assets of the Borrower and the guarantors, subject to permitted liens and other exceptions.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certain of its subsidiaries to:</w:t>
      </w:r>
    </w:p>
    <w:p>
      <w:pPr>
        <w:spacing w:after="0" w:line="8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equity;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payments in respect of subordinated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enter into burdensome agreements with negative pledge clauses or restrictions on subsidiary distributions;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 or otherwise change the terms of the documentation governing certain restricted debt.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Credit Agreement contains a financial covenant, which requires the Borrower to maintain a ratio of consolidated total net debt to consolidated EBITDA (with certain adjustments as set forth in the Credit Agreement) no greater than (i) for the fiscal quarter ending on December 29, 2019 to and including the fiscal quarter ending on December 27, 2020, 7.25:1.00, (ii) for the fiscal quarter ending on March 28, 2021 to and including the fiscal quarter ending on December 26, 2021, 7.00:1.00 and (iii) for the fiscal quarter ending on March 27, 2022 and each fiscal quarter ending thereafter,</w:t>
      </w:r>
    </w:p>
    <w:p>
      <w:pPr>
        <w:spacing w:after="0" w:line="1" w:lineRule="exact"/>
        <w:rPr>
          <w:sz w:val="20"/>
          <w:szCs w:val="20"/>
          <w:color w:val="auto"/>
        </w:rPr>
      </w:pPr>
    </w:p>
    <w:p>
      <w:pPr>
        <w:ind w:left="120" w:right="140"/>
        <w:spacing w:after="0" w:line="290" w:lineRule="auto"/>
        <w:rPr>
          <w:sz w:val="20"/>
          <w:szCs w:val="20"/>
          <w:color w:val="auto"/>
        </w:rPr>
      </w:pPr>
      <w:r>
        <w:rPr>
          <w:rFonts w:ascii="Arial" w:cs="Arial" w:eastAsia="Arial" w:hAnsi="Arial"/>
          <w:sz w:val="17"/>
          <w:szCs w:val="17"/>
          <w:color w:val="auto"/>
        </w:rPr>
        <w:t>6.00:1.00, tested as of the last day of each fiscal quarter and determined on the basis of the four most recently ended fiscal quarters of the Borrower for which financial statements have been delivered pursuant to the Credit Agreement, subject to customary “equity cure” rights.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defects with respect to guarantees and collateral and change of control. If an event of default occurs, the lenders would be entitled to take various actions, including acceleration of the loans and termination of the commitments under the Credit Agreement, foreclosure on collateral and all other remedial actions available to a secured creditor. Bankruptcy events and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ABR.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The following is a description of (i) the material terms of our amended and restated certificate of incorporation and amended and restated bylaws as they will be in effect upon the consummation of this offering and (ii) certain applicable provisions of Delaware law. We refer you to our amended and restated certificate of incorporation and amended and restated bylaws, copies of which will be filed as exhibits to the registration statement of which this prospectus is a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authorized capital stock shall consist of shares of common stock, par value $0.01 per share and shares of preferred stock, par value $0.01 per share. Following the consummation of this offering, shares of common stock and no shares of preferred stock shall be issued and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our common stock are entitled to the rights set forth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At any meeting of stockholders at which directors are to be elected, directors will be elected by a plurality of the votes cast by the holders of shares present in person or represented by proxy at the meeting and entitled to vote on the election of directors. Our stockholders will not have cumulative voting rights. Except as otherwise provided in our amended and restated certificate of incorporation, our bylaws or as required by law, all matters to be voted on by our stockholders other than matters relating to the election and removal of directors must be approved by a majority of the shares present in person or represented by proxy at the meeting and voting on the subject matter.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Holders of common stock will share equally in any dividend declared by our Board, subject to the rights of the holders of any outstanding preferred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the event of any voluntary or involuntary liquidation, dissolution, distribution of assets or winding up of our affairs, holders of our common stock would be entitled to share ratably in our assets that are legally available for distribution to stockholders after payment of liabilities. If we have any preferred stock outstanding at such time, holders of the preferred stock may be entitled to distribution and/or liquidation preferences. In either such case, we must pay the applicable distribution to the holders of our preferred stock before we may pay distributions to the holders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of our existing stockholders have certain registration rights with respect to our common stock pursuant to a stockholders agreement.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Rights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stockholders have no preemptive or other rights to subscribe for additional shares. There will be no redemption, conversion or sinking fund provisions applicable to our common stock. All holders of our common stock are entitled to share equally on a share-for-share basis in any assets available for distribution to common stockholders upon our liquidation, dissolution or winding up. All outstanding shares are, and all shares offered by this prospectus will be, when sold, validly issued, fully paid and non-assessable.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Board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 Our Board has not authorized the issuance of any shares of preferred stock and we have no agreements or plans for the issuance of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is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amended and restated certificate of incorporation and our amended and restated bylaws will also provide that a director may be removed by the affirmative vote of the holders of a majority of the voting power of our outstanding shares of capital stock entitled to vote generally in the election of directors, voting together as a single class, and only for cause so long as our Board is classified. Any vacancy on our Board, including a vacancy resulting from an enlargement of our Board, may be filled only by vote of a majority of our directors then in office. Our classified Board could have the effect of delaying or discouraging an acquisition of us or a change in our management. See “Risk Factors – Risks Related to Our Company and Organizational Structure – Delaware law and our organizational documents, as well as our existing and future debt agreements, may impede or discourage a takeover, which could deprive our investors of the opportunity to receive a premium for their shares.”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 and Advance Notice Requirements for Stockholder Meetings, Nominations and Proposals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amended and restated bylaws will provide that special meetings of the stockholders may be called only upon the request of a majority of our Board, the Chairperson of our Board or the Chief Executive Officer. Our amended and restated bylaws will prohibit the conduct of any business at an annual or special meeting other than as specified in the notice for such meeting or otherwise brought before the meeting by or at the direction of the Board or a duly authorized committee or authorized officer to whom the Board or committee delegated such authority. These provisions may have the effect of deferring, delaying or discouraging hostile takeovers or changes in control or management of our company.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after the time that Advent collectively owns less than 50.01% of our then 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and will provide that Advent, their respective affiliates or successors, their transferees, and any group as to which such persons are party do not constitute interested stockholders for purposes of these provisions for so long as they collectively own, directly or indirectly, 10% or more of the voting power of our then outstanding shares of voting stock. Although we have elected to opt out of the statute’s provisions, we could elect to be subject to Section 203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21"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7"/>
          <w:szCs w:val="17"/>
          <w:color w:val="auto"/>
        </w:rPr>
        <w:t>Any amendment to our amended and restated certificate of incorporation must first be approved by a majority of our Board and (i) if required by law, thereafter be approved by a majority of the outstanding shares entitled to vote on the amendment or (ii) if related to provisions regarding the classification of the Board, the removal of directors, director vacancies, special meetings or the amendment of certain provisions of our amended and restated bylaws or amended and restated certificate of incorporation, thereafter be approved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voting power of our then outstanding shares entitled to vote generally in the election of directors. For so long as Advent beneficially owns 10% or more of our then outstanding common stock entitled to vote generally in the election of directors, any amendment to provisions regarding Section 203 of the DGCL or corporate opportunities must also receive Advent’s prior written consent. Our amended and restated bylaws may be amended (x) by the affirmative vote of a majority of the directors then in office, subject to any limitations set forth in the bylaws, without further stockholder action or (y) by the affirmative vote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voting power of the then outstanding shares entitled to vote generally in the election of directors, voting together as a single class, without further action by our Board.</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Renouncement of Corporate Opportunity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except as may be expressly agreed in writing between our company and Advent, we renounce any interest or expectancy in, or in being offered an opportunity to participate in, any business opportunity that may from time to time be presented to and that may be a business opportunity for Advent or any of its managers, officers, directors, agents stockholders, members, partners, affiliates, and subsidiaries (other than our company and its subsidiaries) (“Exempted Persons”), even if the opportunity is one that we might reasonably have pursued or had the ability or desire to pursue if granted the opportunity to do so. No such Exempted Persons will be liable to us for breach of any fiduciary or other duty, as a director or officer or otherwise, by reason of the fact that such person, acting in good faith, pursues or acquires any such business opportunity, directs any such business opportunity to another person or fails to present any such business opportunity, or information regarding any such business opportunity, to us. None of the Exempted Persons or their representatives has any duty to refrain from engaging directly or indirectly in the same or similar business activities or lines of business as us or any of our subsidiaries. In addition, for so long as Advent and its affiliates beneficially own at least 10% of our then outstanding common stock entitled to vote generally in the election of directors, any amendment, alteration, addition, repeal, revision of provisions related to the “Renouncement of Corporate Opportunity” or adoption of any provision inconsistent with such provisions shall require Advent’s prior written consent.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amended and restated bylaws will provide that, subject to certain exceptions, the Court of Chancery of the State of Delaware shall be the sole and exclusive forum for certain stockholder litigation matters. However, it is possible that a court could rule that this provision is unenforceable or inapplicable.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tabs>
          <w:tab w:leader="none" w:pos="5500" w:val="left"/>
          <w:tab w:leader="none" w:pos="7580" w:val="left"/>
        </w:tabs>
        <w:rPr>
          <w:sz w:val="20"/>
          <w:szCs w:val="20"/>
          <w:color w:val="auto"/>
        </w:rPr>
      </w:pPr>
      <w:r>
        <w:rPr>
          <w:rFonts w:ascii="Arial" w:cs="Arial" w:eastAsia="Arial" w:hAnsi="Arial"/>
          <w:sz w:val="18"/>
          <w:szCs w:val="18"/>
          <w:color w:val="auto"/>
        </w:rPr>
        <w:t>We intend to apply to have our common stock listed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Future sales of our common stock in the public market, or the perception that sales may occur, could materially adversely affect the prevailing market price of our common stock at such time and our ability to raise equity capital in the future.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Securities</w:t>
      </w:r>
    </w:p>
    <w:p>
      <w:pPr>
        <w:spacing w:after="0" w:line="121" w:lineRule="exact"/>
        <w:rPr>
          <w:sz w:val="20"/>
          <w:szCs w:val="20"/>
          <w:color w:val="auto"/>
        </w:rPr>
      </w:pPr>
    </w:p>
    <w:p>
      <w:pPr>
        <w:ind w:left="560"/>
        <w:spacing w:after="0"/>
        <w:tabs>
          <w:tab w:leader="none" w:pos="4900" w:val="left"/>
          <w:tab w:leader="none" w:pos="8820" w:val="left"/>
        </w:tabs>
        <w:rPr>
          <w:sz w:val="20"/>
          <w:szCs w:val="20"/>
          <w:color w:val="auto"/>
        </w:rPr>
      </w:pPr>
      <w:r>
        <w:rPr>
          <w:rFonts w:ascii="Arial" w:cs="Arial" w:eastAsia="Arial" w:hAnsi="Arial"/>
          <w:sz w:val="18"/>
          <w:szCs w:val="18"/>
          <w:color w:val="auto"/>
        </w:rPr>
        <w:t>Upon consummation of this offering, we will have</w:t>
      </w:r>
      <w:r>
        <w:rPr>
          <w:sz w:val="20"/>
          <w:szCs w:val="20"/>
          <w:color w:val="auto"/>
        </w:rPr>
        <w:tab/>
      </w:r>
      <w:r>
        <w:rPr>
          <w:rFonts w:ascii="Arial" w:cs="Arial" w:eastAsia="Arial" w:hAnsi="Arial"/>
          <w:sz w:val="18"/>
          <w:szCs w:val="18"/>
          <w:color w:val="auto"/>
        </w:rPr>
        <w:t>shares of our common stock outstanding (or</w:t>
      </w:r>
      <w:r>
        <w:rPr>
          <w:sz w:val="20"/>
          <w:szCs w:val="20"/>
          <w:color w:val="auto"/>
        </w:rPr>
        <w:tab/>
      </w:r>
      <w:r>
        <w:rPr>
          <w:rFonts w:ascii="Arial" w:cs="Arial" w:eastAsia="Arial" w:hAnsi="Arial"/>
          <w:sz w:val="16"/>
          <w:szCs w:val="16"/>
          <w:color w:val="auto"/>
        </w:rPr>
        <w:t>shares, if the underwriters</w:t>
      </w:r>
    </w:p>
    <w:p>
      <w:pPr>
        <w:spacing w:after="0" w:line="23"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exercise their option to purchase additional shares in full). Of these shares, all shares sold in this offering will be freely tradable without further restriction or registration under the Securities Act, except that any shares purchased by our affiliates may generally only be sold in compliance with Rule</w:t>
      </w:r>
    </w:p>
    <w:p>
      <w:pPr>
        <w:spacing w:after="0" w:line="1" w:lineRule="exact"/>
        <w:rPr>
          <w:sz w:val="20"/>
          <w:szCs w:val="20"/>
          <w:color w:val="auto"/>
        </w:rPr>
      </w:pPr>
    </w:p>
    <w:p>
      <w:pPr>
        <w:ind w:left="120"/>
        <w:spacing w:after="0"/>
        <w:tabs>
          <w:tab w:leader="none" w:pos="5780" w:val="left"/>
        </w:tabs>
        <w:rPr>
          <w:sz w:val="20"/>
          <w:szCs w:val="20"/>
          <w:color w:val="auto"/>
        </w:rPr>
      </w:pPr>
      <w:r>
        <w:rPr>
          <w:rFonts w:ascii="Arial" w:cs="Arial" w:eastAsia="Arial" w:hAnsi="Arial"/>
          <w:sz w:val="18"/>
          <w:szCs w:val="18"/>
          <w:color w:val="auto"/>
        </w:rPr>
        <w:t>144, which is described below. Of the remaining outstanding shares,</w:t>
      </w:r>
      <w:r>
        <w:rPr>
          <w:sz w:val="20"/>
          <w:szCs w:val="20"/>
          <w:color w:val="auto"/>
        </w:rPr>
        <w:tab/>
      </w:r>
      <w:r>
        <w:rPr>
          <w:rFonts w:ascii="Arial" w:cs="Arial" w:eastAsia="Arial" w:hAnsi="Arial"/>
          <w:sz w:val="16"/>
          <w:szCs w:val="16"/>
          <w:color w:val="auto"/>
        </w:rPr>
        <w:t>shares will be deemed “restricted securities” under the Securities Act.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following the expiration of the lock-up period, we expect that certain stockholders will have the right, subject to certain conditions, to require us to register the sale of their shares of our common stock under federal securities laws. If these stockholders exercise this right, our other existing stockholders may require us to register their registrable securities.</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or otherwise. Rule 144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93"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common stock outstanding;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for the four calendar weeks prior to the sale.</w:t>
      </w:r>
    </w:p>
    <w:p>
      <w:pPr>
        <w:spacing w:after="0" w:line="22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Approximately shares of our common stock that are not subject to lock-up arrangements described above will be eligible for sale under Rule 144 immediately upon the closing</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common stock that are restricted securities, will be entitled to freely sell such shares of our common stock subject only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such shares of our common stock under Rule 144 without regard to the current public information requirements of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Registration Statements</w:t>
      </w:r>
    </w:p>
    <w:p>
      <w:pPr>
        <w:spacing w:after="0" w:line="121" w:lineRule="exact"/>
        <w:rPr>
          <w:sz w:val="20"/>
          <w:szCs w:val="20"/>
          <w:color w:val="auto"/>
        </w:rPr>
      </w:pPr>
    </w:p>
    <w:p>
      <w:pPr>
        <w:ind w:left="560"/>
        <w:spacing w:after="0"/>
        <w:tabs>
          <w:tab w:leader="none" w:pos="7680" w:val="left"/>
        </w:tabs>
        <w:rPr>
          <w:sz w:val="20"/>
          <w:szCs w:val="20"/>
          <w:color w:val="auto"/>
        </w:rPr>
      </w:pPr>
      <w:r>
        <w:rPr>
          <w:rFonts w:ascii="Arial" w:cs="Arial" w:eastAsia="Arial" w:hAnsi="Arial"/>
          <w:sz w:val="18"/>
          <w:szCs w:val="18"/>
          <w:color w:val="auto"/>
        </w:rPr>
        <w:t>We intend to file a registration statement on Form S-8 under the Securities Act to register</w:t>
      </w:r>
      <w:r>
        <w:rPr>
          <w:sz w:val="20"/>
          <w:szCs w:val="20"/>
          <w:color w:val="auto"/>
        </w:rPr>
        <w:tab/>
      </w:r>
      <w:r>
        <w:rPr>
          <w:rFonts w:ascii="Arial" w:cs="Arial" w:eastAsia="Arial" w:hAnsi="Arial"/>
          <w:sz w:val="16"/>
          <w:szCs w:val="16"/>
          <w:color w:val="auto"/>
        </w:rPr>
        <w:t>shares of our common stock to be issued or</w:t>
      </w:r>
    </w:p>
    <w:p>
      <w:pPr>
        <w:spacing w:after="0" w:line="23"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7"/>
          <w:szCs w:val="17"/>
          <w:color w:val="auto"/>
        </w:rPr>
        <w:t>reserved for issuance under our equity incentive plans.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consequences to non-U.S. holders (as defined herein) of the purchase, ownership and disposition of our common stock. This discussion does not provide a complete analysis of all potential U.S. federal income tax considerations relating thereto. This description is based on the U.S. Internal Revenue Code of 1986, as amended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common stock as capital assets within the meaning of Section 1221 of the Code (generally for investment). Moreover, this discussion is for general information only and does not address all of the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common stock under the constructive sale provisions of the Code, and persons that hold common stock as part of a straddle, hedge, conversion transaction, or other integrated investment. In addition, this discussion does not address estate or gift taxes, the alternative minimum tax, the Medicare tax on certain investment income or any state, local or foreign taxes or any U.S. federal tax laws other than U.S. federal income tax laws.</w:t>
      </w:r>
    </w:p>
    <w:p>
      <w:pPr>
        <w:spacing w:after="0" w:line="17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You are urged to consult with your own tax advisor concerning the U.S. federal income tax consequences of acquiring, owning and disposing of our common stock, as well as the application of any state, local, or foreign income and other tax laws or tax treaties.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used in this section, a “non-U.S. holder” is a beneficial owner of our common stock that is not, for U.S. federal income tax purposes:</w:t>
      </w:r>
    </w:p>
    <w:p>
      <w:pPr>
        <w:spacing w:after="0" w:line="142"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 partnership or other entity treated as a pass-through entity for U.S. federal income tax purposes is a holder of our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common stock should consult its own tax advisor as to the particular U.S. federal income tax consequences applicable to it.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60" w:firstLine="440"/>
        <w:spacing w:after="0" w:line="286" w:lineRule="auto"/>
        <w:rPr>
          <w:sz w:val="20"/>
          <w:szCs w:val="20"/>
          <w:color w:val="auto"/>
        </w:rPr>
      </w:pPr>
      <w:r>
        <w:rPr>
          <w:rFonts w:ascii="Arial" w:cs="Arial" w:eastAsia="Arial" w:hAnsi="Arial"/>
          <w:sz w:val="17"/>
          <w:szCs w:val="17"/>
          <w:b w:val="1"/>
          <w:bCs w:val="1"/>
          <w:i w:val="1"/>
          <w:iCs w:val="1"/>
          <w:color w:val="auto"/>
        </w:rPr>
        <w:t>INVESTORS CONSIDERING THE PURCHASE OF OUR COMMON STOCK SHOULD CONSULT THEIR TAX ADVISORS REGARDING THE APPLICATION OF U.S. FEDERAL INCOME TAX LAWS TO THEIR PARTICULAR SITUATIONS AND THE CONSEQUENCES OF OTHER FEDERAL, STATE, LOCAL AND FOREIGN TAX LAWS, AND APPLICABLE TAX TREATIES.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do not currently anticipate doing so in the foreseeable future (as discussed in the section entitled “Dividend Policy”), if we do pay distributions on shares of our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 Dispositions of Common Stock.”</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Any dividend paid to a non-U.S. holder on our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w:t>
      </w:r>
    </w:p>
    <w:p>
      <w:pPr>
        <w:spacing w:after="0" w:line="179"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(or, in certain cases involving individual holders, a fixed base) maintained by the non-U.S. holder in the United States,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graduated rates applicable to U.S. persons, net of certain deductions and credits. In addition to the graduated tax described above, such effectively connected dividends received by corporate non-U.S. holders may also be subject to a branch profits tax at a rate of 30% or such lower rate as may be specified by an applicable income tax treaty.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Dispositions of Common Stock</w:t>
      </w:r>
    </w:p>
    <w:p>
      <w:pPr>
        <w:spacing w:after="0" w:line="121"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Subject to the discussion below on backup withholding and other withholding requirements, gain realized by a non-U.S. holder on a sale, exchange or other disposition of our common stock generally will not be subject to U.S. federal income or withholding tax, unless:</w:t>
      </w:r>
    </w:p>
    <w:p>
      <w:pPr>
        <w:spacing w:after="0" w:line="52" w:lineRule="exact"/>
        <w:rPr>
          <w:sz w:val="20"/>
          <w:szCs w:val="20"/>
          <w:color w:val="auto"/>
        </w:rPr>
      </w:pPr>
    </w:p>
    <w:p>
      <w:pPr>
        <w:ind w:left="1080" w:right="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308" w:lineRule="auto"/>
        <w:rPr>
          <w:sz w:val="20"/>
          <w:szCs w:val="20"/>
          <w:color w:val="auto"/>
        </w:rPr>
      </w:pPr>
      <w:r>
        <w:rPr>
          <w:rFonts w:ascii="Arial" w:cs="Arial" w:eastAsia="Arial" w:hAnsi="Arial"/>
          <w:sz w:val="17"/>
          <w:szCs w:val="17"/>
          <w:color w:val="auto"/>
        </w:rPr>
        <w:t>holder’s country of residence, is attributable to a permanent establishment (or, in certain cases involving individual holders, a fixed base) maintained by the non-U.S. holder in the United States (in which case the special rules described below apply),</w:t>
      </w:r>
    </w:p>
    <w:p>
      <w:pPr>
        <w:spacing w:after="0" w:line="52" w:lineRule="exact"/>
        <w:rPr>
          <w:sz w:val="20"/>
          <w:szCs w:val="20"/>
          <w:color w:val="auto"/>
        </w:rPr>
      </w:pPr>
    </w:p>
    <w:p>
      <w:pPr>
        <w:ind w:left="1080" w:right="80" w:hanging="424"/>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disposition of our common stock and the non-U.S. holder’s holding period for our common stock.</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disposition of stock in a USRPHC does not apply to a non-U.S. holder whose holdings, actual and constructive, amount to 5% or less of our common stock at all times during the applicable period, provided that our common stock is regularly traded on an established securities market. No assurance can be provided that our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should consult your tax advisor about the consequences that could result if we have been, are or become a USRPHC.</w:t>
      </w:r>
    </w:p>
    <w:p>
      <w:pPr>
        <w:spacing w:after="0" w:line="16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certain cases involving individuals, a fixed base) maintained by such non-U.S. holder in the United States, then the gain generally will be subject to U.S. federal income tax at the same graduated rates applicable to U.S. persons, net of certain deductions and credits. In addition to the graduated tax described above, such effectively connected gain realized by corporate non-U.S. holders may also be subject to a branch profits tax at a rate of 30% or such lower rate as may be specified by an applicable income tax treaty.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Any dividends that are paid to a non-U.S. holder must be reported annually to the IRS and to the non-U.S. holder. Copies of these information returns also may be made available to the tax authorities of the country in which the non-U.S. holder resides under the provisions of various treaties or agreements for the exchange of information. Dividends paid on our common stock and the gross proceeds from a taxable disposition of our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6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Withholding Taxes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Provisions commonly referred to as “FATCA” impose withholding (separate and apart from, but without duplication of, the withholding tax described above) at a rate of 30% on payments of U.S.-source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imposed under FATCA may also apply to gross proceeds from the sale or other disposition of domestic corporate stock (including our stock); although, under proposed U.S. Treasury regulations published on December 18, 2018, no withholding would apply to such gross proceeds. The preamble to such proposed regulations specifies that taxpayers (including withholding agents) are permitted to rely on the proposed regulations pending finalization. An intergovernmental agreement between the United States and an applicable foreign jurisdiction may modify these requirements. Accordingly, the entity through which our common stock is held may affect the determination of whether such withholding is required.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Non-U.S. holders should consult their tax advisors regarding the effects of FATCA on their investment in our common stock.</w:t>
      </w:r>
    </w:p>
    <w:p>
      <w:pPr>
        <w:spacing w:after="0" w:line="18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b w:val="1"/>
          <w:bCs w:val="1"/>
          <w:i w:val="1"/>
          <w:iCs w:val="1"/>
          <w:color w:val="auto"/>
        </w:rPr>
        <w:t>THE PRECEDING DISCUSSION OF U.S. FEDERAL INCOME TAX CONSIDERATIONS IS FOR GENERAL INFORMATION ONLY. IT IS NOT TAX ADVICE. EACH PROSPECTIVE INVESTOR SHOULD CONSULT ITS TAX ADVISOR REGARDING THE PARTICULAR U.S. FEDERAL, STATE, LOCAL AND FOREIGN TAX CONSEQUENCES OF PURCHASING, HOLDING AND DISPOSING OF OUR COMMON STOCK, INCLUDING THE CONSEQUENCES OF ANY PROPOSED CHANGE IN APPLICABLE LAWS, INTERGOVERNMENTAL AGREEMENTS OR TAX TREATIES.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320" w:top="459" w:right="5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80" w:firstLine="1025"/>
        <w:spacing w:after="0" w:line="263" w:lineRule="auto"/>
        <w:rPr>
          <w:sz w:val="20"/>
          <w:szCs w:val="20"/>
          <w:color w:val="auto"/>
        </w:rPr>
      </w:pPr>
      <w:r>
        <w:rPr>
          <w:rFonts w:ascii="Arial" w:cs="Arial" w:eastAsia="Arial" w:hAnsi="Arial"/>
          <w:sz w:val="18"/>
          <w:szCs w:val="18"/>
          <w:color w:val="auto"/>
        </w:rPr>
        <w:t>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5"/>
        </w:trPr>
        <w:tc>
          <w:tcPr>
            <w:tcW w:w="780" w:type="dxa"/>
            <w:vAlign w:val="bottom"/>
            <w:vMerge w:val="continue"/>
          </w:tcPr>
          <w:p>
            <w:pPr>
              <w:spacing w:after="0"/>
              <w:rPr>
                <w:sz w:val="14"/>
                <w:szCs w:val="14"/>
                <w:color w:val="auto"/>
              </w:rPr>
            </w:pPr>
          </w:p>
        </w:tc>
        <w:tc>
          <w:tcPr>
            <w:tcW w:w="5940" w:type="dxa"/>
            <w:vAlign w:val="bottom"/>
          </w:tcPr>
          <w:p>
            <w:pPr>
              <w:spacing w:after="0"/>
              <w:rPr>
                <w:sz w:val="14"/>
                <w:szCs w:val="14"/>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16"/>
        </w:trPr>
        <w:tc>
          <w:tcPr>
            <w:tcW w:w="780" w:type="dxa"/>
            <w:vAlign w:val="bottom"/>
            <w:tcBorders>
              <w:top w:val="single" w:sz="8" w:color="auto"/>
            </w:tcBorders>
            <w:shd w:val="clear" w:color="auto" w:fill="CCEEFF"/>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2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14605</wp:posOffset>
            </wp:positionV>
            <wp:extent cx="4457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31750</wp:posOffset>
            </wp:positionV>
            <wp:extent cx="4457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58"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w:t>
      </w:r>
    </w:p>
    <w:p>
      <w:pPr>
        <w:spacing w:after="0" w:line="46"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the cover page of this prospectus and to dealers at that price less a concession not in excess of $ per share. After the initial offering, the public offering price, concession or any other term of the offering may be changed.</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52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Without</w:t>
            </w:r>
          </w:p>
        </w:tc>
        <w:tc>
          <w:tcPr>
            <w:tcW w:w="13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With Option</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Option</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Underwriting discount</w:t>
            </w:r>
          </w:p>
        </w:tc>
        <w:tc>
          <w:tcPr>
            <w:tcW w:w="25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4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expenses of the offering, not including the underwriting discount, are estimated at $ and are payable by us. We have also agreed to reimburse the underwriters for certain of their expenses incurred in connection with, among others, the review and clearance by the Financial Industry</w:t>
      </w:r>
    </w:p>
    <w:p>
      <w:pPr>
        <w:ind w:left="120"/>
        <w:spacing w:after="0"/>
        <w:tabs>
          <w:tab w:leader="none" w:pos="5100" w:val="left"/>
        </w:tabs>
        <w:rPr>
          <w:sz w:val="20"/>
          <w:szCs w:val="20"/>
          <w:color w:val="auto"/>
        </w:rPr>
      </w:pPr>
      <w:r>
        <w:rPr>
          <w:rFonts w:ascii="Arial" w:cs="Arial" w:eastAsia="Arial" w:hAnsi="Arial"/>
          <w:sz w:val="18"/>
          <w:szCs w:val="18"/>
          <w:color w:val="auto"/>
        </w:rPr>
        <w:t>Regulatory Authority, Inc. (“FINRA”) in an amount up to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shares at the public offering price, less the underwriting discount. If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additional</w:t>
      </w:r>
    </w:p>
    <w:p>
      <w:pPr>
        <w:spacing w:after="0" w:line="396" w:lineRule="exact"/>
        <w:rPr>
          <w:sz w:val="20"/>
          <w:szCs w:val="20"/>
          <w:color w:val="auto"/>
        </w:rPr>
      </w:pPr>
    </w:p>
    <w:p>
      <w:pPr>
        <w:sectPr>
          <w:pgSz w:w="11900" w:h="16838" w:orient="portrait"/>
          <w:cols w:equalWidth="0" w:num="2">
            <w:col w:w="9260" w:space="720"/>
            <w:col w:w="114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underwriters exercise this option, each will be obligated, subject to conditions contained in the underwriting agreement, to purchase a number of additional shares proportionate to that underwriter’s initial amount reflected in the above table.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the representatives. Specifically, we and these other persons have agreed, with certain limited exceptions, not to directly or indirectly</w:t>
      </w:r>
    </w:p>
    <w:p>
      <w:pPr>
        <w:spacing w:after="0" w:line="92"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 or</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560"/>
        <w:spacing w:after="0"/>
        <w:tabs>
          <w:tab w:leader="none" w:pos="5200" w:val="left"/>
          <w:tab w:leader="none" w:pos="6160" w:val="left"/>
          <w:tab w:leader="none" w:pos="8260" w:val="left"/>
        </w:tabs>
        <w:rPr>
          <w:sz w:val="20"/>
          <w:szCs w:val="20"/>
          <w:color w:val="auto"/>
        </w:rPr>
      </w:pPr>
      <w:r>
        <w:rPr>
          <w:rFonts w:ascii="Arial" w:cs="Arial" w:eastAsia="Arial" w:hAnsi="Arial"/>
          <w:sz w:val="18"/>
          <w:szCs w:val="18"/>
          <w:color w:val="auto"/>
        </w:rPr>
        <w:t>We expect the shares to be approved for listing on the</w:t>
      </w:r>
      <w:r>
        <w:rPr>
          <w:sz w:val="20"/>
          <w:szCs w:val="20"/>
          <w:color w:val="auto"/>
        </w:rPr>
        <w:tab/>
      </w: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8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 in the over-the-counter market or otherwise.</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Each person in a Member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12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representatives has been obtained to each such proposed offer or resale.</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Company, the representatives and their affiliates will rely upon the truth and accuracy of the foregoing representations, acknowledgements and agreements.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6"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Weil, Gotshal &amp; Manges LLP, New York, New York, has passed upon the validity of the common stock offered hereby on behalf of us. Certain legal matters will be passed upon on behalf of the underwriters by Latham &amp; Watkins LLP.</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consolidated financial statements as of December 30, 2018 and for the year ended December 30, 2018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40"/>
          </w:cols>
          <w:pgMar w:left="320" w:top="459" w:right="5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3"/>
            <w:vMerge w:val="restart"/>
          </w:tcPr>
          <w:p>
            <w:pPr>
              <w:spacing w:after="0"/>
              <w:rPr>
                <w:rFonts w:ascii="Arial" w:cs="Arial" w:eastAsia="Arial" w:hAnsi="Arial"/>
                <w:sz w:val="18"/>
                <w:szCs w:val="18"/>
                <w:color w:val="0000EE"/>
                <w:w w:val="91"/>
              </w:rPr>
            </w:pPr>
            <w:hyperlink w:anchor="page123">
              <w:r>
                <w:rPr>
                  <w:rFonts w:ascii="Arial" w:cs="Arial" w:eastAsia="Arial" w:hAnsi="Arial"/>
                  <w:sz w:val="18"/>
                  <w:szCs w:val="18"/>
                  <w:color w:val="0000EE"/>
                  <w:w w:val="91"/>
                </w:rPr>
                <w:t>Report of Independent Registered Public Accounting Firm</w:t>
              </w:r>
            </w:hyperlink>
          </w:p>
        </w:tc>
        <w:tc>
          <w:tcPr>
            <w:tcW w:w="5080" w:type="dxa"/>
            <w:vAlign w:val="bottom"/>
            <w:gridSpan w:val="6"/>
            <w:vMerge w:val="restart"/>
          </w:tcPr>
          <w:p>
            <w:pPr>
              <w:spacing w:after="0"/>
              <w:rPr>
                <w:sz w:val="14"/>
                <w:szCs w:val="14"/>
                <w:color w:val="auto"/>
              </w:rPr>
            </w:pPr>
          </w:p>
        </w:tc>
        <w:tc>
          <w:tcPr>
            <w:tcW w:w="1660" w:type="dxa"/>
            <w:vAlign w:val="bottom"/>
            <w:gridSpan w:val="3"/>
          </w:tcPr>
          <w:p>
            <w:pPr>
              <w:ind w:left="13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5080" w:type="dxa"/>
            <w:vAlign w:val="bottom"/>
            <w:gridSpan w:val="6"/>
            <w:vMerge w:val="continue"/>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300" w:type="dxa"/>
            <w:vAlign w:val="bottom"/>
            <w:gridSpan w:val="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Consolidated Balance Sheet as of December 30, 2018</w:t>
              </w:r>
            </w:hyperlink>
          </w:p>
        </w:tc>
        <w:tc>
          <w:tcPr>
            <w:tcW w:w="13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Consolidated Statement of Operations and Comprehensive Loss for the Fiscal Year Ended December 30, 2018</w:t>
              </w:r>
            </w:hyperlink>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9300" w:type="dxa"/>
            <w:vAlign w:val="bottom"/>
            <w:gridSpan w:val="9"/>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Consolidated Statement of Equity for the Fiscal Year Ended December 30, 2018</w:t>
              </w:r>
            </w:hyperlink>
          </w:p>
        </w:tc>
        <w:tc>
          <w:tcPr>
            <w:tcW w:w="13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7">
              <w:r>
                <w:rPr>
                  <w:rFonts w:ascii="Arial" w:cs="Arial" w:eastAsia="Arial" w:hAnsi="Arial"/>
                  <w:sz w:val="18"/>
                  <w:szCs w:val="18"/>
                  <w:color w:val="0000EE"/>
                  <w:w w:val="90"/>
                </w:rPr>
                <w:t>Consolidated Statement of Cash Flows for the Fiscal Year Ended December 30, 2018</w:t>
              </w:r>
            </w:hyperlink>
          </w:p>
        </w:tc>
        <w:tc>
          <w:tcPr>
            <w:tcW w:w="312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9300" w:type="dxa"/>
            <w:vAlign w:val="bottom"/>
            <w:gridSpan w:val="9"/>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Notes to Consolidated Financial Statements</w:t>
              </w:r>
            </w:hyperlink>
          </w:p>
        </w:tc>
        <w:tc>
          <w:tcPr>
            <w:tcW w:w="134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5"/>
          </w:tcPr>
          <w:p>
            <w:pPr>
              <w:ind w:left="1040"/>
              <w:spacing w:after="0"/>
              <w:rPr>
                <w:sz w:val="20"/>
                <w:szCs w:val="20"/>
                <w:color w:val="auto"/>
              </w:rPr>
            </w:pPr>
            <w:r>
              <w:rPr>
                <w:rFonts w:ascii="Arial" w:cs="Arial" w:eastAsia="Arial" w:hAnsi="Arial"/>
                <w:sz w:val="18"/>
                <w:szCs w:val="18"/>
                <w:color w:val="auto"/>
              </w:rPr>
              <w:t>F-1</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First Watch Restaurant Group,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have audited the accompanying consolidated balance sheet of First Watch Restaurant Group, Inc. and its subsidiaries (the “Company”) as of December 30, 2018, and the related consolidated statements of operations and comprehensive loss, equity and cash flows for the year then ended, including the related notes (collectively referred to as the “consolidated financial statements”). In our opinion, the consolidated financial statements present fairly, in all material respects, the financial position of the Company as of December 30, 2018, and the results of its operations and its cash flows for the year then ended in conformity with accounting principles generally accepted in the United States of America.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revenue recognition in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8,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1999.</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FIRST WATCH RESTAURANT GROUP, INC.</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BALANCE SHEET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40" w:type="dxa"/>
            <w:vAlign w:val="bottom"/>
          </w:tcPr>
          <w:p>
            <w:pPr>
              <w:jc w:val="center"/>
              <w:ind w:left="1190"/>
              <w:spacing w:after="0"/>
              <w:rPr>
                <w:sz w:val="20"/>
                <w:szCs w:val="20"/>
                <w:color w:val="auto"/>
              </w:rPr>
            </w:pPr>
            <w:r>
              <w:rPr>
                <w:rFonts w:ascii="Arial" w:cs="Arial" w:eastAsia="Arial" w:hAnsi="Arial"/>
                <w:sz w:val="18"/>
                <w:szCs w:val="18"/>
                <w:i w:val="1"/>
                <w:iCs w:val="1"/>
                <w:color w:val="auto"/>
                <w:w w:val="90"/>
              </w:rPr>
              <w:t>(IN THOUSANDS, EXCEPT SHARES AND PER SHARE AMOUNTS)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74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30, 2018</w:t>
            </w:r>
          </w:p>
        </w:tc>
        <w:tc>
          <w:tcPr>
            <w:tcW w:w="0" w:type="dxa"/>
            <w:vAlign w:val="bottom"/>
          </w:tcPr>
          <w:p>
            <w:pPr>
              <w:spacing w:after="0"/>
              <w:rPr>
                <w:sz w:val="1"/>
                <w:szCs w:val="1"/>
                <w:color w:val="auto"/>
              </w:rPr>
            </w:pP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16,284</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related party</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rent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330,834</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178,245</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Property, fixtures and equipment, net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124,760</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664,511</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13,671</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36,904</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Deferred lease incentives</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6,620</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42,862</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188,610</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Financing obligations</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$0.01 par value; 4,321,000 shares authorized; 3,802,481 shares issued and outstanding</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382,077</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Total equity attributable to First Watch Restaurant Group, Inc.</w:t>
            </w: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97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664,511</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FIRST WATCH RESTAURANT GROUP, INC.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74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STATEMENT OF OPERATIONS AND COMPREHENSIVE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740" w:type="dxa"/>
            <w:vAlign w:val="bottom"/>
          </w:tcPr>
          <w:p>
            <w:pPr>
              <w:jc w:val="center"/>
              <w:ind w:left="1170"/>
              <w:spacing w:after="0"/>
              <w:rPr>
                <w:sz w:val="20"/>
                <w:szCs w:val="20"/>
                <w:color w:val="auto"/>
              </w:rPr>
            </w:pPr>
            <w:r>
              <w:rPr>
                <w:rFonts w:ascii="Arial" w:cs="Arial" w:eastAsia="Arial" w:hAnsi="Arial"/>
                <w:sz w:val="18"/>
                <w:szCs w:val="18"/>
                <w:i w:val="1"/>
                <w:iCs w:val="1"/>
                <w:color w:val="auto"/>
                <w:w w:val="90"/>
              </w:rPr>
              <w:t>(IN THOUSANDS, EXCEPT SHARE AND PER SHARE DATA)</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740" w:type="dxa"/>
            <w:vAlign w:val="bottom"/>
          </w:tcPr>
          <w:p>
            <w:pPr>
              <w:spacing w:after="0"/>
              <w:rPr>
                <w:sz w:val="24"/>
                <w:szCs w:val="24"/>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71"/>
        </w:trPr>
        <w:tc>
          <w:tcPr>
            <w:tcW w:w="97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30, 2018</w:t>
            </w:r>
          </w:p>
        </w:tc>
        <w:tc>
          <w:tcPr>
            <w:tcW w:w="0" w:type="dxa"/>
            <w:vAlign w:val="bottom"/>
          </w:tcPr>
          <w:p>
            <w:pPr>
              <w:spacing w:after="0"/>
              <w:rPr>
                <w:sz w:val="1"/>
                <w:szCs w:val="1"/>
                <w:color w:val="auto"/>
              </w:rPr>
            </w:pP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Restaurant sales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342,357</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Franchise revenues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7,409</w:t>
            </w:r>
          </w:p>
        </w:tc>
        <w:tc>
          <w:tcPr>
            <w:tcW w:w="0" w:type="dxa"/>
            <w:vAlign w:val="bottom"/>
          </w:tcPr>
          <w:p>
            <w:pPr>
              <w:spacing w:after="0"/>
              <w:rPr>
                <w:sz w:val="1"/>
                <w:szCs w:val="1"/>
                <w:color w:val="auto"/>
              </w:rPr>
            </w:pPr>
          </w:p>
        </w:tc>
      </w:tr>
      <w:tr>
        <w:trPr>
          <w:trHeight w:val="230"/>
        </w:trPr>
        <w:tc>
          <w:tcPr>
            <w:tcW w:w="97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Restaurant operating expenses (exclusive of depreciation and amortization shown below):</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78,939</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Labor and other related expenses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116,546</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restaurant operating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46,769</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Occupancy expenses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36,151</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39,299</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26,124</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Transaction and other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Impairment and loss on disposal of assets</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operating expenses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346,533</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(16,480)</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benefit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(12,523)</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total comprehensive loss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9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First Watch Restaurant Group, Inc.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Arial" w:cs="Arial" w:eastAsia="Arial" w:hAnsi="Arial"/>
                <w:sz w:val="18"/>
                <w:szCs w:val="18"/>
                <w:color w:val="auto"/>
              </w:rPr>
              <w:t>Net loss per common share attributable to First Watch Restaurant Group, Inc. – basic and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vMerge w:val="continue"/>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3,802,481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i w:val="1"/>
          <w:i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Total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First Watch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9"/>
                <w:szCs w:val="9"/>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Restaurant</w:t>
            </w:r>
          </w:p>
        </w:tc>
        <w:tc>
          <w:tcPr>
            <w:tcW w:w="120" w:type="dxa"/>
            <w:vAlign w:val="bottom"/>
          </w:tcPr>
          <w:p>
            <w:pPr>
              <w:spacing w:after="0"/>
              <w:rPr>
                <w:sz w:val="9"/>
                <w:szCs w:val="9"/>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9"/>
                <w:szCs w:val="9"/>
                <w:color w:val="auto"/>
              </w:rPr>
            </w:pPr>
          </w:p>
        </w:tc>
        <w:tc>
          <w:tcPr>
            <w:tcW w:w="80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10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2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Group, Inc.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3,802,481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38</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$380,775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$388,313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(12,296)</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9"/>
              </w:rPr>
              <w:t>Adoption of revenue recognition standard (ASC 606)</w:t>
            </w: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non-controlling interest</w:t>
            </w: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Balances at December 30, 2018</w:t>
            </w: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3,802,481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38</w:t>
            </w: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382,077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374,674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left="210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Amortization of debt discount and deferred issuance costs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Impairment and loss on disposal of assets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Change in assets and liabilities, net of acquisitions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Prepaid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Other assets, current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Accrued compensation</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Deferred revenues, current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Deferred lease incentives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provided by operating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Acquisitions, net of cash acquired</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used in investing activities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Repayments of long-term debt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Proceeds from 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Repayments of borrowings on revolving credit facility</w:t>
      </w:r>
    </w:p>
    <w:p>
      <w:pPr>
        <w:spacing w:after="0" w:line="2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cash provided by financing activities</w:t>
      </w:r>
    </w:p>
    <w:p>
      <w:pPr>
        <w:spacing w:after="0" w:line="3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8"/>
          <w:szCs w:val="18"/>
          <w:color w:val="auto"/>
        </w:rPr>
        <w:t>Beginning of year</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End of year</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Cash paid for income taxes, net of refunds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Increase in liabilities from the acquisition of property, fixtures and equipment and capital leases</w:t>
      </w:r>
    </w:p>
    <w:p>
      <w:pPr>
        <w:spacing w:after="0" w:line="359" w:lineRule="exact"/>
        <w:rPr>
          <w:sz w:val="20"/>
          <w:szCs w:val="20"/>
          <w:color w:val="auto"/>
        </w:rPr>
      </w:pPr>
    </w:p>
    <w:p>
      <w:pPr>
        <w:jc w:val="center"/>
        <w:ind w:left="21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1" w:lineRule="exact"/>
        <w:rPr>
          <w:sz w:val="20"/>
          <w:szCs w:val="20"/>
          <w:color w:val="auto"/>
        </w:rPr>
      </w:pPr>
    </w:p>
    <w:p>
      <w:pPr>
        <w:jc w:val="center"/>
        <w:ind w:left="21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6"/>
        <w:spacing w:after="0" w:line="342" w:lineRule="auto"/>
        <w:rPr>
          <w:sz w:val="20"/>
          <w:szCs w:val="20"/>
          <w:color w:val="auto"/>
        </w:rPr>
      </w:pPr>
      <w:r>
        <w:rPr>
          <w:rFonts w:ascii="Arial" w:cs="Arial" w:eastAsia="Arial" w:hAnsi="Arial"/>
          <w:sz w:val="12"/>
          <w:szCs w:val="12"/>
          <w:b w:val="1"/>
          <w:bCs w:val="1"/>
          <w:color w:val="auto"/>
        </w:rPr>
        <w:t xml:space="preserve">Fiscal year ended </w:t>
      </w:r>
      <w:r>
        <w:rPr>
          <w:rFonts w:ascii="Arial" w:cs="Arial" w:eastAsia="Arial" w:hAnsi="Arial"/>
          <w:sz w:val="12"/>
          <w:szCs w:val="12"/>
          <w:b w:val="1"/>
          <w:bCs w:val="1"/>
          <w:u w:val="single" w:color="auto"/>
          <w:color w:val="auto"/>
        </w:rPr>
        <w:t>December 30, 2018</w:t>
      </w:r>
    </w:p>
    <w:p>
      <w:pPr>
        <w:spacing w:after="0" w:line="128" w:lineRule="exact"/>
        <w:rPr>
          <w:sz w:val="20"/>
          <w:szCs w:val="20"/>
          <w:color w:val="auto"/>
        </w:rPr>
      </w:pPr>
    </w:p>
    <w:p>
      <w:pPr>
        <w:ind w:left="600" w:hanging="597"/>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(12,302)</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26,124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658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1,302</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3,625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2,132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5,137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30,775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372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(37,729)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372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29,500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372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372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9,163</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372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 w:lineRule="exact"/>
        <w:rPr>
          <w:sz w:val="20"/>
          <w:szCs w:val="20"/>
          <w:color w:val="auto"/>
        </w:rPr>
      </w:pPr>
    </w:p>
    <w:p>
      <w:pPr>
        <w:ind w:left="660" w:hanging="657"/>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16,284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372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7372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59" w:lineRule="exact"/>
        <w:rPr>
          <w:sz w:val="20"/>
          <w:szCs w:val="20"/>
          <w:color w:val="auto"/>
        </w:rPr>
      </w:pPr>
    </w:p>
    <w:p>
      <w:pPr>
        <w:ind w:left="660" w:hanging="657"/>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15,421</w:t>
      </w:r>
    </w:p>
    <w:p>
      <w:pPr>
        <w:spacing w:after="0" w:line="23" w:lineRule="exact"/>
        <w:rPr>
          <w:rFonts w:ascii="Arial" w:cs="Arial" w:eastAsia="Arial" w:hAnsi="Arial"/>
          <w:sz w:val="18"/>
          <w:szCs w:val="18"/>
          <w:color w:val="auto"/>
        </w:rPr>
      </w:pPr>
    </w:p>
    <w:p>
      <w:pPr>
        <w:ind w:left="900" w:hanging="897"/>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163</w:t>
      </w:r>
    </w:p>
    <w:p>
      <w:pPr>
        <w:spacing w:after="0" w:line="211" w:lineRule="exact"/>
        <w:rPr>
          <w:sz w:val="20"/>
          <w:szCs w:val="20"/>
          <w:color w:val="auto"/>
        </w:rPr>
      </w:pPr>
    </w:p>
    <w:p>
      <w:pPr>
        <w:ind w:left="760" w:hanging="757"/>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3,110</w:t>
      </w:r>
    </w:p>
    <w:p>
      <w:pPr>
        <w:sectPr>
          <w:pgSz w:w="11900" w:h="16838" w:orient="portrait"/>
          <w:cols w:equalWidth="0" w:num="2">
            <w:col w:w="9140" w:space="720"/>
            <w:col w:w="122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Organization</w:t>
      </w:r>
    </w:p>
    <w:p>
      <w:pPr>
        <w:spacing w:after="0" w:line="121" w:lineRule="exact"/>
        <w:rPr>
          <w:sz w:val="20"/>
          <w:szCs w:val="20"/>
          <w:color w:val="auto"/>
        </w:rPr>
      </w:pPr>
    </w:p>
    <w:p>
      <w:pPr>
        <w:ind w:left="560" w:right="180" w:firstLine="423"/>
        <w:spacing w:after="0" w:line="257" w:lineRule="auto"/>
        <w:rPr>
          <w:sz w:val="20"/>
          <w:szCs w:val="20"/>
          <w:color w:val="auto"/>
        </w:rPr>
      </w:pPr>
      <w:r>
        <w:rPr>
          <w:rFonts w:ascii="Arial" w:cs="Arial" w:eastAsia="Arial" w:hAnsi="Arial"/>
          <w:sz w:val="18"/>
          <w:szCs w:val="18"/>
          <w:color w:val="auto"/>
        </w:rPr>
        <w:t>First Watch Restaurant Group, Inc. (collectively with its subsidiaries, “the Company”) is incorporated in the state of Delaware and has adopted a holding company structure. On December 20, 2019, the name of the Company was changed from AI Fresh Super Holdco, Inc. to First Watch Restaurant Group, Inc. The Company was the subject of a business combination effective August 21, 2017 under which the outstanding stock of the Company was purchased for $530.0 million by funds affiliated with or managed by Advent International Corporation (the “Advent Acquisition”).</w:t>
      </w:r>
    </w:p>
    <w:p>
      <w:pPr>
        <w:spacing w:after="0" w:line="80"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Company operates and franchises restaurants in 30 states, primarily operating under the trade names “First Watch” and “The Egg &amp; I”, which are focused on made-to-order breakfast, brunch and lunch. The Company operates restaurants through its wholly owned subsidiary, First Watch Restaurants, Inc. and is a franchisor through its wholly owned subsidiaries, First Watch Franchise Development Co. and E&amp;I Holdings, Inc. As of December 30, 2018, the Company operated 248 company-owned restaurants and 103 franchised restaurants.</w:t>
      </w:r>
    </w:p>
    <w:p>
      <w:pPr>
        <w:spacing w:after="0" w:line="316"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560" w:right="60" w:firstLine="423"/>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w:t>
      </w:r>
    </w:p>
    <w:p>
      <w:pPr>
        <w:spacing w:after="0" w:line="62" w:lineRule="exact"/>
        <w:rPr>
          <w:sz w:val="20"/>
          <w:szCs w:val="20"/>
          <w:color w:val="auto"/>
        </w:rPr>
      </w:pPr>
    </w:p>
    <w:p>
      <w:pPr>
        <w:ind w:left="560" w:right="860" w:firstLine="423"/>
        <w:spacing w:after="0" w:line="277" w:lineRule="auto"/>
        <w:rPr>
          <w:sz w:val="20"/>
          <w:szCs w:val="20"/>
          <w:color w:val="auto"/>
        </w:rPr>
      </w:pPr>
      <w:r>
        <w:rPr>
          <w:rFonts w:ascii="Arial" w:cs="Arial" w:eastAsia="Arial" w:hAnsi="Arial"/>
          <w:sz w:val="18"/>
          <w:szCs w:val="18"/>
          <w:color w:val="auto"/>
        </w:rPr>
        <w:t>The Company operates on a 52- or 53-week fiscal year which ends on the last Sunday of the calendar year. The fiscal year ended December 30, 2018 (“Fiscal 2018”) included 52 weeks of operations.</w:t>
      </w:r>
    </w:p>
    <w:p>
      <w:pPr>
        <w:spacing w:after="0" w:line="62" w:lineRule="exact"/>
        <w:rPr>
          <w:sz w:val="20"/>
          <w:szCs w:val="20"/>
          <w:color w:val="auto"/>
        </w:rPr>
      </w:pPr>
    </w:p>
    <w:p>
      <w:pPr>
        <w:jc w:val="both"/>
        <w:ind w:left="560" w:right="120" w:firstLine="423"/>
        <w:spacing w:after="0" w:line="259" w:lineRule="auto"/>
        <w:rPr>
          <w:sz w:val="20"/>
          <w:szCs w:val="20"/>
          <w:color w:val="auto"/>
        </w:rPr>
      </w:pPr>
      <w:r>
        <w:rPr>
          <w:rFonts w:ascii="Arial" w:cs="Arial" w:eastAsia="Arial" w:hAnsi="Arial"/>
          <w:sz w:val="18"/>
          <w:szCs w:val="18"/>
          <w:color w:val="auto"/>
        </w:rPr>
        <w:t>Comprehensive income (loss) is a measure of net income (loss) and all other changes in equity that result from transactions other than with equity holders, and would normally be recorded in the consolidated statement of equity and the consolidated statement of comprehensive income (loss). The Company does not have any components of other comprehensive income (loss) recorded within its consolidated financial statements. Accordingly, there is no difference between net loss and comprehensive loss.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The Company’s consolidated financial statements include the accounts of its wholly-owned subsidiaries and its majority-owned subsidiary TFW-NC, LLC (“TFW”), in which the Company owns more than 50% of the voting shares and has a controlling financial interest. All intercompany transactions and balances have been eliminated in consolidation.</w:t>
      </w:r>
    </w:p>
    <w:p>
      <w:pPr>
        <w:spacing w:after="0" w:line="76" w:lineRule="exact"/>
        <w:rPr>
          <w:sz w:val="20"/>
          <w:szCs w:val="20"/>
          <w:color w:val="auto"/>
        </w:rPr>
      </w:pPr>
    </w:p>
    <w:p>
      <w:pPr>
        <w:jc w:val="both"/>
        <w:ind w:left="560" w:right="300" w:firstLine="423"/>
        <w:spacing w:after="0" w:line="286" w:lineRule="auto"/>
        <w:rPr>
          <w:sz w:val="20"/>
          <w:szCs w:val="20"/>
          <w:color w:val="auto"/>
        </w:rPr>
      </w:pPr>
      <w:r>
        <w:rPr>
          <w:rFonts w:ascii="Arial" w:cs="Arial" w:eastAsia="Arial" w:hAnsi="Arial"/>
          <w:sz w:val="17"/>
          <w:szCs w:val="17"/>
          <w:color w:val="auto"/>
        </w:rPr>
        <w:t xml:space="preserve">With the exception of the joint venture agreement with TFW described in Note 3, </w:t>
      </w:r>
      <w:r>
        <w:rPr>
          <w:rFonts w:ascii="Arial" w:cs="Arial" w:eastAsia="Arial" w:hAnsi="Arial"/>
          <w:sz w:val="17"/>
          <w:szCs w:val="17"/>
          <w:i w:val="1"/>
          <w:iCs w:val="1"/>
          <w:color w:val="auto"/>
        </w:rPr>
        <w:t>Acquisitions</w:t>
      </w:r>
      <w:r>
        <w:rPr>
          <w:rFonts w:ascii="Arial" w:cs="Arial" w:eastAsia="Arial" w:hAnsi="Arial"/>
          <w:sz w:val="17"/>
          <w:szCs w:val="17"/>
          <w:color w:val="auto"/>
        </w:rPr>
        <w:t>, the Company does not possess any other ownership interests in its franchisees and does not provide financial support to franchisees in its typical franchise relationships. As a result, the Company’s franchise relationships are not deemed variable interest entities and are not consolidated.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560" w:right="80" w:firstLine="423"/>
        <w:spacing w:after="0" w:line="259" w:lineRule="auto"/>
        <w:rPr>
          <w:sz w:val="20"/>
          <w:szCs w:val="20"/>
          <w:color w:val="auto"/>
        </w:rPr>
      </w:pPr>
      <w:r>
        <w:rPr>
          <w:rFonts w:ascii="Arial" w:cs="Arial" w:eastAsia="Arial" w:hAnsi="Arial"/>
          <w:sz w:val="18"/>
          <w:szCs w:val="18"/>
          <w:color w:val="auto"/>
        </w:rPr>
        <w:t>The preparation of the consolidated financial statements in accordance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and such differences could be material.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560" w:right="240" w:firstLine="423"/>
        <w:spacing w:after="0" w:line="259" w:lineRule="auto"/>
        <w:rPr>
          <w:sz w:val="20"/>
          <w:szCs w:val="20"/>
          <w:color w:val="auto"/>
        </w:rPr>
      </w:pPr>
      <w:r>
        <w:rPr>
          <w:rFonts w:ascii="Arial" w:cs="Arial" w:eastAsia="Arial" w:hAnsi="Arial"/>
          <w:sz w:val="18"/>
          <w:szCs w:val="18"/>
          <w:color w:val="auto"/>
        </w:rPr>
        <w:t>The Company determined its operating segment on the same basis that its Chief Operating Decision Maker (the “CODM”), the Chief Executive Officer, assesses performance and allocates resources, which is at the Company’s consolidated level. All of the Company’s assets are located in the United States. The Company does not have sales outside of the United States, nor does any customer represent more than 10% of total revenues for the period presented.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Business combinations are accounted for using the purchase method of accounting</w:t>
      </w:r>
      <w:r>
        <w:rPr>
          <w:rFonts w:ascii="Arial" w:cs="Arial" w:eastAsia="Arial" w:hAnsi="Arial"/>
          <w:sz w:val="16"/>
          <w:szCs w:val="16"/>
          <w:i w:val="1"/>
          <w:iCs w:val="1"/>
          <w:color w:val="auto"/>
        </w:rPr>
        <w:t>.</w:t>
      </w:r>
      <w:r>
        <w:rPr>
          <w:rFonts w:ascii="Arial" w:cs="Arial" w:eastAsia="Arial" w:hAnsi="Arial"/>
          <w:sz w:val="16"/>
          <w:szCs w:val="16"/>
          <w:color w:val="auto"/>
        </w:rPr>
        <w:t xml:space="preserve"> The consideration transferred in a business combination is measured at fair value and costs incurred in connection with a business combination are recognized in transaction and other expenses in the consolidated statement of operations and comprehensive loss as incurred. The identifiable assets acquired and liabilities assumed are recognized at their acquisition-date fair values. Goodwill is measured as the excess of the consideration over the acquisition-date fair values of the identifiable assets acquired and liabilities assumed. During the measurement period, which may not exceed one year from the acquisition date, any adjustments to the acquisition-date fair value of assets or liabilities recognized arising from additional information obtained about facts and circumstances that existed at the acquisition date are recognized with corresponding adjustments to goodwill.</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Certain assets and liabilities are carried at fair value in accordance with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76"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7"/>
          <w:szCs w:val="17"/>
          <w:color w:val="auto"/>
        </w:rPr>
        <w:t>Financial assets and liabilities carried at fair value are to be classified and disclosed in one of the following three levels of the fair value hierarchy, of which the first two are considered observable inputs and the last is considered unobservable. The classification of a financial asset or liability within the hierarchy is determined based on the lowest level input that is significant to the fair value measurement.</w:t>
      </w:r>
    </w:p>
    <w:p>
      <w:pPr>
        <w:spacing w:after="0" w:line="71" w:lineRule="exact"/>
        <w:rPr>
          <w:sz w:val="20"/>
          <w:szCs w:val="20"/>
          <w:color w:val="auto"/>
        </w:rPr>
      </w:pPr>
    </w:p>
    <w:p>
      <w:pPr>
        <w:ind w:left="5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w:t>
      </w:r>
    </w:p>
    <w:p>
      <w:pPr>
        <w:spacing w:after="0" w:line="117" w:lineRule="exact"/>
        <w:rPr>
          <w:sz w:val="20"/>
          <w:szCs w:val="20"/>
          <w:color w:val="auto"/>
        </w:rPr>
      </w:pPr>
    </w:p>
    <w:p>
      <w:pPr>
        <w:ind w:left="560"/>
        <w:spacing w:after="0"/>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available other than quoted prices included in Level 1</w:t>
      </w:r>
    </w:p>
    <w:p>
      <w:pPr>
        <w:spacing w:after="0" w:line="117" w:lineRule="exact"/>
        <w:rPr>
          <w:sz w:val="20"/>
          <w:szCs w:val="20"/>
          <w:color w:val="auto"/>
        </w:rPr>
      </w:pPr>
    </w:p>
    <w:p>
      <w:pPr>
        <w:ind w:left="5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assumptions that cannot be corroborated by observable market data</w:t>
      </w:r>
    </w:p>
    <w:p>
      <w:pPr>
        <w:spacing w:after="0" w:line="117" w:lineRule="exact"/>
        <w:rPr>
          <w:sz w:val="20"/>
          <w:szCs w:val="20"/>
          <w:color w:val="auto"/>
        </w:rPr>
      </w:pPr>
    </w:p>
    <w:p>
      <w:pPr>
        <w:ind w:left="560" w:right="600" w:firstLine="423"/>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equivalents, accounts receivable and accounts payable approximate their fair values due to their short-term maturities.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Cash and cash equivalents include all cash balances and highly liquid investments with an original maturity of three months or less at the date of purchase. Amounts receivable from credit card processors are considered cash equivalents because they are short in term, highly liquid in nature and are typically converted to cash within three business days of the sales transactions.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market and credit risk, are cash and cash equivalents. At times, cash balances may be in excess of the Federal Deposit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560" w:right="800"/>
        <w:spacing w:after="0" w:line="342" w:lineRule="auto"/>
        <w:rPr>
          <w:sz w:val="20"/>
          <w:szCs w:val="20"/>
          <w:color w:val="auto"/>
        </w:rPr>
      </w:pPr>
      <w:r>
        <w:rPr>
          <w:rFonts w:ascii="Arial" w:cs="Arial" w:eastAsia="Arial" w:hAnsi="Arial"/>
          <w:sz w:val="16"/>
          <w:szCs w:val="16"/>
          <w:color w:val="auto"/>
        </w:rPr>
        <w:t>Insurance Corporation insurance limits. The Company has not experienced any losses to date as a result of these risks. The Company’s management periodically assesses the quality of the financial institutions and believes that the risk related to these deposits is minimal.</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Accounts receivable consist primarily of receivables from landlords for tenant improvement allowances, receivables from franchisees for franchise revenues, receivables from gift card sales and vendor rebates. The Company believes all amounts to be collectible based on a variety of factors it evaluates, including historical experience, current economic conditions, and other factors. Accordingly, no allowance for doubtful accounts has been recorded as of December 30, 2018.</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Inventory primarily consists of food and beverage costs and is stated at the lower of cost (determined by the first-in, first-out method) or net realizable value. No adjustment is deemed necessary to reduce inventory to net realizable value due to the rapid turnover and utilization of inventory.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Fixtures and Equipment</w:t>
      </w:r>
    </w:p>
    <w:p>
      <w:pPr>
        <w:spacing w:after="0" w:line="121"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Property, fixtures and equipment, including capitalized software, are stated at cost less accumulated depreciation. Refurbishments and improvements that increase the productive capacity or extend the useful life of assets are capitalized and depreciated over their estimated useful lives. The Company expenses repair and maintenance costs that do not extend the useful life of assets as incurred. Leasehold improvements are depreciated over the shorter of their useful life or the expected lease term including cancelable option periods the Company will be reasonably assured to exercise. Capital leases are accounted for as assets and are depreciated on a straight-line basis over the shorter of the estimated useful life of the asset or the lease term. The carrying amount of assets sold or retired and the related accumulated depreciation are eliminated at the time of disposal and any resulting gains and losses on disposal are recorded in the consolidated statement of operations and comprehensive loss.</w:t>
      </w:r>
    </w:p>
    <w:p>
      <w:pPr>
        <w:spacing w:after="0" w:line="58"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The Company capitalizes direct internal costs associated with the acquisition, development, design and construction of company-owned restaurants as these costs have a future benefit to the Company. Upon restaurant opening, these costs are depreciated and recorded in depreciation and amortization on the consolidated statement of operations and comprehensive loss. Direct internal costs of $0.3 million were capitalized during Fiscal 2018.</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is computed using the straight-line method over the following estimated useful lives: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 and land improvements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to 40 years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10 years</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Equipment (including capitalized software)</w:t>
            </w:r>
          </w:p>
        </w:tc>
        <w:tc>
          <w:tcPr>
            <w:tcW w:w="2720" w:type="dxa"/>
            <w:vAlign w:val="bottom"/>
          </w:tcPr>
          <w:p>
            <w:pPr>
              <w:jc w:val="right"/>
              <w:spacing w:after="0"/>
              <w:rPr>
                <w:sz w:val="20"/>
                <w:szCs w:val="20"/>
                <w:color w:val="auto"/>
              </w:rPr>
            </w:pPr>
            <w:r>
              <w:rPr>
                <w:rFonts w:ascii="Arial" w:cs="Arial" w:eastAsia="Arial" w:hAnsi="Arial"/>
                <w:sz w:val="18"/>
                <w:szCs w:val="18"/>
                <w:color w:val="auto"/>
              </w:rPr>
              <w:t>2 to 15 years</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 years</w:t>
            </w:r>
          </w:p>
        </w:tc>
      </w:tr>
    </w:tbl>
    <w:p>
      <w:pPr>
        <w:spacing w:after="0" w:line="94"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The Company evaluates the carrying value of property, fixtures and equipment if there are indicators of impairment. Identifiable cash flows that are largely independent of other assets and liabilities typically exist for leasehold improvements and the fixtures and equipment for each restaurant. If the total expected undiscounted cash flows are less than the carrying amount of the asset group, the carrying amount of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60"/>
          </w:cols>
          <w:pgMar w:left="320" w:top="459" w:right="5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asset group is written down to its estimated fair value, and an impairment loss is recognized in the consolidated statement of operations and comprehensive loss. Fair value is determined based on discounted future net cash flows expected to result from the use and eventual disposition of the asset group.</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60" w:right="20" w:firstLine="423"/>
        <w:spacing w:after="0" w:line="286" w:lineRule="auto"/>
        <w:rPr>
          <w:sz w:val="20"/>
          <w:szCs w:val="20"/>
          <w:color w:val="auto"/>
        </w:rPr>
      </w:pPr>
      <w:r>
        <w:rPr>
          <w:rFonts w:ascii="Arial" w:cs="Arial" w:eastAsia="Arial" w:hAnsi="Arial"/>
          <w:sz w:val="17"/>
          <w:szCs w:val="17"/>
          <w:color w:val="auto"/>
        </w:rPr>
        <w:t>After initial recognition, goodwill is recorded at cost less any impairment losses. The Company evaluates goodwill for impairment annually, during the fourth quarter of the fiscal year, or whenever events or changes in circumstances indicate that the carrying amount may not be recoverable. The Company has determined it has one reporting unit for goodwill impairment testing purposes.</w:t>
      </w:r>
    </w:p>
    <w:p>
      <w:pPr>
        <w:spacing w:after="0" w:line="57" w:lineRule="exact"/>
        <w:rPr>
          <w:sz w:val="20"/>
          <w:szCs w:val="20"/>
          <w:color w:val="auto"/>
        </w:rPr>
      </w:pPr>
    </w:p>
    <w:p>
      <w:pPr>
        <w:ind w:left="560" w:right="140" w:firstLine="423"/>
        <w:spacing w:after="0" w:line="291" w:lineRule="auto"/>
        <w:rPr>
          <w:sz w:val="20"/>
          <w:szCs w:val="20"/>
          <w:color w:val="auto"/>
        </w:rPr>
      </w:pPr>
      <w:r>
        <w:rPr>
          <w:rFonts w:ascii="Arial" w:cs="Arial" w:eastAsia="Arial" w:hAnsi="Arial"/>
          <w:sz w:val="16"/>
          <w:szCs w:val="16"/>
          <w:color w:val="auto"/>
        </w:rPr>
        <w:t>The Company may elect to perform a qualitative assessment to determine whether it is more likely than not that the reporting unit is impaired. If the qualitative assessment is not performed, or if the Company determines that it is not more likely than not that the fair value of the reporting unit exceeds the carrying value, a quantitative analysis is required to be performed. Significant assumptions used to determine the fair value under the discounted cash flow method include internal projections of expected future cash flows and operating plans, as well as market conditions relative to the operations of the reporting unit. If the estimated fair value of the reporting unit exceeds the carrying value, no further work is required and no impairment loss is recognized; otherwise, an impairment loss is recognized in the consolidated statement of operations and comprehensive loss in an amount equal to the excess of the carrying value over estimated value.</w:t>
      </w:r>
    </w:p>
    <w:p>
      <w:pPr>
        <w:spacing w:after="0" w:line="58" w:lineRule="exact"/>
        <w:rPr>
          <w:sz w:val="20"/>
          <w:szCs w:val="20"/>
          <w:color w:val="auto"/>
        </w:rPr>
      </w:pPr>
    </w:p>
    <w:p>
      <w:pPr>
        <w:ind w:left="560" w:right="240" w:firstLine="423"/>
        <w:spacing w:after="0" w:line="259" w:lineRule="auto"/>
        <w:rPr>
          <w:sz w:val="20"/>
          <w:szCs w:val="20"/>
          <w:color w:val="auto"/>
        </w:rPr>
      </w:pPr>
      <w:r>
        <w:rPr>
          <w:rFonts w:ascii="Arial" w:cs="Arial" w:eastAsia="Arial" w:hAnsi="Arial"/>
          <w:sz w:val="18"/>
          <w:szCs w:val="18"/>
          <w:color w:val="auto"/>
        </w:rPr>
        <w:t>The Company performed a qualitative assessment for its annual impairment test of goodwill during the fourth quarter of Fiscal 2018 and evaluated macro-economic conditions, industry conditions, local competition and the overall performance of its restaurants. Based on this qualitative assessment, the Company determined that it was not more likely than not that goodwill had been impaired and the Company did not record an impairment loss for goodwill in Fiscal 2018.</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left="560" w:right="60" w:firstLine="423"/>
        <w:spacing w:after="0" w:line="255" w:lineRule="auto"/>
        <w:rPr>
          <w:sz w:val="20"/>
          <w:szCs w:val="20"/>
          <w:color w:val="auto"/>
        </w:rPr>
      </w:pPr>
      <w:r>
        <w:rPr>
          <w:rFonts w:ascii="Arial" w:cs="Arial" w:eastAsia="Arial" w:hAnsi="Arial"/>
          <w:sz w:val="18"/>
          <w:szCs w:val="18"/>
          <w:color w:val="auto"/>
        </w:rPr>
        <w:t>The Company’s indefinite-lived intangible assets consist of registered trademarks, trade names and domains. Indefinite-lived intangible assets are evaluated for impairment annually, during the fourth quarter of the fiscal year, or whenever events or changes in circumstances indicate that their carrying amounts may not be recoverable. The Company may elect to perform a qualitative assessment to determine whether it is more likely than not that the carrying amount of the indefinite-lived intangible assets may not be recoverable. In considering the qualitative approach, similar factors from the goodwill impairment assessment are evaluated to determine whether the Company expects to have an economic benefit from the indefinite-lived intangible assets.</w:t>
      </w:r>
    </w:p>
    <w:p>
      <w:pPr>
        <w:spacing w:after="0" w:line="84" w:lineRule="exact"/>
        <w:rPr>
          <w:sz w:val="20"/>
          <w:szCs w:val="20"/>
          <w:color w:val="auto"/>
        </w:rPr>
      </w:pPr>
    </w:p>
    <w:p>
      <w:pPr>
        <w:jc w:val="both"/>
        <w:ind w:left="560" w:right="180" w:firstLine="423"/>
        <w:spacing w:after="0" w:line="257" w:lineRule="auto"/>
        <w:rPr>
          <w:sz w:val="20"/>
          <w:szCs w:val="20"/>
          <w:color w:val="auto"/>
        </w:rPr>
      </w:pPr>
      <w:r>
        <w:rPr>
          <w:rFonts w:ascii="Arial" w:cs="Arial" w:eastAsia="Arial" w:hAnsi="Arial"/>
          <w:sz w:val="18"/>
          <w:szCs w:val="18"/>
          <w:color w:val="auto"/>
        </w:rPr>
        <w:t>If the qualitative assessment is not performed, or if the Company determines that it is not more likely than not that fair value exceeds the carrying value, performance of a quantitative impairment test is required. If the estimated fair value, which is based on internal discounted cash flow projections, exceeds the carrying value, no further work is required and no impairment loss is recognized. If the carrying value exceeds the estimated fair value, an impairment loss is recognized in the consolidated statement of operations and comprehensive loss in an amount equal to the excess of the carrying value over the estimated fair value.</w:t>
      </w:r>
    </w:p>
    <w:p>
      <w:pPr>
        <w:spacing w:after="0" w:line="80" w:lineRule="exact"/>
        <w:rPr>
          <w:sz w:val="20"/>
          <w:szCs w:val="20"/>
          <w:color w:val="auto"/>
        </w:rPr>
      </w:pPr>
    </w:p>
    <w:p>
      <w:pPr>
        <w:ind w:left="560" w:right="300" w:firstLine="423"/>
        <w:spacing w:after="0" w:line="263" w:lineRule="auto"/>
        <w:rPr>
          <w:sz w:val="20"/>
          <w:szCs w:val="20"/>
          <w:color w:val="auto"/>
        </w:rPr>
      </w:pPr>
      <w:r>
        <w:rPr>
          <w:rFonts w:ascii="Arial" w:cs="Arial" w:eastAsia="Arial" w:hAnsi="Arial"/>
          <w:sz w:val="18"/>
          <w:szCs w:val="18"/>
          <w:color w:val="auto"/>
        </w:rPr>
        <w:t>The Company performed a qualitative assessment for its annual impairment test of its indefinite-lived intangible assets during the fourth quarter of Fiscal 2018 and evaluated macro-economic conditions, industry conditions, local competition and the overall performance of its restaurants. Based on this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qualitative assessment, the Company determined that it was not more likely than not that the indefinite-lived intangible assets had been impaired and the Company did not record any impairment loss for indefinite-lived intangible assets in Fiscal 2018.</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Definite-lived intangible assets</w:t>
      </w:r>
    </w:p>
    <w:p>
      <w:pPr>
        <w:spacing w:after="0" w:line="117"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Intangible assets with definite lives consist of franchise rights and favorable leasehold positions. Franchise rights arose from the Advent Acquisition and related to franchised restaurants under both the First Watch and The Egg &amp; I trade names. Franchise rights also include reacquired rights from the Company’s acquisitions of franchise restaurants. Favorable leasehold positions relate to lease agreements assumed resulting from the Company’s acquisitions of franchised restaurants where the terms of the lease agreements are more favorable than the estimated market terms of the leases at the acquisition date. Intangible assets are amortized on a straight-line basis over the estimated remaining terms of either the respective lease agreement or franchise agreement.</w:t>
      </w:r>
    </w:p>
    <w:p>
      <w:pPr>
        <w:spacing w:after="0" w:line="70" w:lineRule="exact"/>
        <w:rPr>
          <w:sz w:val="20"/>
          <w:szCs w:val="20"/>
          <w:color w:val="auto"/>
        </w:rPr>
      </w:pPr>
    </w:p>
    <w:p>
      <w:pPr>
        <w:ind w:left="560" w:right="20" w:firstLine="423"/>
        <w:spacing w:after="0" w:line="296" w:lineRule="auto"/>
        <w:rPr>
          <w:sz w:val="20"/>
          <w:szCs w:val="20"/>
          <w:color w:val="auto"/>
        </w:rPr>
      </w:pPr>
      <w:r>
        <w:rPr>
          <w:rFonts w:ascii="Arial" w:cs="Arial" w:eastAsia="Arial" w:hAnsi="Arial"/>
          <w:sz w:val="16"/>
          <w:szCs w:val="16"/>
          <w:color w:val="auto"/>
        </w:rPr>
        <w:t>Definite-lived intangible assets are tested for impairment whenever events or changes in circumstances indicate that the carrying amount may not be recoverable. Recoverability of definite-lived intangible assets is measured by a comparison of the carrying amount of the assets to the sum of the future undiscounted net cash flows expected to result from the use and eventual disposition of the assets. If such assets are determined to be impaired, the impairment loss recognized is measured as the amount by which the carrying amount of the assets exceeds their fair value. Fair value is determined based on discounted future net cash flows expected to result from the use and eventual disposition of the assets.</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did not record any impairment loss for definite-lived intangible assets during Fiscal 2018.</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Self-Insurance Reserves</w:t>
      </w:r>
    </w:p>
    <w:p>
      <w:pPr>
        <w:spacing w:after="0" w:line="121" w:lineRule="exact"/>
        <w:rPr>
          <w:sz w:val="20"/>
          <w:szCs w:val="20"/>
          <w:color w:val="auto"/>
        </w:rPr>
      </w:pPr>
    </w:p>
    <w:p>
      <w:pPr>
        <w:ind w:left="560" w:right="100" w:firstLine="423"/>
        <w:spacing w:after="0" w:line="275" w:lineRule="auto"/>
        <w:rPr>
          <w:sz w:val="20"/>
          <w:szCs w:val="20"/>
          <w:color w:val="auto"/>
        </w:rPr>
      </w:pPr>
      <w:r>
        <w:rPr>
          <w:rFonts w:ascii="Arial" w:cs="Arial" w:eastAsia="Arial" w:hAnsi="Arial"/>
          <w:sz w:val="17"/>
          <w:szCs w:val="17"/>
          <w:color w:val="auto"/>
        </w:rPr>
        <w:t>The Company is self-insured primarily for employee group health claims nationally and workers’ compensation in Ohio. The Company has purchased stop-loss insurance which funds individual health claims in excess of $75,000 per occurrence and workers’ compensation claims in Ohio in excess of $500,000 per occurrence annually. The consolidated statement of operations and comprehensive loss includes expenses related to the costs of claims reported and an estimate of claims incurred but not reported. A liability of $1.2 million for estimated unpaid claims is recorded within accrued liabilities on the consolidated balance sheet as of December 30, 2018.</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560" w:firstLine="423"/>
        <w:spacing w:after="0" w:line="311" w:lineRule="auto"/>
        <w:rPr>
          <w:sz w:val="20"/>
          <w:szCs w:val="20"/>
          <w:color w:val="auto"/>
        </w:rPr>
      </w:pPr>
      <w:r>
        <w:rPr>
          <w:rFonts w:ascii="Arial" w:cs="Arial" w:eastAsia="Arial" w:hAnsi="Arial"/>
          <w:sz w:val="16"/>
          <w:szCs w:val="16"/>
          <w:color w:val="auto"/>
        </w:rPr>
        <w:t>On January 1, 2018, the Company adopted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t>
      </w:r>
      <w:r>
        <w:rPr>
          <w:rFonts w:ascii="Arial" w:cs="Arial" w:eastAsia="Arial" w:hAnsi="Arial"/>
          <w:sz w:val="16"/>
          <w:szCs w:val="16"/>
          <w:i w:val="1"/>
          <w:iCs w:val="1"/>
          <w:color w:val="auto"/>
        </w:rPr>
        <w:t>Topic 606</w:t>
      </w:r>
      <w:r>
        <w:rPr>
          <w:rFonts w:ascii="Arial" w:cs="Arial" w:eastAsia="Arial" w:hAnsi="Arial"/>
          <w:sz w:val="16"/>
          <w:szCs w:val="16"/>
          <w:color w:val="auto"/>
        </w:rPr>
        <w:t>), (“ASU 2014-09”) and the related subsequent amendments, which were codified in the Accounting Standards Codification, (collectively, “ASC 606”), using the modified retrospective approach. Refer to “</w:t>
      </w:r>
      <w:r>
        <w:rPr>
          <w:rFonts w:ascii="Arial" w:cs="Arial" w:eastAsia="Arial" w:hAnsi="Arial"/>
          <w:sz w:val="16"/>
          <w:szCs w:val="16"/>
          <w:i w:val="1"/>
          <w:iCs w:val="1"/>
          <w:color w:val="auto"/>
        </w:rPr>
        <w:t>Recently Adopted Accounting Standards</w:t>
      </w:r>
      <w:r>
        <w:rPr>
          <w:rFonts w:ascii="Arial" w:cs="Arial" w:eastAsia="Arial" w:hAnsi="Arial"/>
          <w:sz w:val="16"/>
          <w:szCs w:val="16"/>
          <w:color w:val="auto"/>
        </w:rPr>
        <w:t xml:space="preserve">” below, and Note 4, </w:t>
      </w:r>
      <w:r>
        <w:rPr>
          <w:rFonts w:ascii="Arial" w:cs="Arial" w:eastAsia="Arial" w:hAnsi="Arial"/>
          <w:sz w:val="16"/>
          <w:szCs w:val="16"/>
          <w:i w:val="1"/>
          <w:iCs w:val="1"/>
          <w:color w:val="auto"/>
        </w:rPr>
        <w:t>Revenues</w:t>
      </w:r>
      <w:r>
        <w:rPr>
          <w:rFonts w:ascii="Arial" w:cs="Arial" w:eastAsia="Arial" w:hAnsi="Arial"/>
          <w:sz w:val="16"/>
          <w:szCs w:val="16"/>
          <w:color w:val="auto"/>
        </w:rPr>
        <w:t>, for additional information.</w:t>
      </w:r>
    </w:p>
    <w:p>
      <w:pPr>
        <w:spacing w:after="0" w:line="41" w:lineRule="exact"/>
        <w:rPr>
          <w:sz w:val="20"/>
          <w:szCs w:val="20"/>
          <w:color w:val="auto"/>
        </w:rPr>
      </w:pPr>
    </w:p>
    <w:p>
      <w:pPr>
        <w:jc w:val="both"/>
        <w:ind w:left="560" w:right="60" w:firstLine="423"/>
        <w:spacing w:after="0" w:line="263" w:lineRule="auto"/>
        <w:rPr>
          <w:sz w:val="20"/>
          <w:szCs w:val="20"/>
          <w:color w:val="auto"/>
        </w:rPr>
      </w:pPr>
      <w:r>
        <w:rPr>
          <w:rFonts w:ascii="Arial" w:cs="Arial" w:eastAsia="Arial" w:hAnsi="Arial"/>
          <w:sz w:val="18"/>
          <w:szCs w:val="18"/>
          <w:color w:val="auto"/>
        </w:rPr>
        <w:t>Revenues from restaurant sales are recognized when food and beverages are sold, net of discounts, and delivered to the customer. Sales tax collected from customers is excluded from restaurant sales and the obligation is recognized as sales tax payables until the taxes are remitted to the appropriate taxing authorities.</w:t>
      </w:r>
    </w:p>
    <w:p>
      <w:pPr>
        <w:spacing w:after="0" w:line="76"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Franchise revenues include initial franchise fees and ongoing sales-based royalty and system fund contributions, which are used for advertising, marketing and public relations programs and materials.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license granted to develop and operate a restaurant is the distinct performance obligation that is transferred to the franchisee. Ancillary promised services, such as training, which are not considered distinct within the context of the franchise agreement, are combined with the franchise license and are considered as one distinct performance obligation. Payments for the initial franchise fees are received either upon execution of the franchise agreement and/or upon opening of the restaurant. These payments are initially deferred and recognized as revenue over time throughout the contractual term of the related franchise agreement, in accordance with the revenue recognition method for the performance obligation. Unamortized deferred franchise fees are recognized as revenue upon the termination of franchise agreements with franchisees.</w:t>
      </w:r>
    </w:p>
    <w:p>
      <w:pPr>
        <w:spacing w:after="0" w:line="56"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Royalty and system fund contributions are based on a percentage of sales and are recorded as revenue as the fees are earned and become receivable from franchisees.</w:t>
      </w:r>
    </w:p>
    <w:p>
      <w:pPr>
        <w:spacing w:after="0" w:line="62" w:lineRule="exact"/>
        <w:rPr>
          <w:sz w:val="20"/>
          <w:szCs w:val="20"/>
          <w:color w:val="auto"/>
        </w:rPr>
      </w:pPr>
    </w:p>
    <w:p>
      <w:pPr>
        <w:ind w:left="560" w:right="20" w:firstLine="423"/>
        <w:spacing w:after="0" w:line="272" w:lineRule="auto"/>
        <w:rPr>
          <w:sz w:val="20"/>
          <w:szCs w:val="20"/>
          <w:color w:val="auto"/>
        </w:rPr>
      </w:pPr>
      <w:r>
        <w:rPr>
          <w:rFonts w:ascii="Arial" w:cs="Arial" w:eastAsia="Arial" w:hAnsi="Arial"/>
          <w:sz w:val="17"/>
          <w:szCs w:val="17"/>
          <w:color w:val="auto"/>
        </w:rPr>
        <w:t>A liability is initially established for the value of gift cards when sold and included within deferred revenues on the consolidated balance sheet. Revenue is recognized from gift card sales upon redemption by the customer. The Company estimates the amount of gift cards for which the likelihood of redemption is remote, referred to as the “breakage factor”, using historical gift card redemption patterns. The estimated breakage, less an administrative fee, is recognized over the expected period of redemption as the remaining gift card values are redeemed, which is generally over a period of two years. Utilizing this method, the Company estimates both the breakage and the time period of redemption. If actual redemption patterns vary from these estimates, actual gift card breakage income may differ from the amounts recorded. Estimates of the redemption period and breakage rate applied are updated periodically.</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560" w:right="80" w:firstLine="423"/>
        <w:spacing w:after="0" w:line="286" w:lineRule="auto"/>
        <w:rPr>
          <w:sz w:val="20"/>
          <w:szCs w:val="20"/>
          <w:color w:val="auto"/>
        </w:rPr>
      </w:pPr>
      <w:r>
        <w:rPr>
          <w:rFonts w:ascii="Arial" w:cs="Arial" w:eastAsia="Arial" w:hAnsi="Arial"/>
          <w:sz w:val="17"/>
          <w:szCs w:val="17"/>
          <w:color w:val="auto"/>
        </w:rPr>
        <w:t>Contract liabilities consist of (i) initial franchise fees and (ii) gift card liabilities for gift cards that have been sold but not yet redeemed. The short-term unamortized or unrecognized portion of these contract liabilities is included in deferred revenues on the consolidated balance sheet. The long-term portion of the deferred revenues is included in other long-term liabilities on the consolidated balance sheet.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left="560" w:right="20" w:firstLine="423"/>
        <w:spacing w:after="0" w:line="311" w:lineRule="auto"/>
        <w:rPr>
          <w:sz w:val="20"/>
          <w:szCs w:val="20"/>
          <w:color w:val="auto"/>
        </w:rPr>
      </w:pPr>
      <w:r>
        <w:rPr>
          <w:rFonts w:ascii="Arial" w:cs="Arial" w:eastAsia="Arial" w:hAnsi="Arial"/>
          <w:sz w:val="16"/>
          <w:szCs w:val="16"/>
          <w:color w:val="auto"/>
        </w:rPr>
        <w:t>The Company leases its restaurant facilities, corporate offices and certain restaurant equipment under various non-cancelable agreements. At the inception of each lease, the Company determines if a contract is or contains a lease. The lease is classified as a finance lease if it meets certain criteria, or as an operating lease when it does not. The majority of the Company’s leases are classified as operating leases.</w:t>
      </w:r>
    </w:p>
    <w:p>
      <w:pPr>
        <w:spacing w:after="0" w:line="41"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For operating leases that include rent holidays and rent escalation clauses, the Company recognizes rent expense on a straight-line basis over the lease term from the date the Company has the right to control the use of the leased property. The lease term includes the Company’s options to extend the lease only to the extent it is reasonably certain that the extension options will be exercised. The difference between the straight-line rent amounts and amounts payable under the lease agreements is recorded as deferred rent on the consolidated balance sheet and rent expense is recorded in occupancy expenses and general and administrative expenses on the consolidated statement of operations and comprehensive loss.</w:t>
      </w:r>
    </w:p>
    <w:p>
      <w:pPr>
        <w:spacing w:after="0" w:line="53" w:lineRule="exact"/>
        <w:rPr>
          <w:sz w:val="20"/>
          <w:szCs w:val="20"/>
          <w:color w:val="auto"/>
        </w:rPr>
      </w:pPr>
    </w:p>
    <w:p>
      <w:pPr>
        <w:ind w:left="560" w:right="180" w:firstLine="423"/>
        <w:spacing w:after="0" w:line="308" w:lineRule="auto"/>
        <w:rPr>
          <w:sz w:val="20"/>
          <w:szCs w:val="20"/>
          <w:color w:val="auto"/>
        </w:rPr>
      </w:pPr>
      <w:r>
        <w:rPr>
          <w:rFonts w:ascii="Arial" w:cs="Arial" w:eastAsia="Arial" w:hAnsi="Arial"/>
          <w:sz w:val="17"/>
          <w:szCs w:val="17"/>
          <w:color w:val="auto"/>
        </w:rPr>
        <w:t>For operating leases that include contingent rent payments based upon sales in excess of specified thresholds, contingent rent is accrued in proportion to the sales recognized during the period when the achievement of such sales thresholds is deemed to be probable.</w:t>
      </w:r>
    </w:p>
    <w:p>
      <w:pPr>
        <w:spacing w:after="0" w:line="38" w:lineRule="exact"/>
        <w:rPr>
          <w:sz w:val="20"/>
          <w:szCs w:val="20"/>
          <w:color w:val="auto"/>
        </w:rPr>
      </w:pPr>
    </w:p>
    <w:p>
      <w:pPr>
        <w:jc w:val="both"/>
        <w:ind w:left="560" w:right="120" w:firstLine="423"/>
        <w:spacing w:after="0" w:line="263" w:lineRule="auto"/>
        <w:rPr>
          <w:sz w:val="20"/>
          <w:szCs w:val="20"/>
          <w:color w:val="auto"/>
        </w:rPr>
      </w:pPr>
      <w:r>
        <w:rPr>
          <w:rFonts w:ascii="Arial" w:cs="Arial" w:eastAsia="Arial" w:hAnsi="Arial"/>
          <w:sz w:val="18"/>
          <w:szCs w:val="18"/>
          <w:color w:val="auto"/>
        </w:rPr>
        <w:t>Incentives from landlords for leasehold improvements are amortized over the lease term of the respective lease on a straight-line basis as a reduction of rent expense. Lease acquisition costs, which are included in other long-term assets on the consolidated balance sheet, are capitalized and amortized over the lease term.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left="560" w:right="300" w:firstLine="423"/>
        <w:spacing w:after="0" w:line="277" w:lineRule="auto"/>
        <w:rPr>
          <w:sz w:val="20"/>
          <w:szCs w:val="20"/>
          <w:color w:val="auto"/>
        </w:rPr>
      </w:pPr>
      <w:r>
        <w:rPr>
          <w:rFonts w:ascii="Arial" w:cs="Arial" w:eastAsia="Arial" w:hAnsi="Arial"/>
          <w:sz w:val="18"/>
          <w:szCs w:val="18"/>
          <w:color w:val="auto"/>
        </w:rPr>
        <w:t>Cost of sales is primarily comprised of food and beverage costs for inventory. The components of cost of sales are variable and typically fluctuate directly with sales volumes but may be impacted by changes in commodity prices or promotional activities.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Pre-opening Expenses</w:t>
      </w:r>
    </w:p>
    <w:p>
      <w:pPr>
        <w:spacing w:after="0" w:line="121"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color w:val="auto"/>
        </w:rPr>
        <w:t>Pre-opening expenses consist of expenses incurred to open new restaurants and primarily consist of manager salaries, recruiting expenses, employee payroll and training costs. Pre-opening expenses also include rent expense recorded during the period between date of possession of the restaurant facility and the restaurant opening date. Pre-opening expenses are recognized in the period in which the expense is incurred. Pre-opening expenses totaled $3.7 million during Fiscal 2018 and are reported within other restaurant operating expenses and occupancy expenses on the consolidated statement of operations and comprehensive loss.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Consideration Received from Vendors</w:t>
      </w:r>
    </w:p>
    <w:p>
      <w:pPr>
        <w:spacing w:after="0" w:line="121"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The Company receives consideration from certain vendors for volume rebates and advertising allowances. Volume rebates are accounted for as an adjustment to the cost of the vendors’ product. Advertising allowances are intended to offset the Company’s costs of advertising and promotions and are recorded as a reduction of general and administrative expenses when recognized in the consolidated statement of operations and comprehensive loss.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left="560" w:right="500" w:firstLine="423"/>
        <w:spacing w:after="0" w:line="263" w:lineRule="auto"/>
        <w:rPr>
          <w:sz w:val="20"/>
          <w:szCs w:val="20"/>
          <w:color w:val="auto"/>
        </w:rPr>
      </w:pPr>
      <w:r>
        <w:rPr>
          <w:rFonts w:ascii="Arial" w:cs="Arial" w:eastAsia="Arial" w:hAnsi="Arial"/>
          <w:sz w:val="18"/>
          <w:szCs w:val="18"/>
          <w:color w:val="auto"/>
        </w:rPr>
        <w:t>Advertising costs are recognized as incurred or, in the case of advertisements, when the advertisement occurs. Advertising costs were $3.4 million during Fiscal 2018 and were included in general and administrative expenses and in other restaurant operating expenses on the consolidated statement of operations and comprehensive loss.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left="560" w:right="200" w:firstLine="423"/>
        <w:spacing w:after="0" w:line="263" w:lineRule="auto"/>
        <w:rPr>
          <w:sz w:val="20"/>
          <w:szCs w:val="20"/>
          <w:color w:val="auto"/>
        </w:rPr>
      </w:pPr>
      <w:r>
        <w:rPr>
          <w:rFonts w:ascii="Arial" w:cs="Arial" w:eastAsia="Arial" w:hAnsi="Arial"/>
          <w:sz w:val="18"/>
          <w:szCs w:val="18"/>
          <w:color w:val="auto"/>
        </w:rPr>
        <w:t>The Company records discount and deferred issuance costs incurred in connection with the issuance of long-term debt as a reduction of long-term debt and amortizes these costs over the term of the related debt. Amortization expense of debt discount and deferred issuance costs is included in interest expense on the consolidated statement of operations and comprehensive loss.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560" w:right="20" w:firstLine="423"/>
        <w:spacing w:after="0" w:line="275"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or liabilities are recognized for the estimated future tax effects attributable to temporary differences between the carrying value and the tax basis of assets and liabilities as well as tax credit carryforwards. Deferred tax assets and liabilities are measured using enacted tax rates expected to be applicable in the years in which the differences are expected to be recovered or settled. Changes in deferred tax assets or liabilities are recognized in income tax benefit on the consolidated statement of operations and comprehensive loss.</w:t>
      </w:r>
    </w:p>
    <w:p>
      <w:pPr>
        <w:spacing w:after="0" w:line="68" w:lineRule="exact"/>
        <w:rPr>
          <w:sz w:val="20"/>
          <w:szCs w:val="20"/>
          <w:color w:val="auto"/>
        </w:rPr>
      </w:pPr>
    </w:p>
    <w:p>
      <w:pPr>
        <w:ind w:left="560" w:right="520" w:firstLine="423"/>
        <w:spacing w:after="0" w:line="277" w:lineRule="auto"/>
        <w:rPr>
          <w:sz w:val="20"/>
          <w:szCs w:val="20"/>
          <w:color w:val="auto"/>
        </w:rPr>
      </w:pPr>
      <w:r>
        <w:rPr>
          <w:rFonts w:ascii="Arial" w:cs="Arial" w:eastAsia="Arial" w:hAnsi="Arial"/>
          <w:sz w:val="18"/>
          <w:szCs w:val="18"/>
          <w:color w:val="auto"/>
        </w:rPr>
        <w:t>Deferred tax assets are recognized for all deductible temporary differences to the extent that it is probable that taxable income will be available against which the deductible temporary differences can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20"/>
        <w:spacing w:after="0" w:line="275" w:lineRule="auto"/>
        <w:rPr>
          <w:sz w:val="20"/>
          <w:szCs w:val="20"/>
          <w:color w:val="auto"/>
        </w:rPr>
      </w:pPr>
      <w:r>
        <w:rPr>
          <w:rFonts w:ascii="Arial" w:cs="Arial" w:eastAsia="Arial" w:hAnsi="Arial"/>
          <w:sz w:val="17"/>
          <w:szCs w:val="17"/>
          <w:color w:val="auto"/>
        </w:rPr>
        <w:t>utilized. A valuation allowance for deferred tax assets is provided when it is more likely than not that some portion or all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The Company continues to monitor and evaluate the rationale for recording a valuation allowance against deferred tax assets. As the Company increases earnings and utilizes deferred tax assets, it is possible the valuation allowance could be reduced or eliminated.</w:t>
      </w:r>
    </w:p>
    <w:p>
      <w:pPr>
        <w:spacing w:after="0" w:line="176" w:lineRule="exact"/>
        <w:rPr>
          <w:sz w:val="20"/>
          <w:szCs w:val="20"/>
          <w:color w:val="auto"/>
        </w:rPr>
      </w:pPr>
    </w:p>
    <w:p>
      <w:pPr>
        <w:jc w:val="both"/>
        <w:ind w:left="560" w:right="60" w:firstLine="423"/>
        <w:spacing w:after="0" w:line="287" w:lineRule="auto"/>
        <w:rPr>
          <w:sz w:val="20"/>
          <w:szCs w:val="20"/>
          <w:color w:val="auto"/>
        </w:rPr>
      </w:pPr>
      <w:r>
        <w:rPr>
          <w:rFonts w:ascii="Arial" w:cs="Arial" w:eastAsia="Arial" w:hAnsi="Arial"/>
          <w:sz w:val="16"/>
          <w:szCs w:val="16"/>
          <w:color w:val="auto"/>
        </w:rPr>
        <w:t>The Company assesses liabilities for uncertain tax positions and recognizes a liability when a position taken or expected to be taken in a tax return is more likely than not, or more than a 50% likelihood, to be sustained upon examination by tax authorities based on its technical merits. A recognized tax position is then measured at the largest amount of benefit that is more likely than not of being realized upon ultimate settlement.</w:t>
      </w:r>
    </w:p>
    <w:p>
      <w:pPr>
        <w:spacing w:after="0" w:line="2" w:lineRule="exact"/>
        <w:rPr>
          <w:sz w:val="20"/>
          <w:szCs w:val="20"/>
          <w:color w:val="auto"/>
        </w:rPr>
      </w:pPr>
    </w:p>
    <w:p>
      <w:pPr>
        <w:ind w:left="560" w:right="100"/>
        <w:spacing w:after="0" w:line="260" w:lineRule="auto"/>
        <w:rPr>
          <w:sz w:val="20"/>
          <w:szCs w:val="20"/>
          <w:color w:val="auto"/>
        </w:rPr>
      </w:pPr>
      <w:r>
        <w:rPr>
          <w:rFonts w:ascii="Arial" w:cs="Arial" w:eastAsia="Arial" w:hAnsi="Arial"/>
          <w:sz w:val="18"/>
          <w:szCs w:val="18"/>
          <w:color w:val="auto"/>
        </w:rPr>
        <w:t>The Company determined that there were no material uncertain tax positions which were required to be recorded or disclosed in the consolidated financial statements.</w:t>
      </w:r>
    </w:p>
    <w:p>
      <w:pPr>
        <w:spacing w:after="0" w:line="77" w:lineRule="exact"/>
        <w:rPr>
          <w:sz w:val="20"/>
          <w:szCs w:val="20"/>
          <w:color w:val="auto"/>
        </w:rPr>
      </w:pPr>
    </w:p>
    <w:p>
      <w:pPr>
        <w:ind w:left="560" w:right="620" w:firstLine="423"/>
        <w:spacing w:after="0" w:line="277" w:lineRule="auto"/>
        <w:rPr>
          <w:sz w:val="20"/>
          <w:szCs w:val="20"/>
          <w:color w:val="auto"/>
        </w:rPr>
      </w:pPr>
      <w:r>
        <w:rPr>
          <w:rFonts w:ascii="Arial" w:cs="Arial" w:eastAsia="Arial" w:hAnsi="Arial"/>
          <w:sz w:val="18"/>
          <w:szCs w:val="18"/>
          <w:color w:val="auto"/>
        </w:rPr>
        <w:t>Interest and penalties, when incurred, are recognized in other income (expense), net on the consolidated statement of operations and comprehensive loss.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The Company recognizes stock-based compensation expense for stock option awards granted, which is based on the fair value of the options on the date of grant using the Black-Scholes option pricing model. The fair value of service-based stock option awards is recognized as stock-based compensation expense on a graded vesting schedule over the requisite service period. The fair value of performance-based stock option awards is recognized as stock-based compensation expense when the condition is deemed probable of being achieved. Forfeitures of stock option awards are recognized as they occur. Determining the fair value of stock option awards at the grant date requires judgment, including estimating the expected term that the stock options will be outstanding prior to exercise, volatility, dividend yield and risk-free interest rate. Stock-based compensation expense is included in general and administrative expenses on the consolidated statement of operations and comprehensive loss.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On January 1, 2018, the Company adopted ASC 606, which was effective for accounting periods beginning after December 15, 2017, using the modified retrospective method to those contracts which were not completed as of December 31, 2017. The new guidance is principle-based and provides a five-step model to determine when and how revenue is recognized. The core principle of ASC 606 is that revenue is recognized when promised goods or services are transferred to customers in an amount that reflects the consideration to which a company expects to be entitled in exchange for those goods or services.</w:t>
      </w:r>
    </w:p>
    <w:p>
      <w:pPr>
        <w:spacing w:after="0" w:line="80"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ASC 606 did not impact the recognition of the Company’s primary source of revenue from company-owned restaurants, whereby revenue is recognized when food and beverages are sold, net of discounts and sales tax. The Company also determined that its accounting for gift cards and related gift card breakage was consistent with the guidance in ASC 606 as the Company had historically recognized breakage in proportion to the historical pattern of customer redemption.</w:t>
      </w:r>
    </w:p>
    <w:p>
      <w:pPr>
        <w:spacing w:after="0" w:line="79" w:lineRule="exact"/>
        <w:rPr>
          <w:sz w:val="20"/>
          <w:szCs w:val="20"/>
          <w:color w:val="auto"/>
        </w:rPr>
      </w:pPr>
    </w:p>
    <w:p>
      <w:pPr>
        <w:jc w:val="both"/>
        <w:ind w:left="560" w:right="460" w:firstLine="423"/>
        <w:spacing w:after="0" w:line="263" w:lineRule="auto"/>
        <w:rPr>
          <w:sz w:val="20"/>
          <w:szCs w:val="20"/>
          <w:color w:val="auto"/>
        </w:rPr>
      </w:pPr>
      <w:r>
        <w:rPr>
          <w:rFonts w:ascii="Arial" w:cs="Arial" w:eastAsia="Arial" w:hAnsi="Arial"/>
          <w:sz w:val="18"/>
          <w:szCs w:val="18"/>
          <w:color w:val="auto"/>
        </w:rPr>
        <w:t>The Company licenses intellectual property to franchisees through franchise agreements, which include the right to develop, open and operate a restaurant over a contractual period of time. As part of these agreements, the Company receives an initial franchise fee, which was historically recognized as revenue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20"/>
        <w:spacing w:after="0" w:line="296" w:lineRule="auto"/>
        <w:rPr>
          <w:sz w:val="20"/>
          <w:szCs w:val="20"/>
          <w:color w:val="auto"/>
        </w:rPr>
      </w:pPr>
      <w:r>
        <w:rPr>
          <w:rFonts w:ascii="Arial" w:cs="Arial" w:eastAsia="Arial" w:hAnsi="Arial"/>
          <w:sz w:val="16"/>
          <w:szCs w:val="16"/>
          <w:color w:val="auto"/>
        </w:rPr>
        <w:t>upon a new restaurant opening. Under ASC 606, the license to the Company’s intellectual property and training are considered one distinct performance obligation. As such, with the adoption of ASC 606 effective January 1, 2018, initial franchise fees are recognized over the contractual term of the franchise agreement. The Company does not consider this advance consideration to be a significant financing component as the initial franchise fee, which represents an insignificant portion of the total fees expected to be collected from franchisees, functions to protect the Company from nonperformance by its franchisees and does not provide a significant financing benefit to the Company.</w:t>
      </w:r>
    </w:p>
    <w:p>
      <w:pPr>
        <w:spacing w:after="0" w:line="53"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Franchise royalty fees are based on the sales of the underlying restaurant. ASC 606 did not impact the recognition of the royalty fees from the franchised restaurants and these fees continue to be recognized as the restaurant sales occur.</w:t>
      </w:r>
    </w:p>
    <w:p>
      <w:pPr>
        <w:spacing w:after="0" w:line="62"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In addition, system fund contributions, which are based on the sales of the underlying restaurant, were previously recorded as a reduction to general and administrative expenses on the consolidated statement of operations and comprehensive loss. Under ASC 606, the system fund contributions are recognized in franchise revenues on the consolidated statement of operations and comprehensive loss. The Company recognized revenues related to system fund contributions of $1.2 million during Fiscal 2018.</w:t>
      </w:r>
    </w:p>
    <w:p>
      <w:pPr>
        <w:spacing w:after="0" w:line="79"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7"/>
          <w:szCs w:val="17"/>
          <w:color w:val="auto"/>
        </w:rPr>
        <w:t xml:space="preserve">The Company recorded an increase of approximately $2.9 million to the accumulated deficit balance for the cumulative effect of the change upon adoption of ASC 606, with an offsetting increase to deferred revenues. The Company also recognized a deferred tax asset of $0.7 million and a corresponding valuation allowance of $0.7 million. See Note 4, </w:t>
      </w:r>
      <w:r>
        <w:rPr>
          <w:rFonts w:ascii="Arial" w:cs="Arial" w:eastAsia="Arial" w:hAnsi="Arial"/>
          <w:sz w:val="17"/>
          <w:szCs w:val="17"/>
          <w:i w:val="1"/>
          <w:iCs w:val="1"/>
          <w:color w:val="auto"/>
        </w:rPr>
        <w:t>Revenues</w:t>
      </w:r>
      <w:r>
        <w:rPr>
          <w:rFonts w:ascii="Arial" w:cs="Arial" w:eastAsia="Arial" w:hAnsi="Arial"/>
          <w:sz w:val="17"/>
          <w:szCs w:val="17"/>
          <w:color w:val="auto"/>
        </w:rPr>
        <w:t>, for additional information.</w:t>
      </w:r>
    </w:p>
    <w:p>
      <w:pPr>
        <w:spacing w:after="0" w:line="57"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On January 1, 2018, the Company adopted Accounting Standards Update (“ASU”) No. 2016-04, “</w:t>
      </w:r>
      <w:r>
        <w:rPr>
          <w:rFonts w:ascii="Arial" w:cs="Arial" w:eastAsia="Arial" w:hAnsi="Arial"/>
          <w:sz w:val="18"/>
          <w:szCs w:val="18"/>
          <w:i w:val="1"/>
          <w:iCs w:val="1"/>
          <w:color w:val="auto"/>
        </w:rPr>
        <w:t>Liabilities – Extinguishments of Liabilities</w:t>
      </w:r>
      <w:r>
        <w:rPr>
          <w:rFonts w:ascii="Arial" w:cs="Arial" w:eastAsia="Arial" w:hAnsi="Arial"/>
          <w:sz w:val="18"/>
          <w:szCs w:val="18"/>
          <w:color w:val="auto"/>
        </w:rPr>
        <w:t xml:space="preserve"> (Subtopic 405-20), (“ASU 2016-04”), which was issued in March 2016 and was effective for accounting periods beginning after December 15, 2017. ASU 2016-04 requires that breakage for liabilities related to the sale of prepaid stored-value products, which are deemed to be financial liabilities, be accounted for consistent with the breakage guidance in ASC 606. The adoption of ASU 2016-04 did not impact these consolidated financial statements as the Company’s accounting for its prepaid gift cards and related breakage was consistent with ASC 606 and as such, was consistent with ASU 2016-04.</w:t>
      </w:r>
    </w:p>
    <w:p>
      <w:pPr>
        <w:spacing w:after="0" w:line="84" w:lineRule="exact"/>
        <w:rPr>
          <w:sz w:val="20"/>
          <w:szCs w:val="20"/>
          <w:color w:val="auto"/>
        </w:rPr>
      </w:pPr>
    </w:p>
    <w:p>
      <w:pPr>
        <w:ind w:left="560" w:right="20" w:firstLine="423"/>
        <w:spacing w:after="0" w:line="275" w:lineRule="auto"/>
        <w:rPr>
          <w:sz w:val="20"/>
          <w:szCs w:val="20"/>
          <w:color w:val="auto"/>
        </w:rPr>
      </w:pPr>
      <w:r>
        <w:rPr>
          <w:rFonts w:ascii="Arial" w:cs="Arial" w:eastAsia="Arial" w:hAnsi="Arial"/>
          <w:sz w:val="17"/>
          <w:szCs w:val="17"/>
          <w:color w:val="auto"/>
        </w:rPr>
        <w:t xml:space="preserve">On January 1, 2018, the Company early adopted ASU No. 2017-04, </w:t>
      </w:r>
      <w:r>
        <w:rPr>
          <w:rFonts w:ascii="Arial" w:cs="Arial" w:eastAsia="Arial" w:hAnsi="Arial"/>
          <w:sz w:val="17"/>
          <w:szCs w:val="17"/>
          <w:i w:val="1"/>
          <w:iCs w:val="1"/>
          <w:color w:val="auto"/>
        </w:rPr>
        <w:t>“Intangibles – Goodwill and Other (Topic 350): Simplifying the Test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(“ASU 2017-04”), on a prospective basis. ASU No. 2017-04 is effective for accounting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15, 2019, with early adoption permitted. ASU 2017-04 eliminates the second step of goodwill impairment, which requires a hypothetical purchase price allocation. Under ASU 2017-04, goodwill impairment is calculated as the amount a reporting unit’s carrying value exceeds its calculated fair value. The adoption of this standard did not materially impact these consolidated financial statements.</w:t>
      </w:r>
    </w:p>
    <w:p>
      <w:pPr>
        <w:spacing w:after="0" w:line="68" w:lineRule="exact"/>
        <w:rPr>
          <w:sz w:val="20"/>
          <w:szCs w:val="20"/>
          <w:color w:val="auto"/>
        </w:rPr>
      </w:pPr>
    </w:p>
    <w:p>
      <w:pPr>
        <w:ind w:left="560" w:right="200" w:firstLine="423"/>
        <w:spacing w:after="0" w:line="259" w:lineRule="auto"/>
        <w:rPr>
          <w:sz w:val="20"/>
          <w:szCs w:val="20"/>
          <w:color w:val="auto"/>
        </w:rPr>
      </w:pPr>
      <w:r>
        <w:rPr>
          <w:rFonts w:ascii="Arial" w:cs="Arial" w:eastAsia="Arial" w:hAnsi="Arial"/>
          <w:sz w:val="18"/>
          <w:szCs w:val="18"/>
          <w:color w:val="auto"/>
        </w:rPr>
        <w:t xml:space="preserve">On January 1, 2018, the Company adopted ASU No. 2016-15: </w:t>
      </w:r>
      <w:r>
        <w:rPr>
          <w:rFonts w:ascii="Arial" w:cs="Arial" w:eastAsia="Arial" w:hAnsi="Arial"/>
          <w:sz w:val="18"/>
          <w:szCs w:val="18"/>
          <w:i w:val="1"/>
          <w:iCs w:val="1"/>
          <w:color w:val="auto"/>
        </w:rPr>
        <w:t>“Statements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Receipts and Cash Payments” </w:t>
      </w:r>
      <w:r>
        <w:rPr>
          <w:rFonts w:ascii="Arial" w:cs="Arial" w:eastAsia="Arial" w:hAnsi="Arial"/>
          <w:sz w:val="18"/>
          <w:szCs w:val="18"/>
          <w:color w:val="auto"/>
        </w:rPr>
        <w:t>(“ASU 2016-15”), which provides guidance on the statements of cash flows presentation of certain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where diversity in practice exists. ASU 2016-15 was effective for accounting periods beginning after December 15, 2017. The adoption of ASU 2016-15 did not materially impact these consolidated financial statements.</w:t>
      </w:r>
    </w:p>
    <w:p>
      <w:pPr>
        <w:spacing w:after="0" w:line="79" w:lineRule="exact"/>
        <w:rPr>
          <w:sz w:val="20"/>
          <w:szCs w:val="20"/>
          <w:color w:val="auto"/>
        </w:rPr>
      </w:pPr>
    </w:p>
    <w:p>
      <w:pPr>
        <w:ind w:left="560" w:right="340" w:firstLine="423"/>
        <w:spacing w:after="0" w:line="275" w:lineRule="auto"/>
        <w:rPr>
          <w:sz w:val="20"/>
          <w:szCs w:val="20"/>
          <w:color w:val="auto"/>
        </w:rPr>
      </w:pPr>
      <w:r>
        <w:rPr>
          <w:rFonts w:ascii="Arial" w:cs="Arial" w:eastAsia="Arial" w:hAnsi="Arial"/>
          <w:sz w:val="17"/>
          <w:szCs w:val="17"/>
          <w:color w:val="auto"/>
        </w:rPr>
        <w:t xml:space="preserve">On January 1, 2018, the Company adopted ASU No. 2017-01, </w:t>
      </w:r>
      <w:r>
        <w:rPr>
          <w:rFonts w:ascii="Arial" w:cs="Arial" w:eastAsia="Arial" w:hAnsi="Arial"/>
          <w:sz w:val="17"/>
          <w:szCs w:val="17"/>
          <w:i w:val="1"/>
          <w:iCs w:val="1"/>
          <w:color w:val="auto"/>
        </w:rPr>
        <w:t>“Business Combinations (Topic 805):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w:t>
      </w:r>
      <w:r>
        <w:rPr>
          <w:rFonts w:ascii="Arial" w:cs="Arial" w:eastAsia="Arial" w:hAnsi="Arial"/>
          <w:sz w:val="17"/>
          <w:szCs w:val="17"/>
          <w:color w:val="auto"/>
        </w:rPr>
        <w:t>(“ASU 2017-01”). ASU No. 2017-01 was effective for periods beginning after December 15, 2017. The amendments in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more robust framework to use in determining when a set of assets and activities is a business. The amendments also provide more consistency in applying the guidance, reduce the costs of application, and make the definition of a business more operable. The adoption of ASU 2017-01 did not materially impact these consolidated financial statements.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 xml:space="preserve">In February 2016, the Financial Accounting Standards Board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is effective for interim and annual periods beginning after December 15, 2018. ASU 2016-02 requires entities to recognize right-of-use assets and lease liabilities for both operating and financing leases on the balance sheet and disclose key information about leasing arrangements. In July 2018, ASU 2018-10 was issued, which improved clarity of ASU 2016-02, and ASU 2018-11 was issued, which allows entities to apply the new leases standard at the adoption date and recognize a cumulative-effect adjustment to the opening balance of retained earnings in the period of adoption. Under the existing accounting guidance for leases, operating leases are not recorded on the consolidated balance sheet.</w:t>
      </w:r>
    </w:p>
    <w:p>
      <w:pPr>
        <w:spacing w:after="0" w:line="56" w:lineRule="exact"/>
        <w:rPr>
          <w:sz w:val="20"/>
          <w:szCs w:val="20"/>
          <w:color w:val="auto"/>
        </w:rPr>
      </w:pPr>
    </w:p>
    <w:p>
      <w:pPr>
        <w:ind w:left="560" w:right="20" w:firstLine="423"/>
        <w:spacing w:after="0" w:line="283" w:lineRule="auto"/>
        <w:rPr>
          <w:sz w:val="20"/>
          <w:szCs w:val="20"/>
          <w:color w:val="auto"/>
        </w:rPr>
      </w:pPr>
      <w:r>
        <w:rPr>
          <w:rFonts w:ascii="Arial" w:cs="Arial" w:eastAsia="Arial" w:hAnsi="Arial"/>
          <w:sz w:val="16"/>
          <w:szCs w:val="16"/>
          <w:color w:val="auto"/>
        </w:rPr>
        <w:t>Recognition of expenses for both operating and finance leases under the new lease standard will be similar to existing accounting guidance and as a result, is expected to limit the impact of the changes on the consolidated statement of operations and comprehensive loss and the consolidated statement of cash flows. The Company intends to adopt the new guidance on December 31, 2018 (the first day of the 2019 fiscal year) using the transition method included in ASU 2018-11 and will not adjust comparative periods. The Company also intends to apply the package of three practical expedients, which allows the Company to not reassess previous accounting conclusions regarding lease identification and classification. In addition, the Company intends to apply the practical expedient of combining lease and non-lease components for its leases, as well as the short-term lease recognition exemption which provides the option to not recognize right-of-use assets and related liabilities for leases with terms of twelve months or less. The Company is still evaluating the impact of the adoption of ASU 2016-02 on its consolidated financial statements, however, the Company expects the adoption to have a significant impact to the consolidated balance sheet given the extent of the Company’s real estate portfolio. The Company expects to recognize right-of-use assets between $241.0 million to $246.0 million and lease liabilities between $250.0 million and $255.0 million on the consolidated balance sheet. The Company does not expect the adoption of ASU</w:t>
      </w:r>
    </w:p>
    <w:p>
      <w:pPr>
        <w:spacing w:after="0" w:line="4" w:lineRule="exact"/>
        <w:rPr>
          <w:sz w:val="20"/>
          <w:szCs w:val="20"/>
          <w:color w:val="auto"/>
        </w:rPr>
      </w:pPr>
    </w:p>
    <w:p>
      <w:pPr>
        <w:ind w:left="560" w:right="240"/>
        <w:spacing w:after="0" w:line="260" w:lineRule="auto"/>
        <w:rPr>
          <w:sz w:val="20"/>
          <w:szCs w:val="20"/>
          <w:color w:val="auto"/>
        </w:rPr>
      </w:pPr>
      <w:r>
        <w:rPr>
          <w:rFonts w:ascii="Arial" w:cs="Arial" w:eastAsia="Arial" w:hAnsi="Arial"/>
          <w:sz w:val="18"/>
          <w:szCs w:val="18"/>
          <w:color w:val="auto"/>
        </w:rPr>
        <w:t>2016-02 to have a material impact on the consolidated statement of operations and comprehensive loss or on the consolidated statement of cash flows. In preparation for adoption, the Company implemented a new lease accounting system.</w:t>
      </w:r>
    </w:p>
    <w:p>
      <w:pPr>
        <w:spacing w:after="0" w:line="77" w:lineRule="exact"/>
        <w:rPr>
          <w:sz w:val="20"/>
          <w:szCs w:val="20"/>
          <w:color w:val="auto"/>
        </w:rPr>
      </w:pPr>
    </w:p>
    <w:p>
      <w:pPr>
        <w:ind w:left="560" w:firstLine="423"/>
        <w:spacing w:after="0" w:line="288"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(“ASU 2018-15”), which aligns the requirements for capitalizing implementation costs incurred in a hosting arrangement that is a service contract with the requirements for capitalizing implementation costs incurred to develop or obtain internal-use software, with amortization expense being recorded in the same expense line in the consolidated statement of operations and comprehensive loss as the hosted service costs and over the expected term of the hosting arrangement, which includes reasonably certain renewals. ASU 2018-15 is effective for fiscal years, and interim periods within those fiscal years, beginning after December 15, 2019 and should be applied either retrospectively or prospectively to all implementation costs incurred after the date of adoption, with early adoption permitted. The Company will adopt ASU 2018-15 prospectively on December 30, 2019. The impact of the adoption of this standard on the Company’s consolidated financial statements will depend on implementation costs of hosting arrangements that are service contracts entered into on or after December 30, 2019.</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On January 15, 2018, the Company purchased the assets of eleven existing franchised restaurants from a franchisee pursuant to a right of first refusal for approximately $14.0 million in cash. The acquisition was accounted for as a business combination and approximately $2.7 million was attributed to goodwill, which was tax deductible for income tax purposes. The portion of the purchase price attributable to goodwill represents benefits expected as a result of the acquisition, which include sales and unit growth opportunities. The Company incurred transactions costs of approximately $0.3 million, which were expensed as incurred in transaction and other expenses on the consolidated statement of operations and comprehensive loss. The results of operations of the acquired franchised restaurants are included in the consolidated financial statements from the acquisition date. Pro-forma financial information for the period prior to the acquisition is not presented due to the immaterial impact of the financial results on the consolidated financial statements.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purchase price was allocated to the fair value of assets acquired and liabilities assumed at the acquisition date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7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13,986</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i w:val="1"/>
                <w:iCs w:val="1"/>
                <w:color w:val="auto"/>
              </w:rPr>
              <w:t>Recognized amounts of identifiable assets acquired and liabilities assumed:</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Inventory</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Prepaid expenses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Property, fixtures and equipment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Reacquired rights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leasehold positions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Deferred revenues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7"/>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2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firstLine="423"/>
        <w:spacing w:after="0" w:line="275" w:lineRule="auto"/>
        <w:rPr>
          <w:sz w:val="20"/>
          <w:szCs w:val="20"/>
          <w:color w:val="auto"/>
        </w:rPr>
      </w:pPr>
      <w:r>
        <w:rPr>
          <w:rFonts w:ascii="Arial" w:cs="Arial" w:eastAsia="Arial" w:hAnsi="Arial"/>
          <w:sz w:val="17"/>
          <w:szCs w:val="17"/>
          <w:color w:val="auto"/>
        </w:rPr>
        <w:t>On June 14, 2018, the Company acquired a 75% controlling financial interest in TFW for approximately $0.1 million. TFW was a franchisee with no operating restaurants at the time of the acquisition. The accounts of TFW have been included in the consolidated financial statements from the acquisition date, with the 25% non-controlling ownership interest reflected as a non-controlling interest in the consolidated financial statements. The non-controlling interest is entitled to 25% of TFW’s excess distributable cash, as defined in the agreement. Any transactions entered into with the non-controlling interest are reflected as related party transactions.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tables include a detail of contract liabilities with customers included on the consolidated balance sheet:</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30, 2018</w:t>
            </w:r>
          </w:p>
        </w:tc>
      </w:tr>
      <w:tr>
        <w:trPr>
          <w:trHeight w:val="19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revenues:</w:t>
            </w:r>
          </w:p>
        </w:tc>
        <w:tc>
          <w:tcPr>
            <w:tcW w:w="1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Deferred gift card revenue</w:t>
            </w:r>
          </w:p>
        </w:tc>
        <w:tc>
          <w:tcPr>
            <w:tcW w:w="17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4,982</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franchise fee revenue – current</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Total current deferred revenues</w:t>
            </w:r>
          </w:p>
        </w:tc>
        <w:tc>
          <w:tcPr>
            <w:tcW w:w="13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Deferred franchise fee revenue – non-current</w:t>
            </w:r>
          </w:p>
        </w:tc>
        <w:tc>
          <w:tcPr>
            <w:tcW w:w="17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2,145</w:t>
            </w:r>
          </w:p>
        </w:tc>
      </w:tr>
    </w:tbl>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the Company’s deferred gift card contract liabilities during Fiscal 2018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30, 2018</w:t>
            </w: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gift card revenue:</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Gift card sales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11,742</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Gift card redemptions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(9,497)</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Gift card breakage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(1,049)</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07" w:lineRule="exact"/>
        <w:rPr>
          <w:sz w:val="20"/>
          <w:szCs w:val="20"/>
          <w:color w:val="auto"/>
        </w:rPr>
      </w:pPr>
    </w:p>
    <w:p>
      <w:pPr>
        <w:ind w:left="560" w:firstLine="423"/>
        <w:spacing w:after="0" w:line="342" w:lineRule="auto"/>
        <w:rPr>
          <w:sz w:val="20"/>
          <w:szCs w:val="20"/>
          <w:color w:val="auto"/>
        </w:rPr>
      </w:pPr>
      <w:r>
        <w:rPr>
          <w:rFonts w:ascii="Arial" w:cs="Arial" w:eastAsia="Arial" w:hAnsi="Arial"/>
          <w:sz w:val="16"/>
          <w:szCs w:val="16"/>
          <w:color w:val="auto"/>
        </w:rPr>
        <w:t>Gift cards are combined in one homogeneous pool and are not separately identifiable. As such, the revenue recognized consists of gift cards that were part of the deferred revenue balance at the beginning of the period as well as gift cards that were issued during the period.</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the Company’s deferred franchise fee contract liabilities during Fiscal 2018 were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580" w:type="dxa"/>
            <w:vAlign w:val="bottom"/>
            <w:gridSpan w:val="2"/>
          </w:tcPr>
          <w:p>
            <w:pPr>
              <w:ind w:left="90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8"/>
              </w:rPr>
              <w:t>December 30, 2018</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franchise fee revenue:</w:t>
            </w: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received but not recognized as revenue</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Revenue recognized</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90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580" w:type="dxa"/>
            <w:vAlign w:val="bottom"/>
            <w:gridSpan w:val="2"/>
          </w:tcPr>
          <w:p>
            <w:pPr>
              <w:spacing w:after="0"/>
              <w:rPr>
                <w:sz w:val="20"/>
                <w:szCs w:val="20"/>
                <w:color w:val="auto"/>
              </w:rPr>
            </w:pPr>
            <w:r>
              <w:rPr>
                <w:rFonts w:ascii="Arial" w:cs="Arial" w:eastAsia="Arial" w:hAnsi="Arial"/>
                <w:sz w:val="18"/>
                <w:szCs w:val="18"/>
                <w:color w:val="auto"/>
                <w:w w:val="97"/>
              </w:rPr>
              <w:t>Total revenues recognized during Fiscal 2018 disaggregated by type was as follows:</w:t>
            </w:r>
          </w:p>
        </w:tc>
        <w:tc>
          <w:tcPr>
            <w:tcW w:w="5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80" w:type="dxa"/>
            <w:vAlign w:val="bottom"/>
            <w:gridSpan w:val="2"/>
          </w:tcPr>
          <w:p>
            <w:pPr>
              <w:ind w:left="900"/>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Fiscal 2018</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 sales</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$ 342,357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Franchise revenues:</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and system fund contributions</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Initial fees</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$ 349,766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680" w:type="dxa"/>
            <w:vAlign w:val="bottom"/>
            <w:vMerge w:val="restart"/>
          </w:tcPr>
          <w:p>
            <w:pPr>
              <w:ind w:left="3580"/>
              <w:spacing w:after="0"/>
              <w:rPr>
                <w:sz w:val="20"/>
                <w:szCs w:val="20"/>
                <w:color w:val="auto"/>
              </w:rPr>
            </w:pPr>
            <w:r>
              <w:rPr>
                <w:rFonts w:ascii="Arial" w:cs="Arial" w:eastAsia="Arial" w:hAnsi="Arial"/>
                <w:sz w:val="18"/>
                <w:szCs w:val="18"/>
                <w:color w:val="auto"/>
              </w:rPr>
              <w:t>F-18</w:t>
            </w: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Deferred revenues as of December 30, 2018 are expected to be recognized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4"/>
          </w:tcPr>
          <w:p>
            <w:pPr>
              <w:ind w:left="340"/>
              <w:spacing w:after="0"/>
              <w:rPr>
                <w:sz w:val="20"/>
                <w:szCs w:val="20"/>
                <w:color w:val="auto"/>
              </w:rPr>
            </w:pPr>
            <w:r>
              <w:rPr>
                <w:rFonts w:ascii="Arial" w:cs="Arial" w:eastAsia="Arial" w:hAnsi="Arial"/>
                <w:sz w:val="14"/>
                <w:szCs w:val="14"/>
                <w:i w:val="1"/>
                <w:iCs w:val="1"/>
                <w:color w:val="auto"/>
                <w:w w:val="96"/>
              </w:rPr>
              <w:t>(in thousands)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2019</w:t>
            </w:r>
          </w:p>
        </w:tc>
        <w:tc>
          <w:tcPr>
            <w:tcW w:w="12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6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2021</w:t>
            </w:r>
          </w:p>
        </w:tc>
        <w:tc>
          <w:tcPr>
            <w:tcW w:w="12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6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2023</w:t>
            </w:r>
          </w:p>
        </w:tc>
        <w:tc>
          <w:tcPr>
            <w:tcW w:w="12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6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581"/>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96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Accounts Receivable</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960" w:type="dxa"/>
            <w:vAlign w:val="bottom"/>
            <w:gridSpan w:val="2"/>
          </w:tcPr>
          <w:p>
            <w:pPr>
              <w:ind w:left="580"/>
              <w:spacing w:after="0"/>
              <w:rPr>
                <w:sz w:val="20"/>
                <w:szCs w:val="20"/>
                <w:color w:val="auto"/>
              </w:rPr>
            </w:pPr>
            <w:r>
              <w:rPr>
                <w:rFonts w:ascii="Arial" w:cs="Arial" w:eastAsia="Arial" w:hAnsi="Arial"/>
                <w:sz w:val="18"/>
                <w:szCs w:val="18"/>
                <w:color w:val="auto"/>
              </w:rPr>
              <w:t>Accounts receivable consisted of the following:</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960" w:type="dxa"/>
            <w:vAlign w:val="bottom"/>
            <w:gridSpan w:val="2"/>
          </w:tcPr>
          <w:p>
            <w:pPr>
              <w:ind w:left="14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5"/>
              </w:rPr>
              <w:t>December 30, 2018</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incentive receivables</w:t>
            </w:r>
          </w:p>
        </w:tc>
        <w:tc>
          <w:tcPr>
            <w:tcW w:w="7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Receivables related to gift card sales</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franchisees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Rebates receivable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80" w:type="dxa"/>
            <w:vAlign w:val="bottom"/>
          </w:tcPr>
          <w:p>
            <w:pPr>
              <w:ind w:left="360"/>
              <w:spacing w:after="0"/>
              <w:rPr>
                <w:sz w:val="20"/>
                <w:szCs w:val="20"/>
                <w:color w:val="auto"/>
              </w:rPr>
            </w:pPr>
            <w:r>
              <w:rPr>
                <w:rFonts w:ascii="Arial" w:cs="Arial" w:eastAsia="Arial" w:hAnsi="Arial"/>
                <w:sz w:val="18"/>
                <w:szCs w:val="18"/>
                <w:color w:val="auto"/>
              </w:rPr>
              <w:t>Total accounts receivable</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6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Fixtures and Equipment, Net</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9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960" w:type="dxa"/>
            <w:vAlign w:val="bottom"/>
            <w:gridSpan w:val="2"/>
          </w:tcPr>
          <w:p>
            <w:pPr>
              <w:ind w:left="580"/>
              <w:spacing w:after="0"/>
              <w:rPr>
                <w:sz w:val="20"/>
                <w:szCs w:val="20"/>
                <w:color w:val="auto"/>
              </w:rPr>
            </w:pPr>
            <w:r>
              <w:rPr>
                <w:rFonts w:ascii="Arial" w:cs="Arial" w:eastAsia="Arial" w:hAnsi="Arial"/>
                <w:sz w:val="18"/>
                <w:szCs w:val="18"/>
                <w:color w:val="auto"/>
              </w:rPr>
              <w:t>Property, fixtures and equipment, net consisted of the following:</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960" w:type="dxa"/>
            <w:vAlign w:val="bottom"/>
            <w:gridSpan w:val="2"/>
          </w:tcPr>
          <w:p>
            <w:pPr>
              <w:ind w:left="148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8"/>
              </w:rPr>
              <w:t>December 30, 2018</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 and land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Leased land asset</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Furniture, fixtures and equipment (including capitalized software)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80" w:type="dxa"/>
            <w:vAlign w:val="bottom"/>
          </w:tcPr>
          <w:p>
            <w:pPr>
              <w:ind w:left="360"/>
              <w:spacing w:after="0"/>
              <w:rPr>
                <w:sz w:val="20"/>
                <w:szCs w:val="20"/>
                <w:color w:val="auto"/>
              </w:rPr>
            </w:pPr>
            <w:r>
              <w:rPr>
                <w:rFonts w:ascii="Arial" w:cs="Arial" w:eastAsia="Arial" w:hAnsi="Arial"/>
                <w:sz w:val="18"/>
                <w:szCs w:val="18"/>
                <w:color w:val="auto"/>
              </w:rPr>
              <w:t>Total property, fixtures and equipment</w:t>
            </w:r>
          </w:p>
        </w:tc>
        <w:tc>
          <w:tcPr>
            <w:tcW w:w="7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149,524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7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fixtures and equipment, net</w:t>
            </w: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124,760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expense was $24.9 million during Fiscal 2018.</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 xml:space="preserve">As of December 30, 2018, property, fixtures and equipment, net included $2.6 million in land related to sale and leaseback transactions accounted for as financing obligations. See Note 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700"/>
          </w:cols>
          <w:pgMar w:left="320" w:top="459" w:right="8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change in the carrying value of goodwill was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$ 328,008</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Increases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$ 330,834</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Intangible assets, net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December 30, 2018</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5"/>
              </w:rPr>
              <w:t>Gross</w:t>
            </w:r>
          </w:p>
        </w:tc>
        <w:tc>
          <w:tcPr>
            <w:tcW w:w="36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Useful Lives</w:t>
            </w:r>
          </w:p>
        </w:tc>
        <w:tc>
          <w:tcPr>
            <w:tcW w:w="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Registered trademarks, trade names and domains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Indefinite</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Franchise rights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 years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11,340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(1,272)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Favorable leasehold positions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 years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(390)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179,907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178,245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40" w:firstLine="423"/>
        <w:spacing w:after="0" w:line="259" w:lineRule="auto"/>
        <w:rPr>
          <w:sz w:val="20"/>
          <w:szCs w:val="20"/>
          <w:color w:val="auto"/>
        </w:rPr>
      </w:pPr>
      <w:r>
        <w:rPr>
          <w:rFonts w:ascii="Arial" w:cs="Arial" w:eastAsia="Arial" w:hAnsi="Arial"/>
          <w:sz w:val="18"/>
          <w:szCs w:val="18"/>
          <w:color w:val="auto"/>
        </w:rPr>
        <w:t>Unfavorable leasehold positions, which are included in other long-term liabilities on the consolidated balance sheet, relate to leases acquired as part of the Company’s acquisitions of franchised restaurants where the terms of the leasehold contracts are less favorable than the estimated market terms of the leases at the acquisition date. Unfavorable leasehold positions are amortized on a straight-line basis over the remaining terms of the lease agreements.</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30, 2018</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880" w:type="dxa"/>
            <w:vAlign w:val="bottom"/>
            <w:gridSpan w:val="2"/>
          </w:tcPr>
          <w:p>
            <w:pPr>
              <w:jc w:val="center"/>
              <w:ind w:right="201"/>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201"/>
              <w:spacing w:after="0" w:line="149" w:lineRule="exact"/>
              <w:rPr>
                <w:sz w:val="20"/>
                <w:szCs w:val="20"/>
                <w:color w:val="auto"/>
              </w:rPr>
            </w:pPr>
            <w:r>
              <w:rPr>
                <w:rFonts w:ascii="Arial" w:cs="Arial" w:eastAsia="Arial" w:hAnsi="Arial"/>
                <w:sz w:val="14"/>
                <w:szCs w:val="14"/>
                <w:b w:val="1"/>
                <w:bCs w:val="1"/>
                <w:color w:val="auto"/>
                <w:w w:val="97"/>
              </w:rPr>
              <w:t>Carrying</w:t>
            </w:r>
          </w:p>
        </w:tc>
        <w:tc>
          <w:tcPr>
            <w:tcW w:w="4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680" w:type="dxa"/>
            <w:vAlign w:val="bottom"/>
            <w:gridSpan w:val="2"/>
          </w:tcPr>
          <w:p>
            <w:pPr>
              <w:jc w:val="center"/>
              <w:ind w:right="21"/>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Useful Lives</w:t>
            </w:r>
          </w:p>
        </w:tc>
        <w:tc>
          <w:tcPr>
            <w:tcW w:w="8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2"/>
          </w:tcPr>
          <w:p>
            <w:pPr>
              <w:jc w:val="center"/>
              <w:ind w:right="2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Unfavorable leasehold positions</w:t>
            </w:r>
          </w:p>
        </w:tc>
        <w:tc>
          <w:tcPr>
            <w:tcW w:w="7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1"/>
              </w:rPr>
              <w:t>8 years</w:t>
            </w:r>
          </w:p>
        </w:tc>
        <w:tc>
          <w:tcPr>
            <w:tcW w:w="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(1,119</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Total amortization expense related to intangible assets and unfavorable leasehold positions was $1.2 million during Fiscal 2018. The Company estimates future amortization for intangible assets and unfavorable leasehold positions to be approximately $1.2 million for each of the next five fiscal years ending December 31, 2023.</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liabilities consisted of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30, 2018</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liabilities</w:t>
            </w:r>
          </w:p>
        </w:tc>
        <w:tc>
          <w:tcPr>
            <w:tcW w:w="1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Sales tax</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2,462</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Self-insurance and general liability reserves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Credit card fees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Contingent rent</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Property tax</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2,626</w:t>
            </w:r>
          </w:p>
        </w:tc>
      </w:tr>
      <w:tr>
        <w:trPr>
          <w:trHeight w:val="27"/>
        </w:trPr>
        <w:tc>
          <w:tcPr>
            <w:tcW w:w="4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liabilities</w:t>
            </w: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13,671</w:t>
            </w:r>
          </w:p>
        </w:tc>
      </w:tr>
      <w:tr>
        <w:trPr>
          <w:trHeight w:val="20"/>
        </w:trPr>
        <w:tc>
          <w:tcPr>
            <w:tcW w:w="4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Long-term debt, net consisted of the following:</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Interest Rate</w:t>
            </w:r>
          </w:p>
        </w:tc>
        <w:tc>
          <w:tcPr>
            <w:tcW w:w="5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30, 2018</w:t>
            </w:r>
          </w:p>
        </w:tc>
        <w:tc>
          <w:tcPr>
            <w:tcW w:w="10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Initial term loan</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153,063</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Initial delayed draw term facility</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34,833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Initial revolving facility</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Less: Unamortized debt discount and deferred issuance costs</w:t>
            </w: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(4,888)</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 net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190,508</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(1,898)</w:t>
            </w:r>
          </w:p>
        </w:tc>
      </w:tr>
      <w:tr>
        <w:trPr>
          <w:trHeight w:val="27"/>
        </w:trPr>
        <w:tc>
          <w:tcPr>
            <w:tcW w:w="7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188,610</w:t>
            </w: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The Company, through one of its wholly-owned subsidiaries, entered into a credit agreement on August 21, 2017, (“Credit Agreement”), which includes an initial term loan, an initial delayed draw term facility and an initial revolving facility (collectively, the “Senior Credit Facilities”) for a total available borrowing commitment of $225.0 million, including a letter of credit facility with a $5.0 million sublimit. The Company has pledged substantially all of its assets as collateral under the Credit Agreement. The Credit Agreement matures on August 20, 2023 and contains covenants that provide for, among other things, maintenance of certain financial ratios; restrictions on payment of dividends or other distributions; restrictions on creating liens; restrictions on making investments, including acquisitions, loans, and advances; restrictions on additional indebtedness; selling, transferring, or otherwise disposing of assets; liquidating or dissolving the Company; materially altering the Company’s business; engaging in transactions with affiliates and entering into burdensome agreements. The Company was in compliance with the covenants as of December 30, 2018.</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Senior Credit Facilities are comprised of the following: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Initial Term Loan</w:t>
      </w:r>
    </w:p>
    <w:p>
      <w:pPr>
        <w:spacing w:after="0" w:line="117" w:lineRule="exact"/>
        <w:rPr>
          <w:sz w:val="20"/>
          <w:szCs w:val="20"/>
          <w:color w:val="auto"/>
        </w:rPr>
      </w:pPr>
    </w:p>
    <w:p>
      <w:pPr>
        <w:ind w:left="560" w:right="400" w:firstLine="423"/>
        <w:spacing w:after="0" w:line="342" w:lineRule="auto"/>
        <w:rPr>
          <w:sz w:val="20"/>
          <w:szCs w:val="20"/>
          <w:color w:val="auto"/>
        </w:rPr>
      </w:pPr>
      <w:r>
        <w:rPr>
          <w:rFonts w:ascii="Arial" w:cs="Arial" w:eastAsia="Arial" w:hAnsi="Arial"/>
          <w:sz w:val="16"/>
          <w:szCs w:val="16"/>
          <w:color w:val="auto"/>
        </w:rPr>
        <w:t>The initial term loan available commitment of $155.0 million is to be repaid in quarterly installments beginning December 31, 2017, in amounts equal to 0.25% of the initial term loan plus interest. Remaining principal and unpaid interest are to be paid upon maturity.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Initial Delayed Draw Term Facility</w:t>
      </w:r>
    </w:p>
    <w:p>
      <w:pPr>
        <w:spacing w:after="0" w:line="117"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The initial delayed draw term facility available commitment of $50.0 million terminates on the earlier of two years after the Advent Acquisition or the date the initial delayed draw term loan commitment is wholly terminated. The initial delayed draw term facility includes a commitment fee at a rate of 1.00% per annum applicable to the unused commitments under the initial delayed draw term facility. Principal payments at a rate of 0.25% of the original principal amount are due quarterly with the remainder of principal and unpaid interest due at maturity.</w:t>
      </w:r>
    </w:p>
    <w:p>
      <w:pPr>
        <w:spacing w:after="0" w:line="265" w:lineRule="exact"/>
        <w:rPr>
          <w:sz w:val="20"/>
          <w:szCs w:val="20"/>
          <w:color w:val="auto"/>
        </w:rPr>
      </w:pPr>
    </w:p>
    <w:p>
      <w:pPr>
        <w:ind w:left="760" w:hanging="204"/>
        <w:spacing w:after="0"/>
        <w:tabs>
          <w:tab w:leader="none" w:pos="760" w:val="left"/>
        </w:tabs>
        <w:numPr>
          <w:ilvl w:val="0"/>
          <w:numId w:val="83"/>
        </w:numPr>
        <w:rPr>
          <w:rFonts w:ascii="Arial" w:cs="Arial" w:eastAsia="Arial" w:hAnsi="Arial"/>
          <w:sz w:val="18"/>
          <w:szCs w:val="18"/>
          <w:i w:val="1"/>
          <w:iCs w:val="1"/>
          <w:color w:val="auto"/>
        </w:rPr>
      </w:pPr>
      <w:r>
        <w:rPr>
          <w:rFonts w:ascii="Arial" w:cs="Arial" w:eastAsia="Arial" w:hAnsi="Arial"/>
          <w:sz w:val="18"/>
          <w:szCs w:val="18"/>
          <w:color w:val="auto"/>
        </w:rPr>
        <w:t>Initial Revolving Facility</w:t>
      </w:r>
    </w:p>
    <w:p>
      <w:pPr>
        <w:spacing w:after="0" w:line="117"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8"/>
          <w:szCs w:val="18"/>
          <w:color w:val="auto"/>
        </w:rPr>
        <w:t>The initial revolving facility has an available commitment in the amount of $20.0 million and includes a commitment fee at a rate of 0.50% per annum of the initial revolving credit commitment.</w:t>
      </w:r>
    </w:p>
    <w:p>
      <w:pPr>
        <w:spacing w:after="0" w:line="62"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The Credit Agreement includes a prepayment penalty of 1.00% of the aggregate principal amounts of the initial term loan and the initial delayed draw term facility if prepaid on or prior to August 21, 2019.</w:t>
      </w:r>
    </w:p>
    <w:p>
      <w:pPr>
        <w:spacing w:after="0" w:line="62" w:lineRule="exact"/>
        <w:rPr>
          <w:sz w:val="20"/>
          <w:szCs w:val="20"/>
          <w:color w:val="auto"/>
        </w:rPr>
      </w:pPr>
    </w:p>
    <w:p>
      <w:pPr>
        <w:ind w:left="560" w:firstLine="423"/>
        <w:spacing w:after="0" w:line="287" w:lineRule="auto"/>
        <w:rPr>
          <w:sz w:val="20"/>
          <w:szCs w:val="20"/>
          <w:color w:val="auto"/>
        </w:rPr>
      </w:pPr>
      <w:r>
        <w:rPr>
          <w:rFonts w:ascii="Arial" w:cs="Arial" w:eastAsia="Arial" w:hAnsi="Arial"/>
          <w:sz w:val="16"/>
          <w:szCs w:val="16"/>
          <w:color w:val="auto"/>
        </w:rPr>
        <w:t>Borrowings under the Senior Credit Facilities bear interest, at the Company’s option, at a rate per annum equal to either (a) (i) the greater of an adjusted London Interbank Offered Rate (the “Adjusted Eurocurrency Rate”) and 1.00%, plus (ii) the applicable Adjusted Eurocurrency Rate spread, or (b) (i) the alternate base rate (“ABR”) plus (ii) the applicable ABR spread. ABR is a floating rate per annum equal to the highest of</w:t>
      </w:r>
    </w:p>
    <w:p>
      <w:pPr>
        <w:spacing w:after="0" w:line="2" w:lineRule="exact"/>
        <w:rPr>
          <w:sz w:val="20"/>
          <w:szCs w:val="20"/>
          <w:color w:val="auto"/>
        </w:rPr>
      </w:pPr>
    </w:p>
    <w:p>
      <w:pPr>
        <w:ind w:left="560" w:right="160" w:hanging="4"/>
        <w:spacing w:after="0" w:line="323" w:lineRule="auto"/>
        <w:tabs>
          <w:tab w:leader="none" w:pos="7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federal funds effective rate plus 0.50%, (ii) to the extent ascertainable, the London interbank offered rate for a 1-month interest period on such day plus 1.00%, (iii) the rate of interest last quoted by The Wall Street Journal as the “prime rate” in the U.S., and (iv) 1.00%.</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estimated fair value of the outstanding debt as of December 30, 2018 was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3"/>
              </w:rPr>
              <w:t>December 30, 2018</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term loan</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154,544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Initial delayed draw term facility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35,342</w:t>
            </w:r>
          </w:p>
        </w:tc>
        <w:tc>
          <w:tcPr>
            <w:tcW w:w="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Initial revolving facility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7,541</w:t>
            </w:r>
          </w:p>
        </w:tc>
        <w:tc>
          <w:tcPr>
            <w:tcW w:w="40" w:type="dxa"/>
            <w:vAlign w:val="bottom"/>
            <w:shd w:val="clear" w:color="auto" w:fill="CCEEFF"/>
          </w:tcPr>
          <w:p>
            <w:pPr>
              <w:spacing w:after="0"/>
              <w:rPr>
                <w:sz w:val="18"/>
                <w:szCs w:val="18"/>
                <w:color w:val="auto"/>
              </w:rPr>
            </w:pPr>
          </w:p>
        </w:tc>
      </w:tr>
      <w:tr>
        <w:trPr>
          <w:trHeight w:val="223"/>
        </w:trPr>
        <w:tc>
          <w:tcPr>
            <w:tcW w:w="62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The fair value of debt, which is classified as Level 3 in the fair value hierarchy, was estimated using discounted cash flow models using market yield and yield volatility.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Principal payments due on the outstanding debt as of December 30, 2018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37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i w:val="1"/>
                <w:iCs w:val="1"/>
                <w:color w:val="auto"/>
                <w:w w:val="96"/>
              </w:rPr>
              <w:t>(in thousands)</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gridSpan w:val="2"/>
          </w:tcPr>
          <w:p>
            <w:pPr>
              <w:ind w:left="29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1,898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1,898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187,804</w:t>
            </w:r>
          </w:p>
        </w:tc>
      </w:tr>
      <w:tr>
        <w:trPr>
          <w:trHeight w:val="27"/>
        </w:trPr>
        <w:tc>
          <w:tcPr>
            <w:tcW w:w="37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195,396</w:t>
            </w:r>
          </w:p>
        </w:tc>
      </w:tr>
      <w:tr>
        <w:trPr>
          <w:trHeight w:val="20"/>
        </w:trPr>
        <w:tc>
          <w:tcPr>
            <w:tcW w:w="37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Letter of Credit</w:t>
      </w:r>
    </w:p>
    <w:p>
      <w:pPr>
        <w:spacing w:after="0" w:line="121" w:lineRule="exact"/>
        <w:rPr>
          <w:sz w:val="20"/>
          <w:szCs w:val="20"/>
          <w:color w:val="auto"/>
        </w:rPr>
      </w:pPr>
    </w:p>
    <w:p>
      <w:pPr>
        <w:ind w:left="560" w:right="640" w:firstLine="423"/>
        <w:spacing w:after="0" w:line="277" w:lineRule="auto"/>
        <w:rPr>
          <w:sz w:val="20"/>
          <w:szCs w:val="20"/>
          <w:color w:val="auto"/>
        </w:rPr>
      </w:pPr>
      <w:r>
        <w:rPr>
          <w:rFonts w:ascii="Arial" w:cs="Arial" w:eastAsia="Arial" w:hAnsi="Arial"/>
          <w:sz w:val="18"/>
          <w:szCs w:val="18"/>
          <w:color w:val="auto"/>
        </w:rPr>
        <w:t xml:space="preserve">The Company utilizes a standby letter of credit to satisfy workers’ compensation requirements, as discussed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The contract amount of the letter of credit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220"/>
        <w:spacing w:after="0" w:line="342" w:lineRule="auto"/>
        <w:rPr>
          <w:sz w:val="20"/>
          <w:szCs w:val="20"/>
          <w:color w:val="auto"/>
        </w:rPr>
      </w:pPr>
      <w:r>
        <w:rPr>
          <w:rFonts w:ascii="Arial" w:cs="Arial" w:eastAsia="Arial" w:hAnsi="Arial"/>
          <w:sz w:val="16"/>
          <w:szCs w:val="16"/>
          <w:color w:val="auto"/>
        </w:rPr>
        <w:t>approximates its fair value. As of December 30, 2018, the open letter of credit was approximately $0.4 million and there were no draws against the letter of credit. The Company pays participation fees for the letter of credit based on a varying percentage of the amount not drawn.</w:t>
      </w:r>
    </w:p>
    <w:p>
      <w:pPr>
        <w:spacing w:after="0" w:line="268"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The Company leases its restaurant facilities and corporate offices, as well as certain restaurant equipment under non-cancelable operating leases having terms expiring between 2019 and 2049. Most of the Company’s restaurant facility leases have renewal clauses which are exercisable at the option of the Company. Certain of the leases for the Company’s restaurant facilities require the payment of contingent rentals based on a percentage of gross revenues, as defined and also generally require the Company to pay a proportionate share of common area maintenance expenses, real estate taxes, and insurance premiums.</w:t>
      </w:r>
    </w:p>
    <w:p>
      <w:pPr>
        <w:spacing w:after="0" w:line="80" w:lineRule="exact"/>
        <w:rPr>
          <w:sz w:val="20"/>
          <w:szCs w:val="20"/>
          <w:color w:val="auto"/>
        </w:rPr>
      </w:pPr>
    </w:p>
    <w:p>
      <w:pPr>
        <w:ind w:left="560" w:right="260" w:firstLine="423"/>
        <w:spacing w:after="0" w:line="263" w:lineRule="auto"/>
        <w:rPr>
          <w:sz w:val="20"/>
          <w:szCs w:val="20"/>
          <w:color w:val="auto"/>
        </w:rPr>
      </w:pPr>
      <w:r>
        <w:rPr>
          <w:rFonts w:ascii="Arial" w:cs="Arial" w:eastAsia="Arial" w:hAnsi="Arial"/>
          <w:sz w:val="18"/>
          <w:szCs w:val="18"/>
          <w:color w:val="auto"/>
        </w:rPr>
        <w:t>Total rent expense was approximately $36.3 million and included contingent rent of approximately $0.6 million during Fiscal 2018. Rent expense is included in occupancy expenses and general and administrative expenses on the consolidated statement of operations and comprehensive loss.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Future minimum lease payments on non-cancelable operating leases are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6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27,819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28,483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28,478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29,600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393,366</w:t>
            </w:r>
          </w:p>
        </w:tc>
      </w:tr>
      <w:tr>
        <w:trPr>
          <w:trHeight w:val="224"/>
        </w:trPr>
        <w:tc>
          <w:tcPr>
            <w:tcW w:w="6600" w:type="dxa"/>
            <w:vAlign w:val="bottom"/>
          </w:tcPr>
          <w:p>
            <w:pPr>
              <w:ind w:left="360"/>
              <w:spacing w:after="0"/>
              <w:rPr>
                <w:sz w:val="20"/>
                <w:szCs w:val="20"/>
                <w:color w:val="auto"/>
              </w:rPr>
            </w:pPr>
            <w:r>
              <w:rPr>
                <w:rFonts w:ascii="Arial" w:cs="Arial" w:eastAsia="Arial" w:hAnsi="Arial"/>
                <w:sz w:val="18"/>
                <w:szCs w:val="18"/>
                <w:color w:val="auto"/>
              </w:rPr>
              <w:t xml:space="preserve">Total future minimum lease payments </w:t>
            </w:r>
            <w:r>
              <w:rPr>
                <w:rFonts w:ascii="Arial" w:cs="Arial" w:eastAsia="Arial" w:hAnsi="Arial"/>
                <w:sz w:val="15"/>
                <w:szCs w:val="15"/>
                <w:color w:val="auto"/>
              </w:rPr>
              <w:t>(1)</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536,747</w:t>
            </w:r>
          </w:p>
        </w:tc>
        <w:tc>
          <w:tcPr>
            <w:tcW w:w="60" w:type="dxa"/>
            <w:vAlign w:val="bottom"/>
          </w:tcPr>
          <w:p>
            <w:pPr>
              <w:spacing w:after="0"/>
              <w:rPr>
                <w:sz w:val="19"/>
                <w:szCs w:val="19"/>
                <w:color w:val="auto"/>
              </w:rPr>
            </w:pPr>
          </w:p>
        </w:tc>
      </w:tr>
    </w:tbl>
    <w:p>
      <w:pPr>
        <w:spacing w:after="0" w:line="228" w:lineRule="exact"/>
        <w:rPr>
          <w:sz w:val="20"/>
          <w:szCs w:val="20"/>
          <w:color w:val="auto"/>
        </w:rPr>
      </w:pPr>
    </w:p>
    <w:p>
      <w:pPr>
        <w:ind w:left="540" w:right="20" w:hanging="424"/>
        <w:spacing w:after="0" w:line="277" w:lineRule="auto"/>
        <w:tabs>
          <w:tab w:leader="none" w:pos="540" w:val="left"/>
        </w:tabs>
        <w:numPr>
          <w:ilvl w:val="0"/>
          <w:numId w:val="86"/>
        </w:numPr>
        <w:rPr>
          <w:rFonts w:ascii="Arial" w:cs="Arial" w:eastAsia="Arial" w:hAnsi="Arial"/>
          <w:sz w:val="15"/>
          <w:szCs w:val="15"/>
          <w:color w:val="auto"/>
        </w:rPr>
      </w:pPr>
      <w:r>
        <w:rPr>
          <w:rFonts w:ascii="Arial" w:cs="Arial" w:eastAsia="Arial" w:hAnsi="Arial"/>
          <w:sz w:val="18"/>
          <w:szCs w:val="18"/>
          <w:i w:val="1"/>
          <w:iCs w:val="1"/>
          <w:color w:val="auto"/>
        </w:rPr>
        <w:t>Excludes approximately $64.4 million of lease payments related to 17 restaurant facility leases signed, but not yet commenced as of December 30,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Obligations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During 2014, the Company acquired land and buildings valued at $1.5 million and $0.8 million, respectively. Subsequently, in 2014, the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Company also entered into an agreement relating to the sale and leaseback of the land for use in restaurant operations for cash proceeds of</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$1.5 million. As the Company had continuing involvement with the building, the sale of the land did not qualify for sale accounting. As a result,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 proceeds were recorded as a financing obligation in the amount of $1.5 million on the consolidated balance sheet.</w:t>
      </w:r>
    </w:p>
    <w:p>
      <w:pPr>
        <w:spacing w:after="0" w:line="103"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During 2015, the Company purchased a restaurant that had been operating under a franchise agreement. The acquired land and leasehold improvements were valued at $1.2 million and $0.8 million, respectively. Subsequently, in 2015, the Company entered into an agreement relating to the sale and leaseback of the land for use in restaurant operations for cash proceeds of $3.1 million. As the Company had continuing involvement with the building, the sale of the land did not qualify for sale accounting. As a result, the cash proceeds were recorded as a financing obligation in the amount of $3.0 million on the consolidated balance sheet.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Future lease payments on the financing obligations as of December 30, 2018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7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w w:val="96"/>
              </w:rPr>
              <w:t>(in thousands)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00" w:type="dxa"/>
            <w:vAlign w:val="bottom"/>
            <w:gridSpan w:val="2"/>
          </w:tcPr>
          <w:p>
            <w:pPr>
              <w:ind w:left="860"/>
              <w:spacing w:after="0"/>
              <w:rPr>
                <w:sz w:val="20"/>
                <w:szCs w:val="20"/>
                <w:color w:val="auto"/>
              </w:rPr>
            </w:pPr>
            <w:r>
              <w:rPr>
                <w:rFonts w:ascii="Arial" w:cs="Arial" w:eastAsia="Arial" w:hAnsi="Arial"/>
                <w:sz w:val="18"/>
                <w:szCs w:val="18"/>
                <w:color w:val="auto"/>
              </w:rPr>
              <w:t>Income tax benefit consisted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300" w:type="dxa"/>
            <w:vAlign w:val="bottom"/>
            <w:gridSpan w:val="2"/>
          </w:tcPr>
          <w:p>
            <w:pPr>
              <w:ind w:left="17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Fiscal 2018</w:t>
            </w: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(benefit) provision:</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Federal</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 provision:</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(329)</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
        </w:trPr>
        <w:tc>
          <w:tcPr>
            <w:tcW w:w="8440" w:type="dxa"/>
            <w:vAlign w:val="bottom"/>
            <w:gridSpan w:val="3"/>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40" w:type="dxa"/>
            <w:vAlign w:val="bottom"/>
            <w:gridSpan w:val="8"/>
          </w:tcPr>
          <w:p>
            <w:pPr>
              <w:jc w:val="right"/>
              <w:ind w:right="24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8"/>
              </w:rPr>
              <w:t>Fiscal 2018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taxes at federal statutory rate</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6540" w:type="dxa"/>
            <w:vAlign w:val="bottom"/>
            <w:vMerge w:val="continue"/>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FICA tip credit</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Valuation allowance for federal and state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Rate change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6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The Company has a blended federal and state statutory rate of approximately 25%. The effective income tax rate for Fiscal 2018 was lower than the blended federal and state statutory rate primarily due to the valuation allowance for federal and state deferred tax assets, partially offset by the benefit of tax credits for FICA taxes on certain employees’ tips.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00"/>
          </w:cols>
          <w:pgMar w:left="320" w:top="459" w:right="5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components of deferred tax assets and liabilities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30, 2018</w:t>
            </w: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FICA tip credit</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19,739</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10,042</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Accrued rent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incentives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Organizational costs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limitation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(24,654)</w:t>
            </w: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assets</w:t>
            </w: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(13,280)</w:t>
            </w: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Indefinite-lived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(43,039)</w:t>
            </w:r>
          </w:p>
        </w:tc>
      </w:tr>
      <w:tr>
        <w:trPr>
          <w:trHeight w:val="27"/>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(56,319)</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deferred income tax liabilities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(42,862)</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Realization of the Company’s deferred tax assets is dependent upon the availability of taxable income and a valuation allowance for deferred tax assets is provided when it is more likely than not that some portion or all of the deferred tax assets will not be realized. The Company considered all sources of taxable income including (i) taxable income in any available carry back period, (ii) the reversal of taxable temporary differences, (iii) tax-planning strategies and (iv) taxable income expected to be generated in the future other than from reversing temporary differences. Based on an evaluation of these sources of taxable income, the Company recognized a valuation allowance of $24.7 million as of December 30, 2018. The Company will maintain a valuation allowance on its deferred tax assets until sufficient positive evidence exists to support the reversal of the valuation allowance, including but not limited to, the magnitude and duration of the Company’s historical losses as compared to potential future profits within taxing jurisdictions to overcome such negative evidence.</w:t>
      </w:r>
    </w:p>
    <w:p>
      <w:pPr>
        <w:spacing w:after="0" w:line="70" w:lineRule="exact"/>
        <w:rPr>
          <w:sz w:val="20"/>
          <w:szCs w:val="20"/>
          <w:color w:val="auto"/>
        </w:rPr>
      </w:pPr>
    </w:p>
    <w:p>
      <w:pPr>
        <w:ind w:left="560" w:right="60" w:firstLine="423"/>
        <w:spacing w:after="0" w:line="289" w:lineRule="auto"/>
        <w:rPr>
          <w:sz w:val="20"/>
          <w:szCs w:val="20"/>
          <w:color w:val="auto"/>
        </w:rPr>
      </w:pPr>
      <w:r>
        <w:rPr>
          <w:rFonts w:ascii="Arial" w:cs="Arial" w:eastAsia="Arial" w:hAnsi="Arial"/>
          <w:sz w:val="16"/>
          <w:szCs w:val="16"/>
          <w:color w:val="auto"/>
        </w:rPr>
        <w:t>The Company has federal net operating loss carryforwards of $43.6 million as of December 30, 2018, that will expire between 2033 and 2037. The Company has state net operating loss carryforwards of $21.9 million as of December 30, 2018 that will expire between 2020 and 2038. The Company has general business tax credits of $19.9 million, which can be carried forward twenty years and will expire between 2028 and 2038. Approximately $38.3 million, $20.4 million and $14.7 million of the federal loss carryforwards, state loss carryforwards and general business credits, respectively, were accumulated from operations prior to the Advent Acquisition in August 2017. To the extent the Company is able to utilize these federal and state loss carryforwards and general business credits that were accumulated from operations prior to the Advent Acquisition to reduce taxes payable, the Company is required to pay the previous stockholders an amount equal to tax savings. This requirement lapses with respect to any tax year, or portion thereof, beginning after December 31, 2024, or if a change in control event occurs. In connection with the accounting for the Advent Acquisition, the Company recorded a contingent consideration liability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of $1.2 million, of which $0.2 million is in accrued liabilities and $1.0 million is in other long-term liabilities on the consolidated balance sheet for expected payments to be made to the previous shareholders.</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Changes in the deferred tax asset valuation allowance were as follows: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$ 16,609</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Increases to income tax benefit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2018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$ 24,654</w:t>
            </w:r>
          </w:p>
        </w:tc>
      </w:tr>
    </w:tbl>
    <w:p>
      <w:pPr>
        <w:spacing w:after="0" w:line="94" w:lineRule="exact"/>
        <w:rPr>
          <w:sz w:val="20"/>
          <w:szCs w:val="20"/>
          <w:color w:val="auto"/>
        </w:rPr>
      </w:pPr>
    </w:p>
    <w:p>
      <w:pPr>
        <w:ind w:left="560" w:right="160" w:firstLine="423"/>
        <w:spacing w:after="0" w:line="308" w:lineRule="auto"/>
        <w:rPr>
          <w:sz w:val="20"/>
          <w:szCs w:val="20"/>
          <w:color w:val="auto"/>
        </w:rPr>
      </w:pPr>
      <w:r>
        <w:rPr>
          <w:rFonts w:ascii="Arial" w:cs="Arial" w:eastAsia="Arial" w:hAnsi="Arial"/>
          <w:sz w:val="17"/>
          <w:szCs w:val="17"/>
          <w:color w:val="auto"/>
        </w:rPr>
        <w:t>The Company is subject to examination by federal, state, and local jurisdictions, where applicable. As of December 30, 2018, the tax years that remain subject to examination by major tax jurisdictions under the statute of limitations are from the year 2013 forward.</w:t>
      </w:r>
    </w:p>
    <w:p>
      <w:pPr>
        <w:spacing w:after="0" w:line="38"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made broad and complex changes to the U.S. tax code and the Company’s net deferred taxes assets and liabilities were revalued at the enacted U.S. corporate rate in Fiscal 2017. The Company had completed its assessment of income tax effects of the Tax Act in Fiscal 2017 and therefore did not make any further adjustments in association with the filing of its 2017 federal income tax return in Fiscal 2018.</w:t>
      </w:r>
    </w:p>
    <w:p>
      <w:pPr>
        <w:spacing w:after="0" w:line="302"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560" w:right="360" w:firstLine="423"/>
        <w:spacing w:after="0" w:line="296" w:lineRule="auto"/>
        <w:rPr>
          <w:sz w:val="20"/>
          <w:szCs w:val="20"/>
          <w:color w:val="auto"/>
        </w:rPr>
      </w:pPr>
      <w:r>
        <w:rPr>
          <w:rFonts w:ascii="Arial" w:cs="Arial" w:eastAsia="Arial" w:hAnsi="Arial"/>
          <w:sz w:val="16"/>
          <w:szCs w:val="16"/>
          <w:color w:val="auto"/>
        </w:rPr>
        <w:t>The Company is authorized to issue 4,321,000 shares, all of which shall be common stock having a par value of $0.01. Each share of common stock entitles the holder to one vote for each share of common stock held and common stockholders will not have cumulative voting rights. Common stockholders are entitled to receive dividends, as declared by the board of directors. Through December 30, 2018, no cash dividends were declared or paid. In addition, all common stockholders are entitled to share equally on a share-for-share basis in any assets available for distribution to common stockholders upon liquidation, dissolution or winding up of the Company.</w:t>
      </w:r>
    </w:p>
    <w:p>
      <w:pPr>
        <w:spacing w:after="0" w:line="306"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21" w:lineRule="exact"/>
        <w:rPr>
          <w:sz w:val="20"/>
          <w:szCs w:val="20"/>
          <w:color w:val="auto"/>
        </w:rPr>
      </w:pPr>
    </w:p>
    <w:p>
      <w:pPr>
        <w:ind w:left="560" w:right="220" w:firstLine="423"/>
        <w:spacing w:after="0" w:line="257" w:lineRule="auto"/>
        <w:rPr>
          <w:sz w:val="20"/>
          <w:szCs w:val="20"/>
          <w:color w:val="auto"/>
        </w:rPr>
      </w:pPr>
      <w:r>
        <w:rPr>
          <w:rFonts w:ascii="Arial" w:cs="Arial" w:eastAsia="Arial" w:hAnsi="Arial"/>
          <w:sz w:val="18"/>
          <w:szCs w:val="18"/>
          <w:color w:val="auto"/>
        </w:rPr>
        <w:t>The Company established a defined contribution 401(k) savings plan (“401(k) Plan”) covering employees. The 401(k) Plan requires the Company to match contributions for participants with at least one year of service 25% of the first 6% of the employees’ wages deferred into the 401(k) Plan. The 401(k) Plan also allows for additional profit-sharing contributions by the Company at the sole discretion of the Company’s management. All Company contributions vest over a five-year period. Total expense for the Company’s contributions to the 401(k) Plan during Fiscal 2018 was $0.5 million.</w:t>
      </w:r>
    </w:p>
    <w:p>
      <w:pPr>
        <w:spacing w:after="0" w:line="332"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right="20" w:firstLine="423"/>
        <w:spacing w:after="0" w:line="287" w:lineRule="auto"/>
        <w:rPr>
          <w:sz w:val="20"/>
          <w:szCs w:val="20"/>
          <w:color w:val="auto"/>
        </w:rPr>
      </w:pPr>
      <w:r>
        <w:rPr>
          <w:rFonts w:ascii="Arial" w:cs="Arial" w:eastAsia="Arial" w:hAnsi="Arial"/>
          <w:sz w:val="16"/>
          <w:szCs w:val="16"/>
          <w:color w:val="auto"/>
        </w:rPr>
        <w:t>The Company grants stock-based awards to employees and non-employee directors. The 2017 Omnibus Equity Incentive Plan (the “Options Plan”), which was effective from August 31, 2017, authorizes stock-based awards to be granted for up to 518,520 shares of common stock. The Options Plan provides for the issuance of any one or combination of the following awards: (i) Stock Options; (ii) Stock Appreciation Rights;</w:t>
      </w:r>
    </w:p>
    <w:p>
      <w:pPr>
        <w:spacing w:after="0" w:line="2" w:lineRule="exact"/>
        <w:rPr>
          <w:sz w:val="20"/>
          <w:szCs w:val="20"/>
          <w:color w:val="auto"/>
        </w:rPr>
      </w:pPr>
    </w:p>
    <w:p>
      <w:pPr>
        <w:ind w:left="560" w:right="260" w:hanging="4"/>
        <w:spacing w:after="0" w:line="260" w:lineRule="auto"/>
        <w:tabs>
          <w:tab w:leader="none" w:pos="8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Restricted Stock and (iv) Other Stock-Based Awards, for which the terms are defined by the Options Plan. As of December 30, 2018, there was a total of 150,301 common stock authorized and available for future issuance.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560" w:firstLine="423"/>
        <w:spacing w:after="0" w:line="286" w:lineRule="auto"/>
        <w:rPr>
          <w:sz w:val="20"/>
          <w:szCs w:val="20"/>
          <w:color w:val="auto"/>
        </w:rPr>
      </w:pPr>
      <w:r>
        <w:rPr>
          <w:rFonts w:ascii="Arial" w:cs="Arial" w:eastAsia="Arial" w:hAnsi="Arial"/>
          <w:sz w:val="16"/>
          <w:szCs w:val="16"/>
          <w:color w:val="auto"/>
        </w:rPr>
        <w:t>Stock option awards are generally granted with 50% of the awards vesting over a five-year requisite service period and 50% of the awards vesting upon achieving certain operational performance targets, as defined. Stock-based compensation expense for the performance-based option awards is recognized if it is considered probable that the operational performance targets will be met. Any performance-based option awards not achieving the operational targets upon a change in control will be terminated. Stock options have an exercisable life of no more than ten</w:t>
      </w:r>
    </w:p>
    <w:p>
      <w:pPr>
        <w:spacing w:after="0" w:line="1" w:lineRule="exact"/>
        <w:rPr>
          <w:sz w:val="20"/>
          <w:szCs w:val="20"/>
          <w:color w:val="auto"/>
        </w:rPr>
      </w:pPr>
    </w:p>
    <w:p>
      <w:pPr>
        <w:ind w:left="560" w:right="240"/>
        <w:spacing w:after="0" w:line="260" w:lineRule="auto"/>
        <w:rPr>
          <w:sz w:val="20"/>
          <w:szCs w:val="20"/>
          <w:color w:val="auto"/>
        </w:rPr>
      </w:pPr>
      <w:r>
        <w:rPr>
          <w:rFonts w:ascii="Arial" w:cs="Arial" w:eastAsia="Arial" w:hAnsi="Arial"/>
          <w:sz w:val="18"/>
          <w:szCs w:val="18"/>
          <w:color w:val="auto"/>
        </w:rPr>
        <w:t>years from the date of grant. The exercise price for any stock option award must be at least equal to the fair value of the common stock on the grant date.</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stock option transactions under the Options Plan during Fiscal 2018 was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8"/>
          </w:tcPr>
          <w:p>
            <w:pPr>
              <w:ind w:left="360"/>
              <w:spacing w:after="0"/>
              <w:rPr>
                <w:sz w:val="20"/>
                <w:szCs w:val="20"/>
                <w:color w:val="auto"/>
              </w:rPr>
            </w:pPr>
            <w:r>
              <w:rPr>
                <w:rFonts w:ascii="Arial" w:cs="Arial" w:eastAsia="Arial" w:hAnsi="Arial"/>
                <w:sz w:val="14"/>
                <w:szCs w:val="14"/>
                <w:b w:val="1"/>
                <w:bCs w:val="1"/>
                <w:color w:val="auto"/>
              </w:rPr>
              <w:t>December 30, 2018</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Weighted-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339,000</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$ 100.00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4"/>
          </w:tcPr>
          <w:p>
            <w:pPr>
              <w:jc w:val="right"/>
              <w:ind w:right="500"/>
              <w:spacing w:after="0"/>
              <w:rPr>
                <w:sz w:val="20"/>
                <w:szCs w:val="20"/>
                <w:color w:val="auto"/>
              </w:rPr>
            </w:pPr>
            <w:r>
              <w:rPr>
                <w:rFonts w:ascii="Arial" w:cs="Arial" w:eastAsia="Arial" w:hAnsi="Arial"/>
                <w:sz w:val="18"/>
                <w:szCs w:val="18"/>
                <w:color w:val="auto"/>
              </w:rPr>
              <w:t>56,719</w:t>
            </w:r>
          </w:p>
        </w:tc>
        <w:tc>
          <w:tcPr>
            <w:tcW w:w="700" w:type="dxa"/>
            <w:vAlign w:val="bottom"/>
            <w:gridSpan w:val="4"/>
          </w:tcPr>
          <w:p>
            <w:pPr>
              <w:ind w:left="40"/>
              <w:spacing w:after="0"/>
              <w:rPr>
                <w:sz w:val="20"/>
                <w:szCs w:val="20"/>
                <w:color w:val="auto"/>
              </w:rPr>
            </w:pPr>
            <w:r>
              <w:rPr>
                <w:rFonts w:ascii="Arial" w:cs="Arial" w:eastAsia="Arial" w:hAnsi="Arial"/>
                <w:sz w:val="18"/>
                <w:szCs w:val="18"/>
                <w:color w:val="auto"/>
                <w:w w:val="91"/>
              </w:rPr>
              <w:t>$ 111.09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Forfeited and expired</w:t>
            </w:r>
          </w:p>
        </w:tc>
        <w:tc>
          <w:tcPr>
            <w:tcW w:w="13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(27,500)</w:t>
            </w:r>
          </w:p>
        </w:tc>
        <w:tc>
          <w:tcPr>
            <w:tcW w:w="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1"/>
              </w:rPr>
              <w:t>$ 100.00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Outstanding, end of year</w:t>
            </w:r>
          </w:p>
        </w:tc>
        <w:tc>
          <w:tcPr>
            <w:tcW w:w="1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368,219</w:t>
            </w:r>
          </w:p>
        </w:tc>
        <w:tc>
          <w:tcPr>
            <w:tcW w:w="500" w:type="dxa"/>
            <w:vAlign w:val="bottom"/>
          </w:tcPr>
          <w:p>
            <w:pPr>
              <w:spacing w:after="0"/>
              <w:rPr>
                <w:sz w:val="19"/>
                <w:szCs w:val="19"/>
                <w:color w:val="auto"/>
              </w:rPr>
            </w:pPr>
          </w:p>
        </w:tc>
        <w:tc>
          <w:tcPr>
            <w:tcW w:w="700" w:type="dxa"/>
            <w:vAlign w:val="bottom"/>
            <w:gridSpan w:val="4"/>
          </w:tcPr>
          <w:p>
            <w:pPr>
              <w:ind w:left="40"/>
              <w:spacing w:after="0"/>
              <w:rPr>
                <w:sz w:val="20"/>
                <w:szCs w:val="20"/>
                <w:color w:val="auto"/>
              </w:rPr>
            </w:pPr>
            <w:r>
              <w:rPr>
                <w:rFonts w:ascii="Arial" w:cs="Arial" w:eastAsia="Arial" w:hAnsi="Arial"/>
                <w:sz w:val="18"/>
                <w:szCs w:val="18"/>
                <w:color w:val="auto"/>
                <w:w w:val="91"/>
              </w:rPr>
              <w:t>$ 101.70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end of year</w:t>
            </w:r>
          </w:p>
        </w:tc>
        <w:tc>
          <w:tcPr>
            <w:tcW w:w="13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31,650</w:t>
            </w:r>
          </w:p>
        </w:tc>
        <w:tc>
          <w:tcPr>
            <w:tcW w:w="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1"/>
              </w:rPr>
              <w:t>$ 100.00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rPr>
                <w:sz w:val="20"/>
                <w:szCs w:val="20"/>
                <w:color w:val="auto"/>
              </w:rPr>
            </w:pPr>
            <w:r>
              <w:rPr>
                <w:rFonts w:ascii="Arial" w:cs="Arial" w:eastAsia="Arial" w:hAnsi="Arial"/>
                <w:sz w:val="18"/>
                <w:szCs w:val="18"/>
                <w:color w:val="auto"/>
              </w:rPr>
              <w:t>The fair value of the non-vested options at grant dates was as follows:</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740" w:type="dxa"/>
            <w:vAlign w:val="bottom"/>
            <w:gridSpan w:val="5"/>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339,000</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56,719</w:t>
            </w:r>
          </w:p>
        </w:tc>
        <w:tc>
          <w:tcPr>
            <w:tcW w:w="50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(31,650)</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 and expired</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(27,500)</w:t>
            </w:r>
          </w:p>
        </w:tc>
        <w:tc>
          <w:tcPr>
            <w:tcW w:w="5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336,569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260" w:firstLine="423"/>
        <w:spacing w:after="0" w:line="342" w:lineRule="auto"/>
        <w:rPr>
          <w:sz w:val="20"/>
          <w:szCs w:val="20"/>
          <w:color w:val="auto"/>
        </w:rPr>
      </w:pPr>
      <w:r>
        <w:rPr>
          <w:rFonts w:ascii="Arial" w:cs="Arial" w:eastAsia="Arial" w:hAnsi="Arial"/>
          <w:sz w:val="16"/>
          <w:szCs w:val="16"/>
          <w:color w:val="auto"/>
        </w:rPr>
        <w:t>The fair value of vested stock options was $0.6 million during Fiscal 2018. Stock-based compensation expense was $1.3 million during Fiscal 2018 and was included in general and administrative expense on the consolidated statement of operations and comprehensive loss.</w:t>
      </w:r>
    </w:p>
    <w:p>
      <w:pPr>
        <w:spacing w:after="0" w:line="16"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As of December 30, 2018, the amount of stock-based compensation expense not yet recognized on non-vested time-based awards was approximately $2.1 million and will be recognized over a weighted-average period of approximately two years. As of December 30, 2018, the amount of stock-based compensation expense not yet recognized on non-vested performance-based awards was approximately $4.2 million and will be expensed upon the performance conditions becoming probable. The remaining contractual life for stock option awards granted was approximately 9 years at December 30, 2018.</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Company’s management utilized the following assumptions to determine the fair value of stock option awards: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0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Fiscal 2018</w:t>
            </w:r>
          </w:p>
        </w:tc>
        <w:tc>
          <w:tcPr>
            <w:tcW w:w="200" w:type="dxa"/>
            <w:vAlign w:val="bottom"/>
            <w:tcBorders>
              <w:bottom w:val="single" w:sz="8" w:color="CCEEFF"/>
            </w:tcBorders>
          </w:tcPr>
          <w:p>
            <w:pPr>
              <w:spacing w:after="0"/>
              <w:rPr>
                <w:sz w:val="14"/>
                <w:szCs w:val="14"/>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3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Expected term (years)</w:t>
            </w:r>
          </w:p>
        </w:tc>
        <w:tc>
          <w:tcPr>
            <w:tcW w:w="428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volatility</w:t>
            </w:r>
          </w:p>
        </w:tc>
        <w:tc>
          <w:tcPr>
            <w:tcW w:w="4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31.43%</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350"/>
        </w:trPr>
        <w:tc>
          <w:tcPr>
            <w:tcW w:w="3200" w:type="dxa"/>
            <w:vAlign w:val="bottom"/>
          </w:tcPr>
          <w:p>
            <w:pPr>
              <w:spacing w:after="0"/>
              <w:rPr>
                <w:sz w:val="24"/>
                <w:szCs w:val="24"/>
                <w:color w:val="auto"/>
              </w:rPr>
            </w:pPr>
          </w:p>
        </w:tc>
        <w:tc>
          <w:tcPr>
            <w:tcW w:w="4280" w:type="dxa"/>
            <w:vAlign w:val="bottom"/>
            <w:gridSpan w:val="3"/>
          </w:tcPr>
          <w:p>
            <w:pPr>
              <w:jc w:val="right"/>
              <w:ind w:right="3560"/>
              <w:spacing w:after="0"/>
              <w:rPr>
                <w:sz w:val="20"/>
                <w:szCs w:val="20"/>
                <w:color w:val="auto"/>
              </w:rPr>
            </w:pPr>
            <w:r>
              <w:rPr>
                <w:rFonts w:ascii="Arial" w:cs="Arial" w:eastAsia="Arial" w:hAnsi="Arial"/>
                <w:sz w:val="18"/>
                <w:szCs w:val="18"/>
                <w:color w:val="auto"/>
              </w:rPr>
              <w:t>F-27</w:t>
            </w:r>
          </w:p>
        </w:tc>
      </w:tr>
    </w:tbl>
    <w:p>
      <w:pPr>
        <w:sectPr>
          <w:pgSz w:w="11900" w:h="16838" w:orient="portrait"/>
          <w:cols w:equalWidth="0" w:num="1">
            <w:col w:w="11000"/>
          </w:cols>
          <w:pgMar w:left="320" w:top="459" w:right="5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60" w:firstLine="423"/>
        <w:spacing w:after="0" w:line="291" w:lineRule="auto"/>
        <w:rPr>
          <w:sz w:val="20"/>
          <w:szCs w:val="20"/>
          <w:color w:val="auto"/>
        </w:rPr>
      </w:pPr>
      <w:r>
        <w:rPr>
          <w:rFonts w:ascii="Arial" w:cs="Arial" w:eastAsia="Arial" w:hAnsi="Arial"/>
          <w:sz w:val="16"/>
          <w:szCs w:val="16"/>
          <w:color w:val="auto"/>
        </w:rPr>
        <w:t>The risk-free interest rate is determined by reference to the U.S. Treasury yield curve in effect at the time of the grant of the award for time periods approximately equal to the expected term of the stock option award. The expected term of stock option awards has been determined based on data from publicly traded set of peer companies in the restaurant industry. As the Company has historically been a private company, the Company lacks company-specific historical or implied volatility information. Therefore, the Company estimates its expected volatility based on historical volatilities of a publicly traded set of peer companies in the restaurant industry and expects to continue to do so until such time as it has adequate historical data regarding the volatility of its own traded stock price. The expected dividend yield is based on the fact that the Company has never paid cash dividends and does not have intentions of paying dividends in the foreseeable future.</w:t>
      </w:r>
    </w:p>
    <w:p>
      <w:pPr>
        <w:spacing w:after="0" w:line="31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left="560" w:right="120" w:firstLine="423"/>
        <w:spacing w:after="0" w:line="263" w:lineRule="auto"/>
        <w:rPr>
          <w:sz w:val="20"/>
          <w:szCs w:val="20"/>
          <w:color w:val="auto"/>
        </w:rPr>
      </w:pPr>
      <w:r>
        <w:rPr>
          <w:rFonts w:ascii="Arial" w:cs="Arial" w:eastAsia="Arial" w:hAnsi="Arial"/>
          <w:sz w:val="18"/>
          <w:szCs w:val="18"/>
          <w:color w:val="auto"/>
        </w:rPr>
        <w:t>The Company entered into an agreement with a vendor effective January 1, 2016 to purchase product. The agreement will remain in effect through the later of (i) the purchase of 406,905 gallons of product, or (ii) five years from the effective date. The cost per gallon of product ranged from $14.49 to $16.02 in Fiscal 2018.</w:t>
      </w:r>
    </w:p>
    <w:p>
      <w:pPr>
        <w:spacing w:after="0" w:line="76" w:lineRule="exact"/>
        <w:rPr>
          <w:sz w:val="20"/>
          <w:szCs w:val="20"/>
          <w:color w:val="auto"/>
        </w:rPr>
      </w:pPr>
    </w:p>
    <w:p>
      <w:pPr>
        <w:ind w:left="560" w:right="260" w:firstLine="423"/>
        <w:spacing w:after="0" w:line="296" w:lineRule="auto"/>
        <w:rPr>
          <w:sz w:val="20"/>
          <w:szCs w:val="20"/>
          <w:color w:val="auto"/>
        </w:rPr>
      </w:pPr>
      <w:r>
        <w:rPr>
          <w:rFonts w:ascii="Arial" w:cs="Arial" w:eastAsia="Arial" w:hAnsi="Arial"/>
          <w:sz w:val="16"/>
          <w:szCs w:val="16"/>
          <w:color w:val="auto"/>
        </w:rPr>
        <w:t>In the normal course of business, the Company has purchase agreements with terms of one year or less, expiring at various dates through Fiscal 2019 that require the Company to purchase minimum amounts of products. These obligations are generally short-term in nature and are recorded as liabilities when the related goods are received or services rendered. The Company also entered into long-term, exclusive contracts with certain vendors to supply food, beverages, paper goods and other supplies, obligating the Company to purchase specified quantities and/or products at fixed prices. There are no material financial penalties associated with these commitments in the event of early termination.</w:t>
      </w:r>
    </w:p>
    <w:p>
      <w:pPr>
        <w:spacing w:after="0" w:line="53"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In Fiscal 2018, the Company purchased 100% of its pork from two suppliers, 100% of its eggs from two suppliers, 80% of its avocados from one supplier and 100% of its coffee from one supplier.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The Company is subject to legal proceedings, claims and liabilities that arise in the ordinary course of business. In the opinion of the Company’s management, the amount of the ultimate liability with respect to these matters was not material as of December 30, 2018. In the event any litigation losses become probable and estimable, the Company will recognize any anticipated losses.</w:t>
      </w:r>
    </w:p>
    <w:p>
      <w:pPr>
        <w:spacing w:after="0" w:line="328"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Attributable to First Watch Restaurant Group, Inc. Per Common Share</w:t>
      </w:r>
    </w:p>
    <w:p>
      <w:pPr>
        <w:spacing w:after="0" w:line="121"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8"/>
          <w:szCs w:val="18"/>
          <w:color w:val="auto"/>
        </w:rPr>
        <w:t>The following table sets forth the computations of basic and diluted net loss per common share attributable to First Watch Restaurant Group, Inc. during Fiscal 2018:</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300" w:type="dxa"/>
            <w:vAlign w:val="bottom"/>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Fiscal 2018</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Net loss attributable to First Watch Restaurant Group, Inc.</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(12,296)</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 – basic and diluted</w:t>
            </w:r>
          </w:p>
        </w:tc>
        <w:tc>
          <w:tcPr>
            <w:tcW w:w="1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3,802,481</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attributable to First Watch Restaurant Group, Inc. – basic and diluted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365"/>
        </w:trPr>
        <w:tc>
          <w:tcPr>
            <w:tcW w:w="8300" w:type="dxa"/>
            <w:vAlign w:val="bottom"/>
          </w:tcPr>
          <w:p>
            <w:pPr>
              <w:ind w:left="4900"/>
              <w:spacing w:after="0"/>
              <w:rPr>
                <w:sz w:val="20"/>
                <w:szCs w:val="20"/>
                <w:color w:val="auto"/>
              </w:rPr>
            </w:pPr>
            <w:r>
              <w:rPr>
                <w:rFonts w:ascii="Arial" w:cs="Arial" w:eastAsia="Arial" w:hAnsi="Arial"/>
                <w:sz w:val="18"/>
                <w:szCs w:val="18"/>
                <w:color w:val="auto"/>
              </w:rPr>
              <w:t>F-28</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Diluted net loss per common share is calculated by adjusting the weighted average shares outstanding for the theoretical effect of potential common shares that would be issued for stock option awards outstanding and unvested as of December 30, 2018 under the Options Plan determined using the treasury-stock method. All stock option awards outstanding were excluded from the calculation of diluted loss per common share because of their anti-dilutive impact for Fiscal 2018. As a result, there was no difference between basic and diluted net loss per common share attributable to First Watch Restaurant Group, Inc. for Fiscal 2018.</w:t>
      </w:r>
    </w:p>
    <w:p>
      <w:pPr>
        <w:spacing w:after="0" w:line="332"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December 30, 2018, a receivable of approximately $0.2 million is due from a member of TFW.</w:t>
      </w:r>
    </w:p>
    <w:p>
      <w:pPr>
        <w:spacing w:after="0" w:line="370"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Registrant (Parent Company Only)</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 THOUSANDS, EXCEPT SHARES AND PER SHARE AMOUNTS)</w:t>
      </w:r>
    </w:p>
    <w:p>
      <w:pPr>
        <w:sectPr>
          <w:pgSz w:w="11900" w:h="16838" w:orient="portrait"/>
          <w:cols w:equalWidth="0" w:num="1">
            <w:col w:w="11080"/>
          </w:cols>
          <w:pgMar w:left="320" w:top="459" w:right="499" w:bottom="1440" w:gutter="0" w:footer="0" w:header="0"/>
        </w:sect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 in subsidiaries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right="1620" w:hanging="359"/>
        <w:spacing w:after="0" w:line="250" w:lineRule="auto"/>
        <w:rPr>
          <w:sz w:val="20"/>
          <w:szCs w:val="20"/>
          <w:color w:val="auto"/>
        </w:rPr>
      </w:pPr>
      <w:r>
        <w:rPr>
          <w:rFonts w:ascii="Arial" w:cs="Arial" w:eastAsia="Arial" w:hAnsi="Arial"/>
          <w:sz w:val="18"/>
          <w:szCs w:val="18"/>
          <w:color w:val="auto"/>
        </w:rPr>
        <w:t>Common stock; $0.01 par value; 4,321,000 shares authorized; 3,802,481 shares issued and outstanding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equity attributable to First Watch Restaurant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63" w:lineRule="exact"/>
        <w:rPr>
          <w:sz w:val="20"/>
          <w:szCs w:val="20"/>
          <w:color w:val="auto"/>
        </w:rPr>
      </w:pPr>
    </w:p>
    <w:p>
      <w:pPr>
        <w:jc w:val="center"/>
        <w:ind w:left="2120" w:right="160"/>
        <w:spacing w:after="0" w:line="266" w:lineRule="auto"/>
        <w:rPr>
          <w:sz w:val="20"/>
          <w:szCs w:val="20"/>
          <w:color w:val="auto"/>
        </w:rPr>
      </w:pPr>
      <w:r>
        <w:rPr>
          <w:rFonts w:ascii="Arial" w:cs="Arial" w:eastAsia="Arial" w:hAnsi="Arial"/>
          <w:sz w:val="18"/>
          <w:szCs w:val="18"/>
          <w:b w:val="1"/>
          <w:bCs w:val="1"/>
          <w:color w:val="auto"/>
        </w:rPr>
        <w:t xml:space="preserve">FIRST WATCH RESTAURANT GROUP, INC. CONSOLIDATED STATEMENT OF OPERATIONS AND COMPREHENSIVE LOSS </w:t>
      </w:r>
      <w:r>
        <w:rPr>
          <w:rFonts w:ascii="Arial" w:cs="Arial" w:eastAsia="Arial" w:hAnsi="Arial"/>
          <w:sz w:val="18"/>
          <w:szCs w:val="18"/>
          <w:i w:val="1"/>
          <w:iCs w:val="1"/>
          <w:color w:val="auto"/>
        </w:rPr>
        <w:t>(IN THOUSANDS, EXCEPT SHARE AND PER SHARE DATA)</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 net loss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right="2060"/>
        <w:spacing w:after="0" w:line="290" w:lineRule="auto"/>
        <w:rPr>
          <w:sz w:val="20"/>
          <w:szCs w:val="20"/>
          <w:color w:val="auto"/>
        </w:rPr>
      </w:pPr>
      <w:r>
        <w:rPr>
          <w:rFonts w:ascii="Arial" w:cs="Arial" w:eastAsia="Arial" w:hAnsi="Arial"/>
          <w:sz w:val="17"/>
          <w:szCs w:val="17"/>
          <w:color w:val="auto"/>
        </w:rPr>
        <w:t>Net loss per common share attributable to First Watch Restaurant Group, Inc. – basic and diluted Weighted average number of common shares outstanding – basic and diluted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December 30, 2018</w:t>
      </w:r>
    </w:p>
    <w:p>
      <w:pPr>
        <w:spacing w:after="0" w:line="223" w:lineRule="exact"/>
        <w:rPr>
          <w:sz w:val="20"/>
          <w:szCs w:val="20"/>
          <w:color w:val="auto"/>
        </w:rPr>
      </w:pPr>
    </w:p>
    <w:p>
      <w:pPr>
        <w:ind w:left="580" w:hanging="577"/>
        <w:spacing w:after="0"/>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374,424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372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7372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71" w:lineRule="exact"/>
        <w:rPr>
          <w:sz w:val="20"/>
          <w:szCs w:val="20"/>
          <w:color w:val="auto"/>
        </w:rPr>
      </w:pPr>
    </w:p>
    <w:p>
      <w:pPr>
        <w:ind w:left="980" w:hanging="977"/>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38</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color w:val="auto"/>
        </w:rPr>
        <w:t>382,077</w:t>
      </w:r>
    </w:p>
    <w:p>
      <w:pPr>
        <w:spacing w:after="0" w:line="20"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6"/>
          <w:szCs w:val="16"/>
          <w:color w:val="auto"/>
        </w:rPr>
        <w:t>(7,691)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372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5" w:lineRule="exact"/>
        <w:rPr>
          <w:sz w:val="20"/>
          <w:szCs w:val="20"/>
          <w:color w:val="auto"/>
        </w:rPr>
      </w:pPr>
    </w:p>
    <w:p>
      <w:pPr>
        <w:ind w:left="580" w:hanging="577"/>
        <w:spacing w:after="0"/>
        <w:tabs>
          <w:tab w:leader="none" w:pos="5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374,424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372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7372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Fiscal 2018</w:t>
      </w:r>
    </w:p>
    <w:p>
      <w:pPr>
        <w:spacing w:after="0" w:line="212" w:lineRule="exact"/>
        <w:rPr>
          <w:sz w:val="20"/>
          <w:szCs w:val="20"/>
          <w:color w:val="auto"/>
        </w:rPr>
      </w:pPr>
    </w:p>
    <w:p>
      <w:pPr>
        <w:ind w:left="600" w:hanging="260"/>
        <w:spacing w:after="0"/>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(12,302)</w:t>
      </w:r>
    </w:p>
    <w:p>
      <w:pPr>
        <w:spacing w:after="0" w:line="46" w:lineRule="exact"/>
        <w:rPr>
          <w:rFonts w:ascii="Arial" w:cs="Arial" w:eastAsia="Arial" w:hAnsi="Arial"/>
          <w:sz w:val="16"/>
          <w:szCs w:val="16"/>
          <w:color w:val="auto"/>
        </w:rPr>
      </w:pPr>
    </w:p>
    <w:p>
      <w:pPr>
        <w:ind w:left="780" w:hanging="440"/>
        <w:spacing w:after="0"/>
        <w:tabs>
          <w:tab w:leader="none" w:pos="7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(3.23)</w:t>
      </w:r>
    </w:p>
    <w:p>
      <w:pPr>
        <w:spacing w:after="0" w:line="3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7"/>
          <w:szCs w:val="17"/>
          <w:color w:val="auto"/>
        </w:rPr>
        <w:t>3,802,481</w:t>
      </w:r>
    </w:p>
    <w:p>
      <w:pPr>
        <w:spacing w:after="0" w:line="113" w:lineRule="exact"/>
        <w:rPr>
          <w:sz w:val="20"/>
          <w:szCs w:val="20"/>
          <w:color w:val="auto"/>
        </w:rPr>
      </w:pPr>
    </w:p>
    <w:p>
      <w:pPr>
        <w:sectPr>
          <w:pgSz w:w="11900" w:h="16838" w:orient="portrait"/>
          <w:cols w:equalWidth="0" w:num="2">
            <w:col w:w="9140" w:space="720"/>
            <w:col w:w="1220"/>
          </w:cols>
          <w:pgMar w:left="320" w:top="459" w:right="499" w:bottom="1440" w:gutter="0" w:footer="0" w:header="0"/>
          <w:type w:val="continuous"/>
        </w:sectPr>
      </w:pPr>
    </w:p>
    <w:p>
      <w:pPr>
        <w:ind w:left="120" w:right="200" w:firstLine="440"/>
        <w:spacing w:after="0" w:line="277" w:lineRule="auto"/>
        <w:rPr>
          <w:sz w:val="20"/>
          <w:szCs w:val="20"/>
          <w:color w:val="auto"/>
        </w:rPr>
      </w:pPr>
      <w:r>
        <w:rPr>
          <w:rFonts w:ascii="Arial" w:cs="Arial" w:eastAsia="Arial" w:hAnsi="Arial"/>
          <w:sz w:val="18"/>
          <w:szCs w:val="18"/>
          <w:color w:val="auto"/>
        </w:rPr>
        <w:t>A statement of cash flows has not been presented as First Watch Restaurant Group, Inc. did not have any cash as of, or for the fiscal year ended December 30,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23"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 xml:space="preserve">The Company is a holding company without any operations of its own, (the “Parent Company”). Pursuant to the terms of the Credit Agreement discussed in Note 10,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and certain of its subsidiaries have restrictions on their ability to, among other things, incur additional indebtedness, pay dividends or make certain</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9" w:right="49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intercompany loans and advances. As a result of these restrictions, these parent company financial statements have been prepared in accordance with Rule 12-04 of Regulation S-X, as restricted net assets of the Company’s subsidiaries (as defined in Rule 4-08(e)(3) of Regulation S-X) exceed 25% of the Company’s consolidated net assets as of December 30, 2018.</w:t>
      </w:r>
    </w:p>
    <w:p>
      <w:pPr>
        <w:spacing w:after="0" w:line="76"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These condensed financial statements have been prepared on a “parent-only” basis. These condensed parent company financial statements have been prepared using the same accounting principles and policies described in the notes to the Company’s consolidated financial statements, with the only exception being that the parent company accounts for its subsidiaries using the equity method. Certain information and footnote disclosures normally included in financial statements prepared in accordance with U.S. GAAP have been condensed or omitted. The accompanying condensed financial information should be read in conjunction with the Company’s consolidated financial statements and related notes thereto.</w:t>
      </w:r>
    </w:p>
    <w:p>
      <w:pPr>
        <w:spacing w:after="0" w:line="306"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60" w:right="500" w:firstLine="423"/>
        <w:spacing w:after="0" w:line="277" w:lineRule="auto"/>
        <w:rPr>
          <w:sz w:val="20"/>
          <w:szCs w:val="20"/>
          <w:color w:val="auto"/>
        </w:rPr>
      </w:pPr>
      <w:r>
        <w:rPr>
          <w:rFonts w:ascii="Arial" w:cs="Arial" w:eastAsia="Arial" w:hAnsi="Arial"/>
          <w:sz w:val="18"/>
          <w:szCs w:val="18"/>
          <w:color w:val="auto"/>
        </w:rPr>
        <w:t>The Company has evaluated subsequent events through January 8, 2020, the date on which the consolidated financial statements were available to be issued.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560" w:right="40" w:firstLine="423"/>
        <w:spacing w:after="0" w:line="293" w:lineRule="auto"/>
        <w:rPr>
          <w:sz w:val="20"/>
          <w:szCs w:val="20"/>
          <w:color w:val="auto"/>
        </w:rPr>
      </w:pPr>
      <w:r>
        <w:rPr>
          <w:rFonts w:ascii="Arial" w:cs="Arial" w:eastAsia="Arial" w:hAnsi="Arial"/>
          <w:sz w:val="16"/>
          <w:szCs w:val="16"/>
          <w:color w:val="auto"/>
        </w:rPr>
        <w:t>In the second quarter of the fiscal year ended December 29, 2019 (“Fiscal 2019”), the Company’s management conducted a strategic review of the Company’s operations and identified needs for increased capital investment and for operational changes in The Egg &amp; I restaurants in order for them to remain competitive. Following an internal assessment related to the company-owned The Egg &amp; I restaurants and discussions with The Egg &amp; I franchisees, the Company’s management determined there was a reluctance to make sufficient capital investment and operational changes. As such, the Company’s management concluded a triggering event had occurred in the second quarter of Fiscal 2019 and determined it was more likely than not that the carrying value of The Egg &amp; I definite and indefinite-lived intangible assets exceeded their fair values.</w:t>
      </w:r>
    </w:p>
    <w:p>
      <w:pPr>
        <w:spacing w:after="0" w:line="56"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Company’s management performed a quantitative assessment of the expected future cash flows from The Egg &amp; I trade name using the relief from royalty method. As a result of this assessment, the Company recognized a second quarter non-cash impairment charge of $29.3 million related to the indefinite-lived intangible assets. Additionally, the Company’s management evaluated The Egg &amp; I franchise rights, which are definite-lived intangible assets amortized over 13 years. As a result of this evaluation, the Company recognized a non-cash impairment charge of $3.2 million in the second quarter of Fiscal 2019. The remaining net book value of $0.3 million and $0.4 million for the The Egg &amp; I trade name and franchise rights, respectively, will be amortized through the end of Fiscal 2019, which is the estimated time by which all remaining restaurants under the The Egg &amp; I trade name are expected to close or disenfranchise.</w:t>
      </w:r>
    </w:p>
    <w:p>
      <w:pPr>
        <w:spacing w:after="0" w:line="69" w:lineRule="exact"/>
        <w:rPr>
          <w:sz w:val="20"/>
          <w:szCs w:val="20"/>
          <w:color w:val="auto"/>
        </w:rPr>
      </w:pPr>
    </w:p>
    <w:p>
      <w:pPr>
        <w:ind w:left="560" w:right="500" w:firstLine="423"/>
        <w:spacing w:after="0" w:line="342" w:lineRule="auto"/>
        <w:rPr>
          <w:sz w:val="20"/>
          <w:szCs w:val="20"/>
          <w:color w:val="auto"/>
        </w:rPr>
      </w:pPr>
      <w:r>
        <w:rPr>
          <w:rFonts w:ascii="Arial" w:cs="Arial" w:eastAsia="Arial" w:hAnsi="Arial"/>
          <w:sz w:val="16"/>
          <w:szCs w:val="16"/>
          <w:color w:val="auto"/>
        </w:rPr>
        <w:t>Lease termination and other related closure expenses for restaurants with The Egg &amp; I trade name of approximately $0.5 million were recorded within transaction and other expenses on the consolidated statement of operations and comprehensive loss in Fiscal 2019.</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During Fiscal 2019, the Company acquired and obtained control of certain franchised restaurants, 11 of which operated under the The Egg &amp; I trade name and 7 of which operated under the First Watch trade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name, from multiple franchisees for a total aggregated price of $21.8 million in cash. These acquired restaurants were converted to company-owned restaurants operating under the First Watch trade name. The acquisitions were accounted for as business combinations and approximately $14.6 million was attributed to goodwill, which is tax deductible for income tax purposes. The portion of the purchase price attributable to goodwill represents benefits expected as a result of the acquisitions, including sales and unit growth opportunities. The Company incurred transaction costs of approximately $0.8 million, which were recorded in transaction and other expenses on the consolidated statement of operations and other comprehensive loss. The results of operations, financial position and cash flows of all the Company’s acquired restaurants are included in the consolidated financial statements from the dates of acquisition.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Lease termination</w:t>
      </w:r>
    </w:p>
    <w:p>
      <w:pPr>
        <w:spacing w:after="0" w:line="117" w:lineRule="exact"/>
        <w:rPr>
          <w:sz w:val="20"/>
          <w:szCs w:val="20"/>
          <w:color w:val="auto"/>
        </w:rPr>
      </w:pPr>
    </w:p>
    <w:p>
      <w:pPr>
        <w:ind w:left="560" w:right="80" w:firstLine="423"/>
        <w:spacing w:after="0" w:line="259" w:lineRule="auto"/>
        <w:rPr>
          <w:sz w:val="20"/>
          <w:szCs w:val="20"/>
          <w:color w:val="auto"/>
        </w:rPr>
      </w:pPr>
      <w:r>
        <w:rPr>
          <w:rFonts w:ascii="Arial" w:cs="Arial" w:eastAsia="Arial" w:hAnsi="Arial"/>
          <w:sz w:val="18"/>
          <w:szCs w:val="18"/>
          <w:color w:val="auto"/>
        </w:rPr>
        <w:t>On December 16, 2019, the Company entered into an agreement to terminate the lease for one of its restaurant locations in January 2020. Pursuant to the agreement, the Company received $0.45 million in December 2019 and will receive an additional $0.45 million upon vacating the leased property in January 2020. The Company recorded a gain on lease termination of $0.9 million in transaction and other expenses on the consolidated statement of operations and comprehensive loss in December 2019.</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560" w:firstLine="423"/>
        <w:spacing w:after="0" w:line="284" w:lineRule="auto"/>
        <w:rPr>
          <w:sz w:val="20"/>
          <w:szCs w:val="20"/>
          <w:color w:val="auto"/>
        </w:rPr>
      </w:pPr>
      <w:r>
        <w:rPr>
          <w:rFonts w:ascii="Arial" w:cs="Arial" w:eastAsia="Arial" w:hAnsi="Arial"/>
          <w:sz w:val="16"/>
          <w:szCs w:val="16"/>
          <w:color w:val="auto"/>
        </w:rPr>
        <w:t>The Company executed an amendment to its Credit Agreement, which was effective on February 28, 2019. The amendment provided for a new delayed term loan commitment in an aggregate principal amount of $50.0 million, which was available on February 28, 2019 and until February 28, 2021. In addition, the Initial Delayed Draw Term Facility Commitment termination date was amended to mean the earlier of two years after the amendment effective date, and the date the Initial Delayed Draw Term Facility Commitment is wholly terminated. Interest continues to be calculated based on the election, by the Company, to accrue interest at the “Alternate Base Rate” or “Eurocurrency Rate” plus the “Applicable Rate” based on the Company’s leverage ratio. Applicable Rate was amended and ranges from 4.25% to 6.00%. The amendment to the Credit Agreement also extended the 1.00% prepayment penalty of the aggregate principal amounts of the initial term loans to on or prior to December 31, 2019. The amendment to the Credit Agreement is accounted for as a debt modification. The Company incurred a total of</w:t>
      </w:r>
    </w:p>
    <w:p>
      <w:pPr>
        <w:spacing w:after="0" w:line="1" w:lineRule="exact"/>
        <w:rPr>
          <w:sz w:val="20"/>
          <w:szCs w:val="20"/>
          <w:color w:val="auto"/>
        </w:rPr>
      </w:pPr>
    </w:p>
    <w:p>
      <w:pPr>
        <w:ind w:left="560" w:right="100"/>
        <w:spacing w:after="0" w:line="260" w:lineRule="auto"/>
        <w:rPr>
          <w:sz w:val="20"/>
          <w:szCs w:val="20"/>
          <w:color w:val="auto"/>
        </w:rPr>
      </w:pPr>
      <w:r>
        <w:rPr>
          <w:rFonts w:ascii="Arial" w:cs="Arial" w:eastAsia="Arial" w:hAnsi="Arial"/>
          <w:sz w:val="18"/>
          <w:szCs w:val="18"/>
          <w:color w:val="auto"/>
        </w:rPr>
        <w:t>$0.9 million in costs, of which $0.5 million is recognized and amortized as debt discount and deferred issuance costs and $0.4 million is recorded on the consolidated statement of operations and comprehensive loss in the first quarter of Fiscal 2019.</w:t>
      </w:r>
    </w:p>
    <w:p>
      <w:pPr>
        <w:spacing w:after="0" w:line="77" w:lineRule="exact"/>
        <w:rPr>
          <w:sz w:val="20"/>
          <w:szCs w:val="20"/>
          <w:color w:val="auto"/>
        </w:rPr>
      </w:pPr>
    </w:p>
    <w:p>
      <w:pPr>
        <w:ind w:left="560" w:right="60" w:firstLine="423"/>
        <w:spacing w:after="0" w:line="293" w:lineRule="auto"/>
        <w:rPr>
          <w:sz w:val="20"/>
          <w:szCs w:val="20"/>
          <w:color w:val="auto"/>
        </w:rPr>
      </w:pPr>
      <w:r>
        <w:rPr>
          <w:rFonts w:ascii="Arial" w:cs="Arial" w:eastAsia="Arial" w:hAnsi="Arial"/>
          <w:sz w:val="16"/>
          <w:szCs w:val="16"/>
          <w:color w:val="auto"/>
        </w:rPr>
        <w:t>The Company executed a second amendment to its Credit Agreement, which was effective on December 20, 2019. The second amendment provided for a new delayed term loan commitment in an aggregate principal amount of $40.0 million, which was available on December 20, 2019 and until December 20, 2021. Interest continues to be calculated based on the election, by the Company, to accrue interest at the “Alternate Base Rate” or “Eurocurrency Rate” plus the “Applicable Rate” based on the Company’s leverage ratio. The amendment to the Credit Agreement is accounted for as a debt modification. The Company incurred a total of $0.7 million in costs, of which $0.4 million is recognized and amortized as debt discount costs and $0.3 million is recorded on the consolidated statement of operations and comprehensive loss.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During Fiscal 2019, the Company had been engaged in pre-litigation settlement discussions relating to a matter involving former employees. Although the Company believes the allegations are not supported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FIRST WATCH RESTAURANT GROUP,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any evidence or the law, the Company considers it probable that there will be a settlement and an outflow of funds related to this matter. As a result, the Company recorded a total liability of $0.6 million in Fiscal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During Fiscal 2019, a total of 70,099 stock option awards were granted to certain employees and non-employee directors of the Company.</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Non-controlling interest</w:t>
      </w:r>
    </w:p>
    <w:p>
      <w:pPr>
        <w:spacing w:after="0" w:line="117" w:lineRule="exact"/>
        <w:rPr>
          <w:sz w:val="20"/>
          <w:szCs w:val="20"/>
          <w:color w:val="auto"/>
        </w:rPr>
      </w:pPr>
    </w:p>
    <w:p>
      <w:pPr>
        <w:ind w:left="560" w:firstLine="423"/>
        <w:spacing w:after="0" w:line="286" w:lineRule="auto"/>
        <w:rPr>
          <w:sz w:val="20"/>
          <w:szCs w:val="20"/>
          <w:color w:val="auto"/>
        </w:rPr>
      </w:pPr>
      <w:r>
        <w:rPr>
          <w:rFonts w:ascii="Arial" w:cs="Arial" w:eastAsia="Arial" w:hAnsi="Arial"/>
          <w:sz w:val="17"/>
          <w:szCs w:val="17"/>
          <w:color w:val="auto"/>
        </w:rPr>
        <w:t>On December 24, 2019, the Company entered into an agreement to acquire the 25% non-controlling interest in TFW for $0.45 million. The Company accounted for this acquisition as an equity transaction with the difference between the cash paid and the carrying amount of the non-controlling interest recognized as a decrease in equity attributable to First Watch Restaurant Group, Inc.</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00"/>
          </w:cols>
          <w:pgMar w:left="320" w:top="459" w:right="5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177165</wp:posOffset>
            </wp:positionV>
            <wp:extent cx="2486025" cy="131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48602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1143635</wp:posOffset>
            </wp:positionV>
            <wp:extent cx="1474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Until , 2020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397510</wp:posOffset>
            </wp:positionV>
            <wp:extent cx="6995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457835</wp:posOffset>
            </wp:positionV>
            <wp:extent cx="699516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sets forth all costs and expenses, other than the underwriting discount, paid or payable by us in connection with the sale of the common stock being registered. All amounts shown are estimates except for the SEC registration fee, the FINRA filing fee and the listing fee for the</w:t>
      </w:r>
    </w:p>
    <w:tbl>
      <w:tblPr>
        <w:tblLayout w:type="fixed"/>
        <w:tblInd w:w="1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or</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4"/>
        </w:trPr>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Amount Paid</w:t>
            </w:r>
          </w:p>
        </w:tc>
      </w:tr>
      <w:tr>
        <w:trPr>
          <w:trHeight w:val="171"/>
        </w:trPr>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9"/>
              </w:rPr>
              <w:t>or to be Paid</w:t>
            </w:r>
          </w:p>
        </w:tc>
      </w:tr>
      <w:tr>
        <w:trPr>
          <w:trHeight w:val="209"/>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r>
      <w:tr>
        <w:trPr>
          <w:trHeight w:val="223"/>
        </w:trPr>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Officers and Directors.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directors and executive officers. These agreements, among other things, will require the Registrant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p>
    <w:p>
      <w:pPr>
        <w:spacing w:after="0" w:line="76" w:lineRule="exact"/>
        <w:rPr>
          <w:sz w:val="20"/>
          <w:szCs w:val="20"/>
          <w:color w:val="auto"/>
        </w:rPr>
      </w:pPr>
    </w:p>
    <w:p>
      <w:pPr>
        <w:ind w:left="1080" w:right="320" w:hanging="424"/>
        <w:spacing w:after="0" w:line="31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August 2017, in connection with the Advent Acquisition, the Registrant issued 3,802,481 shares to AI Fresh Holding Limited Partnership, a Delaware limited partnership in which funds affiliated with or managed by Advent, certain officers and directors of the company and certain equity holders of the acquired company hold interests, for total consideration of $380,248,085, or $100 per share.</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August 2017, the Registrant granted options to 32 employees and directors to purchase an aggregate of 364,000 shares of its common stock at an exercise price of $100 per share.</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July 2018, the Registrant granted options to three employees to purchase an aggregate of 41,000 shares of its common stock at an exercise price of $100 per share.</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October 2018, the Registrant granted options to 11 employees to purchase an aggregate of 15,719 shares of its common stock at an exercise price of $140 per share.</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April 2019, the Registrant granted options to 10 employees to purchase an aggregate of 39,670 shares of its common stock at an exercise price of $150 per share.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From July through October 2019, the Registrant granted options to four employees and directors to purchase an aggregate of 30,429 shares of its common stock at an exercise price of $160 per share.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shares of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380" w:hanging="264"/>
        <w:spacing w:after="0"/>
        <w:tabs>
          <w:tab w:leader="none" w:pos="3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480" w:type="dxa"/>
            <w:vAlign w:val="bottom"/>
            <w:gridSpan w:val="3"/>
            <w:vMerge w:val="restart"/>
          </w:tcPr>
          <w:p>
            <w:pPr>
              <w:ind w:left="4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8"/>
              </w:rPr>
              <w:t>No.</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1.1*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3.1*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8"/>
              </w:rPr>
              <w:t>Form of Amended and Restated Certificate of Incorporation of First Watch Restaurant Group, Inc. to be in effect prior to the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consummation of the offering made under this Registration Statement.</w:t>
            </w:r>
          </w:p>
        </w:tc>
        <w:tc>
          <w:tcPr>
            <w:tcW w:w="0" w:type="dxa"/>
            <w:vAlign w:val="bottom"/>
          </w:tcPr>
          <w:p>
            <w:pPr>
              <w:spacing w:after="0"/>
              <w:rPr>
                <w:sz w:val="1"/>
                <w:szCs w:val="1"/>
                <w:color w:val="auto"/>
              </w:rPr>
            </w:pPr>
          </w:p>
        </w:tc>
      </w:tr>
      <w:tr>
        <w:trPr>
          <w:trHeight w:val="310"/>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3.2*</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1"/>
              </w:rPr>
              <w:t>Form of Amended and Restated Bylaws of First Watch Restaurant Group, Inc. to be in effect prior to the consummation of the offering</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made under this Registration Statement.</w:t>
            </w:r>
          </w:p>
        </w:tc>
        <w:tc>
          <w:tcPr>
            <w:tcW w:w="0" w:type="dxa"/>
            <w:vAlign w:val="bottom"/>
          </w:tcPr>
          <w:p>
            <w:pPr>
              <w:spacing w:after="0"/>
              <w:rPr>
                <w:sz w:val="1"/>
                <w:szCs w:val="1"/>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Certificate of Incorporation of First Watch Restaurant Group, Inc., as currently in effect.</w:t>
            </w:r>
          </w:p>
        </w:tc>
        <w:tc>
          <w:tcPr>
            <w:tcW w:w="0" w:type="dxa"/>
            <w:vAlign w:val="bottom"/>
          </w:tcPr>
          <w:p>
            <w:pPr>
              <w:spacing w:after="0"/>
              <w:rPr>
                <w:sz w:val="1"/>
                <w:szCs w:val="1"/>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Bylaws of First Watch Restaurant Group, Inc., as currently in effect.</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4.1*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Form of Certificate of Common Stock.</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rPr>
              <w:t>5.1*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Opinion of Weil, Gotshal &amp; Manges, LLP.</w:t>
            </w:r>
          </w:p>
        </w:tc>
        <w:tc>
          <w:tcPr>
            <w:tcW w:w="0" w:type="dxa"/>
            <w:vAlign w:val="bottom"/>
          </w:tcPr>
          <w:p>
            <w:pPr>
              <w:spacing w:after="0"/>
              <w:rPr>
                <w:sz w:val="1"/>
                <w:szCs w:val="1"/>
                <w:color w:val="auto"/>
              </w:rPr>
            </w:pPr>
          </w:p>
        </w:tc>
      </w:tr>
      <w:tr>
        <w:trPr>
          <w:trHeight w:val="310"/>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10.1*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0"/>
              </w:rPr>
              <w:t>Credit Agreement, dated as of August 21, 2017, between FWR Holding Corporation as Borrower, the lenders party thereto, and Golub</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Capital Markets LLC, as Administrative Agent.</w:t>
            </w:r>
          </w:p>
        </w:tc>
        <w:tc>
          <w:tcPr>
            <w:tcW w:w="0" w:type="dxa"/>
            <w:vAlign w:val="bottom"/>
          </w:tcPr>
          <w:p>
            <w:pPr>
              <w:spacing w:after="0"/>
              <w:rPr>
                <w:sz w:val="1"/>
                <w:szCs w:val="1"/>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10.2</w:t>
            </w:r>
          </w:p>
        </w:tc>
        <w:tc>
          <w:tcPr>
            <w:tcW w:w="480" w:type="dxa"/>
            <w:vAlign w:val="bottom"/>
          </w:tcPr>
          <w:p>
            <w:pPr>
              <w:spacing w:after="0"/>
              <w:rPr>
                <w:sz w:val="24"/>
                <w:szCs w:val="24"/>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w w:val="97"/>
              </w:rPr>
              <w:t>Employment Agreement, dated August 21, 2017, by and between First Watch Restaurants, Inc. and Christopher A. Tomasso.</w:t>
            </w:r>
          </w:p>
        </w:tc>
        <w:tc>
          <w:tcPr>
            <w:tcW w:w="0" w:type="dxa"/>
            <w:vAlign w:val="bottom"/>
          </w:tcPr>
          <w:p>
            <w:pPr>
              <w:spacing w:after="0"/>
              <w:rPr>
                <w:sz w:val="1"/>
                <w:szCs w:val="1"/>
                <w:color w:val="auto"/>
              </w:rPr>
            </w:pPr>
          </w:p>
        </w:tc>
      </w:tr>
      <w:tr>
        <w:trPr>
          <w:trHeight w:val="324"/>
        </w:trPr>
        <w:tc>
          <w:tcPr>
            <w:tcW w:w="340" w:type="dxa"/>
            <w:vAlign w:val="bottom"/>
            <w:gridSpan w:val="2"/>
          </w:tcPr>
          <w:p>
            <w:pPr>
              <w:jc w:val="right"/>
              <w:spacing w:after="0"/>
              <w:rPr>
                <w:sz w:val="20"/>
                <w:szCs w:val="20"/>
                <w:color w:val="auto"/>
              </w:rPr>
            </w:pPr>
            <w:r>
              <w:rPr>
                <w:rFonts w:ascii="Arial" w:cs="Arial" w:eastAsia="Arial" w:hAnsi="Arial"/>
                <w:sz w:val="18"/>
                <w:szCs w:val="18"/>
                <w:color w:val="auto"/>
                <w:w w:val="85"/>
              </w:rPr>
              <w:t>10.3</w:t>
            </w:r>
          </w:p>
        </w:tc>
        <w:tc>
          <w:tcPr>
            <w:tcW w:w="480" w:type="dxa"/>
            <w:vAlign w:val="bottom"/>
          </w:tcPr>
          <w:p>
            <w:pPr>
              <w:spacing w:after="0"/>
              <w:rPr>
                <w:sz w:val="24"/>
                <w:szCs w:val="24"/>
                <w:color w:val="auto"/>
              </w:rPr>
            </w:pP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2017 AI Fresh Super Holdco, Inc. Equity Incentive Plan, dated as of August 31, 2017.</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10.4*</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Form of First Watch Restaurant Group, Inc. 2020 Equity Incentive Plan.</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10.5*</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Form of Director Indemnification Agreement for First Watch Restaurant Group, Inc.</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21.1*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23.1*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Consent of PricewaterhouseCoopers LLP.</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23.2*</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Consent of Weil, Gotshal &amp; Manges, LLP (included in Exhibit 5.1).</w:t>
            </w:r>
          </w:p>
        </w:tc>
        <w:tc>
          <w:tcPr>
            <w:tcW w:w="0" w:type="dxa"/>
            <w:vAlign w:val="bottom"/>
          </w:tcPr>
          <w:p>
            <w:pPr>
              <w:spacing w:after="0"/>
              <w:rPr>
                <w:sz w:val="1"/>
                <w:szCs w:val="1"/>
                <w:color w:val="auto"/>
              </w:rPr>
            </w:pPr>
          </w:p>
        </w:tc>
      </w:tr>
      <w:tr>
        <w:trPr>
          <w:trHeight w:val="324"/>
        </w:trPr>
        <w:tc>
          <w:tcPr>
            <w:tcW w:w="82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24.1*</w:t>
            </w:r>
          </w:p>
        </w:tc>
        <w:tc>
          <w:tcPr>
            <w:tcW w:w="9880" w:type="dxa"/>
            <w:vAlign w:val="bottom"/>
            <w:gridSpan w:val="4"/>
          </w:tcPr>
          <w:p>
            <w:pPr>
              <w:ind w:left="18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gridSpan w:val="4"/>
          </w:tcPr>
          <w:p>
            <w:pPr>
              <w:spacing w:after="0"/>
              <w:rPr>
                <w:sz w:val="11"/>
                <w:szCs w:val="11"/>
                <w:color w:val="auto"/>
              </w:rPr>
            </w:pPr>
          </w:p>
        </w:tc>
        <w:tc>
          <w:tcPr>
            <w:tcW w:w="94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700" w:type="dxa"/>
            <w:vAlign w:val="bottom"/>
            <w:gridSpan w:val="7"/>
          </w:tcPr>
          <w:p>
            <w:pPr>
              <w:spacing w:after="0"/>
              <w:rPr>
                <w:sz w:val="20"/>
                <w:szCs w:val="20"/>
                <w:color w:val="auto"/>
              </w:rPr>
            </w:pPr>
            <w:r>
              <w:rPr>
                <w:rFonts w:ascii="Arial" w:cs="Arial" w:eastAsia="Arial" w:hAnsi="Arial"/>
                <w:sz w:val="18"/>
                <w:szCs w:val="18"/>
                <w:color w:val="auto"/>
              </w:rPr>
              <w:t>*  To be filed by amendment.</w:t>
            </w:r>
          </w:p>
        </w:tc>
        <w:tc>
          <w:tcPr>
            <w:tcW w:w="0" w:type="dxa"/>
            <w:vAlign w:val="bottom"/>
          </w:tcPr>
          <w:p>
            <w:pPr>
              <w:spacing w:after="0"/>
              <w:rPr>
                <w:sz w:val="1"/>
                <w:szCs w:val="1"/>
                <w:color w:val="auto"/>
              </w:rPr>
            </w:pPr>
          </w:p>
        </w:tc>
      </w:tr>
      <w:tr>
        <w:trPr>
          <w:trHeight w:val="581"/>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17.</w:t>
            </w:r>
          </w:p>
        </w:tc>
        <w:tc>
          <w:tcPr>
            <w:tcW w:w="9880" w:type="dxa"/>
            <w:vAlign w:val="bottom"/>
            <w:gridSpan w:val="4"/>
          </w:tcPr>
          <w:p>
            <w:pPr>
              <w:ind w:left="260"/>
              <w:spacing w:after="0"/>
              <w:rPr>
                <w:sz w:val="20"/>
                <w:szCs w:val="20"/>
                <w:color w:val="auto"/>
              </w:rPr>
            </w:pPr>
            <w:r>
              <w:rPr>
                <w:rFonts w:ascii="Arial" w:cs="Arial" w:eastAsia="Arial" w:hAnsi="Arial"/>
                <w:sz w:val="18"/>
                <w:szCs w:val="18"/>
                <w:b w:val="1"/>
                <w:bCs w:val="1"/>
                <w:color w:val="auto"/>
              </w:rPr>
              <w:t>Undertakings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532"/>
        <w:spacing w:after="0" w:line="311"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18"/>
                <w:szCs w:val="18"/>
                <w:color w:val="auto"/>
                <w:w w:val="99"/>
              </w:rPr>
              <w:t>undersigned, thereunto duly authorized in the City of University Park, State of Florida, on</w:t>
            </w:r>
          </w:p>
        </w:tc>
        <w:tc>
          <w:tcPr>
            <w:tcW w:w="3960" w:type="dxa"/>
            <w:vAlign w:val="bottom"/>
          </w:tcPr>
          <w:p>
            <w:pPr>
              <w:ind w:left="140"/>
              <w:spacing w:after="0"/>
              <w:rPr>
                <w:sz w:val="20"/>
                <w:szCs w:val="20"/>
                <w:color w:val="auto"/>
              </w:rPr>
            </w:pPr>
            <w:r>
              <w:rPr>
                <w:rFonts w:ascii="Arial" w:cs="Arial" w:eastAsia="Arial" w:hAnsi="Arial"/>
                <w:sz w:val="18"/>
                <w:szCs w:val="18"/>
                <w:color w:val="auto"/>
              </w:rPr>
              <w:t>, 2020.</w:t>
            </w:r>
          </w:p>
        </w:tc>
      </w:tr>
      <w:tr>
        <w:trPr>
          <w:trHeight w:val="445"/>
        </w:trPr>
        <w:tc>
          <w:tcPr>
            <w:tcW w:w="11020" w:type="dxa"/>
            <w:vAlign w:val="bottom"/>
            <w:gridSpan w:val="2"/>
          </w:tcPr>
          <w:p>
            <w:pPr>
              <w:ind w:left="6620"/>
              <w:spacing w:after="0"/>
              <w:rPr>
                <w:sz w:val="20"/>
                <w:szCs w:val="20"/>
                <w:color w:val="auto"/>
              </w:rPr>
            </w:pPr>
            <w:r>
              <w:rPr>
                <w:rFonts w:ascii="Arial" w:cs="Arial" w:eastAsia="Arial" w:hAnsi="Arial"/>
                <w:sz w:val="18"/>
                <w:szCs w:val="18"/>
                <w:b w:val="1"/>
                <w:bCs w:val="1"/>
                <w:color w:val="auto"/>
              </w:rPr>
              <w:t>FIRST WATCH RESTAURANT GROUP, INC.</w:t>
            </w:r>
          </w:p>
        </w:tc>
      </w:tr>
      <w:tr>
        <w:trPr>
          <w:trHeight w:val="432"/>
        </w:trPr>
        <w:tc>
          <w:tcPr>
            <w:tcW w:w="7060" w:type="dxa"/>
            <w:vAlign w:val="bottom"/>
          </w:tcPr>
          <w:p>
            <w:pPr>
              <w:ind w:left="662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4"/>
                <w:szCs w:val="24"/>
                <w:color w:val="auto"/>
              </w:rPr>
            </w:pPr>
          </w:p>
        </w:tc>
      </w:tr>
      <w:tr>
        <w:trPr>
          <w:trHeight w:val="209"/>
        </w:trPr>
        <w:tc>
          <w:tcPr>
            <w:tcW w:w="7060" w:type="dxa"/>
            <w:vAlign w:val="bottom"/>
          </w:tcPr>
          <w:p>
            <w:pPr>
              <w:ind w:left="6620"/>
              <w:spacing w:after="0"/>
              <w:rPr>
                <w:sz w:val="20"/>
                <w:szCs w:val="20"/>
                <w:color w:val="auto"/>
              </w:rPr>
            </w:pPr>
            <w:r>
              <w:rPr>
                <w:rFonts w:ascii="Arial" w:cs="Arial" w:eastAsia="Arial" w:hAnsi="Arial"/>
                <w:sz w:val="18"/>
                <w:szCs w:val="18"/>
                <w:color w:val="auto"/>
                <w:w w:val="79"/>
              </w:rPr>
              <w:t>Name:</w:t>
            </w:r>
          </w:p>
        </w:tc>
        <w:tc>
          <w:tcPr>
            <w:tcW w:w="3960" w:type="dxa"/>
            <w:vAlign w:val="bottom"/>
          </w:tcPr>
          <w:p>
            <w:pPr>
              <w:ind w:left="140"/>
              <w:spacing w:after="0"/>
              <w:rPr>
                <w:sz w:val="20"/>
                <w:szCs w:val="20"/>
                <w:color w:val="auto"/>
              </w:rPr>
            </w:pPr>
            <w:r>
              <w:rPr>
                <w:rFonts w:ascii="Arial" w:cs="Arial" w:eastAsia="Arial" w:hAnsi="Arial"/>
                <w:sz w:val="18"/>
                <w:szCs w:val="18"/>
                <w:color w:val="auto"/>
              </w:rPr>
              <w:t>Christopher A. Tomasso</w:t>
            </w:r>
          </w:p>
        </w:tc>
      </w:tr>
      <w:tr>
        <w:trPr>
          <w:trHeight w:val="230"/>
        </w:trPr>
        <w:tc>
          <w:tcPr>
            <w:tcW w:w="7060" w:type="dxa"/>
            <w:vAlign w:val="bottom"/>
          </w:tcPr>
          <w:p>
            <w:pPr>
              <w:ind w:left="6620"/>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KNOW ALL MEN BY THESE PRESENTS, that each of the undersigned constitutes and appoints each of Christopher A. Tomasso, Mel Hope and Jay Wolszczak,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this registration statement has been signed by the following persons in the capacities indicated</w:t>
      </w:r>
    </w:p>
    <w:p>
      <w:pPr>
        <w:spacing w:after="0" w:line="46"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80" w:type="dxa"/>
            <w:vAlign w:val="bottom"/>
          </w:tcPr>
          <w:p>
            <w:pPr>
              <w:spacing w:after="0"/>
              <w:rPr>
                <w:sz w:val="14"/>
                <w:szCs w:val="14"/>
                <w:color w:val="auto"/>
              </w:rPr>
            </w:pPr>
          </w:p>
        </w:tc>
      </w:tr>
      <w:tr>
        <w:trPr>
          <w:trHeight w:val="426"/>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0"/>
              </w:rPr>
              <w:t>Christopher A. Tomasso</w:t>
            </w:r>
          </w:p>
        </w:tc>
        <w:tc>
          <w:tcPr>
            <w:tcW w:w="4820" w:type="dxa"/>
            <w:vAlign w:val="bottom"/>
            <w:gridSpan w:val="3"/>
          </w:tcPr>
          <w:p>
            <w:pPr>
              <w:jc w:val="center"/>
              <w:ind w:left="1270"/>
              <w:spacing w:after="0"/>
              <w:rPr>
                <w:sz w:val="20"/>
                <w:szCs w:val="20"/>
                <w:color w:val="auto"/>
              </w:rPr>
            </w:pPr>
            <w:r>
              <w:rPr>
                <w:rFonts w:ascii="Arial" w:cs="Arial" w:eastAsia="Arial" w:hAnsi="Arial"/>
                <w:sz w:val="18"/>
                <w:szCs w:val="18"/>
                <w:color w:val="auto"/>
                <w:w w:val="94"/>
              </w:rPr>
              <w:t>(Principal Executive Officer)</w:t>
            </w:r>
          </w:p>
        </w:tc>
      </w:tr>
      <w:tr>
        <w:trPr>
          <w:trHeight w:val="417"/>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2"/>
              </w:rPr>
              <w:t>Chief Financial Officer and Treasurer</w:t>
            </w:r>
          </w:p>
        </w:tc>
      </w:tr>
      <w:tr>
        <w:trPr>
          <w:trHeight w:val="217"/>
        </w:trPr>
        <w:tc>
          <w:tcPr>
            <w:tcW w:w="2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3"/>
              </w:rPr>
              <w:t>(Principal Financial Officer and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3"/>
              </w:rPr>
              <w:t>Mel Hope</w:t>
            </w: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88"/>
              </w:rPr>
              <w:t>General Counsel and Secretary</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89"/>
              </w:rPr>
              <w:t>Jay Wolszczak</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0"/>
              </w:rPr>
              <w:t>Chairman Emeritus</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88"/>
              </w:rPr>
              <w:t>Kenneth L. Pendery, Jr.</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1"/>
              </w:rPr>
              <w:t>Director and Chairman of the Board</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2"/>
              </w:rPr>
              <w:t>Ralph Alvarez</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Tricia Glynn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2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290"/>
              <w:spacing w:after="0"/>
              <w:rPr>
                <w:sz w:val="20"/>
                <w:szCs w:val="20"/>
                <w:color w:val="auto"/>
              </w:rPr>
            </w:pPr>
            <w:r>
              <w:rPr>
                <w:rFonts w:ascii="Arial" w:cs="Arial" w:eastAsia="Arial" w:hAnsi="Arial"/>
                <w:sz w:val="18"/>
                <w:szCs w:val="18"/>
                <w:color w:val="auto"/>
                <w:w w:val="95"/>
              </w:rPr>
              <w:t>Director</w:t>
            </w:r>
          </w:p>
        </w:tc>
      </w:tr>
      <w:tr>
        <w:trPr>
          <w:trHeight w:val="224"/>
        </w:trPr>
        <w:tc>
          <w:tcPr>
            <w:tcW w:w="5040" w:type="dxa"/>
            <w:vAlign w:val="bottom"/>
            <w:gridSpan w:val="3"/>
          </w:tcPr>
          <w:p>
            <w:pPr>
              <w:jc w:val="center"/>
              <w:spacing w:after="0"/>
              <w:rPr>
                <w:sz w:val="20"/>
                <w:szCs w:val="20"/>
                <w:color w:val="auto"/>
              </w:rPr>
            </w:pPr>
            <w:r>
              <w:rPr>
                <w:rFonts w:ascii="Arial" w:cs="Arial" w:eastAsia="Arial" w:hAnsi="Arial"/>
                <w:sz w:val="18"/>
                <w:szCs w:val="18"/>
                <w:color w:val="auto"/>
                <w:w w:val="95"/>
              </w:rPr>
              <w:t>William Kussell</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64"/>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20" w:type="dxa"/>
            <w:vAlign w:val="bottom"/>
            <w:gridSpan w:val="3"/>
          </w:tcPr>
          <w:p>
            <w:pPr>
              <w:ind w:left="3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340"/>
        <w:spacing w:after="0"/>
        <w:tabs>
          <w:tab w:leader="none" w:pos="81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right"/>
        <w:ind w:right="15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David Mussafer</w:t>
      </w:r>
    </w:p>
    <w:p>
      <w:pPr>
        <w:spacing w:after="0" w:line="238" w:lineRule="exact"/>
        <w:rPr>
          <w:sz w:val="20"/>
          <w:szCs w:val="20"/>
          <w:color w:val="auto"/>
        </w:rPr>
      </w:pPr>
    </w:p>
    <w:p>
      <w:pPr>
        <w:jc w:val="right"/>
        <w:ind w:right="157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2061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Michael White</w:t>
      </w:r>
    </w:p>
    <w:p>
      <w:pPr>
        <w:spacing w:after="0" w:line="1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39"/>
          </w:cols>
          <w:pgMar w:left="320" w:top="459" w:right="1440" w:bottom="1440" w:gutter="0" w:footer="0" w:header="0"/>
        </w:sectPr>
      </w:pPr>
    </w:p>
    <w:bookmarkStart w:id="160" w:name="page161"/>
    <w:bookmarkEnd w:id="160"/>
    <w:tbl>
      <w:tblPr>
        <w:tblLayout w:type="fixed"/>
        <w:tblInd w:w="50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Exhibit 3.3</w:t>
            </w:r>
          </w:p>
        </w:tc>
      </w:tr>
      <w:tr>
        <w:trPr>
          <w:trHeight w:val="418"/>
        </w:trPr>
        <w:tc>
          <w:tcPr>
            <w:tcW w:w="180" w:type="dxa"/>
            <w:vAlign w:val="bottom"/>
          </w:tcPr>
          <w:p>
            <w:pPr>
              <w:spacing w:after="0"/>
              <w:rPr>
                <w:sz w:val="24"/>
                <w:szCs w:val="24"/>
                <w:color w:val="auto"/>
              </w:rPr>
            </w:pPr>
          </w:p>
        </w:tc>
        <w:tc>
          <w:tcPr>
            <w:tcW w:w="290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right"/>
              <w:spacing w:after="0"/>
              <w:rPr>
                <w:sz w:val="20"/>
                <w:szCs w:val="20"/>
                <w:color w:val="auto"/>
              </w:rPr>
            </w:pPr>
            <w:r>
              <w:rPr>
                <w:rFonts w:ascii="Arial" w:cs="Arial" w:eastAsia="Arial" w:hAnsi="Arial"/>
                <w:sz w:val="18"/>
                <w:szCs w:val="18"/>
                <w:color w:val="auto"/>
              </w:rPr>
              <w:t>Page 1</w:t>
            </w:r>
          </w:p>
        </w:tc>
      </w:tr>
      <w:tr>
        <w:trPr>
          <w:trHeight w:val="20"/>
        </w:trPr>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080" w:type="dxa"/>
            <w:vAlign w:val="bottom"/>
            <w:gridSpan w:val="3"/>
          </w:tcPr>
          <w:p>
            <w:pPr>
              <w:jc w:val="center"/>
              <w:ind w:right="2020"/>
              <w:spacing w:after="0"/>
              <w:rPr>
                <w:sz w:val="20"/>
                <w:szCs w:val="20"/>
                <w:color w:val="auto"/>
              </w:rPr>
            </w:pPr>
            <w:r>
              <w:rPr>
                <w:rFonts w:ascii="Arial" w:cs="Arial" w:eastAsia="Arial" w:hAnsi="Arial"/>
                <w:sz w:val="18"/>
                <w:szCs w:val="18"/>
                <w:color w:val="auto"/>
                <w:w w:val="89"/>
              </w:rPr>
              <w:t>The First State</w:t>
            </w:r>
          </w:p>
        </w:tc>
        <w:tc>
          <w:tcPr>
            <w:tcW w:w="2860" w:type="dxa"/>
            <w:vAlign w:val="bottom"/>
          </w:tcPr>
          <w:p>
            <w:pPr>
              <w:spacing w:after="0"/>
              <w:rPr>
                <w:sz w:val="20"/>
                <w:szCs w:val="20"/>
                <w:color w:val="auto"/>
              </w:rPr>
            </w:pPr>
          </w:p>
        </w:tc>
      </w:tr>
    </w:tbl>
    <w:p>
      <w:pPr>
        <w:spacing w:after="0" w:line="202"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i w:val="1"/>
          <w:iCs w:val="1"/>
          <w:color w:val="auto"/>
        </w:rPr>
        <w:t>I, JEFFREY W. BULLOCK, SECRETARY OF STATE OF THE STATE OF DELAWARE, DO HEREBY CERTIFY THE ATTACHED IS A TRUE AND CORRECT COPY OF THE CERTIFICATE OF INCORPORATION OF “FIRST WATCH RESTAURANT GROUP, INC.”, FILED IN THIS OFFICE ON THE TENTH DAY OF AUGUST, A.D. 2017, AT 11:48 O’CLOCK A.M.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 FILED COPY OF THIS CERTIFICATE HAS BEEN FORWARDED TO THE NEW CASTLE COUNTY RECORDER OF DEEDS.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168910</wp:posOffset>
            </wp:positionV>
            <wp:extent cx="3891915" cy="11144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9191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6507248 8100</w:t>
            </w:r>
          </w:p>
        </w:tc>
        <w:tc>
          <w:tcPr>
            <w:tcW w:w="5840" w:type="dxa"/>
            <w:vAlign w:val="bottom"/>
          </w:tcPr>
          <w:p>
            <w:pPr>
              <w:jc w:val="right"/>
              <w:spacing w:after="0"/>
              <w:rPr>
                <w:sz w:val="20"/>
                <w:szCs w:val="20"/>
                <w:color w:val="auto"/>
              </w:rPr>
            </w:pPr>
            <w:r>
              <w:rPr>
                <w:rFonts w:ascii="Arial" w:cs="Arial" w:eastAsia="Arial" w:hAnsi="Arial"/>
                <w:sz w:val="18"/>
                <w:szCs w:val="18"/>
                <w:color w:val="auto"/>
              </w:rPr>
              <w:t>Authentication: 203036782</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SR# 20175665069</w:t>
            </w:r>
          </w:p>
        </w:tc>
        <w:tc>
          <w:tcPr>
            <w:tcW w:w="5840" w:type="dxa"/>
            <w:vAlign w:val="bottom"/>
          </w:tcPr>
          <w:p>
            <w:pPr>
              <w:jc w:val="right"/>
              <w:spacing w:after="0"/>
              <w:rPr>
                <w:sz w:val="20"/>
                <w:szCs w:val="20"/>
                <w:color w:val="auto"/>
              </w:rPr>
            </w:pPr>
            <w:r>
              <w:rPr>
                <w:rFonts w:ascii="Arial" w:cs="Arial" w:eastAsia="Arial" w:hAnsi="Arial"/>
                <w:sz w:val="18"/>
                <w:szCs w:val="18"/>
                <w:color w:val="auto"/>
              </w:rPr>
              <w:t>Date: 08-10-17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You may verify this certificate online at corp.delaware.gov/authver.shtml</w:t>
      </w:r>
    </w:p>
    <w:p>
      <w:pPr>
        <w:sectPr>
          <w:pgSz w:w="11900" w:h="16838" w:orient="portrait"/>
          <w:cols w:equalWidth="0" w:num="1">
            <w:col w:w="11020"/>
          </w:cols>
          <w:pgMar w:left="440" w:top="121" w:right="439" w:bottom="1440" w:gutter="0" w:footer="0" w:header="0"/>
        </w:sectPr>
      </w:pPr>
    </w:p>
    <w:bookmarkStart w:id="161" w:name="page162"/>
    <w:bookmarkEnd w:id="161"/>
    <w:p>
      <w:pPr>
        <w:jc w:val="center"/>
        <w:ind w:right="7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 of Delaware</w:t>
      </w:r>
    </w:p>
    <w:p>
      <w:pPr>
        <w:spacing w:after="0" w:line="27" w:lineRule="exact"/>
        <w:rPr>
          <w:sz w:val="20"/>
          <w:szCs w:val="20"/>
          <w:color w:val="auto"/>
        </w:rPr>
      </w:pPr>
    </w:p>
    <w:p>
      <w:pPr>
        <w:jc w:val="center"/>
        <w:ind w:right="718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18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180"/>
        <w:spacing w:after="0"/>
        <w:rPr>
          <w:sz w:val="20"/>
          <w:szCs w:val="20"/>
          <w:color w:val="auto"/>
        </w:rPr>
      </w:pPr>
      <w:r>
        <w:rPr>
          <w:rFonts w:ascii="Arial" w:cs="Arial" w:eastAsia="Arial" w:hAnsi="Arial"/>
          <w:sz w:val="18"/>
          <w:szCs w:val="18"/>
          <w:b w:val="1"/>
          <w:bCs w:val="1"/>
          <w:color w:val="auto"/>
        </w:rPr>
        <w:t>Delivered 11:48 AM 08/10/2017</w:t>
      </w:r>
    </w:p>
    <w:p>
      <w:pPr>
        <w:spacing w:after="0" w:line="9" w:lineRule="exact"/>
        <w:rPr>
          <w:sz w:val="20"/>
          <w:szCs w:val="20"/>
          <w:color w:val="auto"/>
        </w:rPr>
      </w:pPr>
    </w:p>
    <w:p>
      <w:pPr>
        <w:jc w:val="center"/>
        <w:ind w:right="7180"/>
        <w:spacing w:after="0"/>
        <w:rPr>
          <w:sz w:val="20"/>
          <w:szCs w:val="20"/>
          <w:color w:val="auto"/>
        </w:rPr>
      </w:pPr>
      <w:r>
        <w:rPr>
          <w:rFonts w:ascii="Arial" w:cs="Arial" w:eastAsia="Arial" w:hAnsi="Arial"/>
          <w:sz w:val="18"/>
          <w:szCs w:val="18"/>
          <w:b w:val="1"/>
          <w:bCs w:val="1"/>
          <w:color w:val="auto"/>
        </w:rPr>
        <w:t>FILED 11:48 AM 08/10/2017</w:t>
      </w:r>
    </w:p>
    <w:p>
      <w:pPr>
        <w:spacing w:after="0" w:line="9" w:lineRule="exact"/>
        <w:rPr>
          <w:sz w:val="20"/>
          <w:szCs w:val="20"/>
          <w:color w:val="auto"/>
        </w:rPr>
      </w:pPr>
    </w:p>
    <w:p>
      <w:pPr>
        <w:jc w:val="center"/>
        <w:ind w:right="7180"/>
        <w:spacing w:after="0"/>
        <w:rPr>
          <w:sz w:val="20"/>
          <w:szCs w:val="20"/>
          <w:color w:val="auto"/>
        </w:rPr>
      </w:pPr>
      <w:r>
        <w:rPr>
          <w:rFonts w:ascii="Arial" w:cs="Arial" w:eastAsia="Arial" w:hAnsi="Arial"/>
          <w:sz w:val="18"/>
          <w:szCs w:val="18"/>
          <w:b w:val="1"/>
          <w:bCs w:val="1"/>
          <w:color w:val="auto"/>
        </w:rPr>
        <w:t>SR 20175665069 - File Number 6507248</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OF</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IRST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ATCH</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ESTAURANT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being a natural person for the purpose of organizing a corporation under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hereby certifies that: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is First Watch Restaurant Group, Inc. (the “Corporation”).</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SECOND: The address of its registered office in the State of Delaware is c/o Corporation Service Company, 251 Little Falls Drive, Wilmington, Delaware 19808, County of New Castle. The name of its registered agent for service of process in the State of Delaware at such address is Corporation Service Company.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as from time to time amended.</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FOURTH: The total number of shares of capital stock which the Corporation shall have authority to issue is 100 shares, all of which shares shall be Common Stock having a par value of $0.01.</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FIFTH: The name and mailing address of the incorporator is as follows: Maura L. Foley, c/o Weil, Gotshal &amp; Manges LLP, 100 Federal Street, Boston, Massachusetts 02110.</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SIXTH: In furtherance and not in limitation of the powers conferred by law, subject to any limitations contained elsewhere in this Certificate of Incorporation, bylaws of the Corporation may be adopted, amended or repealed by a majority of the board of directors of the Corporation, but any bylaws adopted by the board of directors may be amended or repealed by the stockholders entitled to vote thereon. Election of directors need not be by written ballot.</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SEVENTH: (a) A director of the Corporation shall not be personally liable either to the Corporation or to any stockholder for monetary damages for breach of fiduciary duty as a director, except (i) for any breach of the director’s duty of loyalty to the Corporation or its stockholders, or (ii) for acts or omissions which are not in good faith or which involve intentional misconduct or knowing violation of the law, or (iii) for any matter in respect of which such director shall be liable under Section 174 of Title 8 of the General Corporation Law of the State of Delaware or any amendment thereto or successor provision thereto, or (iv) for any transaction from which the director shall have derived an improper personal benefit. Neither amendment nor repeal of this paragraph (a) nor the adoption of any provision of the Certificate of lncorporation inconsistent with this paragraph (a) shall eliminate or reduce the effect of this paragraph (a) in respect of any matter occurring, or any cause of action, suit or claim that, but for this paragraph (a) of this Article, would accrue or arise, prior to such amendment, repeal or adoption of an inconsistent provision.</w:t>
      </w:r>
    </w:p>
    <w:p>
      <w:pPr>
        <w:sectPr>
          <w:pgSz w:w="11900" w:h="16838" w:orient="portrait"/>
          <w:cols w:equalWidth="0" w:num="1">
            <w:col w:w="10920"/>
          </w:cols>
          <w:pgMar w:left="440" w:top="270" w:right="539" w:bottom="1440" w:gutter="0" w:footer="0" w:header="0"/>
        </w:sectPr>
      </w:pPr>
    </w:p>
    <w:bookmarkStart w:id="162" w:name="page163"/>
    <w:bookmarkEnd w:id="162"/>
    <w:p>
      <w:pPr>
        <w:ind w:firstLine="436"/>
        <w:spacing w:after="0" w:line="254"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have the power to indemnify any person who was or is a party or is threatened to be made a party to, or testifies in, any threatened, pending or completed action, suit or proceeding, whether civil, criminal, administrative or investigative in nature, by reason of the fact that such person is or was a director, officer,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 extent permitted by law, and the Corporation may adopt bylaws or enter into agreements with any such person for the purpose of providing for such indemnification.</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EIGHTH: The Corporation expressly elects not to be governed by Section 203 of the General Corporation Law of the State of Delaware.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duly executed this Certificate of Incorporation on this 10th day of August, 2017.</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Maura 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Maura L. Foley, Incorporator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FIRST WATCH RESTAURANT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229"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These Bylaws are subject to, and governed by, the General Corporation Law of the State of Delaware (the “</w:t>
      </w:r>
      <w:r>
        <w:rPr>
          <w:rFonts w:ascii="Arial" w:cs="Arial" w:eastAsia="Arial" w:hAnsi="Arial"/>
          <w:sz w:val="16"/>
          <w:szCs w:val="16"/>
          <w:u w:val="single" w:color="auto"/>
          <w:color w:val="auto"/>
        </w:rPr>
        <w:t>Delaware General Corporation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w:t>
      </w:r>
      <w:r>
        <w:rPr>
          <w:rFonts w:ascii="Arial" w:cs="Arial" w:eastAsia="Arial" w:hAnsi="Arial"/>
          <w:sz w:val="16"/>
          <w:szCs w:val="16"/>
          <w:color w:val="auto"/>
        </w:rPr>
        <w:t>”) and the Certificate of Incorporation (the “</w:t>
      </w:r>
      <w:r>
        <w:rPr>
          <w:rFonts w:ascii="Arial" w:cs="Arial" w:eastAsia="Arial" w:hAnsi="Arial"/>
          <w:sz w:val="16"/>
          <w:szCs w:val="16"/>
          <w:u w:val="single" w:color="auto"/>
          <w:color w:val="auto"/>
        </w:rPr>
        <w:t>Certificate”</w:t>
      </w:r>
      <w:r>
        <w:rPr>
          <w:rFonts w:ascii="Arial" w:cs="Arial" w:eastAsia="Arial" w:hAnsi="Arial"/>
          <w:sz w:val="16"/>
          <w:szCs w:val="16"/>
          <w:color w:val="auto"/>
        </w:rPr>
        <w:t>) of First Watch Restaurant Group,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In the event of a direct conflict between the provisions of these Bylaws and the mandatory provisions of the Delaware General Corporation Law or the provisions of the Certificate, such provisions of the Delaware General Corporation Law or the Certificate, as the case may be, will be controlling.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OFFICES</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established and maintained at the location of the registered agent of the Corporation.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have such other offices, either within or without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MEETINGS OF STOCKHOLDERS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of the Corporation shall be held at such place, on such date, and at such time as the Board shall fix each year. At such meeting, the stockholders shall elect directors and transact such other business as may properly be brought before the meeting.</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 special meeting of the stockholders of the Corporation may be called at any time by the stockholders holding a majority of the voting power of the Corporation or a majority of the Board.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 annual meeting of stockholders may be held at any place within or without the State of Delaware designated by the Board.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sectPr>
          <w:pgSz w:w="11900" w:h="16838" w:orient="portrait"/>
          <w:cols w:equalWidth="0" w:num="1">
            <w:col w:w="11020"/>
          </w:cols>
          <w:pgMar w:left="440" w:top="121" w:right="439" w:bottom="1440" w:gutter="0" w:footer="0" w:header="0"/>
        </w:sectPr>
      </w:pPr>
    </w:p>
    <w:bookmarkStart w:id="164" w:name="page165"/>
    <w:bookmarkEnd w:id="164"/>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xml:space="preserve">. Written or printed notice stating the place, day, and time of each meeting of the stockholders and, in case of a special meeting, the purpose or purposes for which the meeting is called shall be delivered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not less than ten nor more than 60 days before the date of the meeting, by or at the direction of the President, the Secretary, or the officer or person(s) calling the meeting, to each stockholder of record entitled to vote at such meeting.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spacing w:after="0" w:line="16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Voting Lists</w:t>
      </w:r>
      <w:r>
        <w:rPr>
          <w:rFonts w:ascii="Arial" w:cs="Arial" w:eastAsia="Arial" w:hAnsi="Arial"/>
          <w:sz w:val="16"/>
          <w:szCs w:val="16"/>
          <w:color w:val="auto"/>
        </w:rPr>
        <w:t>. At least ten days before each meeting of stockholders, the Secretary or other officer of the Corporation who has charge of the Corporation’s stock ledger, either directly or through another officer appointed by him or through a transfer agent appointed by the Board,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Quorum and Adjournments</w:t>
      </w:r>
      <w:r>
        <w:rPr>
          <w:rFonts w:ascii="Arial" w:cs="Arial" w:eastAsia="Arial" w:hAnsi="Arial"/>
          <w:sz w:val="17"/>
          <w:szCs w:val="17"/>
          <w:color w:val="auto"/>
        </w:rPr>
        <w:t>. The stockholders holding a majority of the voting power of the Corporation entitled to vote on a matter, present in person or by proxy, shall constitute a quorum at any meeting of stockholders, except as otherwise provided by law, the Certificate,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81"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Required Vote; Withdrawal of Quorum</w:t>
      </w:r>
      <w:r>
        <w:rPr>
          <w:rFonts w:ascii="Arial" w:cs="Arial" w:eastAsia="Arial" w:hAnsi="Arial"/>
          <w:sz w:val="17"/>
          <w:szCs w:val="17"/>
          <w:color w:val="auto"/>
        </w:rPr>
        <w:t>. When a quorum is present at any meeting, the vote of the stockholders holding a majority of the voting power of the Corporation who are present, in person or by proxy, shall decide any question brought before such meeting, unless the question is one on which, by express provision of statute, the Certificate,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2.8. </w:t>
      </w:r>
      <w:r>
        <w:rPr>
          <w:rFonts w:ascii="Arial" w:cs="Arial" w:eastAsia="Arial" w:hAnsi="Arial"/>
          <w:sz w:val="18"/>
          <w:szCs w:val="18"/>
          <w:u w:val="single" w:color="auto"/>
          <w:color w:val="auto"/>
        </w:rPr>
        <w:t>Closing of Transfer Books or Fixing of Record Date</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96" w:lineRule="auto"/>
        <w:tabs>
          <w:tab w:leader="none" w:pos="123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for any such determination of stockholders, such date in any case to be not more than 60 days and not less than ten days prior to such meeting nor more than 60 days prior to any other action. If no record date is fixed:</w:t>
      </w:r>
    </w:p>
    <w:p>
      <w:pPr>
        <w:spacing w:after="0" w:line="66" w:lineRule="exact"/>
        <w:rPr>
          <w:rFonts w:ascii="Arial" w:cs="Arial" w:eastAsia="Arial" w:hAnsi="Arial"/>
          <w:sz w:val="16"/>
          <w:szCs w:val="16"/>
          <w:color w:val="auto"/>
        </w:rPr>
      </w:pPr>
    </w:p>
    <w:p>
      <w:pPr>
        <w:ind w:left="1420" w:right="180" w:hanging="439"/>
        <w:spacing w:after="0" w:line="263" w:lineRule="auto"/>
        <w:tabs>
          <w:tab w:leader="none" w:pos="1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89"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170" w:lineRule="exact"/>
        <w:rPr>
          <w:rFonts w:ascii="Arial" w:cs="Arial" w:eastAsia="Arial" w:hAnsi="Arial"/>
          <w:sz w:val="18"/>
          <w:szCs w:val="18"/>
          <w:color w:val="auto"/>
        </w:rPr>
      </w:pPr>
    </w:p>
    <w:p>
      <w:pPr>
        <w:ind w:firstLine="987"/>
        <w:spacing w:after="0" w:line="269" w:lineRule="auto"/>
        <w:tabs>
          <w:tab w:leader="none" w:pos="124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and prior action by the Board is required by law or these Bylaws, the record date for determining stockholders entitled to consent to corporate action in writing without a meeting shall be at the close of business on the day on which the Board adopts the resolution taking such prior action.</w:t>
      </w:r>
    </w:p>
    <w:p>
      <w:pPr>
        <w:spacing w:after="0" w:line="18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Proxies</w:t>
      </w:r>
      <w:r>
        <w:rPr>
          <w:rFonts w:ascii="Arial" w:cs="Arial" w:eastAsia="Arial" w:hAnsi="Arial"/>
          <w:sz w:val="18"/>
          <w:szCs w:val="18"/>
          <w:color w:val="auto"/>
        </w:rPr>
        <w:t>. At all meetings of stockholders, a stockholder may vote by proxy executed in writing by the stockholder or by the stockholder’s duly authorized attorney-in-fact. Such proxy shall be filed with the Secretary of the Corporation before or at the time of the meeting. No proxy shall be valid after three years from the date of its execution, unless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66" w:name="page167"/>
    <w:bookmarkEnd w:id="166"/>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Voting of Shares</w:t>
      </w:r>
      <w:r>
        <w:rPr>
          <w:rFonts w:ascii="Arial" w:cs="Arial" w:eastAsia="Arial" w:hAnsi="Arial"/>
          <w:sz w:val="18"/>
          <w:szCs w:val="18"/>
          <w:color w:val="auto"/>
        </w:rPr>
        <w:t>. Except as provided in the Certificate, each outstanding share of capital stock having voting rights shall be entitled to one vote upon each matter submitted to a vote at a meeting of stockholders.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w:t>
      </w:r>
      <w:r>
        <w:rPr>
          <w:rFonts w:ascii="Arial" w:cs="Arial" w:eastAsia="Arial" w:hAnsi="Arial"/>
          <w:sz w:val="18"/>
          <w:szCs w:val="18"/>
          <w:color w:val="auto"/>
        </w:rPr>
        <w:t>. The Executive Chairman of the Board, if any, and if none or in the Executive Chairman’s absence,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spacing w:after="0" w:line="18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xml:space="preserve">. Unless otherwise provided in the Certificate, any action required by law to be taken at any annual meeting or special meeting of stockholders of the Corporation, or any action which may be taken at any annual meeting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spacing w:after="0" w:line="16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Inspectors</w:t>
      </w:r>
      <w:r>
        <w:rPr>
          <w:rFonts w:ascii="Arial" w:cs="Arial" w:eastAsia="Arial" w:hAnsi="Arial"/>
          <w:sz w:val="16"/>
          <w:szCs w:val="16"/>
          <w:color w:val="auto"/>
        </w:rPr>
        <w:t>. The Board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such inspector’s duties, shall take and sign an oath faithfully to execute the duties of inspector at such meeting with strict impartiality and according to the best of such inspector’s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7" w:name="page168"/>
    <w:bookmarkEnd w:id="167"/>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DIRECTORS</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Management</w:t>
      </w:r>
      <w:r>
        <w:rPr>
          <w:rFonts w:ascii="Arial" w:cs="Arial" w:eastAsia="Arial" w:hAnsi="Arial"/>
          <w:sz w:val="18"/>
          <w:szCs w:val="18"/>
          <w:color w:val="auto"/>
        </w:rPr>
        <w:t>. The business and property of the Corporation shall be managed by the Board. Subject to the restrictions imposed by law, the Certificate, or these Bylaws, the Board may exercise all the powers of the Corporation.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Qualification, Election, Term</w:t>
      </w:r>
      <w:r>
        <w:rPr>
          <w:rFonts w:ascii="Arial" w:cs="Arial" w:eastAsia="Arial" w:hAnsi="Arial"/>
          <w:sz w:val="17"/>
          <w:szCs w:val="17"/>
          <w:color w:val="auto"/>
        </w:rPr>
        <w:t>. The number of directors of the Corporation shall be not less than one. The first Board shall consist of the number of directors named in the Certificate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shall be determined by resolution of the Board. Except as otherwise required by law, the Certificate,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such director’s election and until such director’s successor is elected and qualified or, if earlier, until such director’s death, resignation, or removal from office. None of the directors need be a stockholder of the Corporation or a resident of the State of Delaware. Each director must have attained the age of majority.</w:t>
      </w:r>
    </w:p>
    <w:p>
      <w:pPr>
        <w:spacing w:after="0" w:line="18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in Number</w:t>
      </w:r>
      <w:r>
        <w:rPr>
          <w:rFonts w:ascii="Arial" w:cs="Arial" w:eastAsia="Arial" w:hAnsi="Arial"/>
          <w:sz w:val="18"/>
          <w:szCs w:val="18"/>
          <w:color w:val="auto"/>
        </w:rPr>
        <w:t>. No decrease in the number of directors constituting the entire Board shall have the effect of shortening the term of any incumbent director.</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in the Certificate, or these Bylaws, at any meeting of stockholders called expressly for that purpose, any director or the entire Board may be removed, with or without cause, by a vote of the stockholders holding a majority of the voting power of the Corporation on the election of directors.</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newly-created directorships resulting from any increase in the authorized number of directors may be filled by a majority of the Board, though less than a quorum, or by the sole remaining director, and each director so chosen shall hold office until the first annual meeting of stockholders held after such director’s election and until such director’s successor is elected and qualified or, if earlier, until such director’s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Board (as constituted immediately prior to any such increase), the Court of Chancery of the State of Delaware may, upon application of any stockholder or stockholders holding at least 10% of the total number of the shares at the time outstanding having the right to vote for such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68" w:name="page169"/>
    <w:bookmarkEnd w:id="16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summarily order an election to be held to fill any such vacancies or newly-created directorships or to replace the directors chosen by the directors then in office. Except as otherwise provided in these Bylaws, when one or more directors shall resign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188"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Meetings of Directors</w:t>
      </w:r>
      <w:r>
        <w:rPr>
          <w:rFonts w:ascii="Arial" w:cs="Arial" w:eastAsia="Arial" w:hAnsi="Arial"/>
          <w:sz w:val="18"/>
          <w:szCs w:val="18"/>
          <w:color w:val="auto"/>
        </w:rPr>
        <w:t>. The directors may hold their meetings and may have an office and keep the books of the Corporation, except as otherwise provided by statute, in such place or places within or without the State of Delaware as the Board may from time to time determine or as shall be specified in the notice of such meeting or duly executed waiver of notice of such meeting.</w:t>
      </w:r>
    </w:p>
    <w:p>
      <w:pPr>
        <w:spacing w:after="0" w:line="184"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First Meeting</w:t>
      </w:r>
      <w:r>
        <w:rPr>
          <w:rFonts w:ascii="Arial" w:cs="Arial" w:eastAsia="Arial" w:hAnsi="Arial"/>
          <w:sz w:val="16"/>
          <w:szCs w:val="16"/>
          <w:color w:val="auto"/>
        </w:rPr>
        <w:t>. Each newly elected Board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At the first meeting of the Board after each annual meeting of stockholders at which a quorum shall be present, the Board shall elect the officers of the Corporation.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shall be held at such times and places as shall be designated from time to time by resolution of the Board. Notice of such regular meetings shall not be required.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shall be held whenever called by the Executive Chairman of the Board or any two directors.</w:t>
      </w:r>
    </w:p>
    <w:p>
      <w:pPr>
        <w:spacing w:after="0" w:line="248" w:lineRule="exact"/>
        <w:rPr>
          <w:sz w:val="20"/>
          <w:szCs w:val="20"/>
          <w:color w:val="auto"/>
        </w:rPr>
      </w:pPr>
    </w:p>
    <w:p>
      <w:pPr>
        <w:jc w:val="both"/>
        <w:ind w:right="200" w:firstLine="440"/>
        <w:spacing w:after="0" w:line="27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Notice</w:t>
      </w:r>
      <w:r>
        <w:rPr>
          <w:rFonts w:ascii="Arial" w:cs="Arial" w:eastAsia="Arial" w:hAnsi="Arial"/>
          <w:sz w:val="17"/>
          <w:szCs w:val="17"/>
          <w:color w:val="auto"/>
        </w:rPr>
        <w:t>. The Secretary shall give written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need be specified in the notice or waiver of notice of such meeting.</w:t>
      </w:r>
    </w:p>
    <w:p>
      <w:pPr>
        <w:spacing w:after="0" w:line="17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Quorum; Majority Vote</w:t>
      </w:r>
      <w:r>
        <w:rPr>
          <w:rFonts w:ascii="Arial" w:cs="Arial" w:eastAsia="Arial" w:hAnsi="Arial"/>
          <w:sz w:val="17"/>
          <w:szCs w:val="17"/>
          <w:color w:val="auto"/>
        </w:rPr>
        <w:t>. At all meetings of the Board or any committee of the Board, a majority of the Board or of such committee shall constitute a quorum for the transaction of business. If at any meeting of the Board or a committee of the Board there shall be less than a quorum present, a majority of those present or any director solely present may adjourn the meeting from time to time without further notice. Unless the act of a greater number is required by law, the Certificate, or these Bylaws, the act of a majority of the directors present at a meeting at which a quorum is in attendance shall be the act of the Board. At any time that the Certificate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69" w:name="page170"/>
    <w:bookmarkEnd w:id="169"/>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3.13. </w:t>
      </w:r>
      <w:r>
        <w:rPr>
          <w:rFonts w:ascii="Arial" w:cs="Arial" w:eastAsia="Arial" w:hAnsi="Arial"/>
          <w:sz w:val="17"/>
          <w:szCs w:val="17"/>
          <w:u w:val="single" w:color="auto"/>
          <w:color w:val="auto"/>
        </w:rPr>
        <w:t>Procedure</w:t>
      </w:r>
      <w:r>
        <w:rPr>
          <w:rFonts w:ascii="Arial" w:cs="Arial" w:eastAsia="Arial" w:hAnsi="Arial"/>
          <w:sz w:val="17"/>
          <w:szCs w:val="17"/>
          <w:color w:val="auto"/>
        </w:rPr>
        <w:t>. At meetings of the Board, business shall be transacted in such order as from time to time the Board may determine. The Executive Chairman of the Board, if any, or if none or in the Executive Chairman’s absence, the President shall preside at all meetings of the Board. In the absence or inability to act of either such officer, a chairman shall be chosen by the Board from among the directors present. The Secretary of the Corporation shall act as the secretary of each meeting of the Board unless the Board appoints another person to act as secretary of the meeting. The Board shall keep regular minutes of its proceedings which shall be placed in the minute book of the Corporation.</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of the Corporation who is present at the meeting of the Board at which action on any corporate matter is taken shall be presumed to have assented to the action unless such director’s dissent shall be entered in the minutes of the meeting or unless such director shall file such director’s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18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Action By Consent</w:t>
      </w:r>
      <w:r>
        <w:rPr>
          <w:rFonts w:ascii="Arial" w:cs="Arial" w:eastAsia="Arial" w:hAnsi="Arial"/>
          <w:sz w:val="16"/>
          <w:szCs w:val="16"/>
          <w:color w:val="auto"/>
        </w:rPr>
        <w:t>. Unless otherwise restricted by the Certificate or by these Bylaws, any action required or permitted to be taken at a meeting of the Board, or of any committee of the Board,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spacing w:after="0" w:line="16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or these Bylaws, members of the Board may participate in a meeting of the Board by means of a conference telephone or similar communications equipment by means of which persons participating in the meeting can hear each other, and such participation in a meeting shall constitute presence in person at the meeting.</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shall have the authority to fix the compensation, including fees and reimbursement of expenses, paid to directors for attendance at regular or special meetings of the Board or any committee thereof; provided, that nothing contained herein shall be construed to preclude any director from serving the Corporation in any other capacity or receiving compensation therefor.</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COMMITTEES OF THE BOARD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Designation</w:t>
      </w:r>
      <w:r>
        <w:rPr>
          <w:rFonts w:ascii="Arial" w:cs="Arial" w:eastAsia="Arial" w:hAnsi="Arial"/>
          <w:sz w:val="18"/>
          <w:szCs w:val="18"/>
          <w:color w:val="auto"/>
        </w:rPr>
        <w:t>. The Board may, by resolution adopted by a majority of the Board, designate one or more committees.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170" w:name="page171"/>
    <w:bookmarkEnd w:id="170"/>
    <w:p>
      <w:pPr>
        <w:ind w:right="34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7"/>
          <w:szCs w:val="17"/>
          <w:u w:val="single" w:color="auto"/>
          <w:color w:val="auto"/>
        </w:rPr>
        <w:t>Number; Qualification; Term</w:t>
      </w:r>
      <w:r>
        <w:rPr>
          <w:rFonts w:ascii="Arial" w:cs="Arial" w:eastAsia="Arial" w:hAnsi="Arial"/>
          <w:sz w:val="17"/>
          <w:szCs w:val="17"/>
          <w:color w:val="auto"/>
        </w:rPr>
        <w:t>. Each committee shall consist of one or more directors appointed by resolution adopted by a majority of the Board. The number of committee members may be increased or decreased from time to time by resolution adopted by a majority of the Board. Each committee member shall serve as such until the earliest of (i) the expiration of such member’s term as director, (ii) such member’s resignation as a committee member or as a director, or (iii) such member’s removal as a committee member or as a director.</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w:t>
      </w:r>
      <w:r>
        <w:rPr>
          <w:rFonts w:ascii="Arial" w:cs="Arial" w:eastAsia="Arial" w:hAnsi="Arial"/>
          <w:sz w:val="18"/>
          <w:szCs w:val="18"/>
          <w:color w:val="auto"/>
        </w:rPr>
        <w:t>. Each committee, to the extent expressly provided in the resolution establishing such committee, shall have and may exercise all of the authority of the Board in the management of the business and property of the Corporation except to the extent expressly restricted by law, the Certificate, or these Bylaws.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Committee Changes</w:t>
      </w:r>
      <w:r>
        <w:rPr>
          <w:rFonts w:ascii="Arial" w:cs="Arial" w:eastAsia="Arial" w:hAnsi="Arial"/>
          <w:sz w:val="18"/>
          <w:szCs w:val="18"/>
          <w:color w:val="auto"/>
        </w:rPr>
        <w:t>. The Board shall have the power at any time to fill vacancies.</w:t>
      </w:r>
    </w:p>
    <w:p>
      <w:pPr>
        <w:spacing w:after="0" w:line="22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Alternate Members of Committees</w:t>
      </w:r>
      <w:r>
        <w:rPr>
          <w:rFonts w:ascii="Arial" w:cs="Arial" w:eastAsia="Arial" w:hAnsi="Arial"/>
          <w:sz w:val="17"/>
          <w:szCs w:val="17"/>
          <w:color w:val="auto"/>
        </w:rPr>
        <w:t>. The Board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such director or directors constitute a quorum, may unanimously appoint another member of the Board to act at the meeting in the place of any such absent or disqualified member.</w:t>
      </w:r>
    </w:p>
    <w:p>
      <w:pPr>
        <w:spacing w:after="0" w:line="17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any committee may be held without notice at such time and place as may be designated from time to time by the committee and communicated to all members thereof.</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18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Quorum; Majority Vote</w:t>
      </w:r>
      <w:r>
        <w:rPr>
          <w:rFonts w:ascii="Arial" w:cs="Arial" w:eastAsia="Arial" w:hAnsi="Arial"/>
          <w:sz w:val="18"/>
          <w:szCs w:val="18"/>
          <w:color w:val="auto"/>
        </w:rPr>
        <w:t>. At meetings of any committee, a majority of the number of members designated by the Board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or these Bylaws.</w:t>
      </w:r>
    </w:p>
    <w:p>
      <w:pPr>
        <w:spacing w:after="0" w:line="18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or these Bylaws, members of a committee may participate in a meeting of the committee by means of a conference telephone or similar communications equipment by means of which persons participating in the meeting can hear each other, and such participation in a meeting shall constitute presence in person at the meeting.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1" w:name="page172"/>
    <w:bookmarkEnd w:id="17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4.10. </w:t>
      </w:r>
      <w:r>
        <w:rPr>
          <w:rFonts w:ascii="Arial" w:cs="Arial" w:eastAsia="Arial" w:hAnsi="Arial"/>
          <w:sz w:val="18"/>
          <w:szCs w:val="18"/>
          <w:u w:val="single" w:color="auto"/>
          <w:color w:val="auto"/>
        </w:rPr>
        <w:t>Minutes</w:t>
      </w:r>
      <w:r>
        <w:rPr>
          <w:rFonts w:ascii="Arial" w:cs="Arial" w:eastAsia="Arial" w:hAnsi="Arial"/>
          <w:sz w:val="18"/>
          <w:szCs w:val="18"/>
          <w:color w:val="auto"/>
        </w:rPr>
        <w:t>. Each committee shall cause minutes of its proceedings to be prepared and shall report the same to the Board upon the request of the Board. The minutes of the proceedings of each committee shall be delivered to the Secretary of the Corporation for placement in the minute books of the Corporation.</w:t>
      </w:r>
    </w:p>
    <w:p>
      <w:pPr>
        <w:spacing w:after="0" w:line="184"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Compensation</w:t>
      </w:r>
      <w:r>
        <w:rPr>
          <w:rFonts w:ascii="Arial" w:cs="Arial" w:eastAsia="Arial" w:hAnsi="Arial"/>
          <w:sz w:val="18"/>
          <w:szCs w:val="18"/>
          <w:color w:val="auto"/>
        </w:rPr>
        <w:t>. Committee members may, by resolution of the Board, be allowed a fixed sum and expenses of attendance, if any, for attending any committee meetings or a stated salary.</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Responsibility</w:t>
      </w:r>
      <w:r>
        <w:rPr>
          <w:rFonts w:ascii="Arial" w:cs="Arial" w:eastAsia="Arial" w:hAnsi="Arial"/>
          <w:sz w:val="18"/>
          <w:szCs w:val="18"/>
          <w:color w:val="auto"/>
        </w:rPr>
        <w:t>. The designation of any committee and the delegation of authority to it shall not operate to relieve the Board or any director of any responsibility imposed upon it or such director by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OFFICERS</w:t>
      </w:r>
    </w:p>
    <w:p>
      <w:pPr>
        <w:spacing w:after="0" w:line="229"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and Qualification</w:t>
      </w:r>
      <w:r>
        <w:rPr>
          <w:rFonts w:ascii="Arial" w:cs="Arial" w:eastAsia="Arial" w:hAnsi="Arial"/>
          <w:sz w:val="18"/>
          <w:szCs w:val="18"/>
          <w:color w:val="auto"/>
        </w:rPr>
        <w:t>. The Corporation shall have such officers as may be necessary or desirable for the business of the Corporation. The officers of the Corporation shall consist of a President, a Treasurer, a Secretary, and such other officers as the Board may from time to time elect or appoint, including a Chief Executive Officer, a Chief Financial Officer, and one or more Vice Presidents. Each officer shall hold office until such officer’s successor shall have been duly elected and shall have qualified, until such officer’s death, or until such officer shall resign or shall have been removed in the manner hereinafter provided. Any number of offices may be held by the same person. None of the officers need be a stockholder or a director of the Corporation or a resident of the State of Delaware.</w:t>
      </w:r>
    </w:p>
    <w:p>
      <w:pPr>
        <w:spacing w:after="0" w:line="192"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Board may be removed by the Board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spacing w:after="0" w:line="184"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Resignations</w:t>
      </w:r>
      <w:r>
        <w:rPr>
          <w:rFonts w:ascii="Arial" w:cs="Arial" w:eastAsia="Arial" w:hAnsi="Arial"/>
          <w:sz w:val="16"/>
          <w:szCs w:val="16"/>
          <w:color w:val="auto"/>
        </w:rPr>
        <w:t>. Any officer may resign at any time by giving written notice to the Corporation; provided, however, that notice to the Board, President or Secretary shall be deemed to constitute notice to the Corporation. Such resignation shall take effect upon receipt of such notice or at any later time specified therein; and, unless otherwise specified therein, the acceptance of such resignation shall not be necessary to make it effective.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Vacancies</w:t>
      </w:r>
      <w:r>
        <w:rPr>
          <w:rFonts w:ascii="Arial" w:cs="Arial" w:eastAsia="Arial" w:hAnsi="Arial"/>
          <w:sz w:val="16"/>
          <w:szCs w:val="16"/>
          <w:color w:val="auto"/>
        </w:rPr>
        <w:t>. Any vacancy among the officers, whether caused by death, resignation, removal or any other cause, shall be filled by the Board.</w:t>
      </w:r>
    </w:p>
    <w:p>
      <w:pPr>
        <w:spacing w:after="0" w:line="24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Authority</w:t>
      </w:r>
      <w:r>
        <w:rPr>
          <w:rFonts w:ascii="Arial" w:cs="Arial" w:eastAsia="Arial" w:hAnsi="Arial"/>
          <w:sz w:val="18"/>
          <w:szCs w:val="18"/>
          <w:color w:val="auto"/>
        </w:rPr>
        <w:t>. Officers shall have such authority and perform such duties in the management of the Corporation as are provided in these Bylaws or as may be determined by resolution of the Board not inconsistent with these Bylaws.</w:t>
      </w:r>
    </w:p>
    <w:p>
      <w:pPr>
        <w:spacing w:after="0" w:line="170"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if any, of officers and agents shall be fixed from time to time by the Board; provided, however, that the Board may delegate the power to determine the compensation of any officer and agent (other than the officer to whom such power is delegated) to the Executive Chairman of the Board or the President.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72" w:name="page173"/>
    <w:bookmarkEnd w:id="172"/>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have general executive charge, management, and control of the properties and operations of the Corporation in the ordinary course of its business, with all such powers with respect to such properties and operations as may be reasonably incident to such responsibilities. The President shall also be the chief executive officer of the Corporation unless the Board otherwise provides. If no chief executive officer shall have been appointed by the Board, all references herein to “chief executive officer” shall be to the President.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to some other officer or agent of the Corporation. If the Board has not elected an Executive Chairman of the Board or in the absence or inability to act of the Executive Chairman of the Board, the President shall exercise all of the powers and discharge all of the duties of the Executive Chairman of the Board. As between the Corporation and third parties, any action taken by the President in the performance of the duties of the Executive Chairman of the Board shall be conclusive evidence that there is no Executive Chairman of the Board or that the Executive Chairman of the Board is absent or unable to act.</w:t>
      </w:r>
    </w:p>
    <w:p>
      <w:pPr>
        <w:spacing w:after="0" w:line="16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Vice-President</w:t>
      </w:r>
      <w:r>
        <w:rPr>
          <w:rFonts w:ascii="Arial" w:cs="Arial" w:eastAsia="Arial" w:hAnsi="Arial"/>
          <w:sz w:val="16"/>
          <w:szCs w:val="16"/>
          <w:color w:val="auto"/>
        </w:rPr>
        <w:t>. Each Vice President, as thereunto authorized by the Board, shall have such powers and duties as may be assigned to him by the Board, the Executive Chairman of the Board, or the President, and (in order of their seniority as determined by the Board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 The Vice President may sign, with the Treasurer or Secretary, certificates for shares of the Corporation, the issue of which shall have been authorized by resolution of the Board.</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responsibility for maintaining the financial records of the Corporation,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and shall perform such other duties as may be prescribed by the Board, the Executive Chairman of the Board, or the President. The Treasurer shall make such disbursements of the funds of the Corporation as are authorized and shall render from time to time an account of all such transactions and of the financial condition of the Corporation, and shall sign with the President, or a Vice President, certificates for shares of the Corporation, the issue of which shall have been authorized by resolution of the Board.</w:t>
      </w:r>
    </w:p>
    <w:p>
      <w:pPr>
        <w:spacing w:after="0" w:line="195"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Secretary</w:t>
      </w:r>
      <w:r>
        <w:rPr>
          <w:rFonts w:ascii="Arial" w:cs="Arial" w:eastAsia="Arial" w:hAnsi="Arial"/>
          <w:sz w:val="16"/>
          <w:szCs w:val="16"/>
          <w:color w:val="auto"/>
        </w:rPr>
        <w:t>. Except as otherwise provided in these Bylaws, the Secretary shall keep the minutes of all meetings of the Board and of the stockholders in books provided for that purpose, and the Secretary shall attend to the giving and service of all notices. The Secretary may sign with the Executive Chairman of the Board or the President, in the name of the Corporation, all contracts of the Corporation and affix the seal of the Corporation thereto. The Secretary may sign with the Executive Chairman of the Board, the President or a Vice President all certificates for shares of stock of the Corporation, and the Secretary shall have charge of the certificate books, transfer books, and stock papers as the Board may direct, all of which shall at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3" w:name="page174"/>
    <w:bookmarkEnd w:id="17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reasonable times be open to inspection by any director upon application at the office of the Corporation during business hours. The Secretary shall in general perform all duties incident to the office of the Secretary, subject to the control of the Board, the Executive Chairman of the Board, and the President.</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Assistant Treasurers and Assistant Secretaries</w:t>
      </w:r>
      <w:r>
        <w:rPr>
          <w:rFonts w:ascii="Arial" w:cs="Arial" w:eastAsia="Arial" w:hAnsi="Arial"/>
          <w:sz w:val="18"/>
          <w:szCs w:val="18"/>
          <w:color w:val="auto"/>
        </w:rPr>
        <w:t>. Assistant Secretaries and Treasurers, as thereunto authorized by the Board, may sign with the President or a Vice-President certificates for shares of the Corporation, the issue of which shall have been authorized by a resolution of the Board. The assistant Treasurers and assistant Secretaries, in general, shall perform such duties as shall be assigned to them by the Treasurer or the Secretary, respectively, or by the President or the Board, and in the absence of the Treasurer or Secretary, as the case may be, shall perform the duties and exercise the powers of the Treasurer or Secretary, as applicable.</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Bonds of Officers</w:t>
      </w:r>
      <w:r>
        <w:rPr>
          <w:rFonts w:ascii="Arial" w:cs="Arial" w:eastAsia="Arial" w:hAnsi="Arial"/>
          <w:sz w:val="18"/>
          <w:szCs w:val="18"/>
          <w:color w:val="auto"/>
        </w:rPr>
        <w:t>. If required by the Board, any officer of the Corporation shall give a bond for the faithful discharge of such officer’s duties in such amount and with such surety or sureties as the Board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CERTIFICATES FOR STOCK AND THEIR TRANSFER</w:t>
      </w:r>
    </w:p>
    <w:p>
      <w:pPr>
        <w:spacing w:after="0" w:line="229"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Certificates of Stock</w:t>
      </w:r>
      <w:r>
        <w:rPr>
          <w:rFonts w:ascii="Arial" w:cs="Arial" w:eastAsia="Arial" w:hAnsi="Arial"/>
          <w:sz w:val="17"/>
          <w:szCs w:val="17"/>
          <w:color w:val="auto"/>
        </w:rPr>
        <w:t>. Each stockholder shall be entitled to a certificate signed by, or in the name of the Corporation by the President or a Vice President, and by the Secretary or an Assistant Secretary, or the Treasurer or an Assistant Treasurer, certifying the number of shares owned by him. Any or all of the signatures on the certificate may be by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the signatory were such officer, transfer agent, or registrar at the date of issue. The certificates shall be consecutively numbered and shall be entered in the books of the Corporation as they are issued and shall exhibit the holder’s name and the number of shares.</w:t>
      </w:r>
    </w:p>
    <w:p>
      <w:pPr>
        <w:spacing w:after="0" w:line="1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Replacement of Lost, Stolen or Destroyed Certificates</w:t>
      </w:r>
      <w:r>
        <w:rPr>
          <w:rFonts w:ascii="Arial" w:cs="Arial" w:eastAsia="Arial" w:hAnsi="Arial"/>
          <w:sz w:val="16"/>
          <w:szCs w:val="16"/>
          <w:color w:val="auto"/>
        </w:rPr>
        <w:t>. The Board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may, in its discretion and as a condition precedent to the issuance thereof, require the owner of such lost or destroyed certificate or certificates, or such person’s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6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Transfers of Stock</w:t>
      </w:r>
      <w:r>
        <w:rPr>
          <w:rFonts w:ascii="Arial" w:cs="Arial" w:eastAsia="Arial" w:hAnsi="Arial"/>
          <w:sz w:val="18"/>
          <w:szCs w:val="18"/>
          <w:color w:val="auto"/>
        </w:rPr>
        <w:t>. Transfers of stock shall be made only upon the transfer books of the Corporation kept at an office of the Corporation or by transfer agents designated to transfer shares of the stock of the Corporation.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74" w:name="page175"/>
    <w:bookmarkEnd w:id="174"/>
    <w:p>
      <w:pPr>
        <w:ind w:right="3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16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certificates of stock shall be governed by such other regulations as the Board may establish.</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Legends</w:t>
      </w:r>
      <w:r>
        <w:rPr>
          <w:rFonts w:ascii="Arial" w:cs="Arial" w:eastAsia="Arial" w:hAnsi="Arial"/>
          <w:sz w:val="16"/>
          <w:szCs w:val="16"/>
          <w:color w:val="auto"/>
        </w:rPr>
        <w:t>. The Board shall have the power and authority to provide that certificates representing shares of stock bear such legends as the Board deems appropriate to assure that the Corporation does not become liable for violations of federal or state securities laws or other applicable law.</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CERTAIN TRANSACTIONS</w:t>
      </w:r>
    </w:p>
    <w:p>
      <w:pPr>
        <w:spacing w:after="0" w:line="22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Transactions with Interested Parties</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such director or officer or their votes are counted for such purpose, if:</w:t>
      </w:r>
    </w:p>
    <w:p>
      <w:pPr>
        <w:spacing w:after="0" w:line="188" w:lineRule="exact"/>
        <w:rPr>
          <w:sz w:val="20"/>
          <w:szCs w:val="20"/>
          <w:color w:val="auto"/>
        </w:rPr>
      </w:pPr>
    </w:p>
    <w:p>
      <w:pPr>
        <w:ind w:right="60" w:firstLine="987"/>
        <w:spacing w:after="0" w:line="286" w:lineRule="auto"/>
        <w:tabs>
          <w:tab w:leader="none" w:pos="123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material facts as to such interested director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w:t>
      </w:r>
    </w:p>
    <w:p>
      <w:pPr>
        <w:spacing w:after="0" w:line="165"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material facts as to such interested director or officer’s relationship or interest and as to the contract or transaction are disclosed or are known to the stockholders entitled to vote thereon, and the contract or transaction is specifically approved in good faith by vote of the stockholders; or</w:t>
      </w:r>
    </w:p>
    <w:p>
      <w:pPr>
        <w:spacing w:after="0" w:line="183"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a committee thereof, or the stockholders.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Quorum</w:t>
      </w:r>
      <w:r>
        <w:rPr>
          <w:rFonts w:ascii="Arial" w:cs="Arial" w:eastAsia="Arial" w:hAnsi="Arial"/>
          <w:sz w:val="18"/>
          <w:szCs w:val="18"/>
          <w:color w:val="auto"/>
        </w:rPr>
        <w:t>. Common or interested directors may be counted in determining the presence of a quorum at a meeting of the Board or of a committee which authorizes the contract or transaction.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NOTICES</w:t>
      </w:r>
    </w:p>
    <w:p>
      <w:pPr>
        <w:spacing w:after="0" w:line="22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Method</w:t>
      </w:r>
      <w:r>
        <w:rPr>
          <w:rFonts w:ascii="Arial" w:cs="Arial" w:eastAsia="Arial" w:hAnsi="Arial"/>
          <w:sz w:val="18"/>
          <w:szCs w:val="18"/>
          <w:color w:val="auto"/>
        </w:rPr>
        <w:t>. Whenever by statute, the Certificate, or these Bylaws, notice is required to be given to any committee member, director, or stockholder and no provision is made as to how such notice shall be given, personal notice shall not be required and any such notice may be given (a) in writing, by mail, postage prepaid, addressed to such committee member, director,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75" w:name="page176"/>
    <w:bookmarkEnd w:id="175"/>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at such person’s address as it appears on the books or (in the case of a stockholder) the stock transfer records of the Corporation, or (b) by any other method permitted by law (including but not limited to overnight courier service, electronic mail,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electronic mail, telegram, telex, or telefax shall be deemed to be delivered and given at the time transmitted with all charges prepaid and addressed as aforesaid.</w:t>
      </w:r>
    </w:p>
    <w:p>
      <w:pPr>
        <w:spacing w:after="0" w:line="16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Waivers</w:t>
      </w:r>
      <w:r>
        <w:rPr>
          <w:rFonts w:ascii="Arial" w:cs="Arial" w:eastAsia="Arial" w:hAnsi="Arial"/>
          <w:sz w:val="18"/>
          <w:szCs w:val="18"/>
          <w:color w:val="auto"/>
        </w:rPr>
        <w:t>. Whenever any notice is required to be given to any stockholder, director, or committee member of the Corporation by statute, the Certificate,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INDEMNIFICATION</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Power to Indemnify in Actions, Suits or Proceedings other than Those by or in the Right of the Corporation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Power to Indemnify in Actions, Suits or Proceedings by or in the Right of the Corporation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6" w:name="page177"/>
    <w:bookmarkEnd w:id="176"/>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9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Authorization of Indemnification</w:t>
      </w:r>
      <w:r>
        <w:rPr>
          <w:rFonts w:ascii="Arial" w:cs="Arial" w:eastAsia="Arial" w:hAnsi="Arial"/>
          <w:sz w:val="16"/>
          <w:szCs w:val="16"/>
          <w:color w:val="auto"/>
        </w:rPr>
        <w:t xml:space="preserve">. Any indemnification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7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Good Faith Defined</w:t>
      </w:r>
      <w:r>
        <w:rPr>
          <w:rFonts w:ascii="Arial" w:cs="Arial" w:eastAsia="Arial" w:hAnsi="Arial"/>
          <w:sz w:val="17"/>
          <w:szCs w:val="17"/>
          <w:color w:val="auto"/>
        </w:rPr>
        <w:t xml:space="preserve">. For purposes of any determination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as the case may be.</w:t>
      </w:r>
    </w:p>
    <w:p>
      <w:pPr>
        <w:spacing w:after="0" w:line="18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 by a Court</w:t>
      </w:r>
      <w:r>
        <w:rPr>
          <w:rFonts w:ascii="Arial" w:cs="Arial" w:eastAsia="Arial" w:hAnsi="Arial"/>
          <w:sz w:val="18"/>
          <w:szCs w:val="18"/>
          <w:color w:val="auto"/>
        </w:rPr>
        <w:t xml:space="preserve">. Notwithstanding any contrary determination in the specific case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IX</w:t>
      </w:r>
      <w:r>
        <w:rPr>
          <w:rFonts w:ascii="Arial" w:cs="Arial" w:eastAsia="Arial" w:hAnsi="Arial"/>
          <w:sz w:val="18"/>
          <w:szCs w:val="18"/>
          <w:color w:val="auto"/>
        </w:rPr>
        <w:t>, and notwithstanding the absence of any determination thereunder, any director or officer may apply to the Court of Chancery of the State of Delaware or any other court of competent jurisdiction in the State of Delaware 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77" w:name="page178"/>
    <w:bookmarkEnd w:id="177"/>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indemnification to the extent otherwise permissible under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as the case may be. Neither a contrary determination in the specific case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7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Expenses Payable in Advance</w:t>
      </w:r>
      <w:r>
        <w:rPr>
          <w:rFonts w:ascii="Arial" w:cs="Arial" w:eastAsia="Arial" w:hAnsi="Arial"/>
          <w:sz w:val="16"/>
          <w:szCs w:val="16"/>
          <w:color w:val="auto"/>
        </w:rPr>
        <w:t xml:space="preserve">. 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Such expenses (including attorneys’ fees) incurred by former directors and officers or other employees and agents may be so paid upon such terms and conditions, if any, as the Corporation deems appropriate.</w:t>
      </w:r>
    </w:p>
    <w:p>
      <w:pPr>
        <w:spacing w:after="0" w:line="16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Nonexclusivity of Indemnification and Advancement of Expenses</w:t>
      </w:r>
      <w:r>
        <w:rPr>
          <w:rFonts w:ascii="Arial" w:cs="Arial" w:eastAsia="Arial" w:hAnsi="Arial"/>
          <w:sz w:val="16"/>
          <w:szCs w:val="16"/>
          <w:color w:val="auto"/>
        </w:rPr>
        <w:t xml:space="preserve">. The indemnification and advancement of expenses provided by, or granted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made to the fullest extent permitted by law.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be deemed to preclude the indemnification of any person who is not specified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but whom the Corporation has the power or obligation to indemnify under the provisions of the DGCL, or otherwise.</w:t>
      </w:r>
    </w:p>
    <w:p>
      <w:pPr>
        <w:spacing w:after="0" w:line="166"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78" w:name="page179"/>
    <w:bookmarkEnd w:id="17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85"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Limitation on Indemnification</w:t>
      </w:r>
      <w:r>
        <w:rPr>
          <w:rFonts w:ascii="Arial" w:cs="Arial" w:eastAsia="Arial" w:hAnsi="Arial"/>
          <w:sz w:val="17"/>
          <w:szCs w:val="17"/>
          <w:color w:val="auto"/>
        </w:rPr>
        <w:t xml:space="preserve">. Notwithstanding anything contained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except for proceedings to enforce rights to indemnification (which shall be governed by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xml:space="preserve">. The Corporation may, to the extent authorized from time to time by the Board, provide rights to indemnification and to the advancement of expenses to employees and agents of the Corporation similar to those conferred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directors and officers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MISCELLANEOUS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the Board; provided, that if such fiscal year is not fixed by the Board and the selection of the fiscal year is not expressly deferred by the Board, the fiscal year shall be the calendar year.</w:t>
      </w:r>
    </w:p>
    <w:p>
      <w:pPr>
        <w:spacing w:after="0" w:line="170" w:lineRule="exact"/>
        <w:rPr>
          <w:sz w:val="20"/>
          <w:szCs w:val="20"/>
          <w:color w:val="auto"/>
        </w:rPr>
      </w:pPr>
    </w:p>
    <w:p>
      <w:pPr>
        <w:jc w:val="both"/>
        <w:ind w:right="640" w:firstLine="440"/>
        <w:spacing w:after="0" w:line="34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use of facsimile signatures elsewhere specifically authorized in these Bylaws, facsimile signatures of any officer or officers of the Corporation may be used whenever and as authorized by the Board or a committee thereof.</w:t>
      </w:r>
    </w:p>
    <w:p>
      <w:pPr>
        <w:spacing w:after="0" w:line="124"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provisions of law and the Certificate, dividends may be declared by the Board at any regular or special meeting and may be paid in cash, in property, or in shares of stock of the Corporation. Such declaration and payment shall be at the discretion of the Board.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179" w:name="page180"/>
    <w:bookmarkEnd w:id="179"/>
    <w:p>
      <w:pPr>
        <w:ind w:right="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10.4.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created by the Board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shall consider beneficial to the Corporation, and the Board may modify or abolish any such reserve in the manner in which it was created.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such as from time to time may be approved by the Board.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committee member, or officer may resign by so stating at any meeting of the Board or by giving written notice to the Board, the Executive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18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each member of any committee designated by the Board, and each officer of the Corporation shall, in the performance of such person’s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6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Telephone Meetings</w:t>
      </w:r>
      <w:r>
        <w:rPr>
          <w:rFonts w:ascii="Arial" w:cs="Arial" w:eastAsia="Arial" w:hAnsi="Arial"/>
          <w:sz w:val="17"/>
          <w:szCs w:val="17"/>
          <w:color w:val="auto"/>
        </w:rPr>
        <w:t>. Stockholders (acting for themselves or through a proxy), members of the Board, and members of a committee of the Board may participate in and hold a meeting of such stockholders, Board, or committee by means of a conference telephone or similar communications equipment by means of which persons participating in the meeting can hear each other, and participation in a meeting pursuant to this section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Invalid Provisions</w:t>
      </w:r>
      <w:r>
        <w:rPr>
          <w:rFonts w:ascii="Arial" w:cs="Arial" w:eastAsia="Arial" w:hAnsi="Arial"/>
          <w:sz w:val="18"/>
          <w:szCs w:val="18"/>
          <w:color w:val="auto"/>
        </w:rPr>
        <w:t>. If any part of these Bylaws shall be held invalid or inoperative for any reason, the remaining parts, so far as it is possible and reasonable, shall remain valid and operative.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Mortgages, etc.</w:t>
      </w:r>
      <w:r>
        <w:rPr>
          <w:rFonts w:ascii="Arial" w:cs="Arial" w:eastAsia="Arial" w:hAnsi="Arial"/>
          <w:sz w:val="18"/>
          <w:szCs w:val="18"/>
          <w:color w:val="auto"/>
        </w:rPr>
        <w:t xml:space="preserve">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authorizing such execution expressly state that such attestation is necessary.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80" w:name="page181"/>
    <w:bookmarkEnd w:id="180"/>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these Bylaws have been inserted for administrative convenience only and do not constitute matter to be construed in interpretation.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References</w:t>
      </w:r>
      <w:r>
        <w:rPr>
          <w:rFonts w:ascii="Arial" w:cs="Arial" w:eastAsia="Arial" w:hAnsi="Arial"/>
          <w:sz w:val="18"/>
          <w:szCs w:val="18"/>
          <w:color w:val="auto"/>
        </w:rPr>
        <w:t>. Whenever herein the singular number is used, the same shall include the plural where appropriate, and words of any gender should include each other gender where appropriate.</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or new bylaws may be adopted by the stockholders or by the Board at any regular meeting of the stockholders or the Board or at any special meeting of the stockholders or the Board if notice of such alteration, amendment, repeal, or adoption of new Bylaws be contained in the notice of such special meeting.</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9"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This EMPLOYMENT AGREEMENT (“Agreement”) is made and entered into as of August 21, 2017 (the “Effective Date”) between First Watch Restaurants, Inc., a Delaware corporation (together with its successors and assigns permitted hereunder, the “Company”), and Christopher Tomasso (the “Executive”).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00" w:firstLine="440"/>
        <w:spacing w:after="0" w:line="277" w:lineRule="auto"/>
        <w:rPr>
          <w:sz w:val="20"/>
          <w:szCs w:val="20"/>
          <w:color w:val="auto"/>
        </w:rPr>
      </w:pPr>
      <w:r>
        <w:rPr>
          <w:rFonts w:ascii="Arial" w:cs="Arial" w:eastAsia="Arial" w:hAnsi="Arial"/>
          <w:sz w:val="18"/>
          <w:szCs w:val="18"/>
          <w:color w:val="auto"/>
        </w:rPr>
        <w:t>WHEREAS, the Company and the Executive entered into that certain Employment Agreement effective October 1, 2012 (the “Prior Employment Agreement”) which employment agreement is hereby terminated, cancelled and of no further force or effect; and</w:t>
      </w:r>
    </w:p>
    <w:p>
      <w:pPr>
        <w:spacing w:after="0" w:line="278" w:lineRule="exact"/>
        <w:rPr>
          <w:sz w:val="20"/>
          <w:szCs w:val="20"/>
          <w:color w:val="auto"/>
        </w:rPr>
      </w:pPr>
    </w:p>
    <w:p>
      <w:pPr>
        <w:ind w:right="920" w:firstLine="440"/>
        <w:spacing w:after="0" w:line="308" w:lineRule="auto"/>
        <w:rPr>
          <w:sz w:val="20"/>
          <w:szCs w:val="20"/>
          <w:color w:val="auto"/>
        </w:rPr>
      </w:pPr>
      <w:r>
        <w:rPr>
          <w:rFonts w:ascii="Arial" w:cs="Arial" w:eastAsia="Arial" w:hAnsi="Arial"/>
          <w:sz w:val="17"/>
          <w:szCs w:val="17"/>
          <w:color w:val="auto"/>
        </w:rPr>
        <w:t>WHEREAS, the Board of Directors of the Company (the “Board”) has determined that it is in the best interest of the Company and its stockholders to enter into this Agreement and to continue to employ the Executive on the terms and conditions set forth herein.</w:t>
      </w:r>
    </w:p>
    <w:p>
      <w:pPr>
        <w:spacing w:after="0" w:line="254"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NOW, THEREFORE, in consideration of the respective agreements and covenants set forth herein and other good and valuable consideration, the receipt of which is hereby acknowledged by both parties hereto, the parties hereto, intending to be legally bound,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120" w:firstLine="436"/>
        <w:spacing w:after="0" w:line="253" w:lineRule="auto"/>
        <w:tabs>
          <w:tab w:leader="none" w:pos="6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term of employment hereunder shall commence on the Effective Date of this Agreement and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until the first anniversary of the Effective Date, unless earlier terminated pursuant to Section 3 (the initial employment period and any extended employment period pursuant to this Section 1 shall be referred to herein as the “Employment Period”). Upon the first anniversary of the Effective Date, and on each anniversary thereafter, this Agreement shall automatically renew on the same terms and conditions set forth herein (as amended in writing from time to time by the parties) for one (1) year periods unless the Company or the Executive gives the other party written notice of its/Executive’s election not to renew the Employment Period no later than thirty (30) days prior to the end of the Employment Period. If either party provides a notice not to renew pursuant to this Section 1 and the Executive continues to be employed by the Company after the Employment Period, for any reason, Executive will do so as an at will employee and not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Executive’s post-termination obligations pursuant to Sections 4, 5, 6, 8 and 10 of this Agreement (the “Continuing Obligations”) shall survive any such continued at will employment and termination thereof.</w:t>
      </w:r>
    </w:p>
    <w:p>
      <w:pPr>
        <w:spacing w:after="0" w:line="194" w:lineRule="exact"/>
        <w:rPr>
          <w:rFonts w:ascii="Arial" w:cs="Arial" w:eastAsia="Arial" w:hAnsi="Arial"/>
          <w:sz w:val="18"/>
          <w:szCs w:val="18"/>
          <w:b w:val="1"/>
          <w:bCs w:val="1"/>
          <w:color w:val="auto"/>
        </w:rPr>
      </w:pPr>
    </w:p>
    <w:p>
      <w:pPr>
        <w:ind w:left="620" w:hanging="184"/>
        <w:spacing w:after="0"/>
        <w:tabs>
          <w:tab w:leader="none" w:pos="6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of Employment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991"/>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Position and Duties</w:t>
      </w:r>
      <w:r>
        <w:rPr>
          <w:rFonts w:ascii="Arial" w:cs="Arial" w:eastAsia="Arial" w:hAnsi="Arial"/>
          <w:sz w:val="16"/>
          <w:szCs w:val="16"/>
          <w:color w:val="auto"/>
        </w:rPr>
        <w:t>. During the Employment Period, the Executive shall serve as the President of the Company and, in so doing, shall perform all normal duties and responsibilities associated with such position, subject to the general direction, approval and control of the Chief Executive Officer of the Company and the Board. During the Employment Period, and excluding any periods of vacation or other leaves to which the</w:t>
      </w:r>
    </w:p>
    <w:p>
      <w:pPr>
        <w:sectPr>
          <w:pgSz w:w="11900" w:h="16838" w:orient="portrait"/>
          <w:cols w:equalWidth="0" w:num="1">
            <w:col w:w="11020"/>
          </w:cols>
          <w:pgMar w:left="440" w:top="121" w:right="439" w:bottom="1440" w:gutter="0" w:footer="0" w:header="0"/>
        </w:sectPr>
      </w:pPr>
    </w:p>
    <w:bookmarkStart w:id="182" w:name="page183"/>
    <w:bookmarkEnd w:id="18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is entitled, the Executive agrees to devote substantially all of Executive’s business time to the business and affairs of the Company, to use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Executive’s best efforts to perform faithfully, effectively and efficiently Executive’s duties and responsibilities, and to observe and comply with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Company’s rules and policies as adopted by the Company from time to time. Provided, however, that the foregoing shall not prevent Executive from</w:t>
      </w:r>
    </w:p>
    <w:p>
      <w:pPr>
        <w:spacing w:after="0" w:line="32" w:lineRule="exact"/>
        <w:rPr>
          <w:sz w:val="20"/>
          <w:szCs w:val="20"/>
          <w:color w:val="auto"/>
        </w:rPr>
      </w:pPr>
    </w:p>
    <w:p>
      <w:pPr>
        <w:ind w:left="4" w:hanging="4"/>
        <w:spacing w:after="0" w:line="253" w:lineRule="auto"/>
        <w:tabs>
          <w:tab w:leader="none" w:pos="21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maintaining the ownership interests that Executive has in other entities as of the Effective Date, or (ii) maintaining the positions that Executive holds on boards and with trade associations as of the Effective Date. During the Employment Period, the Executive will be employed by the Company on an at will basis, which means that either Executive or the Company can terminate the employment relationship at any time, with or without cause, subject to the terms and conditions set forth in Section 3.</w:t>
      </w:r>
    </w:p>
    <w:p>
      <w:pPr>
        <w:spacing w:after="0" w:line="84" w:lineRule="exact"/>
        <w:rPr>
          <w:rFonts w:ascii="Arial" w:cs="Arial" w:eastAsia="Arial" w:hAnsi="Arial"/>
          <w:sz w:val="18"/>
          <w:szCs w:val="18"/>
          <w:color w:val="auto"/>
        </w:rPr>
      </w:pPr>
    </w:p>
    <w:p>
      <w:pPr>
        <w:ind w:left="1204" w:hanging="213"/>
        <w:spacing w:after="0"/>
        <w:tabs>
          <w:tab w:leader="none" w:pos="1204"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Employment Period, the Executive shall receive an annual base salary in the amount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$325,000.00 less applicable deductions under federal, state and local laws (the “Annual Base Salary”), paid in accordance with the customary payroll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practices of the Company. The Board, in its discretion, may at any time change the amount of the Annual Base Salary to such greater amount as it may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deem appropriate, and the term “Annual Base Salary,” as used in this Agreement, shall refer to the Annual Base Salary as it may so be changed.</w:t>
      </w:r>
    </w:p>
    <w:p>
      <w:pPr>
        <w:spacing w:after="0" w:line="114" w:lineRule="exact"/>
        <w:rPr>
          <w:sz w:val="20"/>
          <w:szCs w:val="20"/>
          <w:color w:val="auto"/>
        </w:rPr>
      </w:pPr>
    </w:p>
    <w:p>
      <w:pPr>
        <w:ind w:left="4" w:right="180" w:firstLine="1428"/>
        <w:spacing w:after="0" w:line="270" w:lineRule="auto"/>
        <w:tabs>
          <w:tab w:leader="none" w:pos="169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During the Employment Period, the Executive shall be eligible to participate in the Company’s key employee bonus plan pursuant to the terms and conditions of that plan, as amended from time to time by the Board, but not within the bonus period ending on December 31, 2017. The Executive shall be eligible to receive an annual bonus of up to 75% of the Annual Base Salary, which will be based upon the achievement of certain clearly defined goals (including, without limitation, achieving EBITDA targets) established by the Board or its Compensation Committee (the “Annual Bonus”), and provided to the Executive prior to the commencement of each annual bonus period. The implementation, continuation and termination of any incentive plan referenced hereunder shall be within the sole discretion of the Board provided that the bonus plan shall not be terminated or materially reduced during the bonus period ending on December 31, 2017. The Annual Bonus, if any, shall be paid to the Executive as set forth in the annual incentive plan. The Executive shall only be eligible to receive the Annual Bonus if Executive is actively employed on the Annual Bonus payout date subject to Section 3.</w:t>
      </w:r>
    </w:p>
    <w:p>
      <w:pPr>
        <w:spacing w:after="0" w:line="72" w:lineRule="exact"/>
        <w:rPr>
          <w:rFonts w:ascii="Arial" w:cs="Arial" w:eastAsia="Arial" w:hAnsi="Arial"/>
          <w:sz w:val="17"/>
          <w:szCs w:val="17"/>
          <w:color w:val="auto"/>
        </w:rPr>
      </w:pPr>
    </w:p>
    <w:p>
      <w:pPr>
        <w:ind w:left="4" w:right="360" w:firstLine="1428"/>
        <w:spacing w:after="0" w:line="342" w:lineRule="auto"/>
        <w:tabs>
          <w:tab w:leader="none" w:pos="169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During the Employment Period, the Executive shall be eligible to participate in the equity incentive plan of AI Fresh Parent, Inc. (“Parent”) maintained for senior executives pursuant to the terms and conditions of that plan, as amended from time to time.</w:t>
      </w:r>
    </w:p>
    <w:p>
      <w:pPr>
        <w:spacing w:after="0" w:line="15" w:lineRule="exact"/>
        <w:rPr>
          <w:rFonts w:ascii="Arial" w:cs="Arial" w:eastAsia="Arial" w:hAnsi="Arial"/>
          <w:sz w:val="16"/>
          <w:szCs w:val="16"/>
          <w:color w:val="auto"/>
        </w:rPr>
      </w:pPr>
    </w:p>
    <w:p>
      <w:pPr>
        <w:ind w:left="4" w:right="60" w:firstLine="1428"/>
        <w:spacing w:after="0" w:line="273" w:lineRule="auto"/>
        <w:tabs>
          <w:tab w:leader="none" w:pos="1691"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the Employment Period, the Executive shall be entitled to participate in each benefit plan sponsored by the Company to the extent such benefit plan is generally available to similarly-situated employees of the Company and the Executive is otherwise eligible under the terms of such benefit plan. The amount, eligibility, and extent of the benefits shall be governed by the applicable benefit plan or program of the Company. The Executive shall be entitled to accrue three (3) weeks of paid vacation per year on a pro-rata basis. Vacation days shall not accumulate from year to year and unused vacation days will not be paid upon termination subject to Section 3. Any vacation shall be taken at the reasonable and mutual convenience of the Company and the Executive.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83" w:name="page184"/>
    <w:bookmarkEnd w:id="183"/>
    <w:p>
      <w:pPr>
        <w:ind w:firstLine="1428"/>
        <w:spacing w:after="0" w:line="342" w:lineRule="auto"/>
        <w:tabs>
          <w:tab w:leader="none" w:pos="1687" w:val="left"/>
        </w:tabs>
        <w:numPr>
          <w:ilvl w:val="2"/>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Life Insurance Plan</w:t>
      </w:r>
      <w:r>
        <w:rPr>
          <w:rFonts w:ascii="Arial" w:cs="Arial" w:eastAsia="Arial" w:hAnsi="Arial"/>
          <w:sz w:val="16"/>
          <w:szCs w:val="16"/>
          <w:color w:val="auto"/>
        </w:rPr>
        <w:t>. The Executive shall be entitled to participate in a supplemental life insurance plan that may be provided by the Company from time to time, in accordance with the terms and conditions of such programs as administered by the Company.</w:t>
      </w:r>
    </w:p>
    <w:p>
      <w:pPr>
        <w:spacing w:after="0" w:line="15" w:lineRule="exact"/>
        <w:rPr>
          <w:rFonts w:ascii="Arial" w:cs="Arial" w:eastAsia="Arial" w:hAnsi="Arial"/>
          <w:sz w:val="16"/>
          <w:szCs w:val="16"/>
          <w:color w:val="auto"/>
        </w:rPr>
      </w:pPr>
    </w:p>
    <w:p>
      <w:pPr>
        <w:ind w:firstLine="1428"/>
        <w:spacing w:after="0" w:line="275" w:lineRule="auto"/>
        <w:tabs>
          <w:tab w:leader="none" w:pos="1687" w:val="left"/>
        </w:tabs>
        <w:numPr>
          <w:ilvl w:val="2"/>
          <w:numId w:val="11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During the Employment Period, the Company shall reimburse the Executive for all reasonable business expenses of types authorized by the Company and reasonably and necessarily incurred or paid for by the Executive in the performance of Executive’s duties, responsibilities, and authorities hereunder. The Executive shall provide the Company with all documentation and receipts requested by the Company and required to establish the amount and nature of such expenses. The Executive shall comply with such budget limitations and approval and reporting requirements with respect to expenses as the Company may establish from time to time.</w:t>
      </w:r>
    </w:p>
    <w:p>
      <w:pPr>
        <w:spacing w:after="0" w:line="64" w:lineRule="exact"/>
        <w:rPr>
          <w:rFonts w:ascii="Arial" w:cs="Arial" w:eastAsia="Arial" w:hAnsi="Arial"/>
          <w:sz w:val="17"/>
          <w:szCs w:val="17"/>
          <w:color w:val="auto"/>
        </w:rPr>
      </w:pPr>
    </w:p>
    <w:p>
      <w:pPr>
        <w:ind w:left="620" w:hanging="184"/>
        <w:spacing w:after="0"/>
        <w:tabs>
          <w:tab w:leader="none" w:pos="6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upon Termination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firstLine="987"/>
        <w:spacing w:after="0" w:line="293" w:lineRule="auto"/>
        <w:tabs>
          <w:tab w:leader="none" w:pos="1211"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Termination/Expiration</w:t>
      </w:r>
      <w:r>
        <w:rPr>
          <w:rFonts w:ascii="Arial" w:cs="Arial" w:eastAsia="Arial" w:hAnsi="Arial"/>
          <w:sz w:val="16"/>
          <w:szCs w:val="16"/>
          <w:color w:val="auto"/>
        </w:rPr>
        <w:t>. The provisions of this Section 3 do not in any way affect the Executive’s at will status as provided in Section 2. The Executive is entitled to no other payments, compensation, severance or benefits upon termination except as expressly stated in this Section 3. Upon termination or expiration/nonrenewal of this Agreement, the Executive is entitled to receive any unpaid Annual Base Salary due for the period prior to and through the date of termination, and following submission of proper expense reports by the Executive, reimbursement for all expenses properly incurred in accordance with Section 2.B(6) of this Agreement (jointly,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Upon termination for any reason (except death) or expiration/nonrenewal of this Agreement, the Executive shall continue to be fully bound by the Continuing Obligations.</w:t>
      </w:r>
    </w:p>
    <w:p>
      <w:pPr>
        <w:spacing w:after="0" w:line="56" w:lineRule="exact"/>
        <w:rPr>
          <w:rFonts w:ascii="Arial" w:cs="Arial" w:eastAsia="Arial" w:hAnsi="Arial"/>
          <w:sz w:val="16"/>
          <w:szCs w:val="16"/>
          <w:color w:val="auto"/>
        </w:rPr>
      </w:pPr>
    </w:p>
    <w:p>
      <w:pPr>
        <w:ind w:right="240" w:firstLine="987"/>
        <w:spacing w:after="0" w:line="255" w:lineRule="auto"/>
        <w:tabs>
          <w:tab w:leader="none" w:pos="120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Any termination of the Executive’s employment shall be communicated to the other party by a Notice of Termination. For the Executive, a “Notice of Termination” means a written notice provided to the Company at least thirty (30) days prior to the Executive’s last day of employment, </w:t>
      </w:r>
      <w:r>
        <w:rPr>
          <w:rFonts w:ascii="Arial" w:cs="Arial" w:eastAsia="Arial" w:hAnsi="Arial"/>
          <w:sz w:val="18"/>
          <w:szCs w:val="18"/>
          <w:i w:val="1"/>
          <w:iCs w:val="1"/>
          <w:color w:val="auto"/>
        </w:rPr>
        <w:t>provided however</w:t>
      </w:r>
      <w:r>
        <w:rPr>
          <w:rFonts w:ascii="Arial" w:cs="Arial" w:eastAsia="Arial" w:hAnsi="Arial"/>
          <w:sz w:val="18"/>
          <w:szCs w:val="18"/>
          <w:color w:val="auto"/>
        </w:rPr>
        <w:t>, the Company may accelerate the Executive’s last day of employment to any date within the thirty (30) day notice period without converting the Executive’s resignation into anything but a voluntary resignation. For the Company, a “Notice of Termination” means any written notice to the Executive, at any time, which indicates the effective date of termination of the Executive’s employment subject to this Section 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84" w:name="page185"/>
    <w:bookmarkEnd w:id="18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8"/>
          <w:szCs w:val="18"/>
          <w:u w:val="single" w:color="auto"/>
          <w:color w:val="auto"/>
        </w:rPr>
        <w:t>Termination by the Company Due to Death or Disability</w:t>
      </w:r>
      <w:r>
        <w:rPr>
          <w:rFonts w:ascii="Arial" w:cs="Arial" w:eastAsia="Arial" w:hAnsi="Arial"/>
          <w:sz w:val="18"/>
          <w:szCs w:val="18"/>
          <w:color w:val="auto"/>
        </w:rPr>
        <w:t>.</w:t>
      </w:r>
    </w:p>
    <w:p>
      <w:pPr>
        <w:spacing w:after="0" w:line="117" w:lineRule="exact"/>
        <w:rPr>
          <w:sz w:val="20"/>
          <w:szCs w:val="20"/>
          <w:color w:val="auto"/>
        </w:rPr>
      </w:pPr>
    </w:p>
    <w:p>
      <w:pPr>
        <w:ind w:right="80" w:firstLine="1428"/>
        <w:spacing w:after="0" w:line="257" w:lineRule="auto"/>
        <w:tabs>
          <w:tab w:leader="none" w:pos="168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Termination for Death or Disability</w:t>
      </w:r>
      <w:r>
        <w:rPr>
          <w:rFonts w:ascii="Arial" w:cs="Arial" w:eastAsia="Arial" w:hAnsi="Arial"/>
          <w:sz w:val="18"/>
          <w:szCs w:val="18"/>
          <w:color w:val="auto"/>
        </w:rPr>
        <w:t>. The Executive’s employment hereunder shall terminate automatically during the Employment Period upon the Executive’s death or, at the option of the Company, upon Executive’s Disability (defined below). In the case of Disability, the Company shall provide the Executive a Notice of Termination and the Executive’s employment with the Company shall terminate effective on the thirtieth (30th) day following Executive’s receipt of said notice unless, within said thirty (30) day period, the Executive is able to perform the essential functions of Executive’s job duties, with or without reasonable accommodation.</w:t>
      </w:r>
    </w:p>
    <w:p>
      <w:pPr>
        <w:spacing w:after="0" w:line="79" w:lineRule="exact"/>
        <w:rPr>
          <w:rFonts w:ascii="Arial" w:cs="Arial" w:eastAsia="Arial" w:hAnsi="Arial"/>
          <w:sz w:val="18"/>
          <w:szCs w:val="18"/>
          <w:color w:val="auto"/>
        </w:rPr>
      </w:pPr>
    </w:p>
    <w:p>
      <w:pPr>
        <w:ind w:right="60" w:firstLine="1428"/>
        <w:spacing w:after="0" w:line="288" w:lineRule="auto"/>
        <w:tabs>
          <w:tab w:leader="none" w:pos="168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Rights upon Termination for Death or Disability</w:t>
      </w:r>
      <w:r>
        <w:rPr>
          <w:rFonts w:ascii="Arial" w:cs="Arial" w:eastAsia="Arial" w:hAnsi="Arial"/>
          <w:sz w:val="16"/>
          <w:szCs w:val="16"/>
          <w:color w:val="auto"/>
        </w:rPr>
        <w:t>. If the Company terminates the Executive’s employment hereunder because of death or Disability, the Executive shall forfeit all rights to any compensation otherwise due to Executive or to which Executive may be entitled under this Agreement, and the Company shall have no further payment obligations to the Executive or Executive’s legal representatives, other than: (a) the Accrued Obligations; (b) continued payment of the Annual Base Salary for a period of six (6) months following the date of termination in accordance with the Company’s regular payroll practices; (c) accrued but unused vacation through the termination date payable on the next regular payroll date following the termination date; and (d) a pro rata portion of the Annual Bonus that the Executive would have earned for the year in which Executive’s death or Disability occurred if Executive had remained employed with the Company through the end of such calendar year, based on the number of months employed by the Company calculated as of the date of termination (the “Prorated Bonus Amount”), and payable when the bonuses are regularly paid as set forth in the annual incentive plan. Except as set forth in this Section 3.C(2), if the Executive is terminated due to death or Disability, the Company shall have no further obligations to the Executive or liability under this Agreement by way of compensation or otherwise.</w:t>
      </w:r>
    </w:p>
    <w:p>
      <w:pPr>
        <w:spacing w:after="0" w:line="60" w:lineRule="exact"/>
        <w:rPr>
          <w:rFonts w:ascii="Arial" w:cs="Arial" w:eastAsia="Arial" w:hAnsi="Arial"/>
          <w:sz w:val="16"/>
          <w:szCs w:val="16"/>
          <w:color w:val="auto"/>
        </w:rPr>
      </w:pPr>
    </w:p>
    <w:p>
      <w:pPr>
        <w:ind w:firstLine="1428"/>
        <w:spacing w:after="0" w:line="287" w:lineRule="auto"/>
        <w:tabs>
          <w:tab w:leader="none" w:pos="1687"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Definition of Disability</w:t>
      </w:r>
      <w:r>
        <w:rPr>
          <w:rFonts w:ascii="Arial" w:cs="Arial" w:eastAsia="Arial" w:hAnsi="Arial"/>
          <w:sz w:val="16"/>
          <w:szCs w:val="16"/>
          <w:color w:val="auto"/>
        </w:rPr>
        <w:t xml:space="preserve">. For purposes of this Agreement, at any time the Company sponsors a long-term disability plan for the Company’s executives, and subject to applicable law, “Disability” shall mean disability as defined in such long-term disability plan for the purpose of determining a participant’s eligibility for benefits, </w:t>
      </w:r>
      <w:r>
        <w:rPr>
          <w:rFonts w:ascii="Arial" w:cs="Arial" w:eastAsia="Arial" w:hAnsi="Arial"/>
          <w:sz w:val="16"/>
          <w:szCs w:val="16"/>
          <w:i w:val="1"/>
          <w:iCs w:val="1"/>
          <w:color w:val="auto"/>
        </w:rPr>
        <w:t>provided however</w:t>
      </w:r>
      <w:r>
        <w:rPr>
          <w:rFonts w:ascii="Arial" w:cs="Arial" w:eastAsia="Arial" w:hAnsi="Arial"/>
          <w:sz w:val="16"/>
          <w:szCs w:val="16"/>
          <w:color w:val="auto"/>
        </w:rPr>
        <w:t>, if the long-term disability plan contains multiple definitions of disability, “Disability” shall refer to that definition of disability which, if the Executive qualified for such disability benefits, would provide coverage for the longest period of time. The determination of whether the Executive has a Disability shall be made by the person or persons required to render disability determinations under the long-term disability plan. At any time the Company does not sponsor a long-term disability plan for its executives, “Disability” shall mean the Executive’s inability to perform, with or without reasonable accommodation, the essential functions of Executive position hereunder for a period of one hundred twenty (120) days, consecutive or non-consecutive, in any twelve (12)-month period due to Executive’s mental or physical incapacity as determined by a physician selected by the Company or its insurers and acceptable to the Executive or the Executive’s legal representative, such agreement as to acceptability not to be unreasonably withheld or delayed. The Executive agrees to cooperate in submitting to a medical examination for the purpose of certifying Disability under this Section 3.C if requested by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5" w:name="page186"/>
    <w:bookmarkEnd w:id="18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w:t>
      </w:r>
    </w:p>
    <w:p>
      <w:pPr>
        <w:spacing w:after="0" w:line="117" w:lineRule="exact"/>
        <w:rPr>
          <w:sz w:val="20"/>
          <w:szCs w:val="20"/>
          <w:color w:val="auto"/>
        </w:rPr>
      </w:pPr>
    </w:p>
    <w:p>
      <w:pPr>
        <w:ind w:left="4" w:right="40" w:firstLine="1428"/>
        <w:spacing w:after="0" w:line="277" w:lineRule="auto"/>
        <w:tabs>
          <w:tab w:leader="none" w:pos="1691" w:val="left"/>
        </w:tabs>
        <w:numPr>
          <w:ilvl w:val="2"/>
          <w:numId w:val="116"/>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the Executive’s employment at any time during the Employment Period for Cause (defined below) upon written notice to the Executive.</w:t>
      </w:r>
    </w:p>
    <w:p>
      <w:pPr>
        <w:spacing w:after="0" w:line="62" w:lineRule="exact"/>
        <w:rPr>
          <w:rFonts w:ascii="Arial" w:cs="Arial" w:eastAsia="Arial" w:hAnsi="Arial"/>
          <w:sz w:val="18"/>
          <w:szCs w:val="18"/>
          <w:color w:val="auto"/>
        </w:rPr>
      </w:pPr>
    </w:p>
    <w:p>
      <w:pPr>
        <w:ind w:left="4" w:right="420" w:firstLine="1428"/>
        <w:spacing w:after="0" w:line="275" w:lineRule="auto"/>
        <w:tabs>
          <w:tab w:leader="none" w:pos="1691" w:val="left"/>
        </w:tabs>
        <w:numPr>
          <w:ilvl w:val="2"/>
          <w:numId w:val="116"/>
        </w:numPr>
        <w:rPr>
          <w:rFonts w:ascii="Arial" w:cs="Arial" w:eastAsia="Arial" w:hAnsi="Arial"/>
          <w:sz w:val="17"/>
          <w:szCs w:val="17"/>
          <w:color w:val="auto"/>
        </w:rPr>
      </w:pPr>
      <w:r>
        <w:rPr>
          <w:rFonts w:ascii="Arial" w:cs="Arial" w:eastAsia="Arial" w:hAnsi="Arial"/>
          <w:sz w:val="17"/>
          <w:szCs w:val="17"/>
          <w:u w:val="single" w:color="auto"/>
          <w:color w:val="auto"/>
        </w:rPr>
        <w:t>Rights upon Termination for Cause</w:t>
      </w:r>
      <w:r>
        <w:rPr>
          <w:rFonts w:ascii="Arial" w:cs="Arial" w:eastAsia="Arial" w:hAnsi="Arial"/>
          <w:sz w:val="17"/>
          <w:szCs w:val="17"/>
          <w:color w:val="auto"/>
        </w:rPr>
        <w:t>. If the Executive’s employment hereunder is terminated by the Company for Cause, the Executive shall not be entitled to receive any severance, bonus or other payments, except the Accrued Obligations, payable in a lump sum on the Company’s next regular payroll date following the date of termination. Except as set forth in this Section 3.D, the Company shall have no further obligations to the Executive or liability under this Agreement by way of compensation or otherwise. Should the Executive’s employment terminate pursuant to this Section 3.D, the Executive shall continue to be fully bound by the Continuing Obligations.</w:t>
      </w:r>
    </w:p>
    <w:p>
      <w:pPr>
        <w:spacing w:after="0" w:line="68" w:lineRule="exact"/>
        <w:rPr>
          <w:rFonts w:ascii="Arial" w:cs="Arial" w:eastAsia="Arial" w:hAnsi="Arial"/>
          <w:sz w:val="17"/>
          <w:szCs w:val="17"/>
          <w:color w:val="auto"/>
        </w:rPr>
      </w:pPr>
    </w:p>
    <w:p>
      <w:pPr>
        <w:ind w:left="4" w:right="20" w:firstLine="1428"/>
        <w:spacing w:after="0" w:line="283" w:lineRule="auto"/>
        <w:tabs>
          <w:tab w:leader="none" w:pos="1691" w:val="left"/>
        </w:tabs>
        <w:numPr>
          <w:ilvl w:val="2"/>
          <w:numId w:val="116"/>
        </w:numPr>
        <w:rPr>
          <w:rFonts w:ascii="Arial" w:cs="Arial" w:eastAsia="Arial" w:hAnsi="Arial"/>
          <w:sz w:val="16"/>
          <w:szCs w:val="16"/>
          <w:color w:val="auto"/>
        </w:rPr>
      </w:pPr>
      <w:r>
        <w:rPr>
          <w:rFonts w:ascii="Arial" w:cs="Arial" w:eastAsia="Arial" w:hAnsi="Arial"/>
          <w:sz w:val="16"/>
          <w:szCs w:val="16"/>
          <w:u w:val="single" w:color="auto"/>
          <w:color w:val="auto"/>
        </w:rPr>
        <w:t>Definition of Cause</w:t>
      </w:r>
      <w:r>
        <w:rPr>
          <w:rFonts w:ascii="Arial" w:cs="Arial" w:eastAsia="Arial" w:hAnsi="Arial"/>
          <w:sz w:val="16"/>
          <w:szCs w:val="16"/>
          <w:color w:val="auto"/>
        </w:rPr>
        <w:t xml:space="preserve">. For purposes of this Agreement, “Cause” shall include the following: (a) indictment for any crime involving moral turpitude, fraud or misrepresentation or the Executive pleading guilty or nolo contendere to, any felony or crime involving moral turpitude that is damaging to the reputation of the Company; (b) commission of any act which is a felony; (c) gross misconduct or fraud involving the operations of the Company; (d) misappropriation or embezzlement of funds or property of the Company; (e) willful conduct which is materially injurious to the reputation, business or business relationships of the Company; (f) violation of any of the provisions of this Agreement or any material Company policy or work rule (including, for example, the Company’s sexual harassment policy, drug policy, etc.); or (g) failure of the Executive to follow the reasonable directions or instructions issued to the Executive by the Board, or the Executive’s refusal or failure to substantially perform Executive’s duties and responsibilities under this Agreement to the reasonable satisfaction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any termination pursuant to subsection 3.D(3)(f) and (g), the Company must give written notice to the Executive stating the reasons triggering subsection 3.D(3)(f) and (g) and the Executive shall thereafter have the right to remedy the condition, if such condition can be remedied in the good faith determination of the Board, within thirty</w:t>
      </w:r>
    </w:p>
    <w:p>
      <w:pPr>
        <w:spacing w:after="0" w:line="4" w:lineRule="exact"/>
        <w:rPr>
          <w:rFonts w:ascii="Arial" w:cs="Arial" w:eastAsia="Arial" w:hAnsi="Arial"/>
          <w:sz w:val="16"/>
          <w:szCs w:val="16"/>
          <w:color w:val="auto"/>
        </w:rPr>
      </w:pPr>
    </w:p>
    <w:p>
      <w:pPr>
        <w:ind w:left="4" w:right="60" w:hanging="4"/>
        <w:spacing w:after="0" w:line="255" w:lineRule="auto"/>
        <w:tabs>
          <w:tab w:leader="none" w:pos="3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days of the date the Executive received such written notice. If the Executive does not remedy the condition within the thirty (30) day cure period to the reasonable satisfaction of the Board, then the Board may deliver a notice of termination for Cause at any time within thirty (30) days following the expiration of such cure period, in which case termination will be effective upon delivery of such notice.</w:t>
      </w:r>
    </w:p>
    <w:p>
      <w:pPr>
        <w:spacing w:after="0" w:line="81" w:lineRule="exact"/>
        <w:rPr>
          <w:rFonts w:ascii="Arial" w:cs="Arial" w:eastAsia="Arial" w:hAnsi="Arial"/>
          <w:sz w:val="18"/>
          <w:szCs w:val="18"/>
          <w:color w:val="auto"/>
        </w:rPr>
      </w:pPr>
    </w:p>
    <w:p>
      <w:pPr>
        <w:ind w:left="1184" w:hanging="193"/>
        <w:spacing w:after="0"/>
        <w:tabs>
          <w:tab w:leader="none" w:pos="118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40" w:firstLine="1428"/>
        <w:spacing w:after="0" w:line="277" w:lineRule="auto"/>
        <w:tabs>
          <w:tab w:leader="none" w:pos="1691"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at any time during the Employment Period without Cause (other than due to death or Disability) upon written notice.</w:t>
      </w:r>
    </w:p>
    <w:p>
      <w:pPr>
        <w:spacing w:after="0" w:line="62" w:lineRule="exact"/>
        <w:rPr>
          <w:rFonts w:ascii="Arial" w:cs="Arial" w:eastAsia="Arial" w:hAnsi="Arial"/>
          <w:sz w:val="18"/>
          <w:szCs w:val="18"/>
          <w:color w:val="auto"/>
        </w:rPr>
      </w:pPr>
    </w:p>
    <w:p>
      <w:pPr>
        <w:ind w:left="4" w:firstLine="1428"/>
        <w:spacing w:after="0" w:line="259" w:lineRule="auto"/>
        <w:tabs>
          <w:tab w:leader="none" w:pos="1691"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Rights upon Termination Without Cause</w:t>
      </w:r>
      <w:r>
        <w:rPr>
          <w:rFonts w:ascii="Arial" w:cs="Arial" w:eastAsia="Arial" w:hAnsi="Arial"/>
          <w:sz w:val="18"/>
          <w:szCs w:val="18"/>
          <w:color w:val="auto"/>
        </w:rPr>
        <w:t xml:space="preserve">. If the Executive’s employment hereunder is terminated by the Company without Cause, the Executive shall forfeit all rights to any compensation otherwise due to Executive or to which Executive may be entitled under this Agreement, and the Company shall have no further payment obligations to the Executive or Executive’s legal representatives, other than: (a) the Accrued Obligations; and (b)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Executive signs, returns and, if applicable, does not revoke a</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86" w:name="page187"/>
    <w:bookmarkEnd w:id="186"/>
    <w:p>
      <w:pPr>
        <w:ind w:left="4" w:right="5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waiver and release of all claims against the Company and its Parent, subsidiaries and affiliates in a form satisfactory to the Board and the Company (the “Release”) and complies with the Continuing Obligations, (i) continued payment of the Annual Base Salary for a period of twelve</w:t>
      </w:r>
    </w:p>
    <w:p>
      <w:pPr>
        <w:ind w:left="4" w:right="560" w:hanging="4"/>
        <w:spacing w:after="0" w:line="260" w:lineRule="auto"/>
        <w:tabs>
          <w:tab w:leader="none" w:pos="34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months following the date of termination in accordance with the Company’s regular payroll practices (the “Salary Continuation Payments”); (ii) accrued but unused vacation through the termination date; and (iii) the Prorated Bonus Amount.</w:t>
      </w:r>
    </w:p>
    <w:p>
      <w:pPr>
        <w:spacing w:after="0" w:line="18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 xml:space="preserve">The first Salary Continuation Payment and the accrued vacation shall be paid to the Executive on the Company’s first regular payroll date following the sixtieth (60th) day after the termination date (and will include any Salary Continuation Payment installment that would have otherwise been paid during the period following the termination date through the date of the first Salary Continuation Payment); </w:t>
      </w:r>
      <w:r>
        <w:rPr>
          <w:rFonts w:ascii="Arial" w:cs="Arial" w:eastAsia="Arial" w:hAnsi="Arial"/>
          <w:sz w:val="18"/>
          <w:szCs w:val="18"/>
          <w:i w:val="1"/>
          <w:iCs w:val="1"/>
          <w:color w:val="auto"/>
        </w:rPr>
        <w:t>provided that</w:t>
      </w:r>
      <w:r>
        <w:rPr>
          <w:rFonts w:ascii="Arial" w:cs="Arial" w:eastAsia="Arial" w:hAnsi="Arial"/>
          <w:sz w:val="18"/>
          <w:szCs w:val="18"/>
          <w:color w:val="auto"/>
        </w:rPr>
        <w:t>, the Release is irrevocable as of such date. The Prorated Bonus Amount shall be payable on the same day as the final Salary Continuation Payment. If during any period in which the Executive is receiving the Salary Continuation Payments, Executive violates any Continuing Obligations to the Company, the Company’s obligations pursuant to Section 3.E(2)(b) shall cease and the Company will have no further obligations to the Executive. Except as set forth in this Section 3.E, if the Executive is terminated without Cause, the Company shall have no further obligations to the Executive or liability under this Agreement by way of compensation or otherwise.</w:t>
      </w:r>
    </w:p>
    <w:p>
      <w:pPr>
        <w:spacing w:after="0" w:line="84"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Resignation by the Executive Without Cause / Expiration</w:t>
      </w:r>
      <w:r>
        <w:rPr>
          <w:rFonts w:ascii="Arial" w:cs="Arial" w:eastAsia="Arial" w:hAnsi="Arial"/>
          <w:sz w:val="16"/>
          <w:szCs w:val="16"/>
          <w:color w:val="auto"/>
        </w:rPr>
        <w:t xml:space="preserve">. During the Employment Period, the Executive may resign Executive’s employment at any time, for any reason. In addition, the Employment Period may expire/not be renewed as set forth in Section 1. If the Executive’s employment terminates pursuant to this Section 3.F as a result of the Company providing the Executive notice of its intent not to renew pursuant to Section 1, then the Executive shall receive (a) the Accrued Obligations; and (b)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Executive signs, returns and, if applicable, does not revoke the Release and complies with the Continuing Obligations, (i) the Salary Continuation Payments; (ii) accrued but unused vacation through the termination date; and (iii) the Prorated Bonus Amount, each of which shall be payable in accordance with the provisions of Section 3.E. If the Executive resigns Executive’s employment for any reason (other than for “Good Cause” as defined in Section 3.G(1) below) or the Executive’s employment terminates pursuant to this Section 3.F as a result of the Executive providing the Company notice of Executive’s intent not to renew pursuant to Section 1, the Executive shall not be entitled to receive any severance, or other payments, except the Accrued Obligations, and the Company shall have no further obligations to the Executive or liability under this Agreement by way of compensation or otherwise. Should the Executive’s employment terminate pursuant to this Section 3.F, the Executive shall continue to be fully bound by Executive’s Continuing Obligations.</w:t>
      </w:r>
    </w:p>
    <w:p>
      <w:pPr>
        <w:spacing w:after="0" w:line="6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Resignation by the Executive for Good Cause</w:t>
      </w:r>
      <w:r>
        <w:rPr>
          <w:rFonts w:ascii="Arial" w:cs="Arial" w:eastAsia="Arial" w:hAnsi="Arial"/>
          <w:sz w:val="18"/>
          <w:szCs w:val="18"/>
          <w:color w:val="auto"/>
        </w:rPr>
        <w:t>.</w:t>
      </w:r>
    </w:p>
    <w:p>
      <w:pPr>
        <w:spacing w:after="0" w:line="117" w:lineRule="exact"/>
        <w:rPr>
          <w:sz w:val="20"/>
          <w:szCs w:val="20"/>
          <w:color w:val="auto"/>
        </w:rPr>
      </w:pPr>
    </w:p>
    <w:p>
      <w:pPr>
        <w:ind w:left="4" w:right="200" w:firstLine="1428"/>
        <w:spacing w:after="0" w:line="287" w:lineRule="auto"/>
        <w:tabs>
          <w:tab w:leader="none" w:pos="169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any of the following events shall occur without the Executive’s consent, the Executive shall be entitled to resign Executive’s employment with the Company for Good Cause: (i) the Company materially reduces Executive’s Annual Base Salary or Annual Bonus opportunity percentage; (ii) a material diminution in Executive’s responsibilities; or (iii) the Company relocates Company’s headquarters more than twenty</w:t>
      </w:r>
    </w:p>
    <w:p>
      <w:pPr>
        <w:spacing w:after="0" w:line="2" w:lineRule="exact"/>
        <w:rPr>
          <w:rFonts w:ascii="Arial" w:cs="Arial" w:eastAsia="Arial" w:hAnsi="Arial"/>
          <w:sz w:val="16"/>
          <w:szCs w:val="16"/>
          <w:color w:val="auto"/>
        </w:rPr>
      </w:pPr>
    </w:p>
    <w:p>
      <w:pPr>
        <w:ind w:left="344" w:hanging="344"/>
        <w:spacing w:after="0"/>
        <w:tabs>
          <w:tab w:leader="none" w:pos="3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miles from the existing location. Notwithstanding the foregoing, the events described in clauses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87" w:name="page188"/>
    <w:bookmarkEnd w:id="187"/>
    <w:p>
      <w:pPr>
        <w:ind w:left="4"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(ii) or (iii) shall not constitute Good Cause unless (A) Executive has given the Company written notice of Executive’s resignation for Good Cause, setting forth the conduct of the Company that is alleged to constitute Good Cause, within thirty (30) days following the occurrence of such event, and</w:t>
      </w:r>
    </w:p>
    <w:p>
      <w:pPr>
        <w:ind w:left="4" w:right="220" w:hanging="4"/>
        <w:spacing w:after="0" w:line="255" w:lineRule="auto"/>
        <w:tabs>
          <w:tab w:leader="none" w:pos="2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Executive has provided the Company at least thirty (30) days following the date on which such notice is provided to cure such conduct and the Company has failed to do so. Failing such cure, a termination of employment of Executive by Executive for Good Cause shall be effective on the day following the expiration of such cure period.</w:t>
      </w:r>
    </w:p>
    <w:p>
      <w:pPr>
        <w:spacing w:after="0" w:line="81" w:lineRule="exact"/>
        <w:rPr>
          <w:rFonts w:ascii="Arial" w:cs="Arial" w:eastAsia="Arial" w:hAnsi="Arial"/>
          <w:sz w:val="18"/>
          <w:szCs w:val="18"/>
          <w:color w:val="auto"/>
        </w:rPr>
      </w:pPr>
    </w:p>
    <w:p>
      <w:pPr>
        <w:jc w:val="both"/>
        <w:ind w:left="4" w:right="20" w:firstLine="1428"/>
        <w:spacing w:after="0" w:line="342" w:lineRule="auto"/>
        <w:tabs>
          <w:tab w:leader="none" w:pos="1691" w:val="left"/>
        </w:tabs>
        <w:numPr>
          <w:ilvl w:val="3"/>
          <w:numId w:val="121"/>
        </w:numPr>
        <w:rPr>
          <w:rFonts w:ascii="Arial" w:cs="Arial" w:eastAsia="Arial" w:hAnsi="Arial"/>
          <w:sz w:val="16"/>
          <w:szCs w:val="16"/>
          <w:color w:val="auto"/>
        </w:rPr>
      </w:pPr>
      <w:r>
        <w:rPr>
          <w:rFonts w:ascii="Arial" w:cs="Arial" w:eastAsia="Arial" w:hAnsi="Arial"/>
          <w:sz w:val="16"/>
          <w:szCs w:val="16"/>
          <w:color w:val="auto"/>
        </w:rPr>
        <w:t>If the Executive resigns his employment with the Company for Good Cause in accordance with Section 3.G(1) above, Executive shall be entitled and subject to the same rights and obligations as provided herein for a termination without Cause, as specified by Section 3.E(2) herein.</w:t>
      </w:r>
    </w:p>
    <w:p>
      <w:pPr>
        <w:spacing w:after="0" w:line="11" w:lineRule="exact"/>
        <w:rPr>
          <w:rFonts w:ascii="Arial" w:cs="Arial" w:eastAsia="Arial" w:hAnsi="Arial"/>
          <w:sz w:val="16"/>
          <w:szCs w:val="16"/>
          <w:color w:val="auto"/>
        </w:rPr>
      </w:pPr>
    </w:p>
    <w:p>
      <w:pPr>
        <w:ind w:left="624" w:hanging="184"/>
        <w:spacing w:after="0"/>
        <w:tabs>
          <w:tab w:leader="none" w:pos="624" w:val="left"/>
        </w:tabs>
        <w:numPr>
          <w:ilvl w:val="1"/>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 w:firstLine="1428"/>
        <w:spacing w:after="0" w:line="269" w:lineRule="auto"/>
        <w:tabs>
          <w:tab w:leader="none" w:pos="1691" w:val="left"/>
        </w:tabs>
        <w:numPr>
          <w:ilvl w:val="3"/>
          <w:numId w:val="122"/>
        </w:numPr>
        <w:rPr>
          <w:rFonts w:ascii="Arial" w:cs="Arial" w:eastAsia="Arial" w:hAnsi="Arial"/>
          <w:sz w:val="17"/>
          <w:szCs w:val="17"/>
          <w:color w:val="auto"/>
        </w:rPr>
      </w:pPr>
      <w:r>
        <w:rPr>
          <w:rFonts w:ascii="Arial" w:cs="Arial" w:eastAsia="Arial" w:hAnsi="Arial"/>
          <w:sz w:val="17"/>
          <w:szCs w:val="17"/>
          <w:u w:val="single" w:color="auto"/>
          <w:color w:val="auto"/>
        </w:rPr>
        <w:t>Covenant Not to Disclose Confidential Information</w:t>
      </w:r>
      <w:r>
        <w:rPr>
          <w:rFonts w:ascii="Arial" w:cs="Arial" w:eastAsia="Arial" w:hAnsi="Arial"/>
          <w:sz w:val="17"/>
          <w:szCs w:val="17"/>
          <w:color w:val="auto"/>
        </w:rPr>
        <w:t>. The Executive acknowledges that the services to be performed by Executive hereunder are special, unique and extraordinary in that, by reason of Executive’s employment hereunder and Executive’s past employment with the Company, Executive will acquire and have access to, and has acquired and has had access to, the Company’s Confidential Information (defined below), the use or disclosure of which could cause the Company substantial loss and damages which could not be readily calculated and for which no remedy at law would be adequate. The Executive shall not, during the Employment Period or at any time thereafter, disclose in any way the Company’s Confidential Information or any part thereof, to any person, firm, corporation, association, or any other operation or entity or use the Confidential Information on Executive’s own behalf, for any reason or purpose, except as necessary to perform Executive’s job duties, or destroy the Confidential Information. The Executive agrees that Executive will not distribute any Confidential Information to any third person or permit the reproduction of the Confidential Information, except on behalf of the Company in Executive’s capacity as an executive of the Company. The Executive hereby assumes responsibility for and shall indemnify and hold the Company harmless from and against any disclosure by the Executive or use by the Executive of the Confidential Information in violation of this Agreement other than pursuant to subpoena, court order, discovery request, or as otherwise required by law, or for whistleblower actions.</w:t>
      </w:r>
    </w:p>
    <w:p>
      <w:pPr>
        <w:spacing w:after="0" w:line="70" w:lineRule="exact"/>
        <w:rPr>
          <w:rFonts w:ascii="Arial" w:cs="Arial" w:eastAsia="Arial" w:hAnsi="Arial"/>
          <w:sz w:val="17"/>
          <w:szCs w:val="17"/>
          <w:color w:val="auto"/>
        </w:rPr>
      </w:pPr>
    </w:p>
    <w:p>
      <w:pPr>
        <w:ind w:left="4" w:right="380" w:firstLine="1428"/>
        <w:spacing w:after="0" w:line="291" w:lineRule="auto"/>
        <w:tabs>
          <w:tab w:leader="none" w:pos="1691" w:val="left"/>
        </w:tabs>
        <w:numPr>
          <w:ilvl w:val="3"/>
          <w:numId w:val="122"/>
        </w:numPr>
        <w:rPr>
          <w:rFonts w:ascii="Arial" w:cs="Arial" w:eastAsia="Arial" w:hAnsi="Arial"/>
          <w:sz w:val="16"/>
          <w:szCs w:val="16"/>
          <w:color w:val="auto"/>
        </w:rPr>
      </w:pPr>
      <w:r>
        <w:rPr>
          <w:rFonts w:ascii="Arial" w:cs="Arial" w:eastAsia="Arial" w:hAnsi="Arial"/>
          <w:sz w:val="16"/>
          <w:szCs w:val="16"/>
          <w:u w:val="single" w:color="auto"/>
          <w:color w:val="auto"/>
        </w:rPr>
        <w:t>Definition of Confidential Information</w:t>
      </w:r>
      <w:r>
        <w:rPr>
          <w:rFonts w:ascii="Arial" w:cs="Arial" w:eastAsia="Arial" w:hAnsi="Arial"/>
          <w:sz w:val="16"/>
          <w:szCs w:val="16"/>
          <w:color w:val="auto"/>
        </w:rPr>
        <w:t>. For purposes of this Agreement, “Confidential Information” shall include, but is not limited to, the following information, which information is not generally known or readily available to the public or the Company’s competitors:</w:t>
      </w:r>
    </w:p>
    <w:p>
      <w:pPr>
        <w:ind w:left="4" w:right="120"/>
        <w:spacing w:after="0" w:line="271" w:lineRule="auto"/>
        <w:rPr>
          <w:rFonts w:ascii="Arial" w:cs="Arial" w:eastAsia="Arial" w:hAnsi="Arial"/>
          <w:sz w:val="16"/>
          <w:szCs w:val="16"/>
          <w:color w:val="auto"/>
        </w:rPr>
      </w:pPr>
      <w:r>
        <w:rPr>
          <w:rFonts w:ascii="Arial" w:cs="Arial" w:eastAsia="Arial" w:hAnsi="Arial"/>
          <w:sz w:val="17"/>
          <w:szCs w:val="17"/>
          <w:color w:val="auto"/>
        </w:rPr>
        <w:t>(a) confidential and proprietary matters relating to the sales operations of the Company, or its Parent, subsidiaries, or affiliates of the Company, including, but not limited to, sales methods; pricing information; merchandising and marketing plans and strategies; proprietary information relating to recipes, services, products and product specifications, processes, techniques and know-how; and supplier and vendor lists; (b) confidential and proprietary matters relating to the business and financial operations of the Company or its Parent, subsidiaries, or affiliates of the Company, including, but not limited to, financial data and plans; budgets and financial statements; business plans and strategies; research</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188" w:name="page189"/>
    <w:bookmarkEnd w:id="18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development plans; product or service plans; training materials; methods of distribution; assets and liabilities; past, present or proposed business operations, mergers or acquisitions or projects; business opportunities for new or developing business; recruiting methodology; and personnel information concerning Company employees (other than the Executive); (c) confidential and proprietary intellectual property of the Company or its Parent, subsidiaries, or affiliates of the Company, including, but not limited to, concepts, ideas, proposals, Inventions (defined in Section 5), formulas, technology, improvements, discoveries, developments, proposed trademarks, trade and domain names; and (d) any trade secret of the Company or its Parent, subsidiaries or affiliates of the Company as defined by law. The Executive understands and agrees that the rights and obligations set forth in this Section 4.A are perpetual and shall extend beyond the Executive’s employment with the Company. Confidential Information shall not include general industry information or information which is or becomes publicly available, information which the Executive has lawfully acquired from a source other than the Company (provided that such source is not bound by a confidentiality agreement with the Company), disclosures required by any registration or filing with any agency or regulatory authority; information which is required to be disclosed pursuant to any law, regulation, or rule of any governmental body , agency or authority or court order, and/or as may be necessary for purposes of disclosure to accountants, financial advisors or other counsel, who shall be made aware of and agree to be bound by the confidentiality provisions hereof.</w:t>
      </w:r>
    </w:p>
    <w:p>
      <w:pPr>
        <w:spacing w:after="0" w:line="60" w:lineRule="exact"/>
        <w:rPr>
          <w:sz w:val="20"/>
          <w:szCs w:val="20"/>
          <w:color w:val="auto"/>
        </w:rPr>
      </w:pPr>
    </w:p>
    <w:p>
      <w:pPr>
        <w:ind w:right="60" w:firstLine="1428"/>
        <w:spacing w:after="0" w:line="269" w:lineRule="auto"/>
        <w:tabs>
          <w:tab w:leader="none" w:pos="1687"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Disclosure of Confidential Information for Certain Purposes</w:t>
      </w:r>
      <w:r>
        <w:rPr>
          <w:rFonts w:ascii="Arial" w:cs="Arial" w:eastAsia="Arial" w:hAnsi="Arial"/>
          <w:sz w:val="17"/>
          <w:szCs w:val="17"/>
          <w:color w:val="auto"/>
        </w:rPr>
        <w:t>. Executive understands that nothing in this Agreement shall be construed to prohibit Executive from reporting possible violations of law or regulation to any governmental agency or regulatory body or making other disclosures that are protected under any law or regulation, or from filing a charge with or participating in any investigation or proceeding conducted by any governmental agency or regulatory body (including under any governmental agency’s whistleblower program). Executive understands that the Defending Trade Secrets Act provides that Executive may not be held criminally or civilly liable under any Federal or state trade secret law for the disclosure of a trade secret that is made in confidence to a Federal, state, or local government official, either directly or indirectly, or to an attorney, and solely for the purpose of reporting or investigating a suspected violation of law; or that is made in a complaint or other document filed in a lawsuit or other proceeding, if such filing is made under seal. In the event that Executive files a lawsuit for retaliation by the Company, Parent or its subsidiaries or affiliates for reporting a suspected violation of law, Executive may disclose the trade secret to Executive’s attorney and use the trade secret information in the court proceeding, if Executive files any document containing the trade secret under seal and does not disclose the trade secret, except pursuant to court order.</w:t>
      </w:r>
    </w:p>
    <w:p>
      <w:pPr>
        <w:spacing w:after="0" w:line="73" w:lineRule="exact"/>
        <w:rPr>
          <w:rFonts w:ascii="Arial" w:cs="Arial" w:eastAsia="Arial" w:hAnsi="Arial"/>
          <w:sz w:val="17"/>
          <w:szCs w:val="17"/>
          <w:color w:val="auto"/>
        </w:rPr>
      </w:pPr>
    </w:p>
    <w:p>
      <w:pPr>
        <w:ind w:firstLine="987"/>
        <w:spacing w:after="0" w:line="263" w:lineRule="auto"/>
        <w:tabs>
          <w:tab w:leader="none" w:pos="120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During the Employment Period and for the longer of (i) the period of time during which the Executive holds, directly or indirectly, any equity securities of the Company and (ii) a period of one (1) year after the date of termination of the Executive’s employment, however caused and for any reason, the Executive shall not:</w:t>
      </w:r>
    </w:p>
    <w:p>
      <w:pPr>
        <w:spacing w:after="0" w:line="75" w:lineRule="exact"/>
        <w:rPr>
          <w:rFonts w:ascii="Arial" w:cs="Arial" w:eastAsia="Arial" w:hAnsi="Arial"/>
          <w:sz w:val="18"/>
          <w:szCs w:val="18"/>
          <w:color w:val="auto"/>
        </w:rPr>
      </w:pPr>
    </w:p>
    <w:p>
      <w:pPr>
        <w:ind w:right="40" w:firstLine="1428"/>
        <w:spacing w:after="0" w:line="263" w:lineRule="auto"/>
        <w:tabs>
          <w:tab w:leader="none" w:pos="168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directly or indirectly induce or attempt to induce any senior managers or executives of the Company or those of any of its Parent, subsidiaries or affiliates to terminate their employment, or refrain from renewing or extending such employment, with the Company or such affiliate or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9" w:name="page190"/>
    <w:bookmarkEnd w:id="189"/>
    <w:p>
      <w:pPr>
        <w:ind w:left="-60" w:right="160" w:firstLine="1428"/>
        <w:spacing w:after="0" w:line="263" w:lineRule="auto"/>
        <w:tabs>
          <w:tab w:leader="none" w:pos="1627" w:val="left"/>
        </w:tabs>
        <w:numPr>
          <w:ilvl w:val="2"/>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directly or indirectly own, control or participate in the ownership or control of, or be employed by or on behalf of, or provide services to, any restaurant business which operates a restaurant similar to that operated by the Company within a five (5) mile radius of any restaurant operated or owned by the Company or its Parent, subsidiaries, or affiliates, during the Employment Period; or</w:t>
      </w:r>
    </w:p>
    <w:p>
      <w:pPr>
        <w:spacing w:after="0" w:line="75" w:lineRule="exact"/>
        <w:rPr>
          <w:rFonts w:ascii="Arial" w:cs="Arial" w:eastAsia="Arial" w:hAnsi="Arial"/>
          <w:sz w:val="18"/>
          <w:szCs w:val="18"/>
          <w:color w:val="auto"/>
        </w:rPr>
      </w:pPr>
    </w:p>
    <w:p>
      <w:pPr>
        <w:ind w:left="-60" w:right="340" w:firstLine="1428"/>
        <w:spacing w:after="0" w:line="277" w:lineRule="auto"/>
        <w:tabs>
          <w:tab w:leader="none" w:pos="1627" w:val="left"/>
        </w:tabs>
        <w:numPr>
          <w:ilvl w:val="2"/>
          <w:numId w:val="125"/>
        </w:numPr>
        <w:rPr>
          <w:rFonts w:ascii="Arial" w:cs="Arial" w:eastAsia="Arial" w:hAnsi="Arial"/>
          <w:sz w:val="18"/>
          <w:szCs w:val="18"/>
          <w:color w:val="auto"/>
        </w:rPr>
      </w:pPr>
      <w:r>
        <w:rPr>
          <w:rFonts w:ascii="Arial" w:cs="Arial" w:eastAsia="Arial" w:hAnsi="Arial"/>
          <w:sz w:val="18"/>
          <w:szCs w:val="18"/>
          <w:color w:val="auto"/>
        </w:rPr>
        <w:t>directly or indirectly solicit or cause or encourage any person to solicit any business in competition with the Company or its Parent, subsidiaries, or affiliates.</w:t>
      </w:r>
    </w:p>
    <w:p>
      <w:pPr>
        <w:spacing w:after="0" w:line="62" w:lineRule="exact"/>
        <w:rPr>
          <w:rFonts w:ascii="Arial" w:cs="Arial" w:eastAsia="Arial" w:hAnsi="Arial"/>
          <w:sz w:val="18"/>
          <w:szCs w:val="18"/>
          <w:color w:val="auto"/>
        </w:rPr>
      </w:pPr>
    </w:p>
    <w:p>
      <w:pPr>
        <w:ind w:left="-60" w:firstLine="987"/>
        <w:spacing w:after="0" w:line="255" w:lineRule="auto"/>
        <w:tabs>
          <w:tab w:leader="none" w:pos="1141"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Mutual Covenant Not to Disparage</w:t>
      </w:r>
      <w:r>
        <w:rPr>
          <w:rFonts w:ascii="Arial" w:cs="Arial" w:eastAsia="Arial" w:hAnsi="Arial"/>
          <w:sz w:val="18"/>
          <w:szCs w:val="18"/>
          <w:color w:val="auto"/>
        </w:rPr>
        <w:t>. The Executive agrees not to disparage, at any time, the Company, or its Parent, subsidiaries or affiliates of the Company, or any of their business practices, products or services, or any of their directors, officers, agents, representatives, stockholders or affiliates, either orally or in writing. Upon termination of the Executive’s employment, the Company agrees that it will instruct its Board of Directors and senior management to not make any oral or written statement that disparages the Executive. Nothing in this Section shall prohibit either the Executive or the Company from responding truthfully to subpoenas or in connection with whistleblower actions and other court ordered inquiries or proceedings.</w:t>
      </w:r>
    </w:p>
    <w:p>
      <w:pPr>
        <w:spacing w:after="0" w:line="80" w:lineRule="exact"/>
        <w:rPr>
          <w:rFonts w:ascii="Arial" w:cs="Arial" w:eastAsia="Arial" w:hAnsi="Arial"/>
          <w:sz w:val="18"/>
          <w:szCs w:val="18"/>
          <w:color w:val="auto"/>
        </w:rPr>
      </w:pPr>
    </w:p>
    <w:p>
      <w:pPr>
        <w:ind w:left="560" w:hanging="184"/>
        <w:spacing w:after="0"/>
        <w:tabs>
          <w:tab w:leader="none" w:pos="5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60" w:firstLine="987"/>
        <w:spacing w:after="0" w:line="287" w:lineRule="auto"/>
        <w:tabs>
          <w:tab w:leader="none" w:pos="1151"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Executive agrees to assign and hereby assigns to the Company, without further consideration, all right, title, and interest that the Executive may presently have or acquire (throughout the United States and in all foreign countries), free and clear of all liens and encumbrances, in and to each Invention (as defined in this Section 5), which Invention shall be the sole property of the Company, whether or not patentable. “Invention” as used herein shall mean all ideas, processes, trademarks, service marks, inventions, technology, computer programs, original works of authorship, designs, formulas, discoveries, patents, copyrights, moral rights (including but not limited to rights to attribution or integrity) and all improvements, rights, and claims related to the foregoing that are in all cases conceived, created, developed, or reduced to practice by the Executive alone or with others during the scope and course of Executive employment with the Company (or any affiliate). In addition, to the extent not assigned, the Executive hereby irrevocably waives any moral rights (including rights of attribution and integrity) that Executive may have with respect to the Inventions. The Executive acknowledges that all original works of authorship which are made by the Executive (solely or jointly with others) within the scope of Executive’s employment and which are protectable by copyright are “Works Made For Hire” as defined in the United States Copyright Act (17 USCA, § 101) and are included in the definition of Inventions. The Executive shall promptly disclose any such Invention to the Company.</w:t>
      </w:r>
    </w:p>
    <w:p>
      <w:pPr>
        <w:spacing w:after="0" w:line="171" w:lineRule="exact"/>
        <w:rPr>
          <w:rFonts w:ascii="Arial" w:cs="Arial" w:eastAsia="Arial" w:hAnsi="Arial"/>
          <w:sz w:val="16"/>
          <w:szCs w:val="16"/>
          <w:color w:val="auto"/>
        </w:rPr>
      </w:pPr>
    </w:p>
    <w:p>
      <w:pPr>
        <w:ind w:left="-60" w:right="140" w:firstLine="987"/>
        <w:spacing w:after="0" w:line="273" w:lineRule="auto"/>
        <w:tabs>
          <w:tab w:leader="none" w:pos="1141"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Prior Inventions</w:t>
      </w:r>
      <w:r>
        <w:rPr>
          <w:rFonts w:ascii="Arial" w:cs="Arial" w:eastAsia="Arial" w:hAnsi="Arial"/>
          <w:sz w:val="17"/>
          <w:szCs w:val="17"/>
          <w:color w:val="auto"/>
        </w:rPr>
        <w:t>. Unless attached hereto as an exhibit, the Executive represents that Executive does not have or possess any invention made or developed by Executive prior to Executive’s employment with the Company which relates to the business, products or research and development of the Company as of or prior to the date hereof (“Prior Invention”), or that Executive has already assigned all such inventions to the Company. If any Prior Invention is incorporated into a Company product, process or machine, the Company is hereby granted and shall have a nonexclusive, royalty-free, irrevocable, perpetual, worldwide license to make, have made, modify, adapt, use, import, and sell such Prior Invention as part of or in connection with such product, process or machine.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500" w:top="274" w:right="519" w:bottom="1440" w:gutter="0" w:footer="0" w:header="0"/>
        </w:sectPr>
      </w:pPr>
    </w:p>
    <w:bookmarkStart w:id="190" w:name="page191"/>
    <w:bookmarkEnd w:id="190"/>
    <w:p>
      <w:pPr>
        <w:ind w:right="2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Arial" w:cs="Arial" w:eastAsia="Arial" w:hAnsi="Arial"/>
          <w:sz w:val="17"/>
          <w:szCs w:val="17"/>
          <w:u w:val="single" w:color="auto"/>
          <w:color w:val="auto"/>
        </w:rPr>
        <w:t>Assistance</w:t>
      </w:r>
      <w:r>
        <w:rPr>
          <w:rFonts w:ascii="Arial" w:cs="Arial" w:eastAsia="Arial" w:hAnsi="Arial"/>
          <w:sz w:val="17"/>
          <w:szCs w:val="17"/>
          <w:color w:val="auto"/>
        </w:rPr>
        <w:t>. The Executive agrees to assist the Company, or its designee, at the Company’s expense, in securing the Company’s rights in and to the Inventions and any other intellectual property rights relating thereto in any and all countries. Such assistance shall include the disclosure to the Company of all pertinent information and data with respect thereto, the execution of all applications, specifications, oaths, assignments and all other instruments which the Company shall deem necessary in order to apply for and obtain such rights and in order to assign and convey to the Company, its successors, assigns and nominees the sole and exclusive rights, title and interest in and to such Inventions, and other intellectual property rights relating thereto. The Executive agrees to maintain adequate and current written records on the development of all Inventions and to disclose promptly to the Company all Inventions and relevant records, which records will remain the sole property of the Company. The Executive further agrees that all information and records pertaining to any idea, process, trademark, service mark, invention, discovery, improvement, technology, computer program, original work of authorship, design formula, discovery, patent, or copyright that the Executive does not believe to be an Invention, but is conceived, developed, or reduced to practice by the Executive (alone or with others) during Executive’s employment with the Company shall be promptly disclosed to the Company (such disclosure to be received in confidence).</w:t>
      </w:r>
    </w:p>
    <w:p>
      <w:pPr>
        <w:spacing w:after="0" w:line="70" w:lineRule="exact"/>
        <w:rPr>
          <w:sz w:val="20"/>
          <w:szCs w:val="20"/>
          <w:color w:val="auto"/>
        </w:rPr>
      </w:pPr>
    </w:p>
    <w:p>
      <w:pPr>
        <w:ind w:right="100" w:firstLine="436"/>
        <w:spacing w:after="0" w:line="256" w:lineRule="auto"/>
        <w:tabs>
          <w:tab w:leader="none" w:pos="6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the Confidential Information and any and all notes, records, sketches,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diskettes, training materials and other documents relating to the Company obtained by or provided to the Executive, created or developed by the Executive during the course of Executive’s employment with the Company, or otherwise made, produced or compiled by the Executive during the Employment Period, regardless of the type of medium in which they were preserved, are the sole and exclusive property of the Company and shall be surrendered to the Company upon the Executive’s termination from the Company, however caused and for any reason, or on demand at any time by the Company.</w:t>
      </w:r>
    </w:p>
    <w:p>
      <w:pPr>
        <w:spacing w:after="0" w:line="79" w:lineRule="exact"/>
        <w:rPr>
          <w:rFonts w:ascii="Arial" w:cs="Arial" w:eastAsia="Arial" w:hAnsi="Arial"/>
          <w:sz w:val="18"/>
          <w:szCs w:val="18"/>
          <w:b w:val="1"/>
          <w:bCs w:val="1"/>
          <w:color w:val="auto"/>
        </w:rPr>
      </w:pPr>
    </w:p>
    <w:p>
      <w:pPr>
        <w:ind w:firstLine="436"/>
        <w:spacing w:after="0" w:line="292" w:lineRule="auto"/>
        <w:tabs>
          <w:tab w:leader="none" w:pos="62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Comparative Right to Injunctive Relief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threatened breach of any of the Executive’s duties and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and provisions of Sections 4, 5 or 6 hereof, the Company shall be entitled, in addition to any other legal or equitable remedies it may have in connection therewith (including any right to damages that it may suffer), to temporary, preliminary and permanent injunctive relief restraining such breach or threatened breach. The Executive hereby expressly acknowledges that the harm which might result to the Company’s business as a result of any noncompliance by the Executive with any of the provisions of Sections 4, 5 or 6 would be irreparable. The Executive specifically agrees that if there is a question as to the enforceability of any of the provisions of Sections 4, 5 or 6, the Executive will not engage in any conduct inconsistent with or contrary to such Sections until after the question has been resolved by a final judgment of a court of competent jurisdiction.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1" w:name="page192"/>
    <w:bookmarkEnd w:id="191"/>
    <w:p>
      <w:pPr>
        <w:ind w:left="4" w:firstLine="436"/>
        <w:spacing w:after="0" w:line="270" w:lineRule="auto"/>
        <w:tabs>
          <w:tab w:leader="none" w:pos="624"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7 of this Agreement, and in consideration of the Company employing the Executive and the salary and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under this Agreement, the Executive and the Company agree that all claims arising out of or relating to Executive employment, including its termination, shall be resolved by binding arbitration. This Agreement expressly does not prohibit either party from seeking provisional injunctive relief, including to prevent irreparable harm, in any court of competent jurisdiction including as set forth in Section 7. The dispute will be arbitrated in accordance with the rules of the American Arbitration Association (“AAA”) under its then-existing Employment Arbitration Rules. The parties shall bear equally the arbitration administrative costs and arbitrator’s fees, subject to applicable law and the AAA rules. Each party shall bear Executive/its own attorneys’ fees and legal costs. The parties agree to file any demand for arbitration within the time limit established by the applicable statute of limitations for the asserted claims. Failure to demand arbitration within the prescribed time period shall result in waiver of said claims. The parties agree that the arbitration shall take place in Tampa, Florida. THE PARTIES HEREBY ACKNOWLEDGE THAT BY THIS AGREEMENT TO ARBITRATE THEY ARE WAIVING THEIR RIGHT TO A JURY TRIAL.</w:t>
      </w:r>
    </w:p>
    <w:p>
      <w:pPr>
        <w:spacing w:after="0" w:line="68" w:lineRule="exact"/>
        <w:rPr>
          <w:rFonts w:ascii="Arial" w:cs="Arial" w:eastAsia="Arial" w:hAnsi="Arial"/>
          <w:sz w:val="17"/>
          <w:szCs w:val="17"/>
          <w:b w:val="1"/>
          <w:bCs w:val="1"/>
          <w:color w:val="auto"/>
        </w:rPr>
      </w:pPr>
    </w:p>
    <w:p>
      <w:pPr>
        <w:ind w:left="4" w:right="60" w:firstLine="436"/>
        <w:spacing w:after="0" w:line="266" w:lineRule="auto"/>
        <w:tabs>
          <w:tab w:leader="none" w:pos="62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its rights and obligations under this Agreement, and may assign or encumber this Agreement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hereunder as security for indebtedness of the Company and its affiliates. Neither this Agreement nor any rights, interests or obligations hereunder may be assigned by the Executive without the prior written consent of the Company.</w:t>
      </w:r>
    </w:p>
    <w:p>
      <w:pPr>
        <w:spacing w:after="0" w:line="67" w:lineRule="exact"/>
        <w:rPr>
          <w:rFonts w:ascii="Arial" w:cs="Arial" w:eastAsia="Arial" w:hAnsi="Arial"/>
          <w:sz w:val="18"/>
          <w:szCs w:val="18"/>
          <w:b w:val="1"/>
          <w:bCs w:val="1"/>
          <w:color w:val="auto"/>
        </w:rPr>
      </w:pPr>
    </w:p>
    <w:p>
      <w:pPr>
        <w:ind w:left="4" w:right="680" w:firstLine="436"/>
        <w:spacing w:after="0" w:line="347" w:lineRule="auto"/>
        <w:tabs>
          <w:tab w:leader="none" w:pos="714"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applicable law, the Executive shall keep this Agreement and the terms of Executive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confidential, and shall not disclose or discuss the same with anyone other than Executive’s attorney, accountant or spouse.</w:t>
      </w:r>
    </w:p>
    <w:p>
      <w:pPr>
        <w:spacing w:after="0" w:line="7" w:lineRule="exact"/>
        <w:rPr>
          <w:rFonts w:ascii="Arial" w:cs="Arial" w:eastAsia="Arial" w:hAnsi="Arial"/>
          <w:sz w:val="16"/>
          <w:szCs w:val="16"/>
          <w:b w:val="1"/>
          <w:bCs w:val="1"/>
          <w:color w:val="auto"/>
        </w:rPr>
      </w:pPr>
    </w:p>
    <w:p>
      <w:pPr>
        <w:ind w:left="704" w:hanging="264"/>
        <w:spacing w:after="0"/>
        <w:tabs>
          <w:tab w:leader="none" w:pos="704"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60" w:firstLine="991"/>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w:t>
      </w:r>
    </w:p>
    <w:p>
      <w:pPr>
        <w:spacing w:after="0" w:line="2"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or subsections are to those parts of this Agreement, unless the context clearly indicates to the contrary. Also, unless the context clearly indicates to the contrary, (1) the plural includes the singular and the singular includes the plural; (2) “and” and “or” are each used both conjunctively and disjunctively; (3) “any,” “all,” “each,” or “every” means “any and all,” and “each and every”; (4) “includes” and “including” are each “without limitation”;</w:t>
      </w:r>
    </w:p>
    <w:p>
      <w:pPr>
        <w:spacing w:after="0" w:line="2" w:lineRule="exact"/>
        <w:rPr>
          <w:sz w:val="20"/>
          <w:szCs w:val="20"/>
          <w:color w:val="auto"/>
        </w:rPr>
      </w:pPr>
    </w:p>
    <w:p>
      <w:pPr>
        <w:ind w:left="4" w:right="20" w:hanging="4"/>
        <w:spacing w:after="0" w:line="255" w:lineRule="auto"/>
        <w:tabs>
          <w:tab w:leader="none" w:pos="25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“herein,” “hereof,” “hereunder” and other similar compounds of the word “here” refer to the entire Agreement and not to any particular paragraph, subparagraph, section or subsection; and (6) all pronouns and any variations thereof shall be deemed to refer to the masculine, feminine, neuter, singular or plural as the identity of the entities or persons referred to may require.</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sectPr>
      </w:pPr>
    </w:p>
    <w:bookmarkStart w:id="192" w:name="page193"/>
    <w:bookmarkEnd w:id="192"/>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2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Christopher Tomasso</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First Watch Restaurants,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Advent International Corporation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75 State Street</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Tricia Patrick, James Westra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(617) 951-0566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tpatrick@adventinternational.com</w:t>
      </w:r>
      <w:r>
        <w:rPr>
          <w:rFonts w:ascii="Arial" w:cs="Arial" w:eastAsia="Arial" w:hAnsi="Arial"/>
          <w:sz w:val="18"/>
          <w:szCs w:val="18"/>
          <w:color w:val="auto"/>
        </w:rPr>
        <w:t>;</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u w:val="single" w:color="auto"/>
          <w:color w:val="auto"/>
        </w:rPr>
        <w:t>jwestra@adventinternational.com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100 Federal Street, Floor 34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Boston, Massachusetts 02109</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Marilyn French Shaw</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(617) 772-8333</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marilynfrench.shaw@weil.com</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62" w:lineRule="exact"/>
        <w:rPr>
          <w:sz w:val="20"/>
          <w:szCs w:val="20"/>
          <w:color w:val="auto"/>
        </w:rPr>
      </w:pPr>
    </w:p>
    <w:p>
      <w:pPr>
        <w:ind w:right="120" w:firstLine="991"/>
        <w:spacing w:after="0" w:line="270"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by a court or arbitrator of competent jurisdiction to be illegal, invalid or unenforceable under present or future laws effective during the Employment Period, such provision shall be reformed to the maximum extent permissible under law to an enforceable provision as similar in terms as possible to such illegal, invalid or unenforceable provision, and the remaining provisions of this Agreement shall remain in full force and effect. If said illegal, invalid or unenforceable provision cannot be reformed, such provision shall be fully severable from this Agreement, and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93" w:name="page194"/>
    <w:bookmarkEnd w:id="193"/>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or foreign withholding or other taxes or charges which it is from time to time required to withhold. The Company shall be entitled to rely on an opinion of counsel if any questions as to the amount or requirement of such withholding shall arise.</w:t>
      </w:r>
    </w:p>
    <w:p>
      <w:pPr>
        <w:spacing w:after="0" w:line="76"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No Waiver</w:t>
      </w:r>
      <w:r>
        <w:rPr>
          <w:rFonts w:ascii="Arial" w:cs="Arial" w:eastAsia="Arial" w:hAnsi="Arial"/>
          <w:sz w:val="16"/>
          <w:szCs w:val="16"/>
          <w:color w:val="auto"/>
        </w:rPr>
        <w:t>. No waiver by either party at any time of any breach by the other party of, or compliance with, any condition or provision of this Agreement to be performed by the other party shall be deemed a waiver of similar or dissimilar provisions or conditions at any time.</w:t>
      </w:r>
    </w:p>
    <w:p>
      <w:pPr>
        <w:spacing w:after="0" w:line="16"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F. </w:t>
      </w:r>
      <w:r>
        <w:rPr>
          <w:rFonts w:ascii="Arial" w:cs="Arial" w:eastAsia="Arial" w:hAnsi="Arial"/>
          <w:sz w:val="17"/>
          <w:szCs w:val="17"/>
          <w:u w:val="single" w:color="auto"/>
          <w:color w:val="auto"/>
        </w:rPr>
        <w:t>Complete Agreement</w:t>
      </w:r>
      <w:r>
        <w:rPr>
          <w:rFonts w:ascii="Arial" w:cs="Arial" w:eastAsia="Arial" w:hAnsi="Arial"/>
          <w:sz w:val="17"/>
          <w:szCs w:val="17"/>
          <w:color w:val="auto"/>
        </w:rPr>
        <w:t>. This Agreement constitutes the entire and complete understanding and agreement between the parties with respect to the subject matter hereof, and supersedes all prior and contemporaneous oral and written agreements, representations and understandings between the Executive and the Company, or its subsidiaries and affiliates, relating to the subject matter herein. Other than expressly set forth herein, the Executive and the Company acknowledge and represent that there are no other promises, terms, conditions or representations (oral or written) regarding any matter relevant hereto. For avoidance of doubt, the Prior Employment Agreement is hereby terminated, cancelled and of no further force or effect. This Agreement may be executed in two or more counterparts.</w:t>
      </w:r>
    </w:p>
    <w:p>
      <w:pPr>
        <w:spacing w:after="0" w:line="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and the rights and obligations hereunder shall be governed by and construed in accordance with the laws of the State of Florida without reference to principles of conflicts of law of Florida or any other jurisdiction, and, where applicable, the laws of the United States.</w:t>
      </w:r>
    </w:p>
    <w:p>
      <w:pPr>
        <w:spacing w:after="0" w:line="76"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at any time except by a written instrument executed by both the Executive and an authorized representative of the Company and approved by the Board.</w:t>
      </w:r>
    </w:p>
    <w:p>
      <w:pPr>
        <w:spacing w:after="0" w:line="62"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Executive Acknowledgement and Representation</w:t>
      </w:r>
      <w:r>
        <w:rPr>
          <w:rFonts w:ascii="Arial" w:cs="Arial" w:eastAsia="Arial" w:hAnsi="Arial"/>
          <w:sz w:val="16"/>
          <w:szCs w:val="16"/>
          <w:color w:val="auto"/>
        </w:rPr>
        <w:t>. The 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the Executive’s own judgment. The Executive further represents and warrants that there is no agreement or other legal impediment or contractual obligation that prohibits or would otherwise prevent the Executive from continuing employment with the Company, executing this Agreement, and performing the duties and services provided for hereunder. The Executive further acknowledges that Executive has had the opportunity to consult with an attorney and/or tax advisor of Executive choice with respect to this Agreement.</w:t>
      </w:r>
    </w:p>
    <w:p>
      <w:pPr>
        <w:spacing w:after="0" w:line="52" w:lineRule="exact"/>
        <w:rPr>
          <w:sz w:val="20"/>
          <w:szCs w:val="20"/>
          <w:color w:val="auto"/>
        </w:rPr>
      </w:pPr>
    </w:p>
    <w:p>
      <w:pPr>
        <w:ind w:left="700" w:hanging="264"/>
        <w:spacing w:after="0"/>
        <w:tabs>
          <w:tab w:leader="none" w:pos="7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99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Compliance</w:t>
      </w:r>
      <w:r>
        <w:rPr>
          <w:rFonts w:ascii="Arial" w:cs="Arial" w:eastAsia="Arial" w:hAnsi="Arial"/>
          <w:sz w:val="18"/>
          <w:szCs w:val="18"/>
          <w:color w:val="auto"/>
        </w:rPr>
        <w:t>. It is intended that compensation paid or delivered to the Executive pursuant to this Agreement is either paid in compliance with, or is exempt from, Section 409A of the Internal Revenue Code of 1986, as amended (the “Code”), and the regulations promulgated thereunder (together, “Section 409A”), and this Agreement shall be interpreted and administered accordingly. However, the Company does not warrant to the Executive that all amounts paid or delivered to him will be exempt from, or paid in compliance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4" w:name="page195"/>
    <w:bookmarkEnd w:id="194"/>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Section 409A. The Executive understands and agrees that he bears the entire risk of any adverse federal, state or local tax consequences and penalty taxes which may result from payment on a basis contrary to the provisions of Section 409A or comparable provisions of any applicable state or local income tax laws. The Executive acknowledges that Executive has been advised to seek the advice of a tax advisor with respect to the tax consequences of all payments pursuant to this Agreement, including any adverse tax consequence under Section 409A and applicable state tax law.</w:t>
      </w:r>
    </w:p>
    <w:p>
      <w:pPr>
        <w:spacing w:after="0" w:line="4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Amounts Payable On Account of Termination</w:t>
      </w:r>
      <w:r>
        <w:rPr>
          <w:rFonts w:ascii="Arial" w:cs="Arial" w:eastAsia="Arial" w:hAnsi="Arial"/>
          <w:sz w:val="16"/>
          <w:szCs w:val="16"/>
          <w:color w:val="auto"/>
        </w:rPr>
        <w:t>. If and to the extent necessary to comply with Section 409A, for the purposes of determining when amounts otherwise payable on account of the Executive’s termination of employment under this Agreement will be paid, “terminate”, “terminated” or “termination” or words of similar import relating to the Executive’s employment with the Company, as used in this Agreement, shall be construed as the date that the Executive first incurs a “separation from service,” within the meaning of Section 409A, from the Company.</w:t>
      </w:r>
    </w:p>
    <w:p>
      <w:pPr>
        <w:spacing w:after="0" w:line="49"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Interpretative Rules</w:t>
      </w:r>
      <w:r>
        <w:rPr>
          <w:rFonts w:ascii="Arial" w:cs="Arial" w:eastAsia="Arial" w:hAnsi="Arial"/>
          <w:sz w:val="18"/>
          <w:szCs w:val="18"/>
          <w:color w:val="auto"/>
        </w:rPr>
        <w:t>. In applying Section 409A to amounts paid pursuant to this Agreement, any right to a series of installment payments under this Agreement shall be treated as a right to a series of separate payments.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4" w:right="499" w:bottom="1440" w:gutter="0" w:footer="0" w:header="0"/>
        </w:sectPr>
      </w:pPr>
    </w:p>
    <w:bookmarkStart w:id="195" w:name="page196"/>
    <w:bookmarkEnd w:id="195"/>
    <w:p>
      <w:pPr>
        <w:ind w:right="2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on the date written below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2760" w:type="dxa"/>
            <w:vAlign w:val="bottom"/>
          </w:tcPr>
          <w:p>
            <w:pPr>
              <w:spacing w:after="0"/>
              <w:rPr>
                <w:sz w:val="20"/>
                <w:szCs w:val="20"/>
                <w:color w:val="auto"/>
              </w:rPr>
            </w:pPr>
            <w:r>
              <w:rPr>
                <w:rFonts w:ascii="Arial" w:cs="Arial" w:eastAsia="Arial" w:hAnsi="Arial"/>
                <w:sz w:val="18"/>
                <w:szCs w:val="18"/>
                <w:color w:val="auto"/>
              </w:rPr>
              <w:t>Dated:  August 21, 2017</w:t>
            </w:r>
          </w:p>
        </w:tc>
        <w:tc>
          <w:tcPr>
            <w:tcW w:w="4960" w:type="dxa"/>
            <w:vAlign w:val="bottom"/>
          </w:tcPr>
          <w:p>
            <w:pPr>
              <w:spacing w:after="0"/>
              <w:rPr>
                <w:sz w:val="24"/>
                <w:szCs w:val="24"/>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Tomasso</w:t>
            </w:r>
          </w:p>
        </w:tc>
      </w:tr>
      <w:tr>
        <w:trPr>
          <w:trHeight w:val="224"/>
        </w:trPr>
        <w:tc>
          <w:tcPr>
            <w:tcW w:w="27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Christopher Tomasso</w:t>
            </w:r>
          </w:p>
        </w:tc>
      </w:tr>
      <w:tr>
        <w:trPr>
          <w:trHeight w:val="607"/>
        </w:trPr>
        <w:tc>
          <w:tcPr>
            <w:tcW w:w="2760" w:type="dxa"/>
            <w:vAlign w:val="bottom"/>
          </w:tcPr>
          <w:p>
            <w:pPr>
              <w:spacing w:after="0"/>
              <w:rPr>
                <w:sz w:val="24"/>
                <w:szCs w:val="24"/>
                <w:color w:val="auto"/>
              </w:rPr>
            </w:pPr>
          </w:p>
        </w:tc>
        <w:tc>
          <w:tcPr>
            <w:tcW w:w="8260" w:type="dxa"/>
            <w:vAlign w:val="bottom"/>
            <w:gridSpan w:val="2"/>
          </w:tcPr>
          <w:p>
            <w:pPr>
              <w:ind w:left="900"/>
              <w:spacing w:after="0"/>
              <w:rPr>
                <w:sz w:val="20"/>
                <w:szCs w:val="20"/>
                <w:color w:val="auto"/>
              </w:rPr>
            </w:pPr>
            <w:r>
              <w:rPr>
                <w:rFonts w:ascii="Arial" w:cs="Arial" w:eastAsia="Arial" w:hAnsi="Arial"/>
                <w:sz w:val="18"/>
                <w:szCs w:val="18"/>
                <w:color w:val="auto"/>
              </w:rPr>
              <w:t>[SI</w:t>
            </w:r>
            <w:r>
              <w:rPr>
                <w:rFonts w:ascii="Arial" w:cs="Arial" w:eastAsia="Arial" w:hAnsi="Arial"/>
                <w:sz w:val="14"/>
                <w:szCs w:val="14"/>
                <w:color w:val="auto"/>
              </w:rPr>
              <w:t>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w:t>
            </w:r>
            <w:r>
              <w:rPr>
                <w:rFonts w:ascii="Arial" w:cs="Arial" w:eastAsia="Arial" w:hAnsi="Arial"/>
                <w:sz w:val="14"/>
                <w:szCs w:val="14"/>
                <w:color w:val="auto"/>
              </w:rPr>
              <w:t>O</w:t>
            </w:r>
            <w:r>
              <w:rPr>
                <w:rFonts w:ascii="Arial" w:cs="Arial" w:eastAsia="Arial" w:hAnsi="Arial"/>
                <w:sz w:val="18"/>
                <w:szCs w:val="18"/>
                <w:color w:val="auto"/>
              </w:rPr>
              <w:t xml:space="preserve"> E</w:t>
            </w:r>
            <w:r>
              <w:rPr>
                <w:rFonts w:ascii="Arial" w:cs="Arial" w:eastAsia="Arial" w:hAnsi="Arial"/>
                <w:sz w:val="14"/>
                <w:szCs w:val="14"/>
                <w:color w:val="auto"/>
              </w:rPr>
              <w:t>MPLOYMENT</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tc>
      </w:tr>
    </w:tbl>
    <w:p>
      <w:pPr>
        <w:sectPr>
          <w:pgSz w:w="11900" w:h="16838" w:orient="portrait"/>
          <w:cols w:equalWidth="0" w:num="1">
            <w:col w:w="11020"/>
          </w:cols>
          <w:pgMar w:left="440" w:top="378" w:right="439" w:bottom="1440" w:gutter="0" w:footer="0" w:header="0"/>
        </w:sectPr>
      </w:pPr>
    </w:p>
    <w:bookmarkStart w:id="196" w:name="page197"/>
    <w:bookmarkEnd w:id="19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on the date written below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8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FIRST WATCH RESTAURANTS, INC.</w:t>
      </w:r>
    </w:p>
    <w:p>
      <w:pPr>
        <w:spacing w:after="0" w:line="229" w:lineRule="exact"/>
        <w:rPr>
          <w:sz w:val="20"/>
          <w:szCs w:val="20"/>
          <w:color w:val="auto"/>
        </w:rPr>
      </w:pPr>
    </w:p>
    <w:p>
      <w:pPr>
        <w:spacing w:after="0"/>
        <w:tabs>
          <w:tab w:leader="none" w:pos="620" w:val="left"/>
          <w:tab w:leader="none" w:pos="5840" w:val="left"/>
          <w:tab w:leader="none" w:pos="6480" w:val="left"/>
        </w:tabs>
        <w:rPr>
          <w:sz w:val="20"/>
          <w:szCs w:val="20"/>
          <w:color w:val="auto"/>
        </w:rPr>
      </w:pPr>
      <w:r>
        <w:rPr>
          <w:rFonts w:ascii="Arial" w:cs="Arial" w:eastAsia="Arial" w:hAnsi="Arial"/>
          <w:sz w:val="18"/>
          <w:szCs w:val="18"/>
          <w:color w:val="auto"/>
        </w:rPr>
        <w:t>Dated:</w:t>
        <w:tab/>
        <w:t>August 21,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L. Pendery,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14605</wp:posOffset>
            </wp:positionV>
            <wp:extent cx="28632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Kenneth L. Pendery, Jr.</w:t>
      </w:r>
    </w:p>
    <w:p>
      <w:pPr>
        <w:spacing w:after="0" w:line="23" w:lineRule="exact"/>
        <w:rPr>
          <w:sz w:val="20"/>
          <w:szCs w:val="20"/>
          <w:color w:val="auto"/>
        </w:rPr>
      </w:pPr>
    </w:p>
    <w:p>
      <w:pPr>
        <w:ind w:left="5860"/>
        <w:spacing w:after="0"/>
        <w:tabs>
          <w:tab w:leader="none" w:pos="6480" w:val="left"/>
        </w:tabs>
        <w:rPr>
          <w:sz w:val="20"/>
          <w:szCs w:val="20"/>
          <w:color w:val="auto"/>
        </w:rPr>
      </w:pPr>
      <w:r>
        <w:rPr>
          <w:rFonts w:ascii="Arial" w:cs="Arial" w:eastAsia="Arial" w:hAnsi="Arial"/>
          <w:sz w:val="18"/>
          <w:szCs w:val="18"/>
          <w:color w:val="auto"/>
        </w:rPr>
        <w:t>Title:</w:t>
        <w:tab/>
        <w:t>Chief Executive Officer</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To E</w:t>
      </w:r>
      <w:r>
        <w:rPr>
          <w:rFonts w:ascii="Arial" w:cs="Arial" w:eastAsia="Arial" w:hAnsi="Arial"/>
          <w:sz w:val="14"/>
          <w:szCs w:val="14"/>
          <w:color w:val="auto"/>
        </w:rPr>
        <w:t>MPLOYMENT</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10780"/>
          </w:cols>
          <w:pgMar w:left="440" w:top="270" w:right="67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AI FRESH SUPER HOLDCO, INC.</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2017 OMNIBUS EQUITY INCENTIVE PLAN</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 Establishment &amp; Purpose</w:t>
      </w:r>
    </w:p>
    <w:p>
      <w:pPr>
        <w:spacing w:after="0" w:line="117"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AI Fresh Super Holdco,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hereby establishes the 2017 Omnibus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(this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as set forth herein.</w:t>
      </w:r>
    </w:p>
    <w:p>
      <w:pPr>
        <w:spacing w:after="0" w:line="54"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1.2 Purpose of this Plan</w:t>
      </w:r>
      <w:r>
        <w:rPr>
          <w:rFonts w:ascii="Arial" w:cs="Arial" w:eastAsia="Arial" w:hAnsi="Arial"/>
          <w:sz w:val="18"/>
          <w:szCs w:val="18"/>
          <w:color w:val="auto"/>
        </w:rPr>
        <w:t>. The purpose of this Plan is to attract, retain and motivate the management, employees and certain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of the Company and its Subsidiaries and Affiliates and to promote the success of the Company’s business by providing them with appropriate incentives and rewards either through a proprietary interest in the long-term success of the Company or compensation based on fulfilling certain performance goals.</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2.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and not otherwise defined herein shall have the meanings set forth below.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has the meaning set forth in the Stockholders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Award</w:t>
      </w:r>
      <w:r>
        <w:rPr>
          <w:rFonts w:ascii="Arial" w:cs="Arial" w:eastAsia="Arial" w:hAnsi="Arial"/>
          <w:sz w:val="17"/>
          <w:szCs w:val="17"/>
          <w:color w:val="auto"/>
        </w:rPr>
        <w:t>” means any Option, Stock Appreciation Right, Restricted Stock or Other Stock-Based Award that is granted under this Plan.</w:t>
      </w:r>
    </w:p>
    <w:p>
      <w:pPr>
        <w:spacing w:after="0" w:line="129"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either (a) a written agreement entered into by the Company and a Participant setting forth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applicable to an Award, or (b) a written statement signed by an authorized officer of the Company to a Participant describing the terms and provisions of the actual grant of such Award.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has the meaning set forth in the Partnership Agreement;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necessary to comply with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with respect to the payment of deferred compensation, “Change in Control” shall be limited to a “change in control event”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in Treasury Regulations Section 1.409A-3(i)(5) prescribed pursuant to Section 409A of the Code.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means the Board, or any committee thereof designated by the Board to administer this Plan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color w:val="auto"/>
        </w:rPr>
        <w:t>” means a member of the Board who is not an Employee.</w:t>
      </w:r>
    </w:p>
    <w:p>
      <w:pPr>
        <w:spacing w:after="0" w:line="117"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Eligible Person</w:t>
      </w:r>
      <w:r>
        <w:rPr>
          <w:rFonts w:ascii="Arial" w:cs="Arial" w:eastAsia="Arial" w:hAnsi="Arial"/>
          <w:sz w:val="18"/>
          <w:szCs w:val="18"/>
          <w:color w:val="auto"/>
        </w:rPr>
        <w:t>” means (a) a Director who is not an employee or partner of Advent International, Inc., a Delaware corporation, or one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or (b) an Employee.</w:t>
      </w:r>
    </w:p>
    <w:p>
      <w:pPr>
        <w:spacing w:after="0" w:line="54"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 means an officer or other employee of the Company or any Subsidiary or Affiliate, including a member of the Board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such an employee.</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Fair Market Value</w:t>
      </w:r>
      <w:r>
        <w:rPr>
          <w:rFonts w:ascii="Arial" w:cs="Arial" w:eastAsia="Arial" w:hAnsi="Arial"/>
          <w:sz w:val="18"/>
          <w:szCs w:val="18"/>
          <w:color w:val="auto"/>
        </w:rPr>
        <w:t>” means, as of any day, with respect to the Shares:</w:t>
      </w:r>
    </w:p>
    <w:p>
      <w:pPr>
        <w:spacing w:after="0" w:line="135" w:lineRule="exact"/>
        <w:rPr>
          <w:sz w:val="20"/>
          <w:szCs w:val="20"/>
          <w:color w:val="auto"/>
        </w:rPr>
      </w:pPr>
    </w:p>
    <w:p>
      <w:pPr>
        <w:ind w:left="1420" w:right="200" w:hanging="439"/>
        <w:spacing w:after="0" w:line="342" w:lineRule="auto"/>
        <w:tabs>
          <w:tab w:leader="none" w:pos="1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Shares are immediately and freely tradable on a stock exchange or in over-the-counter market, the closing price per Share on the preceding day, or if no trades were made on such date, the immediately preceding day on which trades were made; or</w:t>
      </w:r>
    </w:p>
    <w:p>
      <w:pPr>
        <w:sectPr>
          <w:pgSz w:w="11900" w:h="16838" w:orient="portrait"/>
          <w:cols w:equalWidth="0" w:num="1">
            <w:col w:w="11020"/>
          </w:cols>
          <w:pgMar w:left="440" w:top="121" w:right="439" w:bottom="1440" w:gutter="0" w:footer="0" w:header="0"/>
        </w:sectPr>
      </w:pPr>
    </w:p>
    <w:bookmarkStart w:id="198" w:name="page199"/>
    <w:bookmarkEnd w:id="198"/>
    <w:p>
      <w:pPr>
        <w:ind w:left="1740" w:hanging="543"/>
        <w:spacing w:after="0" w:line="342" w:lineRule="auto"/>
        <w:tabs>
          <w:tab w:leader="none" w:pos="17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absence of such a market for the Shares, the fair value per Share as determined in good faith by the Board and, for the purpose of determining the Option Price or grant price of an Award, consistent with the principles of Section 409A of the Code.</w:t>
      </w:r>
    </w:p>
    <w:p>
      <w:pPr>
        <w:spacing w:after="0" w:line="12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color w:val="auto"/>
        </w:rPr>
        <w:t>” means an Option intended to meet the requirements of an incentive stock option as defined in Section 422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Code and designated as an Incentive Stock Option in accordance with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of this Plan.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Nonqualified Stock Option</w:t>
      </w:r>
      <w:r>
        <w:rPr>
          <w:rFonts w:ascii="Arial" w:cs="Arial" w:eastAsia="Arial" w:hAnsi="Arial"/>
          <w:sz w:val="18"/>
          <w:szCs w:val="18"/>
          <w:color w:val="auto"/>
        </w:rPr>
        <w:t>” means an Option that is not an Incentive Stock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color w:val="auto"/>
        </w:rPr>
        <w:t>” means any Option granted from time to time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means the purchase price per Share subject to an Option, as determined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Other Stock-Based Award</w:t>
      </w:r>
      <w:r>
        <w:rPr>
          <w:rFonts w:ascii="Arial" w:cs="Arial" w:eastAsia="Arial" w:hAnsi="Arial"/>
          <w:sz w:val="18"/>
          <w:szCs w:val="18"/>
          <w:color w:val="auto"/>
        </w:rPr>
        <w:t>” means any Award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Eligible Person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an Award is granted.</w:t>
      </w:r>
    </w:p>
    <w:p>
      <w:pPr>
        <w:spacing w:after="0" w:line="117"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Partnership Agreement</w:t>
      </w:r>
      <w:r>
        <w:rPr>
          <w:rFonts w:ascii="Arial" w:cs="Arial" w:eastAsia="Arial" w:hAnsi="Arial"/>
          <w:sz w:val="18"/>
          <w:szCs w:val="18"/>
          <w:color w:val="auto"/>
        </w:rPr>
        <w:t>” means that certain Amended and Restated Agreement of Limited Partnership of AI Fresh Holdings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entered into as of August 21, 2017 by and among the AI Fresh Topco LLC, as the general partner and the Persons listed on the signature pages thereto, as may be amended from time to time.</w:t>
      </w:r>
    </w:p>
    <w:p>
      <w:pPr>
        <w:spacing w:after="0" w:line="6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Permanent Disability</w:t>
      </w:r>
      <w:r>
        <w:rPr>
          <w:rFonts w:ascii="Arial" w:cs="Arial" w:eastAsia="Arial" w:hAnsi="Arial"/>
          <w:sz w:val="18"/>
          <w:szCs w:val="18"/>
          <w:color w:val="auto"/>
        </w:rPr>
        <w:t>” has the meaning set forth below, except with respect to any Participant who is engaged by the Company or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pursuant to an effective written Service agreement in which there is a definition of “Permanent Disability” or an equivalent term, in which event the definition of “Permanent Disability” as set forth in such Service agreement shall be deemed to be the definition of “Permanent Disability” herein solely for such Participant and only for so long as such employment agreement remains effective. In all other events, the term “Permanent Disability” means: a determination by independent competent medical authority (selected by the Board) that the Participant is unable to perform the Participant’s duties, and in all reasonable medical likelihood such inability shall continue for a consecutive period of 90 days or for a period in excess of 120 days in any 365-day period.</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has the meaning set forth in the Partnership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Stock</w:t>
      </w:r>
      <w:r>
        <w:rPr>
          <w:rFonts w:ascii="Arial" w:cs="Arial" w:eastAsia="Arial" w:hAnsi="Arial"/>
          <w:sz w:val="18"/>
          <w:szCs w:val="18"/>
          <w:color w:val="auto"/>
        </w:rPr>
        <w:t>” means any Award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Restriction Period</w:t>
      </w:r>
      <w:r>
        <w:rPr>
          <w:rFonts w:ascii="Arial" w:cs="Arial" w:eastAsia="Arial" w:hAnsi="Arial"/>
          <w:sz w:val="18"/>
          <w:szCs w:val="18"/>
          <w:color w:val="auto"/>
        </w:rPr>
        <w:t>” means the period during which Restricted Stock awarded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is restricted.</w:t>
      </w:r>
    </w:p>
    <w:p>
      <w:pPr>
        <w:spacing w:after="0" w:line="11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means Section 409A of the Code together with all regulations, guidance, compliance programs and other interpretative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thereunder.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2.24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means service as an Employee or Director.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199" w:name="page200"/>
    <w:bookmarkEnd w:id="199"/>
    <w:p>
      <w:pPr>
        <w:ind w:left="4"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common stock of the Company, par value $0.01 per share, or such other class or kind of shares or other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resulting from the application of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of this Plan.</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2.26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color w:val="auto"/>
        </w:rPr>
        <w:t>” means any right granted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2.27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has the meaning set forth in the Partnership Agreement.</w:t>
      </w:r>
    </w:p>
    <w:p>
      <w:pPr>
        <w:spacing w:after="0" w:line="225" w:lineRule="exact"/>
        <w:rPr>
          <w:sz w:val="20"/>
          <w:szCs w:val="20"/>
          <w:color w:val="auto"/>
        </w:rPr>
      </w:pPr>
    </w:p>
    <w:p>
      <w:pPr>
        <w:ind w:left="4" w:right="300" w:firstLine="440"/>
        <w:spacing w:after="0" w:line="266"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Ten-Percent Shareholder</w:t>
      </w:r>
      <w:r>
        <w:rPr>
          <w:rFonts w:ascii="Arial" w:cs="Arial" w:eastAsia="Arial" w:hAnsi="Arial"/>
          <w:sz w:val="18"/>
          <w:szCs w:val="18"/>
          <w:color w:val="auto"/>
        </w:rPr>
        <w:t>” means a person who on any given date owns, either directly or indirectly (taking into account the attribution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rules contained in Section 424(d) of the Code), stock possessing more than 10% of the total combined voting power of all classes of stock of the Company or a Subsidiary or Affiliate.</w:t>
      </w:r>
    </w:p>
    <w:p>
      <w:pPr>
        <w:spacing w:after="0" w:line="2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3. Administration</w:t>
      </w:r>
    </w:p>
    <w:p>
      <w:pPr>
        <w:spacing w:after="0" w:line="117"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3.1 Authority of the Committee</w:t>
      </w:r>
      <w:r>
        <w:rPr>
          <w:rFonts w:ascii="Arial" w:cs="Arial" w:eastAsia="Arial" w:hAnsi="Arial"/>
          <w:sz w:val="16"/>
          <w:szCs w:val="16"/>
          <w:color w:val="auto"/>
        </w:rPr>
        <w:t>. This Plan shall be administered by the Committee, which shall have all powers and discretion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administer the Plan and to control its operation, including, but not limited to, the power to (a) determine the Eligible Persons to whom Awards shall be granted under the Plan, (b) prescribe the restrictions, terms and conditions of all Awards, (c) interpret the Plan and terms of the Awards,</w:t>
      </w:r>
    </w:p>
    <w:p>
      <w:pPr>
        <w:spacing w:after="0" w:line="2" w:lineRule="exact"/>
        <w:rPr>
          <w:sz w:val="20"/>
          <w:szCs w:val="20"/>
          <w:color w:val="auto"/>
        </w:rPr>
      </w:pPr>
    </w:p>
    <w:p>
      <w:pPr>
        <w:ind w:left="4" w:hanging="4"/>
        <w:spacing w:after="0" w:line="267" w:lineRule="auto"/>
        <w:tabs>
          <w:tab w:leader="none" w:pos="25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adopt rules for the administration, interpretation and application of the Plan as are consistent therewith, and interpret, amend or revoke any such rules, (e) make all determinations with respect to a Participant’s Service and the termination of such Service for purposes of any Award, (f) correct any defect(s) or omission(s) or reconcile any ambiguity(ies) or inconsistency(ies) in the Plan or any Award thereunder, (g) make all determinations it deems advisable for the administration of the Plan, (h) decide all disputes arising in connection with the Plan and to otherwise supervise the administration of the Plan, (i) subject to the terms of the Plan, amend the terms of an Award in any manner that is not inconsistent with the Plan, (j) accelerate the vesting or, to the extent applicable, exercisability of any Award at any time (including, but not limited to, upon a Change in Control or upon termination of Service under certain circumstances, as set forth in the Award Agreement or otherwise), and (k) adopt such procedures and subplans as are necessary or appropriate to permit participation in the Plan by Eligible Persons who are foreign nationals or who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79"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3.2 Delegation</w:t>
      </w:r>
      <w:r>
        <w:rPr>
          <w:rFonts w:ascii="Arial" w:cs="Arial" w:eastAsia="Arial" w:hAnsi="Arial"/>
          <w:sz w:val="18"/>
          <w:szCs w:val="18"/>
          <w:color w:val="auto"/>
        </w:rPr>
        <w:t>. The Committee may delegate to one or more of its members, one or more officers of the Company or any Subsidiary or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agents or advisors such administrative duties or powers as it may deem advisable.</w:t>
      </w:r>
    </w:p>
    <w:p>
      <w:pPr>
        <w:spacing w:after="0" w:line="27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4. Eligibility and Participation</w:t>
      </w:r>
    </w:p>
    <w:p>
      <w:pPr>
        <w:spacing w:after="0" w:line="117"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4.1 Eligibility</w:t>
      </w:r>
      <w:r>
        <w:rPr>
          <w:rFonts w:ascii="Arial" w:cs="Arial" w:eastAsia="Arial" w:hAnsi="Arial"/>
          <w:sz w:val="18"/>
          <w:szCs w:val="18"/>
          <w:color w:val="auto"/>
        </w:rPr>
        <w:t>. Participants will consist of such Eligible Persons as the Committee in its sole discretion determines and whom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designate from time to time to receive Awards under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and Stock Appreciation Rights may only be granted to those Eligible Persons with respect to whom the Company is an “eligible issuer” within the meaning of Section 409A of the Code.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00" w:name="page201"/>
    <w:bookmarkEnd w:id="200"/>
    <w:p>
      <w:pPr>
        <w:ind w:left="44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 Type of Awards</w:t>
      </w:r>
      <w:r>
        <w:rPr>
          <w:rFonts w:ascii="Arial" w:cs="Arial" w:eastAsia="Arial" w:hAnsi="Arial"/>
          <w:sz w:val="17"/>
          <w:szCs w:val="17"/>
          <w:color w:val="auto"/>
        </w:rPr>
        <w:t>. Awards under this Plan may be granted in any one or a combination of: (a) Options; (b) Stock Appreciation Rights;</w:t>
      </w:r>
    </w:p>
    <w:p>
      <w:pPr>
        <w:spacing w:after="0" w:line="39" w:lineRule="exact"/>
        <w:rPr>
          <w:sz w:val="20"/>
          <w:szCs w:val="20"/>
          <w:color w:val="auto"/>
        </w:rPr>
      </w:pPr>
    </w:p>
    <w:p>
      <w:pPr>
        <w:ind w:left="4" w:hanging="4"/>
        <w:spacing w:after="0" w:line="253" w:lineRule="auto"/>
        <w:tabs>
          <w:tab w:leader="none" w:pos="24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Restricted Stock; and (d) Other Stock-Based Awards. Awards granted under this Plan shall be evidenced by Award Agreements (which need not be identical) that provide additional terms and conditions associated with such Awards, including, without limitation restrictive covenants, as determined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any conflict between the provisions of this Plan and any such Award Agreement, the provisions of this Plan shall prevail.</w:t>
      </w:r>
    </w:p>
    <w:p>
      <w:pPr>
        <w:spacing w:after="0" w:line="29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5. Shares Subject to this Plan; Maximum Awards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5.1 Number of Shares Available for Awards</w:t>
      </w:r>
      <w:r>
        <w:rPr>
          <w:rFonts w:ascii="Arial" w:cs="Arial" w:eastAsia="Arial" w:hAnsi="Arial"/>
          <w:sz w:val="18"/>
          <w:szCs w:val="18"/>
          <w:color w:val="auto"/>
        </w:rPr>
        <w:t>.</w:t>
      </w:r>
    </w:p>
    <w:p>
      <w:pPr>
        <w:spacing w:after="0" w:line="131" w:lineRule="exact"/>
        <w:rPr>
          <w:sz w:val="20"/>
          <w:szCs w:val="20"/>
          <w:color w:val="auto"/>
        </w:rPr>
      </w:pPr>
    </w:p>
    <w:p>
      <w:pPr>
        <w:ind w:left="1424" w:right="140" w:hanging="439"/>
        <w:spacing w:after="0" w:line="266" w:lineRule="auto"/>
        <w:tabs>
          <w:tab w:leader="none" w:pos="1424"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Shares</w:t>
      </w:r>
      <w:r>
        <w:rPr>
          <w:rFonts w:ascii="Arial" w:cs="Arial" w:eastAsia="Arial" w:hAnsi="Arial"/>
          <w:sz w:val="18"/>
          <w:szCs w:val="18"/>
          <w:color w:val="auto"/>
        </w:rPr>
        <w:t>. Subject to adjustment as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the maximum number of Shares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to Participants pursuant to Awards under the Plan shall be 518,520. The Shares available for issuance under the Plan may consist, in whole or in part, of authorized and unissued Shares or treasury Shares.</w:t>
      </w:r>
    </w:p>
    <w:p>
      <w:pPr>
        <w:spacing w:after="0" w:line="81" w:lineRule="exact"/>
        <w:rPr>
          <w:rFonts w:ascii="Arial" w:cs="Arial" w:eastAsia="Arial" w:hAnsi="Arial"/>
          <w:sz w:val="18"/>
          <w:szCs w:val="18"/>
          <w:color w:val="auto"/>
        </w:rPr>
      </w:pPr>
    </w:p>
    <w:p>
      <w:pPr>
        <w:ind w:left="1424" w:hanging="439"/>
        <w:spacing w:after="0" w:line="254" w:lineRule="auto"/>
        <w:tabs>
          <w:tab w:leader="none" w:pos="1424"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Additional Shares</w:t>
      </w:r>
      <w:r>
        <w:rPr>
          <w:rFonts w:ascii="Arial" w:cs="Arial" w:eastAsia="Arial" w:hAnsi="Arial"/>
          <w:sz w:val="18"/>
          <w:szCs w:val="18"/>
          <w:color w:val="auto"/>
        </w:rPr>
        <w:t>. In the event that any outstanding Award expires or is forfeited, cancelled or otherwise terminated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consideration (i.e., Shares or cash) therefor, the Shares subject to such Award, to the extent of any such forfeiture, cancellation, expiration, termination or settlement, shall again be available for Awards under this Plan; </w:t>
      </w:r>
      <w:r>
        <w:rPr>
          <w:rFonts w:ascii="Arial" w:cs="Arial" w:eastAsia="Arial" w:hAnsi="Arial"/>
          <w:sz w:val="18"/>
          <w:szCs w:val="18"/>
          <w:u w:val="single" w:color="auto"/>
          <w:color w:val="auto"/>
        </w:rPr>
        <w:t>provided</w:t>
      </w:r>
      <w:r>
        <w:rPr>
          <w:rFonts w:ascii="Arial" w:cs="Arial" w:eastAsia="Arial" w:hAnsi="Arial"/>
          <w:sz w:val="18"/>
          <w:szCs w:val="18"/>
          <w:color w:val="auto"/>
        </w:rPr>
        <w:t>, that any Shares tendered to or withheld by the Company as part or full payment for the purchase price, Option Price or grant price of an Award or to satisfy all or part of the Company’s tax withholding obligation with respect to an Award shall not again be available for Awards. If the Committee authorizes the assumption under this Plan, in connection with any merger, consolidation, acquisition of property or stock, or reorganization, of awards granted under another plan, such assumption shall not reduce the maximum number of Shares available for issuance under this Plan.</w:t>
      </w:r>
    </w:p>
    <w:p>
      <w:pPr>
        <w:spacing w:after="0" w:line="30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6. Options</w:t>
      </w:r>
    </w:p>
    <w:p>
      <w:pPr>
        <w:spacing w:after="0" w:line="117" w:lineRule="exact"/>
        <w:rPr>
          <w:sz w:val="20"/>
          <w:szCs w:val="20"/>
          <w:color w:val="auto"/>
        </w:rPr>
      </w:pPr>
    </w:p>
    <w:p>
      <w:pPr>
        <w:ind w:left="4" w:right="40" w:firstLine="440"/>
        <w:spacing w:after="0" w:line="270" w:lineRule="auto"/>
        <w:rPr>
          <w:sz w:val="20"/>
          <w:szCs w:val="20"/>
          <w:color w:val="auto"/>
        </w:rPr>
      </w:pPr>
      <w:r>
        <w:rPr>
          <w:rFonts w:ascii="Arial" w:cs="Arial" w:eastAsia="Arial" w:hAnsi="Arial"/>
          <w:sz w:val="17"/>
          <w:szCs w:val="17"/>
          <w:b w:val="1"/>
          <w:bCs w:val="1"/>
          <w:color w:val="auto"/>
        </w:rPr>
        <w:t>6.1 Grant of Options</w:t>
      </w:r>
      <w:r>
        <w:rPr>
          <w:rFonts w:ascii="Arial" w:cs="Arial" w:eastAsia="Arial" w:hAnsi="Arial"/>
          <w:sz w:val="17"/>
          <w:szCs w:val="17"/>
          <w:color w:val="auto"/>
        </w:rPr>
        <w:t>. The Committee is hereby authorized to grant Options to Participants. Each Option shall permit a Participant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the Company a stated number of Shares at an Option Price established by the Committee, subject to the terms and conditions described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to such additional terms and conditions, as established by the Committee, in its sole discretion, that are consistent with the provisions of the Plan. Options shall be designated as either Incentive Stock Options or Nonqualified Stock Options; </w:t>
      </w:r>
      <w:r>
        <w:rPr>
          <w:rFonts w:ascii="Arial" w:cs="Arial" w:eastAsia="Arial" w:hAnsi="Arial"/>
          <w:sz w:val="17"/>
          <w:szCs w:val="17"/>
          <w:u w:val="single" w:color="auto"/>
          <w:color w:val="auto"/>
        </w:rPr>
        <w:t>provided</w:t>
      </w:r>
      <w:r>
        <w:rPr>
          <w:rFonts w:ascii="Arial" w:cs="Arial" w:eastAsia="Arial" w:hAnsi="Arial"/>
          <w:sz w:val="17"/>
          <w:szCs w:val="17"/>
          <w:color w:val="auto"/>
        </w:rPr>
        <w:t>, that Options granted to Directors shall be Nonqualified Stock Options. An Option granted as an Incentive Stock Option shall, to the extent it fails to qualify under the Code as an Incentive Stock Option, be treated as a Nonqualified Stock Option. None of the Committee, the Company, any of its Subsidiaries or Affiliates or any of their employees or representatives shall be liable to any Participant or to any other Person if it is determined that an Option intended to be an Incentive Stock Option does not qualify under the Code as an Incentive Stock Option. Each Option shall be evidenced by an Award Agreement that shall state the number of Shares covered by such Option. Such Award Agreement shall conform to the requirements of the Plan and may contain such other provisions as the Committee shall deem advisable.</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201" w:name="page202"/>
    <w:bookmarkEnd w:id="201"/>
    <w:p>
      <w:pPr>
        <w:jc w:val="both"/>
        <w:ind w:right="1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6.2 Option Price</w:t>
      </w:r>
      <w:r>
        <w:rPr>
          <w:rFonts w:ascii="Arial" w:cs="Arial" w:eastAsia="Arial" w:hAnsi="Arial"/>
          <w:sz w:val="18"/>
          <w:szCs w:val="18"/>
          <w:color w:val="auto"/>
        </w:rPr>
        <w:t>. The Option Price shall be determined by the Committee at the time of grant, but shall not be less than 100% of the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a Share on the date of grant. In the case of any Incentive Stock Option granted to a Ten-Percent Shareholder, the Option Price shall not be less than 110% of the Fair Market Value of a Share on the date of grant.</w:t>
      </w:r>
    </w:p>
    <w:p>
      <w:pPr>
        <w:spacing w:after="0" w:line="68"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6.3 Option Term</w:t>
      </w:r>
      <w:r>
        <w:rPr>
          <w:rFonts w:ascii="Arial" w:cs="Arial" w:eastAsia="Arial" w:hAnsi="Arial"/>
          <w:sz w:val="16"/>
          <w:szCs w:val="16"/>
          <w:color w:val="auto"/>
        </w:rPr>
        <w:t>. The term of each Option shall be determined by the Committee at the time of grant and shall be stated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but in no event shall such term be greater than ten years (or, in the case on an Incentive Stock Option granted to a Ten-Percent Shareholder, five years).</w:t>
      </w:r>
    </w:p>
    <w:p>
      <w:pPr>
        <w:spacing w:after="0" w:line="8"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6.4 Time of Exercise</w:t>
      </w:r>
      <w:r>
        <w:rPr>
          <w:rFonts w:ascii="Arial" w:cs="Arial" w:eastAsia="Arial" w:hAnsi="Arial"/>
          <w:sz w:val="18"/>
          <w:szCs w:val="18"/>
          <w:color w:val="auto"/>
        </w:rPr>
        <w:t>. Options granted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exercisable at such times and be subject to such restrictions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shall in each instance approve as set forth in each Award Agreement, which terms and restrictions need not be the same for each grant or for each Participant.</w:t>
      </w:r>
    </w:p>
    <w:p>
      <w:pPr>
        <w:spacing w:after="0" w:line="68"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6.5 Method of Exercise</w:t>
      </w:r>
      <w:r>
        <w:rPr>
          <w:rFonts w:ascii="Arial" w:cs="Arial" w:eastAsia="Arial" w:hAnsi="Arial"/>
          <w:sz w:val="16"/>
          <w:szCs w:val="16"/>
          <w:color w:val="auto"/>
        </w:rPr>
        <w:t>. Except as otherwise provided in the Plan or in an Award Agreement, an Option may be exercised for all, or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any part, of the Shares for which it is then exercisable. For purposes of this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the exercise date of an Option shall be the later of the date a notice of exercise is received by the Company and, if applicable, the date full payment is received by the Company pursuant to clauses (a), (b), (c), (d), or (e) of the following sentence (including the applicable tax withholding pursuant to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of the Plan). The aggregate Option Price for the Shares as to which an Option is exercised shall be paid to the Company in full at the time of exercise at the election of the Participant: (a) in cash or its equivalent (e.g., by cashier’s check); (b) to the extent permitted by the Committee, in Shares (whether or not previously owned by the Participant) having a Fair Market Value equal to the aggregate Option Price for the Shares being purchased and satisfying such other requirements as may be imposed by the Committee; (c) partly in cash and, to the extent permitted by the Committee, partly in such Shares (as described in (b) above); (d) in connection with a Change in Control, or as may otherwise be permitted by the Committee, by reducing the number of Shares otherwise deliverable upon the exercise of the Option by the number of Shares having a Fair Market Value equal to the Option Price, net of withholding; or (e) if there is a public market for the Shares at such time, subject to such requirements as may be imposed by the Committee, through the delivery of irrevocable instructions to a broker to sell Shares obtained upon the exercise of the Option and to deliver promptly to the Company an amount out of the proceeds of such sale equal to the aggregate Option Price for the Shares being purchased. The Committee may prescribe any other method of payment that it determines to be consistent with applicable law and the purpose of the Plan.</w:t>
      </w:r>
    </w:p>
    <w:p>
      <w:pPr>
        <w:spacing w:after="0" w:line="6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6.6 Limitations on Incentive Stock Options</w:t>
      </w:r>
      <w:r>
        <w:rPr>
          <w:rFonts w:ascii="Arial" w:cs="Arial" w:eastAsia="Arial" w:hAnsi="Arial"/>
          <w:sz w:val="17"/>
          <w:szCs w:val="17"/>
          <w:color w:val="auto"/>
        </w:rPr>
        <w:t>. Incentive Stock Options may be granted only to employees of the Company or of a “parent</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“subsidiary corporation” (as such terms are defined in Section 424 of the Code) at the date of grant. The aggregate Fair Market Value (generally determined as of the time the Option is granted) of the Shares with respect to which Incentive Stock Options are exercisable for the first time by a Participant during any calendar year under all plans of the Company and of any “parent corporation” or “subsidiary corporation” shall not exceed $100,000 or the Option shall be treated as a Nonqualified Stock Option, but only to the extent of that portion of the Option in excess of the limit. For purposes of the preceding sentence, unless otherwise designated by the Company, Incentive Stock Options will be taken into account in the order in which they are granted. Each provision of the Plan and each Award Agreement relating to an Incentive Stock Option shall be construed so that each Incentive Stock Option shall be an incentive stock option as defined in Section 422 of the Code, and any provisions of the Award Agreement thereof that cannot be so construed shall be disregarded.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02" w:name="page203"/>
    <w:bookmarkEnd w:id="20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7. Stock Appreciation Rights</w:t>
      </w:r>
    </w:p>
    <w:p>
      <w:pPr>
        <w:spacing w:after="0" w:line="117"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7.1 Grant of Stock Appreciation Rights</w:t>
      </w:r>
      <w:r>
        <w:rPr>
          <w:rFonts w:ascii="Arial" w:cs="Arial" w:eastAsia="Arial" w:hAnsi="Arial"/>
          <w:sz w:val="16"/>
          <w:szCs w:val="16"/>
          <w:color w:val="auto"/>
        </w:rPr>
        <w:t>. The Committee is hereby authorized to grant Stock Appreciation Rights to Participants.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shall be evidenced by Award Agreements that shall conform to the requirements of the Plan and may contain such other provisions as the Committee shall deem advisable. Subject to the terms of the Plan and any applicable Award Agreement, a Stock Appreciation Right granted under the Plan shall confer on the holder thereof a right to receive, upon exercise thereof, the excess of: (a) the Fair Market Value of a specified number of Shares on the date of exercise over (b) the grant price of the right as specified by the Committee on the date of the grant. Such payment may be in the form of cash, Shares, other property or any combination thereof, as the Committee shall determine in its sole discretion.</w:t>
      </w:r>
    </w:p>
    <w:p>
      <w:pPr>
        <w:spacing w:after="0" w:line="52"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7.2 Terms of Stock Appreciation Right</w:t>
      </w:r>
      <w:r>
        <w:rPr>
          <w:rFonts w:ascii="Arial" w:cs="Arial" w:eastAsia="Arial" w:hAnsi="Arial"/>
          <w:sz w:val="18"/>
          <w:szCs w:val="18"/>
          <w:color w:val="auto"/>
        </w:rPr>
        <w:t>. Each Stock Appreciation Right grant shall be evidenced by an Award Agreement that shall state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price (which shall not be less than 100% of the Fair Market Value of a Share on the date of grant), term, methods of exercise, methods of settlement and such other provisions as the Committee shall determine. No Stock Appreciation Right shall have a term of more than ten years from the date of grant.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8. Restricted Stock</w:t>
      </w:r>
    </w:p>
    <w:p>
      <w:pPr>
        <w:spacing w:after="0" w:line="117"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8.1 Grant of Restricted Stock</w:t>
      </w:r>
      <w:r>
        <w:rPr>
          <w:rFonts w:ascii="Arial" w:cs="Arial" w:eastAsia="Arial" w:hAnsi="Arial"/>
          <w:sz w:val="18"/>
          <w:szCs w:val="18"/>
          <w:color w:val="auto"/>
        </w:rPr>
        <w:t>. The Committee is hereby authorized to grant Restricted Stock to Participants. An Award of Restricted Stock is a</w:t>
      </w:r>
      <w:r>
        <w:rPr>
          <w:rFonts w:ascii="Arial" w:cs="Arial" w:eastAsia="Arial" w:hAnsi="Arial"/>
          <w:sz w:val="18"/>
          <w:szCs w:val="18"/>
          <w:b w:val="1"/>
          <w:bCs w:val="1"/>
          <w:color w:val="auto"/>
        </w:rPr>
        <w:t xml:space="preserve"> </w:t>
      </w:r>
      <w:r>
        <w:rPr>
          <w:rFonts w:ascii="Arial" w:cs="Arial" w:eastAsia="Arial" w:hAnsi="Arial"/>
          <w:sz w:val="18"/>
          <w:szCs w:val="18"/>
          <w:color w:val="auto"/>
        </w:rPr>
        <w:t>grant by the Committee of a specified number of Shares to the Participant, which Shares are subject to forfeiture upon the occurrence of specified events. Participants shall be awarded Restricted Stock in exchange for consideration not less than the minimum consideration required by applicable law. Restricted Stock shall be evidenced by an Award Agreement, which shall conform to the requirements of the Plan and may contain such other provisions as the Committee shall deem advisable.</w:t>
      </w:r>
    </w:p>
    <w:p>
      <w:pPr>
        <w:spacing w:after="0" w:line="75"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8.2 Terms of Restricted Stock Awards</w:t>
      </w:r>
      <w:r>
        <w:rPr>
          <w:rFonts w:ascii="Arial" w:cs="Arial" w:eastAsia="Arial" w:hAnsi="Arial"/>
          <w:sz w:val="16"/>
          <w:szCs w:val="16"/>
          <w:color w:val="auto"/>
        </w:rPr>
        <w:t>. Each Award Agreement evidencing a Restricted Stock grant shall specify: the Restriction Period(s);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of Shares of Restricted Stock subject to the Award; the purchase price, if any, of the Restricted Stock; the performance, Service or other conditions (including the termination of a Participant’s Service whether due to death, Permanent Disability or other reason) under which the Restricted Stock may be forfeited to the Company; and such other provisions as the Committee shall determine. Any Restricted Stock granted under the Plan shall be evidenced in such manner as the Committee may deem appropriate, including book-entry registration or issuance of a stock certificate or certificates (in which case, the certificate(s) representing such Shares shall be legended as to sale, transfer, assignment, pledge or other encumbrances during the Restriction Period and deposited by the Participant, together with a stock power endorsed in blank, with the Company, to be held in escrow during the Restriction Period). At the end of the Restriction Period, the restrictions imposed hereunder and under the Award Agreement shall lapse with respect to the number of Shares of Restricted Stock as determined by the Committee, and, except as provided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the legend required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removed and such number of Shares delivered to the Participant (or, where appropriate, the Participant’s legal representative).</w:t>
      </w:r>
    </w:p>
    <w:p>
      <w:pPr>
        <w:spacing w:after="0" w:line="53"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8"/>
          <w:szCs w:val="18"/>
          <w:b w:val="1"/>
          <w:bCs w:val="1"/>
          <w:color w:val="auto"/>
        </w:rPr>
        <w:t>8.3 Voting and Dividend Rights</w:t>
      </w:r>
      <w:r>
        <w:rPr>
          <w:rFonts w:ascii="Arial" w:cs="Arial" w:eastAsia="Arial" w:hAnsi="Arial"/>
          <w:sz w:val="18"/>
          <w:szCs w:val="18"/>
          <w:color w:val="auto"/>
        </w:rPr>
        <w:t>. The Committee shall determine and set forth in a Participant’s Award Agreement whether or not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Restricted Stock granted hereunder shall (a) have the right to exercise voting rights with respect to the Restricted Stock during the Restriction Period (the Committee may require a Participant to grant an irrevocable proxy and power of substitution) and/or (b) have the right to receive dividends on the Restricted Stock during the Restriction Period (and, if so, on what terms).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203" w:name="page204"/>
    <w:bookmarkEnd w:id="203"/>
    <w:p>
      <w:pPr>
        <w:ind w:left="4" w:right="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8.4 Performance Goals</w:t>
      </w:r>
      <w:r>
        <w:rPr>
          <w:rFonts w:ascii="Arial" w:cs="Arial" w:eastAsia="Arial" w:hAnsi="Arial"/>
          <w:sz w:val="18"/>
          <w:szCs w:val="18"/>
          <w:color w:val="auto"/>
        </w:rPr>
        <w:t>. The Committee may condition the grant of Restricted Stock or the expiration of the Restriction Period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achievement of one or more performance goal(s) specified in the Award Agreement. If the Participant fails to achieve the specified performance goal(s), the Committee shall not grant the Restricted Stock to such Participant, or the Participant shall forfeit the Award of Restricted Stock to the Company, as applicable.</w:t>
      </w:r>
    </w:p>
    <w:p>
      <w:pPr>
        <w:spacing w:after="0" w:line="72"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8.5 Section 83(b) Election</w:t>
      </w:r>
      <w:r>
        <w:rPr>
          <w:rFonts w:ascii="Arial" w:cs="Arial" w:eastAsia="Arial" w:hAnsi="Arial"/>
          <w:sz w:val="18"/>
          <w:szCs w:val="18"/>
          <w:color w:val="auto"/>
        </w:rPr>
        <w:t>. If a Participant makes an election pursuant to Section 83(b) of the Code in respect of an Award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shall be required to file promptly a copy of such election with the Company.</w:t>
      </w:r>
    </w:p>
    <w:p>
      <w:pPr>
        <w:spacing w:after="0" w:line="27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9. Other Stock-Based Awards</w:t>
      </w:r>
    </w:p>
    <w:p>
      <w:pPr>
        <w:spacing w:after="0" w:line="121"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The Committee, in its sole discretion, may grant Awards of Shares and Awards that are valued, in whole or in part, by reference to, or are otherwise based on the Fair Market Value of, Shares, including without limitation, restricted stock units, dividend equivalent rights and other phantom awards. Such Other Stock-Based Awards shall be in such form, and dependent on such conditions, as the Committee shall determine, including, without limitation, the right to receive one or more Shares (or the equivalent cash value of such Shares) upon the completion of a specified period of Service, the occurrence of an event, and/or the attainment of performance objectives.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and all other terms and conditions of such Awards (including, without limitation, the vesting provisions thereof and provisions ensuring that all Shares so awarded and issued shall be fully paid and non-assessable). Each Other Stock-Based Award grant shall be evidenced by an Award Agreement, which shall conform to the requirements of the Plan.</w:t>
      </w:r>
    </w:p>
    <w:p>
      <w:pPr>
        <w:spacing w:after="0" w:line="27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10. Compliance with Section 409A of the Code</w:t>
      </w:r>
    </w:p>
    <w:p>
      <w:pPr>
        <w:spacing w:after="0" w:line="117"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b w:val="1"/>
          <w:bCs w:val="1"/>
          <w:color w:val="auto"/>
        </w:rPr>
        <w:t>10.1 General</w:t>
      </w:r>
      <w:r>
        <w:rPr>
          <w:rFonts w:ascii="Arial" w:cs="Arial" w:eastAsia="Arial" w:hAnsi="Arial"/>
          <w:sz w:val="16"/>
          <w:szCs w:val="16"/>
          <w:color w:val="auto"/>
        </w:rPr>
        <w:t>. The Company intends that the Plan and all Awards be construed to avoid the imposition of additional taxes, interest and penalties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409A. Notwithstanding the Company’s intention, in the event any Award is subject to such additional taxes, interest or penalties pursuant to Section 409A, the Committee may, in its sole discretion and without a Participant’s prior consent, amend the Plan and/or Awards, adopt policies and procedures or take any other actions (including amendments, policies, procedures and actions with retroactive effect) as are necessary or appropriate to (a) exempt the Plan and/or any Award from the application of Section 409A, (b) preserve the intended tax treatment of any such Award or</w:t>
      </w:r>
    </w:p>
    <w:p>
      <w:pPr>
        <w:spacing w:after="0" w:line="2" w:lineRule="exact"/>
        <w:rPr>
          <w:sz w:val="20"/>
          <w:szCs w:val="20"/>
          <w:color w:val="auto"/>
        </w:rPr>
      </w:pPr>
    </w:p>
    <w:p>
      <w:pPr>
        <w:ind w:left="4" w:right="160" w:hanging="4"/>
        <w:spacing w:after="0" w:line="253" w:lineRule="auto"/>
        <w:tabs>
          <w:tab w:leader="none" w:pos="2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comply with the requirements of Section 409A, including, without limitation, any such regulations, guidance, compliance programs and other interpretative authority that may be issued after the date of the grant. In no event shall the Company or any of its Subsidiaries or Affiliates be liable for any additional tax, interest or penalties that may be imposed on a Participant under Section 409A or for any damages for failing to comply with Section 409A.</w:t>
      </w:r>
    </w:p>
    <w:p>
      <w:pPr>
        <w:spacing w:after="0" w:line="81"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b w:val="1"/>
          <w:bCs w:val="1"/>
          <w:color w:val="auto"/>
        </w:rPr>
        <w:t>10.2 Payments to Specified Employees</w:t>
      </w:r>
      <w:r>
        <w:rPr>
          <w:rFonts w:ascii="Arial" w:cs="Arial" w:eastAsia="Arial" w:hAnsi="Arial"/>
          <w:sz w:val="18"/>
          <w:szCs w:val="18"/>
          <w:color w:val="auto"/>
        </w:rPr>
        <w:t>. Notwithstanding any contrary provision in the Plan or Award Agreement, any payments of nonqualified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(within the meaning of Section 409A) that are otherwise required to be made under the Plan to a “specified employee” (as defined under Section 409A) as a result of his or her separation from service (other than a payment that is not subject to Section 409A) shall be delayed for the first six months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Any remaining payments of nonqualified deferred compensation shall be paid without delay and at the time or times such payments are otherwise scheduled to be made.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204" w:name="page205"/>
    <w:bookmarkEnd w:id="204"/>
    <w:p>
      <w:pPr>
        <w:ind w:left="4" w:right="10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 Separation from Service</w:t>
      </w:r>
      <w:r>
        <w:rPr>
          <w:rFonts w:ascii="Arial" w:cs="Arial" w:eastAsia="Arial" w:hAnsi="Arial"/>
          <w:sz w:val="18"/>
          <w:szCs w:val="18"/>
          <w:color w:val="auto"/>
        </w:rPr>
        <w:t>. A termination of Service shall not be deemed to have occurred for purposes of any provision of the Plan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providing for the payment of any amounts or benefits that are considered nonqualified deferred compensation under Section 409A upon or following a termination of Service unless such termination is also a “separation from service” within the meaning of Section 409A and the payment thereof prior to a “separation from service” would violate Section 409A. For purposes of any such provision of the Plan or any Award Agreement relating to any such payments or benefits, references to a “termination,” “termination of employment,” “termination of service” or like term shall mean “separation from service.”</w:t>
      </w: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Article 11. Adjustments</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11.1 Adjustments in Authorized Shares</w:t>
      </w:r>
      <w:r>
        <w:rPr>
          <w:rFonts w:ascii="Arial" w:cs="Arial" w:eastAsia="Arial" w:hAnsi="Arial"/>
          <w:sz w:val="17"/>
          <w:szCs w:val="17"/>
          <w:color w:val="auto"/>
        </w:rPr>
        <w:t>. In the event of any corporate event or transaction involving the Company, a Subsidiary or an Affiliate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but not limited to, a change in the Shares of the Company or the capitalization of the Company), such as a merger, consolidation, reorganization, recapitalization, separation, stock dividend, stock split, reverse stock split, split-up, spin-off, combination of Shares, exchange of Shares, dividend in kind, extraordinary cash dividend, amalgamation or other like change in capital structure (other than normal cash dividends to stockholders of the Company), or any similar corporate event or transaction, the Committee, to prevent dilution or enlargement of Participants’ rights under the Plan, shall substitute or adjust, in its sole discretion: the number and kind of Shares or other property that may be issued under the Plan or under particular forms of Awards; the number and kind of Shares or other property subject to outstanding Awards; the Option Price, grant price or purchase price applicable to outstanding Awards; and/or other value determinations (including performance conditions) applicable to the Plan or outstanding Awards. All adjustments shall be made in good-faith compliance with Section 409A. For the avoidance of doubt, the purchase of Shares or other equity securities of the Company by a stockholder of the Company or any third party from the Company shall not constitute a corporate event or transaction giving rise to an adjustment described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w:t>
      </w:r>
    </w:p>
    <w:p>
      <w:pPr>
        <w:spacing w:after="0" w:line="182"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b w:val="1"/>
          <w:bCs w:val="1"/>
          <w:color w:val="auto"/>
        </w:rPr>
        <w:t>11.2 Change in Control</w:t>
      </w:r>
      <w:r>
        <w:rPr>
          <w:rFonts w:ascii="Arial" w:cs="Arial" w:eastAsia="Arial" w:hAnsi="Arial"/>
          <w:sz w:val="16"/>
          <w:szCs w:val="16"/>
          <w:color w:val="auto"/>
        </w:rPr>
        <w:t>. Upon the occurrence of a Change in Control after the Effective Date, unless otherwise specifically prohibited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or by the rules and regulations of any governing governmental agencies or national securities exchanges, or unless the Committee shall specify otherwise in the Award Agreement, the Committee is authorized (but not obligated) to make adjustments in the terms and conditions of outstanding Awards, including, without limitation, the following (or any combination thereof): (a) continuation or assumption of such outstanding Awards under the Plan by the Company (if it is the surviving company or corporation) or by the surviving company or corporation or its parent;</w:t>
      </w:r>
    </w:p>
    <w:p>
      <w:pPr>
        <w:spacing w:after="0" w:line="2" w:lineRule="exact"/>
        <w:rPr>
          <w:sz w:val="20"/>
          <w:szCs w:val="20"/>
          <w:color w:val="auto"/>
        </w:rPr>
      </w:pPr>
    </w:p>
    <w:p>
      <w:pPr>
        <w:ind w:left="4" w:right="40" w:hanging="4"/>
        <w:spacing w:after="0" w:line="268" w:lineRule="auto"/>
        <w:tabs>
          <w:tab w:leader="none" w:pos="25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substitution by the surviving company or corporation or its parent of equity, equity-based and/or cash awards with substantially the same terms for outstanding Awards (excluding the consideration payable upon settlement of the Awards); (c) accelerated exercisability, vesting and/or lapse of restrictions under outstanding Awards immediately prior to the occurrence of such event; (d) upon written notice, provide that any outstanding Awards must be exercised, to the extent then exercisable, during a reasonable period of time immediately prior to the scheduled consummation of the event or such other period as determined by the Committee (contingent upon the consummation of the event), and at the end of such period, such Awards shall terminate to the extent not so exercised within the relevant period; (e) cancellation of all or any portion of outstanding Awards for fair value (in the form of cash, Shares, other property or any combination thereof) as determined in the sole discretion of the Committee and which value may be zero;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Options and Stock Appreciation Rights or similar Awards, the fair value may equal the excess, if any, of the value of the consideration to be paid in the Change in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205" w:name="page206"/>
    <w:bookmarkEnd w:id="20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Control transaction to holders of the same number of Shares subject to such Awards (or, if no such consideration is paid, Fair Market Value of the Shares subject to such outstanding Awards or portion thereof being cancelled) over the aggregate Option Price or grant price, as applicable, with respect to such Awards or portion thereof being cancelled, or if no such excess,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any payments or other consideration are deferred and/or contingent as a result of escrows, earnouts, holdbacks or any other contingencies, payments under this provision may be made on substantially the same terms and conditions applicable to, and only to the extent actually paid to, the holders of Shares in connection with the Change in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payments or other consideration may be limited to comply with Section 409A of the Code; and (f) cancellation of all or any portion of outstanding unvested and/or unexercisable Awards for no consideration.</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12. Duration; Amendment, Modification, Suspension and Termination</w:t>
      </w:r>
    </w:p>
    <w:p>
      <w:pPr>
        <w:spacing w:after="0" w:line="117"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12.1 Duration of Plan</w:t>
      </w:r>
      <w:r>
        <w:rPr>
          <w:rFonts w:ascii="Arial" w:cs="Arial" w:eastAsia="Arial" w:hAnsi="Arial"/>
          <w:sz w:val="18"/>
          <w:szCs w:val="18"/>
          <w:color w:val="auto"/>
        </w:rPr>
        <w:t>. Unless sooner terminated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12.2</w:t>
      </w:r>
      <w:r>
        <w:rPr>
          <w:rFonts w:ascii="Arial" w:cs="Arial" w:eastAsia="Arial" w:hAnsi="Arial"/>
          <w:sz w:val="18"/>
          <w:szCs w:val="18"/>
          <w:color w:val="auto"/>
        </w:rPr>
        <w:t>, this Plan shall terminate on the tenth (10th)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54"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12.2 Amendment, Modification, Suspension and Termination of Plan</w:t>
      </w:r>
      <w:r>
        <w:rPr>
          <w:rFonts w:ascii="Arial" w:cs="Arial" w:eastAsia="Arial" w:hAnsi="Arial"/>
          <w:sz w:val="18"/>
          <w:szCs w:val="18"/>
          <w:color w:val="auto"/>
        </w:rPr>
        <w:t>. Subject to the terms of the Plan, the Committee may amend, alter,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suspend, discontinue or terminate this Plan or any portion thereof or any Award (or Award Agreement) hereunder at any time,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action taken by the Committee shall adversely affect any economic rights granted to any Participant or adversely affect in any material respect any non-economic rights granted to any Participant under any outstanding Awards (other than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or as the Committee deems necessary to comply with applicable law, including without limitation, the Dodd-Frank Wall Street Reform and Consumer Protection Act) without the Participant’s written consent.</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Article 13. General Provisions</w:t>
      </w:r>
    </w:p>
    <w:p>
      <w:pPr>
        <w:spacing w:after="0" w:line="117"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13.1 No Right to Service or Award</w:t>
      </w:r>
      <w:r>
        <w:rPr>
          <w:rFonts w:ascii="Arial" w:cs="Arial" w:eastAsia="Arial" w:hAnsi="Arial"/>
          <w:sz w:val="16"/>
          <w:szCs w:val="16"/>
          <w:color w:val="auto"/>
        </w:rPr>
        <w:t>. The granting of an Award under the Plan shall impose no obligation on the Company, any Subsidiary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to continue the Service of a Participant and shall not lessen or affect any right that the Company, any Subsidiary or any Affiliate may have to terminate the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4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13.2 Settlement of Awards</w:t>
      </w:r>
      <w:r>
        <w:rPr>
          <w:rFonts w:ascii="Arial" w:cs="Arial" w:eastAsia="Arial" w:hAnsi="Arial"/>
          <w:sz w:val="18"/>
          <w:szCs w:val="18"/>
          <w:color w:val="auto"/>
        </w:rPr>
        <w:t>. Each Award Agreement shall establish the form in which the Award shall be settled. The Committee shall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cash, Awards, other securities or other property shall be issued or paid in lieu of fractional Shares or whether such fractional Shares or any rights thereto shall be issued, rounded, forfeited, or otherwise eliminated.</w:t>
      </w:r>
    </w:p>
    <w:p>
      <w:pPr>
        <w:spacing w:after="0" w:line="68"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13.3 Tax Withholding</w:t>
      </w:r>
      <w:r>
        <w:rPr>
          <w:rFonts w:ascii="Arial" w:cs="Arial" w:eastAsia="Arial" w:hAnsi="Arial"/>
          <w:sz w:val="16"/>
          <w:szCs w:val="16"/>
          <w:color w:val="auto"/>
        </w:rPr>
        <w:t>. The Company shall have the power and the right to deduct or withhold automatically from any amount deliverable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or otherwise, or require a Participant to remit to the Company, the minimum statutory amount to satisfy federal, state and local taxes, domestic or foreign, required by law or regulation to be withheld with respect to any taxable event arising as a result of the Plan. The Committee, in its sole discretion, may permit Participants to satisfy the withholding requirement, in whole or in part, by having the Company withhold Shares having a Fair Market Value equal to the minimum statutory total tax that could be imposed in connection with any such taxable event.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6" w:name="page207"/>
    <w:bookmarkEnd w:id="206"/>
    <w:p>
      <w:pPr>
        <w:ind w:right="4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13.4 No Guarantees Regarding Tax Treatment</w:t>
      </w:r>
      <w:r>
        <w:rPr>
          <w:rFonts w:ascii="Arial" w:cs="Arial" w:eastAsia="Arial" w:hAnsi="Arial"/>
          <w:sz w:val="17"/>
          <w:szCs w:val="17"/>
          <w:color w:val="auto"/>
        </w:rPr>
        <w:t>. Participants (or their beneficiaries) shall be responsible for all taxes with respect to any Awards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The Committee and the Company make no guarantees to any Person regarding the tax treatment of Awards or payments made under the Plan. Neither the Committee nor the Company has any obligation to take any action to prevent the assessment of any tax on any Person with respect to any Award under Section 409A of the Code or Section 457A of the Code or otherwise, and none of the Company, any of its Subsidiaries or Affiliates, or any of their employees or representatives shall have any liability to a Participant with respect thereto.</w:t>
      </w:r>
    </w:p>
    <w:p>
      <w:pPr>
        <w:spacing w:after="0" w:line="6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13.5 Non-Transferability of Awards</w:t>
      </w:r>
      <w:r>
        <w:rPr>
          <w:rFonts w:ascii="Arial" w:cs="Arial" w:eastAsia="Arial" w:hAnsi="Arial"/>
          <w:sz w:val="18"/>
          <w:szCs w:val="18"/>
          <w:color w:val="auto"/>
        </w:rPr>
        <w:t>. Unless otherwise determined by the Committee, an Award shall not be transferable or assignable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except in the event of the Participant’s death (subject to the applicable laws of descent and distribution), and any such purported assignment, alienation, pledge, attachment, sale, transfer or encumbrance shall be void and unenforceable against the Company or any Subsidiary or Affiliate. No transfer shall be permitted for value or consideration. An award exercisable after the death of a Participant may be exercised by the heirs, legatees, personal representatives or distributees of the Participant. Any permitted transfer of the Awards to heirs, legatees, personal representatives or distributees of the Participant shall not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spacing w:after="0" w:line="84"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b w:val="1"/>
          <w:bCs w:val="1"/>
          <w:color w:val="auto"/>
        </w:rPr>
        <w:t>13.6 Stockholders Agreement; Conditions and Restrictions on Shares</w:t>
      </w:r>
      <w:r>
        <w:rPr>
          <w:rFonts w:ascii="Arial" w:cs="Arial" w:eastAsia="Arial" w:hAnsi="Arial"/>
          <w:sz w:val="16"/>
          <w:szCs w:val="16"/>
          <w:color w:val="auto"/>
        </w:rPr>
        <w:t>. Shares received in connection with Awards granted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all of the terms and conditions of the Stockholders Agreement, including all transfer restrictions, repurchase options and participation rights set forth therein. As a condition to receiving, exercising or settling an Award, if not already fully bound by the terms set forth in the Stockholders Agreement, each Participant shall sign (a) a joinder agreement pursuant to which such Participant shall become fully bound by the terms set forth in the Stockholders Agreement, and (b) any registration rights agreement as the Committee may require. The Committee may impose such other conditions or restrictions on any Shares received in connection with an Award as it may deem advisable or desirable. These restrictions may include, but shall not be limited to, requirements that the Participant: (i) hold the Shares received for a specified period of time or (ii) represent and warrant in writing that the Participant is acquiring the Shares for investment and without any present intention to sell or distribute such Shares. The certificates for Shares may include any legend that the Committee deems appropriate to reflect any conditions and restrictions applicable to such Shares.</w:t>
      </w:r>
    </w:p>
    <w:p>
      <w:pPr>
        <w:spacing w:after="0" w:line="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13.7 Shares Not Registered</w:t>
      </w:r>
      <w:r>
        <w:rPr>
          <w:rFonts w:ascii="Arial" w:cs="Arial" w:eastAsia="Arial" w:hAnsi="Arial"/>
          <w:sz w:val="17"/>
          <w:szCs w:val="17"/>
          <w:color w:val="auto"/>
        </w:rPr>
        <w:t>. Shares and Awards shall not be issued under this Plan unless the issuance and delivery of such Shares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Awards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or any Awards under this Plan, and, accordingly, any certificates for Shares or documents granting Awards may have an appropriate legend or statement of applicable restrictions endorsed thereon. If the Company deems it necessary to ensure that the issuance of securities under this Plan is not required to be registered under any applicable securities laws, each Participant to whom such security would be purchased or issued shall deliver to the Company an agreement or certificate containing such representations, warranties and covenants as the Company reasonably requires.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07" w:name="page208"/>
    <w:bookmarkEnd w:id="207"/>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13.8 Awards to Non-U.S. Eligible Persons</w:t>
      </w:r>
      <w:r>
        <w:rPr>
          <w:rFonts w:ascii="Arial" w:cs="Arial" w:eastAsia="Arial" w:hAnsi="Arial"/>
          <w:sz w:val="18"/>
          <w:szCs w:val="18"/>
          <w:color w:val="auto"/>
        </w:rPr>
        <w:t>. To comply with the laws in countries other than the United States in which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operates or engages Eligible Persons, the Committee, in its sole discretion, shall have the power and authority to: (a) determine which Subsidiaries or Affiliates shall be covered by the Plan; (b) determine which Employees and Directors outside the United States are eligible to participate in the Plan; (c) modify the terms and conditions of any Award granted to Eligible Persons outside the United States to comply with applicable foreign laws; (d) take any action, before or after an Award is made, that it deems advisable to obtain approval or comply with any necessary local government regulatory exemptions or approvals; and (e) establish sub-plans and modify exercise procedures and other terms and procedures, to the extent such actions may be necessary or advisable.</w:t>
      </w:r>
    </w:p>
    <w:p>
      <w:pPr>
        <w:spacing w:after="0" w:line="81"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13.9 Rights as a Stockholder</w:t>
      </w:r>
      <w:r>
        <w:rPr>
          <w:rFonts w:ascii="Arial" w:cs="Arial" w:eastAsia="Arial" w:hAnsi="Arial"/>
          <w:sz w:val="16"/>
          <w:szCs w:val="16"/>
          <w:color w:val="auto"/>
        </w:rPr>
        <w:t>. Except as otherwise provided herein or in the applicable Award Agreement, a Participant shall have none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a stockholder with respect to Shares covered by any Award until the Participant becomes the record holder of such Shares.</w:t>
      </w:r>
    </w:p>
    <w:p>
      <w:pPr>
        <w:spacing w:after="0" w:line="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13.10 Severability</w:t>
      </w:r>
      <w:r>
        <w:rPr>
          <w:rFonts w:ascii="Arial" w:cs="Arial" w:eastAsia="Arial" w:hAnsi="Arial"/>
          <w:sz w:val="17"/>
          <w:szCs w:val="17"/>
          <w:color w:val="auto"/>
        </w:rPr>
        <w:t>. If any provision of the Plan or any Award is or becomes or is deemed to be invalid, illegal or unenforceable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60" w:lineRule="exact"/>
        <w:rPr>
          <w:sz w:val="20"/>
          <w:szCs w:val="20"/>
          <w:color w:val="auto"/>
        </w:rPr>
      </w:pPr>
    </w:p>
    <w:p>
      <w:pPr>
        <w:ind w:firstLine="440"/>
        <w:spacing w:after="0" w:line="292" w:lineRule="auto"/>
        <w:rPr>
          <w:sz w:val="20"/>
          <w:szCs w:val="20"/>
          <w:color w:val="auto"/>
        </w:rPr>
      </w:pPr>
      <w:r>
        <w:rPr>
          <w:rFonts w:ascii="Arial" w:cs="Arial" w:eastAsia="Arial" w:hAnsi="Arial"/>
          <w:sz w:val="16"/>
          <w:szCs w:val="16"/>
          <w:b w:val="1"/>
          <w:bCs w:val="1"/>
          <w:color w:val="auto"/>
        </w:rPr>
        <w:t>13.11 Unfunded Plan</w:t>
      </w:r>
      <w:r>
        <w:rPr>
          <w:rFonts w:ascii="Arial" w:cs="Arial" w:eastAsia="Arial" w:hAnsi="Arial"/>
          <w:sz w:val="16"/>
          <w:szCs w:val="16"/>
          <w:color w:val="auto"/>
        </w:rPr>
        <w:t>. Participants shall have no right, title or interest whatsoever in or to any investments that the Company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or Affiliates may make to aid it in meeting its obligations under the 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subject to the U.S. Employee Retirement Income Security Act of 1974, as amended from time to time.</w:t>
      </w:r>
    </w:p>
    <w:p>
      <w:pPr>
        <w:spacing w:after="0" w:line="53"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13.12 No Constraint on Corporate Action</w:t>
      </w:r>
      <w:r>
        <w:rPr>
          <w:rFonts w:ascii="Arial" w:cs="Arial" w:eastAsia="Arial" w:hAnsi="Arial"/>
          <w:sz w:val="18"/>
          <w:szCs w:val="18"/>
          <w:color w:val="auto"/>
        </w:rPr>
        <w:t>. Nothing in the Plan shall be construed to: (a) limit, impair or otherwise affect the Company’s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make adjustments, reclassifications, reorganizations or changes of or to its capital or business structure or to merge or consolidate, or dissolve, liquidate, sell or transfer all or any part of its business or assets; or (b) limit the right or power of the Company to take any action that it deems to be necessary or appropriate.</w:t>
      </w:r>
    </w:p>
    <w:p>
      <w:pPr>
        <w:spacing w:after="0" w:line="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13.13 Successors</w:t>
      </w:r>
      <w:r>
        <w:rPr>
          <w:rFonts w:ascii="Arial" w:cs="Arial" w:eastAsia="Arial" w:hAnsi="Arial"/>
          <w:sz w:val="18"/>
          <w:szCs w:val="18"/>
          <w:color w:val="auto"/>
        </w:rPr>
        <w:t>. All obligations of the Company under the Plan with respect to Awards granted hereunder shall be binding on any successor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whether the existence of such successor is the result of a direct or indirect purchase, merger, consolidation or otherwise, of all or substantially all of the business or assets of the Company.</w:t>
      </w:r>
    </w:p>
    <w:p>
      <w:pPr>
        <w:spacing w:after="0" w:line="68"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b w:val="1"/>
          <w:bCs w:val="1"/>
          <w:color w:val="auto"/>
        </w:rPr>
        <w:t>13.14 Governing Law</w:t>
      </w:r>
      <w:r>
        <w:rPr>
          <w:rFonts w:ascii="Arial" w:cs="Arial" w:eastAsia="Arial" w:hAnsi="Arial"/>
          <w:sz w:val="16"/>
          <w:szCs w:val="16"/>
          <w:color w:val="auto"/>
        </w:rPr>
        <w:t>. This Plan and each Award Agreement and all claims or causes of action or other matters (whether in contract, tort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that may be based upon, arise out of or relate to this Plan or any Award Agreement or the negotiation, execution or performance of this Plan or any Award Agreement shall be governed by and construed in accordance with the laws of the State of Delaware, excluding any conflict- or choice-of-law rule or principle that might otherwise refer construction or interpretation of this Plan to the substantive law of another jurisdiction.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13.15 Effective Date</w:t>
      </w:r>
      <w:r>
        <w:rPr>
          <w:rFonts w:ascii="Arial" w:cs="Arial" w:eastAsia="Arial" w:hAnsi="Arial"/>
          <w:sz w:val="16"/>
          <w:szCs w:val="16"/>
          <w:color w:val="auto"/>
        </w:rPr>
        <w:t>. The Plan shall be effective as of the date of its adoption by the Board, which date is set forth below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48" w:lineRule="exact"/>
        <w:rPr>
          <w:sz w:val="20"/>
          <w:szCs w:val="20"/>
          <w:color w:val="auto"/>
        </w:rPr>
      </w:pPr>
    </w:p>
    <w:p>
      <w:pPr>
        <w:ind w:left="4340"/>
        <w:spacing w:after="0"/>
        <w:tabs>
          <w:tab w:leader="none" w:pos="4960" w:val="left"/>
          <w:tab w:leader="none" w:pos="56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Plan was duly adopted and approved by the Board of Directors of the Company on August 31, 2017.</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12</w:t>
      </w:r>
    </w:p>
    <w:sectPr>
      <w:pgSz w:w="11900" w:h="16838" w:orient="portrait"/>
      <w:cols w:equalWidth="0" w:num="1">
        <w:col w:w="10440"/>
      </w:cols>
      <w:pgMar w:left="88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lvl w:ilvl="1">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1)"/>
      <w:numFmt w:val="lowerLetter"/>
      <w:start w:val="1"/>
    </w:lvl>
  </w:abstractNum>
  <w:abstractNum w:abstractNumId="13">
    <w:nsid w:val="613EFDC5"/>
    <w:multiLevelType w:val="hybridMultilevel"/>
    <w:lvl w:ilvl="0">
      <w:lvlJc w:val="left"/>
      <w:lvlText w:val="%1"/>
      <w:numFmt w:val="lowerLetter"/>
      <w:start w:val="1"/>
    </w:lvl>
    <w:lvl w:ilvl="1">
      <w:lvlJc w:val="left"/>
      <w:lvlText w:val="(%2)"/>
      <w:numFmt w:val="decimal"/>
      <w:start w:val="1"/>
    </w:lvl>
  </w:abstractNum>
  <w:abstractNum w:abstractNumId="14">
    <w:nsid w:val="BF72B14"/>
    <w:multiLevelType w:val="hybridMultilevel"/>
    <w:lvl w:ilvl="0">
      <w:lvlJc w:val="left"/>
      <w:lvlText w:val="(%1)"/>
      <w:numFmt w:val="lowerLetter"/>
      <w:start w:val="2"/>
    </w:lvl>
    <w:lvl w:ilvl="1">
      <w:lvlJc w:val="left"/>
      <w:lvlText w:val="%2"/>
      <w:numFmt w:val="decimal"/>
      <w:start w:val="1"/>
    </w:lvl>
  </w:abstractNum>
  <w:abstractNum w:abstractNumId="15">
    <w:nsid w:val="11447B73"/>
    <w:multiLevelType w:val="hybridMultilevel"/>
    <w:lvl w:ilvl="0">
      <w:lvlJc w:val="left"/>
      <w:lvlText w:val="(%1)"/>
      <w:numFmt w:val="decimal"/>
      <w:start w:val="1"/>
    </w:lvl>
  </w:abstractNum>
  <w:abstractNum w:abstractNumId="16">
    <w:nsid w:val="42963E5A"/>
    <w:multiLevelType w:val="hybridMultilevel"/>
    <w:lvl w:ilvl="0">
      <w:lvlJc w:val="left"/>
      <w:lvlText w:val="(%1)"/>
      <w:numFmt w:val="decimal"/>
      <w:start w:val="2"/>
    </w:lvl>
  </w:abstractNum>
  <w:abstractNum w:abstractNumId="17">
    <w:nsid w:val="A0382C5"/>
    <w:multiLevelType w:val="hybridMultilevel"/>
    <w:lvl w:ilvl="0">
      <w:lvlJc w:val="left"/>
      <w:lvlText w:val="(%1)"/>
      <w:numFmt w:val="lowerLetter"/>
      <w:start w:val="4"/>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
      <w:numFmt w:val="bullet"/>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1)"/>
      <w:numFmt w:val="decimal"/>
      <w:start w:val="1"/>
    </w:lvl>
  </w:abstractNum>
  <w:abstractNum w:abstractNumId="34">
    <w:nsid w:val="885E1B"/>
    <w:multiLevelType w:val="hybridMultilevel"/>
    <w:lvl w:ilvl="0">
      <w:lvlJc w:val="left"/>
      <w:lvlText w:val="(%1)"/>
      <w:numFmt w:val="decimal"/>
      <w:start w:val="2"/>
    </w:lvl>
  </w:abstractNum>
  <w:abstractNum w:abstractNumId="35">
    <w:nsid w:val="76272110"/>
    <w:multiLevelType w:val="hybridMultilevel"/>
    <w:lvl w:ilvl="0">
      <w:lvlJc w:val="left"/>
      <w:lvlText w:val="(%1)"/>
      <w:numFmt w:val="decimal"/>
      <w:start w:val="1"/>
    </w:lvl>
  </w:abstractNum>
  <w:abstractNum w:abstractNumId="36">
    <w:nsid w:val="4C04A8AF"/>
    <w:multiLevelType w:val="hybridMultilevel"/>
    <w:lvl w:ilvl="0">
      <w:lvlJc w:val="left"/>
      <w:lvlText w:val="\endash "/>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1)"/>
      <w:numFmt w:val="decimal"/>
      <w:start w:val="1"/>
    </w:lvl>
  </w:abstractNum>
  <w:abstractNum w:abstractNumId="47">
    <w:nsid w:val="CC1016F"/>
    <w:multiLevelType w:val="hybridMultilevel"/>
    <w:lvl w:ilvl="0">
      <w:lvlJc w:val="left"/>
      <w:lvlText w:val="(%1)"/>
      <w:numFmt w:val="decimal"/>
      <w:start w:val="3"/>
    </w:lvl>
  </w:abstractNum>
  <w:abstractNum w:abstractNumId="48">
    <w:nsid w:val="43F18422"/>
    <w:multiLevelType w:val="hybridMultilevel"/>
    <w:lvl w:ilvl="0">
      <w:lvlJc w:val="left"/>
      <w:lvlText w:val="(%1)"/>
      <w:numFmt w:val="lowerRoman"/>
      <w:start w:val="3"/>
    </w:lvl>
  </w:abstractNum>
  <w:abstractNum w:abstractNumId="49">
    <w:nsid w:val="60EF0119"/>
    <w:multiLevelType w:val="hybridMultilevel"/>
    <w:lvl w:ilvl="0">
      <w:lvlJc w:val="left"/>
      <w:lvlText w:val="(%1)"/>
      <w:numFmt w:val="lowerRoman"/>
      <w:start w:val="1"/>
    </w:lvl>
  </w:abstractNum>
  <w:abstractNum w:abstractNumId="50">
    <w:nsid w:val="26F324BA"/>
    <w:multiLevelType w:val="hybridMultilevel"/>
    <w:lvl w:ilvl="0">
      <w:lvlJc w:val="left"/>
      <w:lvlText w:val="(%1)"/>
      <w:numFmt w:val="lowerRoman"/>
      <w:start w:val="6"/>
    </w:lvl>
  </w:abstractNum>
  <w:abstractNum w:abstractNumId="51">
    <w:nsid w:val="7F01579B"/>
    <w:multiLevelType w:val="hybridMultilevel"/>
    <w:lvl w:ilvl="0">
      <w:lvlJc w:val="left"/>
      <w:lvlText w:val="(%1)"/>
      <w:numFmt w:val="lowerRoman"/>
      <w:start w:val="6"/>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1)"/>
      <w:numFmt w:val="lowerLetter"/>
      <w:start w:val="2"/>
    </w:lvl>
  </w:abstractNum>
  <w:abstractNum w:abstractNumId="55">
    <w:nsid w:val="50801EE1"/>
    <w:multiLevelType w:val="hybridMultilevel"/>
    <w:lvl w:ilvl="0">
      <w:lvlJc w:val="left"/>
      <w:lvlText w:val="(%1)"/>
      <w:numFmt w:val="lowerLetter"/>
      <w:start w:val="61"/>
    </w:lvl>
  </w:abstractNum>
  <w:abstractNum w:abstractNumId="56">
    <w:nsid w:val="488AC1A"/>
    <w:multiLevelType w:val="hybridMultilevel"/>
    <w:lvl w:ilvl="0">
      <w:lvlJc w:val="left"/>
      <w:lvlText w:val="•"/>
      <w:numFmt w:val="bullet"/>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
      <w:numFmt w:val="bullet"/>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
      <w:numFmt w:val="bullet"/>
      <w:start w:val="1"/>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
      <w:numFmt w:val="bullet"/>
      <w:start w:val="1"/>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1"/>
    </w:lvl>
  </w:abstractNum>
  <w:abstractNum w:abstractNumId="68">
    <w:nsid w:val="14FCE74E"/>
    <w:multiLevelType w:val="hybridMultilevel"/>
    <w:lvl w:ilvl="0">
      <w:lvlJc w:val="left"/>
      <w:lvlText w:val="(%1)"/>
      <w:numFmt w:val="lowerLetter"/>
      <w:start w:val="2"/>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
      <w:numFmt w:val="bullet"/>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1."/>
      <w:numFmt w:val="decimal"/>
      <w:start w:val="1"/>
    </w:lvl>
  </w:abstractNum>
  <w:abstractNum w:abstractNumId="75">
    <w:nsid w:val="1D545C4D"/>
    <w:multiLevelType w:val="hybridMultilevel"/>
    <w:lvl w:ilvl="0">
      <w:lvlJc w:val="left"/>
      <w:lvlText w:val="%1."/>
      <w:numFmt w:val="decimal"/>
      <w:start w:val="2"/>
    </w:lvl>
  </w:abstractNum>
  <w:abstractNum w:abstractNumId="76">
    <w:nsid w:val="59ADEA3D"/>
    <w:multiLevelType w:val="hybridMultilevel"/>
    <w:lvl w:ilvl="0">
      <w:lvlJc w:val="left"/>
      <w:lvlText w:val="%1."/>
      <w:numFmt w:val="decimal"/>
      <w:start w:val="3"/>
    </w:lvl>
  </w:abstractNum>
  <w:abstractNum w:abstractNumId="77">
    <w:nsid w:val="288F1A34"/>
    <w:multiLevelType w:val="hybridMultilevel"/>
    <w:lvl w:ilvl="0">
      <w:lvlJc w:val="left"/>
      <w:lvlText w:val="%1."/>
      <w:numFmt w:val="decimal"/>
      <w:start w:val="4"/>
    </w:lvl>
  </w:abstractNum>
  <w:abstractNum w:abstractNumId="78">
    <w:nsid w:val="2A155DBC"/>
    <w:multiLevelType w:val="hybridMultilevel"/>
    <w:lvl w:ilvl="0">
      <w:lvlJc w:val="left"/>
      <w:lvlText w:val="%1."/>
      <w:numFmt w:val="decimal"/>
      <w:start w:val="7"/>
    </w:lvl>
  </w:abstractNum>
  <w:abstractNum w:abstractNumId="79">
    <w:nsid w:val="1D9F6E5F"/>
    <w:multiLevelType w:val="hybridMultilevel"/>
    <w:lvl w:ilvl="0">
      <w:lvlJc w:val="left"/>
      <w:lvlText w:val="%1."/>
      <w:numFmt w:val="decimal"/>
      <w:start w:val="8"/>
    </w:lvl>
  </w:abstractNum>
  <w:abstractNum w:abstractNumId="80">
    <w:nsid w:val="97E1B4E"/>
    <w:multiLevelType w:val="hybridMultilevel"/>
    <w:lvl w:ilvl="0">
      <w:lvlJc w:val="left"/>
      <w:lvlText w:val="%1."/>
      <w:numFmt w:val="decimal"/>
      <w:start w:val="9"/>
    </w:lvl>
  </w:abstractNum>
  <w:abstractNum w:abstractNumId="81">
    <w:nsid w:val="51088277"/>
    <w:multiLevelType w:val="hybridMultilevel"/>
    <w:lvl w:ilvl="0">
      <w:lvlJc w:val="left"/>
      <w:lvlText w:val="%1."/>
      <w:numFmt w:val="decimal"/>
      <w:start w:val="10"/>
    </w:lvl>
  </w:abstractNum>
  <w:abstractNum w:abstractNumId="82">
    <w:nsid w:val="1CA0C5FA"/>
    <w:multiLevelType w:val="hybridMultilevel"/>
    <w:lvl w:ilvl="0">
      <w:lvlJc w:val="left"/>
      <w:lvlText w:val="%1)"/>
      <w:numFmt w:val="decimal"/>
      <w:start w:val="3"/>
    </w:lvl>
  </w:abstractNum>
  <w:abstractNum w:abstractNumId="83">
    <w:nsid w:val="53584BCB"/>
    <w:multiLevelType w:val="hybridMultilevel"/>
    <w:lvl w:ilvl="0">
      <w:lvlJc w:val="left"/>
      <w:lvlText w:val="(%1)"/>
      <w:numFmt w:val="lowerRoman"/>
      <w:start w:val="1"/>
    </w:lvl>
  </w:abstractNum>
  <w:abstractNum w:abstractNumId="84">
    <w:nsid w:val="415E286C"/>
    <w:multiLevelType w:val="hybridMultilevel"/>
    <w:lvl w:ilvl="0">
      <w:lvlJc w:val="left"/>
      <w:lvlText w:val="%1."/>
      <w:numFmt w:val="decimal"/>
      <w:start w:val="1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1."/>
      <w:numFmt w:val="decimal"/>
      <w:start w:val="13"/>
    </w:lvl>
  </w:abstractNum>
  <w:abstractNum w:abstractNumId="87">
    <w:nsid w:val="45E6D486"/>
    <w:multiLevelType w:val="hybridMultilevel"/>
    <w:lvl w:ilvl="0">
      <w:lvlJc w:val="left"/>
      <w:lvlText w:val="%1."/>
      <w:numFmt w:val="decimal"/>
      <w:start w:val="14"/>
    </w:lvl>
  </w:abstractNum>
  <w:abstractNum w:abstractNumId="88">
    <w:nsid w:val="5C10FE21"/>
    <w:multiLevelType w:val="hybridMultilevel"/>
    <w:lvl w:ilvl="0">
      <w:lvlJc w:val="left"/>
      <w:lvlText w:val="%1."/>
      <w:numFmt w:val="decimal"/>
      <w:start w:val="15"/>
    </w:lvl>
  </w:abstractNum>
  <w:abstractNum w:abstractNumId="89">
    <w:nsid w:val="E7FFA2B"/>
    <w:multiLevelType w:val="hybridMultilevel"/>
    <w:lvl w:ilvl="0">
      <w:lvlJc w:val="left"/>
      <w:lvlText w:val="(%1)"/>
      <w:numFmt w:val="lowerRoman"/>
      <w:start w:val="3"/>
    </w:lvl>
  </w:abstractNum>
  <w:abstractNum w:abstractNumId="90">
    <w:nsid w:val="3C5991AA"/>
    <w:multiLevelType w:val="hybridMultilevel"/>
    <w:lvl w:ilvl="0">
      <w:lvlJc w:val="left"/>
      <w:lvlText w:val="%1."/>
      <w:numFmt w:val="decimal"/>
      <w:start w:val="16"/>
    </w:lvl>
  </w:abstractNum>
  <w:abstractNum w:abstractNumId="91">
    <w:nsid w:val="4BD8591A"/>
    <w:multiLevelType w:val="hybridMultilevel"/>
    <w:lvl w:ilvl="0">
      <w:lvlJc w:val="left"/>
      <w:lvlText w:val="%1."/>
      <w:numFmt w:val="decimal"/>
      <w:start w:val="17"/>
    </w:lvl>
  </w:abstractNum>
  <w:abstractNum w:abstractNumId="92">
    <w:nsid w:val="78DF6A55"/>
    <w:multiLevelType w:val="hybridMultilevel"/>
    <w:lvl w:ilvl="0">
      <w:lvlJc w:val="left"/>
      <w:lvlText w:val="%1."/>
      <w:numFmt w:val="decimal"/>
      <w:start w:val="18"/>
    </w:lvl>
  </w:abstractNum>
  <w:abstractNum w:abstractNumId="93">
    <w:nsid w:val="39B7AAA2"/>
    <w:multiLevelType w:val="hybridMultilevel"/>
    <w:lvl w:ilvl="0">
      <w:lvlJc w:val="left"/>
      <w:lvlText w:val="%1."/>
      <w:numFmt w:val="decimal"/>
      <w:start w:val="19"/>
    </w:lvl>
  </w:abstractNum>
  <w:abstractNum w:abstractNumId="94">
    <w:nsid w:val="2B0D8DBE"/>
    <w:multiLevelType w:val="hybridMultilevel"/>
    <w:lvl w:ilvl="0">
      <w:lvlJc w:val="left"/>
      <w:lvlText w:val="$"/>
      <w:numFmt w:val="bullet"/>
      <w:start w:val="1"/>
    </w:lvl>
  </w:abstractNum>
  <w:abstractNum w:abstractNumId="95">
    <w:nsid w:val="6C80EC70"/>
    <w:multiLevelType w:val="hybridMultilevel"/>
    <w:lvl w:ilvl="0">
      <w:lvlJc w:val="left"/>
      <w:lvlText w:val="$"/>
      <w:numFmt w:val="bullet"/>
      <w:start w:val="1"/>
    </w:lvl>
  </w:abstractNum>
  <w:abstractNum w:abstractNumId="96">
    <w:nsid w:val="379E21B5"/>
    <w:multiLevelType w:val="hybridMultilevel"/>
    <w:lvl w:ilvl="0">
      <w:lvlJc w:val="left"/>
      <w:lvlText w:val="$"/>
      <w:numFmt w:val="bullet"/>
      <w:start w:val="1"/>
    </w:lvl>
  </w:abstractNum>
  <w:abstractNum w:abstractNumId="97">
    <w:nsid w:val="69E373"/>
    <w:multiLevelType w:val="hybridMultilevel"/>
    <w:lvl w:ilvl="0">
      <w:lvlJc w:val="left"/>
      <w:lvlText w:val="$"/>
      <w:numFmt w:val="bullet"/>
      <w:start w:val="1"/>
    </w:lvl>
  </w:abstractNum>
  <w:abstractNum w:abstractNumId="98">
    <w:nsid w:val="2C27173B"/>
    <w:multiLevelType w:val="hybridMultilevel"/>
    <w:lvl w:ilvl="0">
      <w:lvlJc w:val="left"/>
      <w:lvlText w:val="%1."/>
      <w:numFmt w:val="decimal"/>
      <w:start w:val="20"/>
    </w:lvl>
  </w:abstractNum>
  <w:abstractNum w:abstractNumId="99">
    <w:nsid w:val="4C9B0904"/>
    <w:multiLevelType w:val="hybridMultilevel"/>
    <w:lvl w:ilvl="0">
      <w:lvlJc w:val="left"/>
      <w:lvlText w:val="•"/>
      <w:numFmt w:val="bullet"/>
      <w:start w:val="1"/>
    </w:lvl>
  </w:abstractNum>
  <w:abstractNum w:abstractNumId="100">
    <w:nsid w:val="6AA7B75C"/>
    <w:multiLevelType w:val="hybridMultilevel"/>
    <w:lvl w:ilvl="0">
      <w:lvlJc w:val="left"/>
      <w:lvlText w:val="(%1)"/>
      <w:numFmt w:val="lowerLetter"/>
      <w:start w:val="1"/>
    </w:lvl>
  </w:abstractNum>
  <w:abstractNum w:abstractNumId="101">
    <w:nsid w:val="1DF029D3"/>
    <w:multiLevelType w:val="hybridMultilevel"/>
    <w:lvl w:ilvl="0">
      <w:lvlJc w:val="left"/>
      <w:lvlText w:val="(%1)"/>
      <w:numFmt w:val="decimal"/>
      <w:start w:val="1"/>
    </w:lvl>
  </w:abstractNum>
  <w:abstractNum w:abstractNumId="102">
    <w:nsid w:val="5675FF36"/>
    <w:multiLevelType w:val="hybridMultilevel"/>
    <w:lvl w:ilvl="0">
      <w:lvlJc w:val="left"/>
      <w:lvlText w:val="(%1)"/>
      <w:numFmt w:val="lowerLetter"/>
      <w:start w:val="2"/>
    </w:lvl>
  </w:abstractNum>
  <w:abstractNum w:abstractNumId="103">
    <w:nsid w:val="3DD15094"/>
    <w:multiLevelType w:val="hybridMultilevel"/>
    <w:lvl w:ilvl="0">
      <w:lvlJc w:val="left"/>
      <w:lvlText w:val="%1"/>
      <w:numFmt w:val="lowerRoman"/>
      <w:start w:val="1"/>
    </w:lvl>
    <w:lvl w:ilvl="1">
      <w:lvlJc w:val="left"/>
      <w:lvlText w:val="(%2)"/>
      <w:numFmt w:val="lowerLetter"/>
      <w:start w:val="1"/>
    </w:lvl>
  </w:abstractNum>
  <w:abstractNum w:abstractNumId="104">
    <w:nsid w:val="3DB012B3"/>
    <w:multiLevelType w:val="hybridMultilevel"/>
    <w:lvl w:ilvl="0">
      <w:lvlJc w:val="left"/>
      <w:lvlText w:val="%1"/>
      <w:numFmt w:val="lowerRoman"/>
      <w:start w:val="1"/>
    </w:lvl>
    <w:lvl w:ilvl="1">
      <w:lvlJc w:val="left"/>
      <w:lvlText w:val="(%2)"/>
      <w:numFmt w:val="lowerLetter"/>
      <w:start w:val="9"/>
    </w:lvl>
  </w:abstractNum>
  <w:abstractNum w:abstractNumId="105">
    <w:nsid w:val="2708C9AF"/>
    <w:multiLevelType w:val="hybridMultilevel"/>
    <w:lvl w:ilvl="0">
      <w:lvlJc w:val="left"/>
      <w:lvlText w:val="%1"/>
      <w:numFmt w:val="lowerRoman"/>
      <w:start w:val="1"/>
    </w:lvl>
    <w:lvl w:ilvl="1">
      <w:lvlJc w:val="left"/>
      <w:lvlText w:val="(%2)"/>
      <w:numFmt w:val="lowerLetter"/>
      <w:start w:val="35"/>
    </w:lvl>
  </w:abstractNum>
  <w:abstractNum w:abstractNumId="106">
    <w:nsid w:val="5B25ACE2"/>
    <w:multiLevelType w:val="hybridMultilevel"/>
    <w:lvl w:ilvl="0">
      <w:lvlJc w:val="left"/>
      <w:lvlText w:val="%1"/>
      <w:numFmt w:val="lowerRoman"/>
      <w:start w:val="1"/>
    </w:lvl>
    <w:lvl w:ilvl="1">
      <w:lvlJc w:val="left"/>
      <w:lvlText w:val="(%2)"/>
      <w:numFmt w:val="lowerLetter"/>
      <w:start w:val="61"/>
    </w:lvl>
  </w:abstractNum>
  <w:abstractNum w:abstractNumId="107">
    <w:nsid w:val="175DFCF0"/>
    <w:multiLevelType w:val="hybridMultilevel"/>
    <w:lvl w:ilvl="0">
      <w:lvlJc w:val="left"/>
      <w:lvlText w:val="%1"/>
      <w:numFmt w:val="lowerRoman"/>
      <w:start w:val="1"/>
    </w:lvl>
    <w:lvl w:ilvl="1">
      <w:lvlJc w:val="left"/>
      <w:lvlText w:val="(%2)"/>
      <w:numFmt w:val="lowerLetter"/>
      <w:start w:val="2"/>
    </w:lvl>
  </w:abstractNum>
  <w:abstractNum w:abstractNumId="108">
    <w:nsid w:val="4F97E3E4"/>
    <w:multiLevelType w:val="hybridMultilevel"/>
    <w:lvl w:ilvl="0">
      <w:lvlJc w:val="left"/>
      <w:lvlText w:val="(%1)"/>
      <w:numFmt w:val="lowerLetter"/>
      <w:start w:val="1"/>
    </w:lvl>
  </w:abstractNum>
  <w:abstractNum w:abstractNumId="109">
    <w:nsid w:val="53B0A9E"/>
    <w:multiLevelType w:val="hybridMultilevel"/>
    <w:lvl w:ilvl="0">
      <w:lvlJc w:val="left"/>
      <w:lvlText w:val="%1."/>
      <w:numFmt w:val="decimal"/>
      <w:start w:val="1"/>
    </w:lvl>
    <w:lvl w:ilvl="1">
      <w:lvlJc w:val="left"/>
      <w:lvlText w:val="%2"/>
      <w:numFmt w:val="upperLetter"/>
      <w:start w:val="1"/>
    </w:lvl>
  </w:abstractNum>
  <w:abstractNum w:abstractNumId="110">
    <w:nsid w:val="34FD6B4F"/>
    <w:multiLevelType w:val="hybridMultilevel"/>
    <w:lvl w:ilvl="0">
      <w:lvlJc w:val="left"/>
      <w:lvlText w:val="(%1)"/>
      <w:numFmt w:val="lowerRoman"/>
      <w:start w:val="1"/>
    </w:lvl>
    <w:lvl w:ilvl="1">
      <w:lvlJc w:val="left"/>
      <w:lvlText w:val="%2."/>
      <w:numFmt w:val="upperLetter"/>
      <w:start w:val="2"/>
    </w:lvl>
  </w:abstractNum>
  <w:abstractNum w:abstractNumId="111">
    <w:nsid w:val="5915FF32"/>
    <w:multiLevelType w:val="hybridMultilevel"/>
    <w:lvl w:ilvl="0">
      <w:lvlJc w:val="left"/>
      <w:lvlText w:val="(%1)"/>
      <w:numFmt w:val="decimal"/>
      <w:start w:val="2"/>
    </w:lvl>
  </w:abstractNum>
  <w:abstractNum w:abstractNumId="112">
    <w:nsid w:val="56438D15"/>
    <w:multiLevelType w:val="hybridMultilevel"/>
    <w:lvl w:ilvl="0">
      <w:lvlJc w:val="left"/>
      <w:lvlText w:val="%1"/>
      <w:numFmt w:val="decimal"/>
      <w:start w:val="1"/>
    </w:lvl>
    <w:lvl w:ilvl="1">
      <w:lvlJc w:val="left"/>
      <w:lvlText w:val="%2"/>
      <w:numFmt w:val="upperLetter"/>
      <w:start w:val="1"/>
    </w:lvl>
    <w:lvl w:ilvl="2">
      <w:lvlJc w:val="left"/>
      <w:lvlText w:val="(%3)"/>
      <w:numFmt w:val="decimal"/>
      <w:start w:val="5"/>
    </w:lvl>
  </w:abstractNum>
  <w:abstractNum w:abstractNumId="113">
    <w:nsid w:val="519E3149"/>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6">
    <w:nsid w:val="4DF72E4E"/>
    <w:multiLevelType w:val="hybridMultilevel"/>
    <w:lvl w:ilvl="0">
      <w:lvlJc w:val="left"/>
      <w:lvlText w:val="(%1)"/>
      <w:numFmt w:val="decimal"/>
      <w:start w:val="30"/>
    </w:lvl>
    <w:lvl w:ilvl="1">
      <w:lvlJc w:val="left"/>
      <w:lvlText w:val="%2."/>
      <w:numFmt w:val="upperLetter"/>
      <w:start w:val="5"/>
    </w:lvl>
    <w:lvl w:ilvl="2">
      <w:lvlJc w:val="left"/>
      <w:lvlText w:val="(%3)"/>
      <w:numFmt w:val="decimal"/>
      <w:start w:val="1"/>
    </w:lvl>
  </w:abstractNum>
  <w:abstractNum w:abstractNumId="117">
    <w:nsid w:val="5046B5A9"/>
    <w:multiLevelType w:val="hybridMultilevel"/>
    <w:lvl w:ilvl="0">
      <w:lvlJc w:val="left"/>
      <w:lvlText w:val="(%1)"/>
      <w:numFmt w:val="decimal"/>
      <w:start w:val="12"/>
    </w:lvl>
  </w:abstractNum>
  <w:abstractNum w:abstractNumId="118">
    <w:nsid w:val="5D888A08"/>
    <w:multiLevelType w:val="hybridMultilevel"/>
    <w:lvl w:ilvl="0">
      <w:lvlJc w:val="left"/>
      <w:lvlText w:val="%1"/>
      <w:numFmt w:val="decimal"/>
      <w:start w:val="1"/>
    </w:lvl>
    <w:lvl w:ilvl="1">
      <w:lvlJc w:val="left"/>
      <w:lvlText w:val="(%2)"/>
      <w:numFmt w:val="decimal"/>
      <w:start w:val="1"/>
    </w:lvl>
  </w:abstractNum>
  <w:abstractNum w:abstractNumId="119">
    <w:nsid w:val="2A082C70"/>
    <w:multiLevelType w:val="hybridMultilevel"/>
    <w:lvl w:ilvl="0">
      <w:lvlJc w:val="left"/>
      <w:lvlText w:val="(%1)"/>
      <w:numFmt w:val="decimal"/>
      <w:start w:val="20"/>
    </w:lvl>
    <w:lvl w:ilvl="1">
      <w:lvlJc w:val="left"/>
      <w:lvlText w:val="%2"/>
      <w:numFmt w:val="decimal"/>
      <w:start w:val="1"/>
    </w:lvl>
  </w:abstractNum>
  <w:abstractNum w:abstractNumId="120">
    <w:nsid w:val="5EC6AFD4"/>
    <w:multiLevelType w:val="hybridMultilevel"/>
    <w:lvl w:ilvl="0">
      <w:lvlJc w:val="left"/>
      <w:lvlText w:val="(%1)"/>
      <w:numFmt w:val="upperLetter"/>
      <w:start w:val="2"/>
    </w:lvl>
    <w:lvl w:ilvl="1">
      <w:lvlJc w:val="left"/>
      <w:lvlText w:val="%2."/>
      <w:numFmt w:val="decimal"/>
      <w:start w:val="3"/>
    </w:lvl>
    <w:lvl w:ilvl="2">
      <w:lvlJc w:val="left"/>
      <w:lvlText w:val="%3"/>
      <w:numFmt w:val="upperLetter"/>
      <w:start w:val="1"/>
    </w:lvl>
    <w:lvl w:ilvl="3">
      <w:lvlJc w:val="left"/>
      <w:lvlText w:val="(%4)"/>
      <w:numFmt w:val="decimal"/>
      <w:start w:val="2"/>
    </w:lvl>
  </w:abstractNum>
  <w:abstractNum w:abstractNumId="121">
    <w:nsid w:val="19E21BB2"/>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22">
    <w:nsid w:val="75E0858A"/>
    <w:multiLevelType w:val="hybridMultilevel"/>
    <w:lvl w:ilvl="0">
      <w:lvlJc w:val="left"/>
      <w:lvlText w:val="%1"/>
      <w:numFmt w:val="upperLetter"/>
      <w:start w:val="1"/>
    </w:lvl>
    <w:lvl w:ilvl="1">
      <w:lvlJc w:val="left"/>
      <w:lvlText w:val="(%2)"/>
      <w:numFmt w:val="decimal"/>
      <w:start w:val="3"/>
    </w:lvl>
  </w:abstractNum>
  <w:abstractNum w:abstractNumId="123">
    <w:nsid w:val="57A61A29"/>
    <w:multiLevelType w:val="hybridMultilevel"/>
    <w:lvl w:ilvl="0">
      <w:lvlJc w:val="left"/>
      <w:lvlText w:val="%1."/>
      <w:numFmt w:val="upperLetter"/>
      <w:start w:val="2"/>
    </w:lvl>
    <w:lvl w:ilvl="1">
      <w:lvlJc w:val="left"/>
      <w:lvlText w:val="(%2)"/>
      <w:numFmt w:val="decimal"/>
      <w:start w:val="1"/>
    </w:lvl>
  </w:abstractNum>
  <w:abstractNum w:abstractNumId="124">
    <w:nsid w:val="5399C654"/>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125">
    <w:nsid w:val="20EE1348"/>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26">
    <w:nsid w:val="4427069A"/>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abstractNum>
  <w:abstractNum w:abstractNumId="127">
    <w:nsid w:val="B37E80A"/>
    <w:multiLevelType w:val="hybridMultilevel"/>
    <w:lvl w:ilvl="0">
      <w:lvlJc w:val="left"/>
      <w:lvlText w:val="%1."/>
      <w:numFmt w:val="decimal"/>
      <w:start w:val="6"/>
    </w:lvl>
  </w:abstractNum>
  <w:abstractNum w:abstractNumId="128">
    <w:nsid w:val="2157F6BC"/>
    <w:multiLevelType w:val="hybridMultilevel"/>
    <w:lvl w:ilvl="0">
      <w:lvlJc w:val="left"/>
      <w:lvlText w:val="%1."/>
      <w:numFmt w:val="decimal"/>
      <w:start w:val="8"/>
    </w:lvl>
    <w:lvl w:ilvl="1">
      <w:lvlJc w:val="left"/>
      <w:lvlText w:val="%2"/>
      <w:numFmt w:val="upperLetter"/>
      <w:start w:val="1"/>
    </w:lvl>
  </w:abstractNum>
  <w:abstractNum w:abstractNumId="129">
    <w:nsid w:val="704E1DD5"/>
    <w:multiLevelType w:val="hybridMultilevel"/>
    <w:lvl w:ilvl="0">
      <w:lvlJc w:val="left"/>
      <w:lvlText w:val="(%1)"/>
      <w:numFmt w:val="decimal"/>
      <w:start w:val="5"/>
    </w:lvl>
  </w:abstractNum>
  <w:abstractNum w:abstractNumId="130">
    <w:nsid w:val="57D2F10E"/>
    <w:multiLevelType w:val="hybridMultilevel"/>
    <w:lvl w:ilvl="0">
      <w:lvlJc w:val="left"/>
      <w:lvlText w:val="%1."/>
      <w:numFmt w:val="decimal"/>
      <w:start w:val="12"/>
    </w:lvl>
    <w:lvl w:ilvl="1">
      <w:lvlJc w:val="left"/>
      <w:lvlText w:val="%2"/>
      <w:numFmt w:val="upperLetter"/>
      <w:start w:val="1"/>
    </w:lvl>
  </w:abstractNum>
  <w:abstractNum w:abstractNumId="131">
    <w:nsid w:val="BFFAE18"/>
    <w:multiLevelType w:val="hybridMultilevel"/>
    <w:lvl w:ilvl="0">
      <w:lvlJc w:val="left"/>
      <w:lvlText w:val="(%1)"/>
      <w:numFmt w:val="lowerLetter"/>
      <w:start w:val="1"/>
    </w:lvl>
  </w:abstractNum>
  <w:abstractNum w:abstractNumId="132">
    <w:nsid w:val="E3E47A8"/>
    <w:multiLevelType w:val="hybridMultilevel"/>
    <w:lvl w:ilvl="0">
      <w:lvlJc w:val="left"/>
      <w:lvlText w:val="(%1)"/>
      <w:numFmt w:val="lowerLetter"/>
      <w:start w:val="2"/>
    </w:lvl>
  </w:abstractNum>
  <w:abstractNum w:abstractNumId="133">
    <w:nsid w:val="2E48F044"/>
    <w:multiLevelType w:val="hybridMultilevel"/>
    <w:lvl w:ilvl="0">
      <w:lvlJc w:val="left"/>
      <w:lvlText w:val="(%1)"/>
      <w:numFmt w:val="lowerLetter"/>
      <w:start w:val="4"/>
    </w:lvl>
  </w:abstractNum>
  <w:abstractNum w:abstractNumId="134">
    <w:nsid w:val="49D0FEAC"/>
    <w:multiLevelType w:val="hybridMultilevel"/>
    <w:lvl w:ilvl="0">
      <w:lvlJc w:val="left"/>
      <w:lvlText w:val="(%1)"/>
      <w:numFmt w:val="lowerLetter"/>
      <w:start w:val="3"/>
    </w:lvl>
  </w:abstractNum>
  <w:abstractNum w:abstractNumId="135">
    <w:nsid w:val="4BEE5A5B"/>
    <w:multiLevelType w:val="hybridMultilevel"/>
    <w:lvl w:ilvl="0">
      <w:lvlJc w:val="left"/>
      <w:lvlText w:val="(%1)"/>
      <w:numFmt w:val="lowerLetter"/>
      <w:start w:val="1"/>
    </w:lvl>
  </w:abstractNum>
  <w:abstractNum w:abstractNumId="136">
    <w:nsid w:val="5551B9F3"/>
    <w:multiLevelType w:val="hybridMultilevel"/>
    <w:lvl w:ilvl="0">
      <w:lvlJc w:val="left"/>
      <w:lvlText w:val="(%1)"/>
      <w:numFmt w:val="lowerLetter"/>
      <w:start w:val="3"/>
    </w:lvl>
  </w:abstractNum>
  <w:abstractNum w:abstractNumId="137">
    <w:nsid w:val="24F6AB8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2021-09-13T23:28:13Z</dcterms:created>
  <dcterms:modified xsi:type="dcterms:W3CDTF">2021-09-13T23:28:13Z</dcterms:modified>
</cp:coreProperties>
</file>