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419100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3" w:lineRule="exact"/>
        <w:rPr>
          <w:sz w:val="24"/>
          <w:szCs w:val="24"/>
          <w:color w:val="auto"/>
        </w:rPr>
      </w:pPr>
    </w:p>
    <w:p>
      <w:pPr>
        <w:ind w:left="520" w:hanging="329"/>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74" w:lineRule="exact"/>
        <w:rPr>
          <w:sz w:val="24"/>
          <w:szCs w:val="24"/>
          <w:color w:val="auto"/>
        </w:rPr>
      </w:pPr>
    </w:p>
    <w:p>
      <w:pPr>
        <w:ind w:left="4540" w:right="3540" w:hanging="4349"/>
        <w:spacing w:after="0" w:line="271" w:lineRule="auto"/>
        <w:tabs>
          <w:tab w:leader="none" w:pos="547"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 Commission file number 001-040866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4445</wp:posOffset>
            </wp:positionV>
            <wp:extent cx="1744980" cy="336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4980" cy="33655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First Watch Restaurant Group, Inc.</w:t>
      </w:r>
    </w:p>
    <w:p>
      <w:pPr>
        <w:sectPr>
          <w:pgSz w:w="11900" w:h="16838" w:orient="portrait"/>
          <w:cols w:equalWidth="0" w:num="1">
            <w:col w:w="11280"/>
          </w:cols>
          <w:pgMar w:left="300" w:top="937" w:right="319" w:bottom="1440" w:gutter="0" w:footer="0" w:header="0"/>
        </w:sectPr>
      </w:pPr>
    </w:p>
    <w:p>
      <w:pPr>
        <w:spacing w:after="0" w:line="3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3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9" w:lineRule="exact"/>
        <w:rPr>
          <w:sz w:val="24"/>
          <w:szCs w:val="24"/>
          <w:color w:val="auto"/>
        </w:rPr>
      </w:pPr>
    </w:p>
    <w:p>
      <w:pPr>
        <w:jc w:val="center"/>
        <w:ind w:left="3760"/>
        <w:spacing w:after="0"/>
        <w:rPr>
          <w:sz w:val="20"/>
          <w:szCs w:val="20"/>
          <w:color w:val="auto"/>
        </w:rPr>
      </w:pPr>
      <w:r>
        <w:rPr>
          <w:rFonts w:ascii="Times New Roman" w:cs="Times New Roman" w:eastAsia="Times New Roman" w:hAnsi="Times New Roman"/>
          <w:sz w:val="13"/>
          <w:szCs w:val="13"/>
          <w:b w:val="1"/>
          <w:bCs w:val="1"/>
          <w:color w:val="auto"/>
        </w:rPr>
        <w:t>8725 Pendery Place, Suite 201, Bradenton, FL 34201</w:t>
      </w:r>
    </w:p>
    <w:p>
      <w:pPr>
        <w:spacing w:after="0" w:line="33" w:lineRule="exact"/>
        <w:rPr>
          <w:sz w:val="24"/>
          <w:szCs w:val="24"/>
          <w:color w:val="auto"/>
        </w:rPr>
      </w:pPr>
    </w:p>
    <w:p>
      <w:pPr>
        <w:jc w:val="center"/>
        <w:ind w:left="376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56"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3"/>
          <w:szCs w:val="13"/>
          <w:b w:val="1"/>
          <w:bCs w:val="1"/>
          <w:color w:val="auto"/>
        </w:rPr>
        <w:t>(941) 907-9800</w:t>
      </w:r>
    </w:p>
    <w:p>
      <w:pPr>
        <w:spacing w:after="0" w:line="18"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8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53" w:lineRule="exact"/>
        <w:rPr>
          <w:sz w:val="24"/>
          <w:szCs w:val="24"/>
          <w:color w:val="auto"/>
        </w:rPr>
      </w:pPr>
    </w:p>
    <w:p>
      <w:pPr>
        <w:ind w:left="1780"/>
        <w:spacing w:after="0"/>
        <w:tabs>
          <w:tab w:leader="none" w:pos="5500" w:val="left"/>
        </w:tabs>
        <w:rPr>
          <w:sz w:val="20"/>
          <w:szCs w:val="20"/>
          <w:color w:val="auto"/>
        </w:rPr>
      </w:pPr>
      <w:r>
        <w:rPr>
          <w:rFonts w:ascii="Times New Roman" w:cs="Times New Roman" w:eastAsia="Times New Roman" w:hAnsi="Times New Roman"/>
          <w:sz w:val="13"/>
          <w:szCs w:val="13"/>
          <w:color w:val="auto"/>
        </w:rPr>
        <w:t>Title of each class</w:t>
      </w:r>
      <w:r>
        <w:rPr>
          <w:sz w:val="20"/>
          <w:szCs w:val="20"/>
          <w:color w:val="auto"/>
        </w:rPr>
        <w:tab/>
      </w:r>
      <w:r>
        <w:rPr>
          <w:rFonts w:ascii="Times New Roman" w:cs="Times New Roman" w:eastAsia="Times New Roman" w:hAnsi="Times New Roman"/>
          <w:sz w:val="12"/>
          <w:szCs w:val="12"/>
          <w:color w:val="auto"/>
        </w:rPr>
        <w:t>Trading Symbol(s)</w:t>
      </w:r>
    </w:p>
    <w:p>
      <w:pPr>
        <w:spacing w:after="0" w:line="82" w:lineRule="exact"/>
        <w:rPr>
          <w:sz w:val="24"/>
          <w:szCs w:val="24"/>
          <w:color w:val="auto"/>
        </w:rPr>
      </w:pPr>
    </w:p>
    <w:p>
      <w:pPr>
        <w:ind w:left="1360"/>
        <w:spacing w:after="0"/>
        <w:tabs>
          <w:tab w:leader="none" w:pos="5780" w:val="left"/>
        </w:tabs>
        <w:rPr>
          <w:sz w:val="20"/>
          <w:szCs w:val="20"/>
          <w:color w:val="auto"/>
        </w:rPr>
      </w:pPr>
      <w:r>
        <w:rPr>
          <w:rFonts w:ascii="Times New Roman" w:cs="Times New Roman" w:eastAsia="Times New Roman" w:hAnsi="Times New Roman"/>
          <w:sz w:val="13"/>
          <w:szCs w:val="13"/>
          <w:b w:val="1"/>
          <w:bCs w:val="1"/>
          <w:color w:val="auto"/>
        </w:rPr>
        <w:t>Common Stock, $0.01 par value</w:t>
      </w:r>
      <w:r>
        <w:rPr>
          <w:sz w:val="20"/>
          <w:szCs w:val="20"/>
          <w:color w:val="auto"/>
        </w:rPr>
        <w:tab/>
      </w:r>
      <w:r>
        <w:rPr>
          <w:rFonts w:ascii="Times New Roman" w:cs="Times New Roman" w:eastAsia="Times New Roman" w:hAnsi="Times New Roman"/>
          <w:sz w:val="12"/>
          <w:szCs w:val="12"/>
          <w:b w:val="1"/>
          <w:bCs w:val="1"/>
          <w:color w:val="auto"/>
        </w:rPr>
        <w:t>FWRG</w:t>
      </w:r>
    </w:p>
    <w:p>
      <w:pPr>
        <w:spacing w:after="0" w:line="32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121"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65"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82-4271369</w:t>
      </w:r>
    </w:p>
    <w:p>
      <w:pPr>
        <w:spacing w:after="0" w:line="3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2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p>
      <w:pPr>
        <w:ind w:left="28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p>
      <w:pPr>
        <w:spacing w:after="0" w:line="1232" w:lineRule="exact"/>
        <w:rPr>
          <w:sz w:val="24"/>
          <w:szCs w:val="24"/>
          <w:color w:val="auto"/>
        </w:rPr>
      </w:pPr>
    </w:p>
    <w:p>
      <w:pPr>
        <w:sectPr>
          <w:pgSz w:w="11900" w:h="16838" w:orient="portrait"/>
          <w:cols w:equalWidth="0" w:num="2">
            <w:col w:w="7560" w:space="720"/>
            <w:col w:w="3000"/>
          </w:cols>
          <w:pgMar w:left="300" w:top="937" w:right="319" w:bottom="1440" w:gutter="0" w:footer="0" w:header="0"/>
          <w:type w:val="continuous"/>
        </w:sectPr>
      </w:pPr>
    </w:p>
    <w:p>
      <w:pPr>
        <w:spacing w:after="0" w:line="5"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66"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55"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p>
      <w:pPr>
        <w:ind w:left="20"/>
        <w:spacing w:after="0" w:line="175" w:lineRule="exact"/>
        <w:tabs>
          <w:tab w:leader="none" w:pos="1640" w:val="left"/>
          <w:tab w:leader="none" w:pos="3180" w:val="left"/>
          <w:tab w:leader="none" w:pos="5020" w:val="left"/>
          <w:tab w:leader="none" w:pos="7300" w:val="left"/>
          <w:tab w:leader="none" w:pos="958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 xml:space="preserve">☐  </w:t>
      </w:r>
      <w:r>
        <w:rPr>
          <w:rFonts w:ascii="Times New Roman" w:cs="Times New Roman" w:eastAsia="Times New Roman" w:hAnsi="Times New Roman"/>
          <w:sz w:val="13"/>
          <w:szCs w:val="13"/>
          <w:color w:val="auto"/>
        </w:rPr>
        <w:t>Smaller reporting company</w:t>
      </w:r>
      <w:r>
        <w:rPr>
          <w:sz w:val="20"/>
          <w:szCs w:val="20"/>
          <w:color w:val="auto"/>
        </w:rPr>
        <w:tab/>
      </w:r>
      <w:r>
        <w:rPr>
          <w:rFonts w:ascii="Arial Unicode MS" w:cs="Arial Unicode MS" w:eastAsia="Arial Unicode MS" w:hAnsi="Arial Unicode MS"/>
          <w:sz w:val="13"/>
          <w:szCs w:val="13"/>
          <w:color w:val="auto"/>
        </w:rPr>
        <w:t xml:space="preserve">☐  </w:t>
      </w:r>
      <w:r>
        <w:rPr>
          <w:rFonts w:ascii="Times New Roman" w:cs="Times New Roman" w:eastAsia="Times New Roman" w:hAnsi="Times New Roman"/>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88"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66" w:lineRule="exact"/>
        <w:rPr>
          <w:sz w:val="24"/>
          <w:szCs w:val="24"/>
          <w:color w:val="auto"/>
        </w:rPr>
      </w:pPr>
    </w:p>
    <w:p>
      <w:pPr>
        <w:ind w:right="160"/>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9" w:lineRule="exact"/>
        <w:rPr>
          <w:sz w:val="24"/>
          <w:szCs w:val="24"/>
          <w:color w:val="auto"/>
        </w:rPr>
      </w:pPr>
    </w:p>
    <w:p>
      <w:pPr>
        <w:ind w:right="4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37" w:lineRule="exact"/>
        <w:rPr>
          <w:sz w:val="24"/>
          <w:szCs w:val="24"/>
          <w:color w:val="auto"/>
        </w:rPr>
      </w:pPr>
    </w:p>
    <w:p>
      <w:pPr>
        <w:ind w:right="160"/>
        <w:spacing w:after="0" w:line="181"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27"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4"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(based on the closing price on the last business day of the registrant’s most recently completed second fiscal quarter as reported on the Nasdaq Stock Market) was approximately $733.4 million.</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20, 2026, 61,138,143 shares of common stock of the registrant were outstanding.</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46"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398780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128905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0"/>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w:t>
            </w:r>
          </w:p>
        </w:tc>
        <w:tc>
          <w:tcPr>
            <w:tcW w:w="0" w:type="dxa"/>
            <w:vAlign w:val="bottom"/>
          </w:tcPr>
          <w:p>
            <w:pPr>
              <w:spacing w:after="0"/>
              <w:rPr>
                <w:sz w:val="1"/>
                <w:szCs w:val="1"/>
                <w:color w:val="auto"/>
              </w:rPr>
            </w:pPr>
          </w:p>
        </w:tc>
      </w:tr>
      <w:tr>
        <w:trPr>
          <w:trHeight w:val="182"/>
        </w:trPr>
        <w:tc>
          <w:tcPr>
            <w:tcW w:w="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PART I</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 Business</w:t>
            </w:r>
          </w:p>
        </w:tc>
        <w:tc>
          <w:tcPr>
            <w:tcW w:w="3420" w:type="dxa"/>
            <w:vAlign w:val="bottom"/>
            <w:gridSpan w:val="15"/>
          </w:tcPr>
          <w:p>
            <w:pPr>
              <w:spacing w:after="0"/>
              <w:rPr>
                <w:sz w:val="15"/>
                <w:szCs w:val="15"/>
                <w:color w:val="auto"/>
              </w:rPr>
            </w:pPr>
          </w:p>
        </w:tc>
        <w:tc>
          <w:tcPr>
            <w:tcW w:w="420" w:type="dxa"/>
            <w:vAlign w:val="bottom"/>
            <w:tcBorders>
              <w:top w:val="single" w:sz="8" w:color="0000FF"/>
            </w:tcBorders>
            <w:gridSpan w:val="4"/>
          </w:tcPr>
          <w:p>
            <w:pPr>
              <w:spacing w:after="0"/>
              <w:rPr>
                <w:sz w:val="15"/>
                <w:szCs w:val="15"/>
                <w:color w:val="auto"/>
              </w:rPr>
            </w:pPr>
          </w:p>
        </w:tc>
        <w:tc>
          <w:tcPr>
            <w:tcW w:w="3260" w:type="dxa"/>
            <w:vAlign w:val="bottom"/>
            <w:gridSpan w:val="8"/>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6280" w:type="dxa"/>
            <w:vAlign w:val="bottom"/>
            <w:gridSpan w:val="24"/>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12</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7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33</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800" w:type="dxa"/>
            <w:vAlign w:val="bottom"/>
            <w:tcBorders>
              <w:top w:val="single" w:sz="8" w:color="0000FF"/>
            </w:tcBorders>
            <w:gridSpan w:val="4"/>
          </w:tcPr>
          <w:p>
            <w:pPr>
              <w:spacing w:after="0"/>
              <w:rPr>
                <w:sz w:val="15"/>
                <w:szCs w:val="15"/>
                <w:color w:val="auto"/>
              </w:rPr>
            </w:pPr>
          </w:p>
        </w:tc>
        <w:tc>
          <w:tcPr>
            <w:tcW w:w="5400" w:type="dxa"/>
            <w:vAlign w:val="bottom"/>
            <w:gridSpan w:val="18"/>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33</w:t>
            </w:r>
          </w:p>
        </w:tc>
        <w:tc>
          <w:tcPr>
            <w:tcW w:w="0" w:type="dxa"/>
            <w:vAlign w:val="bottom"/>
          </w:tcPr>
          <w:p>
            <w:pPr>
              <w:spacing w:after="0"/>
              <w:rPr>
                <w:sz w:val="1"/>
                <w:szCs w:val="1"/>
                <w:color w:val="auto"/>
              </w:rPr>
            </w:pPr>
          </w:p>
        </w:tc>
      </w:tr>
      <w:tr>
        <w:trPr>
          <w:trHeight w:val="182"/>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Item 2. Properties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36</w:t>
            </w:r>
          </w:p>
        </w:tc>
        <w:tc>
          <w:tcPr>
            <w:tcW w:w="0" w:type="dxa"/>
            <w:vAlign w:val="bottom"/>
          </w:tcPr>
          <w:p>
            <w:pPr>
              <w:spacing w:after="0"/>
              <w:rPr>
                <w:sz w:val="1"/>
                <w:szCs w:val="1"/>
                <w:color w:val="auto"/>
              </w:rPr>
            </w:pPr>
          </w:p>
        </w:tc>
      </w:tr>
      <w:tr>
        <w:trPr>
          <w:trHeight w:val="192"/>
        </w:trPr>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4"/>
              </w:rPr>
              <w:t>PART II</w:t>
            </w:r>
          </w:p>
        </w:tc>
        <w:tc>
          <w:tcPr>
            <w:tcW w:w="2860" w:type="dxa"/>
            <w:vAlign w:val="bottom"/>
            <w:gridSpan w:val="5"/>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3051F2"/>
              </w:rPr>
              <w:t>Item 5. Market for Registrant's Common Equity, Related Stockholder Matters and Issuer Purchases of Equity Securities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36</w:t>
            </w:r>
          </w:p>
        </w:tc>
        <w:tc>
          <w:tcPr>
            <w:tcW w:w="0" w:type="dxa"/>
            <w:vAlign w:val="bottom"/>
          </w:tcPr>
          <w:p>
            <w:pPr>
              <w:spacing w:after="0"/>
              <w:rPr>
                <w:sz w:val="1"/>
                <w:szCs w:val="1"/>
                <w:color w:val="auto"/>
              </w:rPr>
            </w:pPr>
          </w:p>
        </w:tc>
      </w:tr>
      <w:tr>
        <w:trPr>
          <w:trHeight w:val="192"/>
        </w:trPr>
        <w:tc>
          <w:tcPr>
            <w:tcW w:w="6760" w:type="dxa"/>
            <w:vAlign w:val="bottom"/>
            <w:tcBorders>
              <w:top w:val="single" w:sz="8" w:color="3051F2"/>
            </w:tcBorders>
            <w:gridSpan w:val="29"/>
          </w:tcPr>
          <w:p>
            <w:pPr>
              <w:spacing w:after="0"/>
              <w:rPr>
                <w:sz w:val="20"/>
                <w:szCs w:val="20"/>
                <w:color w:val="auto"/>
              </w:rPr>
            </w:pPr>
            <w:r>
              <w:rPr>
                <w:rFonts w:ascii="Times New Roman" w:cs="Times New Roman" w:eastAsia="Times New Roman" w:hAnsi="Times New Roman"/>
                <w:sz w:val="14"/>
                <w:szCs w:val="14"/>
                <w:color w:val="3051F2"/>
              </w:rPr>
              <w:t>Item 6. Reserved</w:t>
            </w:r>
          </w:p>
        </w:tc>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37</w:t>
            </w:r>
          </w:p>
        </w:tc>
        <w:tc>
          <w:tcPr>
            <w:tcW w:w="0" w:type="dxa"/>
            <w:vAlign w:val="bottom"/>
          </w:tcPr>
          <w:p>
            <w:pPr>
              <w:spacing w:after="0"/>
              <w:rPr>
                <w:sz w:val="1"/>
                <w:szCs w:val="1"/>
                <w:color w:val="auto"/>
              </w:rPr>
            </w:pPr>
          </w:p>
        </w:tc>
      </w:tr>
      <w:tr>
        <w:trPr>
          <w:trHeight w:val="20"/>
        </w:trPr>
        <w:tc>
          <w:tcPr>
            <w:tcW w:w="5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60" w:type="dxa"/>
            <w:vAlign w:val="bottom"/>
            <w:gridSpan w:val="2"/>
            <w:shd w:val="clear" w:color="auto" w:fill="3051F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tcBorders>
              <w:bottom w:val="single" w:sz="8" w:color="3051F2"/>
            </w:tcBorders>
            <w:gridSpan w:val="26"/>
          </w:tcPr>
          <w:p>
            <w:pPr>
              <w:spacing w:after="0"/>
              <w:rPr>
                <w:sz w:val="20"/>
                <w:szCs w:val="20"/>
                <w:color w:val="auto"/>
              </w:rPr>
            </w:pPr>
            <w:r>
              <w:rPr>
                <w:rFonts w:ascii="Times New Roman" w:cs="Times New Roman" w:eastAsia="Times New Roman" w:hAnsi="Times New Roman"/>
                <w:sz w:val="14"/>
                <w:szCs w:val="14"/>
                <w:color w:val="3051F2"/>
              </w:rPr>
              <w:t>Item 7. Management's Discussion and Analysis of Financial Condition and Results of Operations</w:t>
            </w:r>
          </w:p>
        </w:tc>
        <w:tc>
          <w:tcPr>
            <w:tcW w:w="2500" w:type="dxa"/>
            <w:vAlign w:val="bottom"/>
            <w:gridSpan w:val="4"/>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38</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4000" w:type="dxa"/>
            <w:vAlign w:val="bottom"/>
            <w:tcBorders>
              <w:bottom w:val="single" w:sz="8" w:color="3051F2"/>
            </w:tcBorders>
            <w:gridSpan w:val="19"/>
          </w:tcPr>
          <w:p>
            <w:pPr>
              <w:spacing w:after="0"/>
              <w:rPr>
                <w:sz w:val="20"/>
                <w:szCs w:val="20"/>
                <w:color w:val="auto"/>
              </w:rPr>
            </w:pPr>
            <w:r>
              <w:rPr>
                <w:rFonts w:ascii="Times New Roman" w:cs="Times New Roman" w:eastAsia="Times New Roman" w:hAnsi="Times New Roman"/>
                <w:sz w:val="14"/>
                <w:szCs w:val="14"/>
                <w:color w:val="3051F2"/>
              </w:rPr>
              <w:t>Item 7A. Quantitative and Qualitative Disclosures About Market Risk</w:t>
            </w:r>
          </w:p>
        </w:tc>
        <w:tc>
          <w:tcPr>
            <w:tcW w:w="3540" w:type="dxa"/>
            <w:vAlign w:val="bottom"/>
            <w:gridSpan w:val="10"/>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54</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4"/>
                <w:szCs w:val="14"/>
                <w:color w:val="3051F2"/>
              </w:rPr>
              <w:t>Item 8. Financial Statements and Supplementary Data</w:t>
            </w:r>
          </w:p>
        </w:tc>
        <w:tc>
          <w:tcPr>
            <w:tcW w:w="4980" w:type="dxa"/>
            <w:vAlign w:val="bottom"/>
            <w:gridSpan w:val="15"/>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55</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2460" w:type="dxa"/>
            <w:vAlign w:val="bottom"/>
            <w:gridSpan w:val="3"/>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91</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1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5560" w:type="dxa"/>
            <w:vAlign w:val="bottom"/>
            <w:gridSpan w:val="19"/>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91</w:t>
            </w: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5960" w:type="dxa"/>
            <w:vAlign w:val="bottom"/>
            <w:gridSpan w:val="20"/>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92</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1560" w:type="dxa"/>
            <w:vAlign w:val="bottom"/>
          </w:tcPr>
          <w:p>
            <w:pPr>
              <w:spacing w:after="0"/>
              <w:rPr>
                <w:sz w:val="14"/>
                <w:szCs w:val="14"/>
                <w:color w:val="auto"/>
              </w:rPr>
            </w:pPr>
          </w:p>
        </w:tc>
        <w:tc>
          <w:tcPr>
            <w:tcW w:w="140" w:type="dxa"/>
            <w:vAlign w:val="bottom"/>
            <w:tcBorders>
              <w:bottom w:val="single" w:sz="8" w:color="0000EE"/>
            </w:tcBorders>
          </w:tcPr>
          <w:p>
            <w:pPr>
              <w:jc w:val="right"/>
              <w:spacing w:after="0" w:line="151" w:lineRule="exact"/>
              <w:rPr>
                <w:sz w:val="20"/>
                <w:szCs w:val="20"/>
                <w:color w:val="auto"/>
              </w:rPr>
            </w:pPr>
            <w:r>
              <w:rPr>
                <w:rFonts w:ascii="Times New Roman" w:cs="Times New Roman" w:eastAsia="Times New Roman" w:hAnsi="Times New Roman"/>
                <w:sz w:val="14"/>
                <w:szCs w:val="14"/>
                <w:color w:val="0000EE"/>
                <w:w w:val="85"/>
              </w:rPr>
              <w:t>92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EE"/>
              </w:rPr>
              <w:t>92</w:t>
            </w:r>
          </w:p>
        </w:tc>
        <w:tc>
          <w:tcPr>
            <w:tcW w:w="0" w:type="dxa"/>
            <w:vAlign w:val="bottom"/>
          </w:tcPr>
          <w:p>
            <w:pPr>
              <w:spacing w:after="0" w:line="20" w:lineRule="exact"/>
              <w:rPr>
                <w:sz w:val="1"/>
                <w:szCs w:val="1"/>
                <w:color w:val="auto"/>
              </w:rPr>
            </w:pPr>
          </w:p>
        </w:tc>
      </w:tr>
      <w:tr>
        <w:trPr>
          <w:trHeight w:val="163"/>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PART III</w:t>
            </w: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620" w:type="dxa"/>
            <w:vAlign w:val="bottom"/>
            <w:gridSpan w:val="2"/>
          </w:tcPr>
          <w:p>
            <w:pPr>
              <w:spacing w:after="0"/>
              <w:rPr>
                <w:sz w:val="16"/>
                <w:szCs w:val="16"/>
                <w:color w:val="auto"/>
              </w:rPr>
            </w:pPr>
          </w:p>
        </w:tc>
        <w:tc>
          <w:tcPr>
            <w:tcW w:w="520" w:type="dxa"/>
            <w:vAlign w:val="bottom"/>
            <w:tcBorders>
              <w:top w:val="single" w:sz="8" w:color="0000FF"/>
            </w:tcBorders>
            <w:gridSpan w:val="5"/>
          </w:tcPr>
          <w:p>
            <w:pPr>
              <w:spacing w:after="0"/>
              <w:rPr>
                <w:sz w:val="16"/>
                <w:szCs w:val="16"/>
                <w:color w:val="auto"/>
              </w:rPr>
            </w:pPr>
          </w:p>
        </w:tc>
        <w:tc>
          <w:tcPr>
            <w:tcW w:w="3140" w:type="dxa"/>
            <w:vAlign w:val="bottom"/>
            <w:gridSpan w:val="6"/>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92</w:t>
            </w:r>
          </w:p>
        </w:tc>
        <w:tc>
          <w:tcPr>
            <w:tcW w:w="0" w:type="dxa"/>
            <w:vAlign w:val="bottom"/>
          </w:tcPr>
          <w:p>
            <w:pPr>
              <w:spacing w:after="0"/>
              <w:rPr>
                <w:sz w:val="1"/>
                <w:szCs w:val="1"/>
                <w:color w:val="auto"/>
              </w:rPr>
            </w:pPr>
          </w:p>
        </w:tc>
      </w:tr>
      <w:tr>
        <w:trPr>
          <w:trHeight w:val="212"/>
        </w:trPr>
        <w:tc>
          <w:tcPr>
            <w:tcW w:w="1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11. Executive Compensation</w:t>
            </w:r>
          </w:p>
        </w:tc>
        <w:tc>
          <w:tcPr>
            <w:tcW w:w="6080" w:type="dxa"/>
            <w:vAlign w:val="bottom"/>
            <w:gridSpan w:val="21"/>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93</w:t>
            </w:r>
          </w:p>
        </w:tc>
        <w:tc>
          <w:tcPr>
            <w:tcW w:w="0" w:type="dxa"/>
            <w:vAlign w:val="bottom"/>
          </w:tcPr>
          <w:p>
            <w:pPr>
              <w:spacing w:after="0"/>
              <w:rPr>
                <w:sz w:val="1"/>
                <w:szCs w:val="1"/>
                <w:color w:val="auto"/>
              </w:rPr>
            </w:pPr>
          </w:p>
        </w:tc>
      </w:tr>
      <w:tr>
        <w:trPr>
          <w:trHeight w:val="163"/>
        </w:trPr>
        <w:tc>
          <w:tcPr>
            <w:tcW w:w="62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1760" w:type="dxa"/>
            <w:vAlign w:val="bottom"/>
            <w:gridSpan w:val="2"/>
          </w:tcPr>
          <w:p>
            <w:pPr>
              <w:spacing w:after="0"/>
              <w:rPr>
                <w:sz w:val="14"/>
                <w:szCs w:val="14"/>
                <w:color w:val="auto"/>
              </w:rPr>
            </w:pPr>
          </w:p>
        </w:tc>
        <w:tc>
          <w:tcPr>
            <w:tcW w:w="17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0000EE"/>
              </w:rPr>
              <w:t>93</w:t>
            </w:r>
          </w:p>
        </w:tc>
        <w:tc>
          <w:tcPr>
            <w:tcW w:w="0" w:type="dxa"/>
            <w:vAlign w:val="bottom"/>
          </w:tcPr>
          <w:p>
            <w:pPr>
              <w:spacing w:after="0"/>
              <w:rPr>
                <w:sz w:val="1"/>
                <w:szCs w:val="1"/>
                <w:color w:val="auto"/>
              </w:rPr>
            </w:pPr>
          </w:p>
        </w:tc>
      </w:tr>
      <w:tr>
        <w:trPr>
          <w:trHeight w:val="191"/>
        </w:trPr>
        <w:tc>
          <w:tcPr>
            <w:tcW w:w="80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93</w:t>
            </w:r>
          </w:p>
        </w:tc>
        <w:tc>
          <w:tcPr>
            <w:tcW w:w="0" w:type="dxa"/>
            <w:vAlign w:val="bottom"/>
          </w:tcPr>
          <w:p>
            <w:pPr>
              <w:spacing w:after="0"/>
              <w:rPr>
                <w:sz w:val="1"/>
                <w:szCs w:val="1"/>
                <w:color w:val="auto"/>
              </w:rPr>
            </w:pPr>
          </w:p>
        </w:tc>
      </w:tr>
      <w:tr>
        <w:trPr>
          <w:trHeight w:val="183"/>
        </w:trPr>
        <w:tc>
          <w:tcPr>
            <w:tcW w:w="47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3260" w:type="dxa"/>
            <w:vAlign w:val="bottom"/>
            <w:gridSpan w:val="8"/>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93</w:t>
            </w:r>
          </w:p>
        </w:tc>
        <w:tc>
          <w:tcPr>
            <w:tcW w:w="0" w:type="dxa"/>
            <w:vAlign w:val="bottom"/>
          </w:tcPr>
          <w:p>
            <w:pPr>
              <w:spacing w:after="0"/>
              <w:rPr>
                <w:sz w:val="1"/>
                <w:szCs w:val="1"/>
                <w:color w:val="auto"/>
              </w:rPr>
            </w:pPr>
          </w:p>
        </w:tc>
      </w:tr>
      <w:tr>
        <w:trPr>
          <w:trHeight w:val="191"/>
        </w:trPr>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PART IV</w:t>
            </w:r>
          </w:p>
        </w:tc>
        <w:tc>
          <w:tcPr>
            <w:tcW w:w="15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1360" w:type="dxa"/>
            <w:vAlign w:val="bottom"/>
            <w:gridSpan w:val="5"/>
          </w:tcPr>
          <w:p>
            <w:pPr>
              <w:spacing w:after="0"/>
              <w:rPr>
                <w:sz w:val="14"/>
                <w:szCs w:val="14"/>
                <w:color w:val="auto"/>
              </w:rPr>
            </w:pPr>
          </w:p>
        </w:tc>
        <w:tc>
          <w:tcPr>
            <w:tcW w:w="520" w:type="dxa"/>
            <w:vAlign w:val="bottom"/>
            <w:tcBorders>
              <w:top w:val="single" w:sz="8" w:color="0000FF"/>
            </w:tcBorders>
            <w:gridSpan w:val="5"/>
          </w:tcPr>
          <w:p>
            <w:pPr>
              <w:spacing w:after="0"/>
              <w:rPr>
                <w:sz w:val="14"/>
                <w:szCs w:val="14"/>
                <w:color w:val="auto"/>
              </w:rPr>
            </w:pPr>
          </w:p>
        </w:tc>
        <w:tc>
          <w:tcPr>
            <w:tcW w:w="3140" w:type="dxa"/>
            <w:vAlign w:val="bottom"/>
            <w:gridSpan w:val="6"/>
          </w:tcPr>
          <w:p>
            <w:pPr>
              <w:spacing w:after="0"/>
              <w:rPr>
                <w:sz w:val="14"/>
                <w:szCs w:val="14"/>
                <w:color w:val="auto"/>
              </w:rPr>
            </w:pPr>
          </w:p>
        </w:tc>
        <w:tc>
          <w:tcPr>
            <w:tcW w:w="17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0000EE"/>
              </w:rPr>
              <w:t>93</w:t>
            </w:r>
          </w:p>
        </w:tc>
        <w:tc>
          <w:tcPr>
            <w:tcW w:w="0" w:type="dxa"/>
            <w:vAlign w:val="bottom"/>
          </w:tcPr>
          <w:p>
            <w:pPr>
              <w:spacing w:after="0"/>
              <w:rPr>
                <w:sz w:val="1"/>
                <w:szCs w:val="1"/>
                <w:color w:val="auto"/>
              </w:rPr>
            </w:pPr>
          </w:p>
        </w:tc>
      </w:tr>
      <w:tr>
        <w:trPr>
          <w:trHeight w:val="191"/>
        </w:trPr>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6280" w:type="dxa"/>
            <w:vAlign w:val="bottom"/>
            <w:gridSpan w:val="24"/>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95</w:t>
            </w:r>
          </w:p>
        </w:tc>
        <w:tc>
          <w:tcPr>
            <w:tcW w:w="0" w:type="dxa"/>
            <w:vAlign w:val="bottom"/>
          </w:tcPr>
          <w:p>
            <w:pPr>
              <w:spacing w:after="0"/>
              <w:rPr>
                <w:sz w:val="1"/>
                <w:szCs w:val="1"/>
                <w:color w:val="auto"/>
              </w:rPr>
            </w:pPr>
          </w:p>
        </w:tc>
      </w:tr>
      <w:tr>
        <w:trPr>
          <w:trHeight w:val="192"/>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440" w:type="dxa"/>
            <w:vAlign w:val="bottom"/>
            <w:gridSpan w:val="28"/>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39"/>
          </w:cols>
          <w:pgMar w:left="320" w:top="89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Annual Report on Form 10-K (the “Annual Report on Form 10-K”)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can be identified by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the outlook for our future business and financial performance and statements discussing our current expectations and projections relating to our financial position, results of operations, plans, objectives, future performance and business, such as those contained in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w:t>
      </w:r>
    </w:p>
    <w:p>
      <w:pPr>
        <w:spacing w:after="0" w:line="16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vulnerability to changes in consumer preferences and economic conditions such as inflation and recession;</w:t>
      </w:r>
    </w:p>
    <w:p>
      <w:pPr>
        <w:spacing w:after="0" w:line="14"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open new restaurants or establish new markets;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manage our growth;</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negative impacts on sales at our and our franchisees’ restaurants as a result of our opening new restaurants in existing markets;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visitors to any of the retail centers, lifestyle centers, or entertainment centers where our restaurants are located;</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expected same-restaurant sales growth;</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unsuccessful marketing programs and limited time new offerings;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of food;</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unprofitability or closure of new restaurants or lower than previously experienced performance in existing restaurants;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compete effectively for customers;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vulnerability to food safety and food-borne illness concerns;</w:t>
      </w:r>
    </w:p>
    <w:p>
      <w:pPr>
        <w:ind w:left="520" w:hanging="260"/>
        <w:spacing w:after="0" w:line="23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unsuccessful financial performance of our franchisees, our limited control over our franchisees’ operations, our inability to maintain good relationships with our franchisees and conflicts of interest with our franchisees;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geographic concentration of our system-wide restaurant base in the southeast portion of the United States;</w:t>
      </w:r>
    </w:p>
    <w:p>
      <w:pPr>
        <w:ind w:left="520" w:hanging="260"/>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and negative publicity;</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or failure to recognize, respond to and effectively manage the accelerated impact of social media and artificial intelligence;</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number of suppliers and distributors for several of our frequently used ingredients and shortages or disruptions in the supply or delivery of such ingredients;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system failures or breaches of our network security;</w:t>
      </w:r>
    </w:p>
    <w:p>
      <w:pPr>
        <w:ind w:left="520" w:hanging="260"/>
        <w:spacing w:after="0" w:line="23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liability with our gift cards under the property laws of some states;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enforce and maintain our trademarks and protect our other intellectual property;</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with respect to intellectual property assets;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our executive officers and certain other key employees;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identify, hire, train and retain qualified individuals for our workforce;</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or to properly verify the employment eligibility of our employees;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maintain our corporate culture as we grow;</w:t>
      </w:r>
    </w:p>
    <w:p>
      <w:pPr>
        <w:ind w:left="520" w:hanging="260"/>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unionization activities among our employees;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and labor law proceedings;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shortages or increased labor costs or health care costs;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leasing property subject to long-term and non-cancelable leases;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sale of alcoholic beverages;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costly and complex compliance with federal, state and local laws, including trade and tax policies;</w:t>
      </w:r>
    </w:p>
    <w:p>
      <w:pPr>
        <w:ind w:left="520" w:hanging="260"/>
        <w:spacing w:after="0" w:line="237"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applicable to us;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vulnerability to natural disasters, unusual weather conditions, pandemic outbreaks, political events, war and terrorism;</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3" w:name="page4"/>
    <w:bookmarkEnd w:id="3"/>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secure additional capital to support business growth; our level of indebtedness;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covenants under our credit facility; and</w:t>
      </w:r>
    </w:p>
    <w:p>
      <w:pPr>
        <w:ind w:left="520" w:hanging="260"/>
        <w:spacing w:after="0" w:line="24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the Russia and Ukraine war, war and unrest in the Middle East and the related impact on macroeconomic conditions, including inflation, as a result of such conflicts or other related events.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and in our other filings with the Securities and Exchange Commission (the “SEC”). Any forward-looking statement made by us in this Annual Report on Form 10-K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First Watch Restaurant Group, Inc. is a Delaware holding company. Unless the context otherwise requires, “we,” “us,” “our,” “First Watch,” the “Company,” “Management” and other similar references refer to First Watch Restaurant Group, Inc. and, unless otherwise stated, all of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Since opening our doors in 1983, we have been a pioneer in Daytime Dining, serving made-to-order breakfast, brunch and lunch using the freshest of ingredients. We have built our brand on our commitment to operational excellence, our culinary mission centered around a fresh, continuously evolving menu, and our “You First” culture. Our focus on one daytime shift enables us to optimize restaurant operations while generating an average unit volume of $2.3 million per restaurant in 2025 in only 7.5 hours per day. This daytime focus also provides us with a competitive advantage, allowing us to attract and retain employees who are passionate about hospitality and drawn to our “No Night Shifts Ever” approach, among other attractive benefits.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2025, we had a total of 633 restaurants across 32 states, 560 of which were company-owned and 73 of which were franchise-owned.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“Follow the Sun”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Every morning, thousands of our employees arrive at the crack of dawn to slice and juice fresh fruits and vegetables, bake muffins, brew our fresh coffee and whip up our French Toast batter from scratch. Every menu item is made-to-order and prepared with care. We do not use microwave ovens, heat lamps or deep fryers in our kitchens. At First Watch, we are driven by a pursuit of freshness as is highlighted by our culinary and sourcing philosophy to “Follow the Sun.” With this philosophy, our menu, which is inspired by the seasons, changes four to five times per year. Our rotating seasonal menu is commonly cited by our customers as a core element of the First Watch experience and has included favorites such as the Parmesan and Prosciutto Toast, Chimichurri Steak and Eggs Hash, and the Brooklyn Breakfast Sandwich.</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seasonal items are offered alongside our award-winning chef-driven menu that includes elevated executions of classic favorites for breakfast, brunch and lunch, such as our protein-packed Breakfast Quinoa Bowl, Chickichanga and Avocado Toast. Our menu also features fresh juices, that we juice each morning, including Morning Meditation and Kale Tonic.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Culture: You First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For over four decades, we have cultivated an organizational culture built on our foundational concept of “You First,” which puts serving others above all else. As a company, we put our employees first and empower them to do whatever it takes to put our customers first. As evidenced by our vision to “Create Amazing Opportunities for Our People,” we also work hard to provide our employees with opportunities for advancement and meaningful relationships, and we prioritize personal and professional growth so that our people can thrive. We believe our approach and operating model have enabled us to retain and attract the best and brightest employees in the industry and are key factors in our ability to meet our growing demand across the country. As a result, we are proud of the many people-focused awards and accolades we have received over the past few decades. For four consecutive years, First Watch has been named a Top 100 Most Loved Workplace® by the Best Practice Institute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and in 2025, was named the #1 Most Loved Workplace for the second year in a row, as featured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Also, in 2025, First Watch was named one of Yelp’s Most Loved Brands nationwide.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also extend our You First culture by giving back to important organizations and causes that are meaningful to our people and our communities. In addition to various local philanthropic efforts in the communities we serve, First Watch focuses its giving through key efforts designed to create positive impact both externally and within our organization:</w:t>
      </w:r>
    </w:p>
    <w:p>
      <w:pPr>
        <w:spacing w:after="0" w:line="143" w:lineRule="exact"/>
        <w:rPr>
          <w:sz w:val="20"/>
          <w:szCs w:val="20"/>
          <w:color w:val="auto"/>
        </w:rPr>
      </w:pPr>
    </w:p>
    <w:p>
      <w:pPr>
        <w:ind w:left="5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Project Sunrise: </w:t>
      </w:r>
      <w:r>
        <w:rPr>
          <w:rFonts w:ascii="Times New Roman" w:cs="Times New Roman" w:eastAsia="Times New Roman" w:hAnsi="Times New Roman"/>
          <w:sz w:val="14"/>
          <w:szCs w:val="14"/>
          <w:color w:val="auto"/>
        </w:rPr>
        <w:t>Through this initiative, we source our coffee beans from women-owned farms in Colombia, and we pay an annual quality incentive bonus to farmers to further support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high-quality production. This program in turn empowers these women leaders to reinvest in their communities.</w:t>
      </w:r>
    </w:p>
    <w:p>
      <w:pPr>
        <w:spacing w:after="0" w:line="141"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Pediatric Cancer Research: </w:t>
      </w:r>
      <w:r>
        <w:rPr>
          <w:rFonts w:ascii="Times New Roman" w:cs="Times New Roman" w:eastAsia="Times New Roman" w:hAnsi="Times New Roman"/>
          <w:sz w:val="14"/>
          <w:szCs w:val="14"/>
          <w:color w:val="auto"/>
        </w:rPr>
        <w:t>We donate a portion of the proceeds from each sale of a First Watch kid’s meal to the V Foundation in order to support and advance pediatric cancer research.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December 28, 2025, we have donated approximately $2.0 million toward this important effort.</w:t>
      </w:r>
    </w:p>
    <w:p>
      <w:pPr>
        <w:spacing w:after="0" w:line="14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The You First Fund: </w:t>
      </w:r>
      <w:r>
        <w:rPr>
          <w:rFonts w:ascii="Times New Roman" w:cs="Times New Roman" w:eastAsia="Times New Roman" w:hAnsi="Times New Roman"/>
          <w:sz w:val="14"/>
          <w:szCs w:val="14"/>
          <w:color w:val="auto"/>
        </w:rPr>
        <w:t>Established in 2020, the You First Fund provides grants to eligible team members experiencing personal hardship related to qualifying disasters. The fund is intended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support employees and their immediate families during their times of most significant need and is funded through a portion of the proceeds from each kid’s meal sale, along with contributions from the Company, our employees and others. Since its inception, this fund has provided our employees with over $1.1 million in hardship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Strategies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Restaurant Openings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First Watch has the potential for more than 2,200 restaurants in the continental United States. In 2021, First Watch was recognized by FSR Magazine as the fastest-growing full-service restaurant company in the United States based on unit growth. In 2025, we continued to realize that potential by opening 64 new company-owned and franchise-owned restaurants, which we collectively refer to as “system-wide” restaurants, across 23 states. Our growth strategy contemplates increasing the annual number of new system-wide restaurant openings.</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selecting new locations, we evaluate specific market characteristics, demographics, traffic patterns, co-tenants and growth potential. Our development approach has proven that First Watch has tremendous portability across markets, with new restaurants boasting a consistent and strong average unit volume across all geographies. First Watch’s top 10% of restaurants in terms of sales, span</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13 states and 24 designated market areas. The average annual sales volumes of our new restaurants outpace the system average, and we expect to sustain the performance through quality real estate selection and the introduction of features and operational practices designed to efficiently serve more demand.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of Franchise-Owned Restaurants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long-term growth strategy includes the acquisition of First Watch restaurants operated by certain of our franchisees. To that end, during 2025, we acquired 19 operating restaurants along with development and territory rights in two separate transactions. We believe the Company’s operation of the restaurants acquired from our franchisees as well as development in the reacquired territory, provides substantial opportunity to realize new Company value. At December 28, 2025, we had 9 franchisees operating 73 restaurants with 17 total new restaurant development obligations. At December 28, 2025, 12 franchise-owned restaurants are subject to our option to purchase.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Drive Restaurant Traffic and Build Sales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return on invested capital reflects our disciplined focus on building sales and traffic through the core elements of the First Watch experience - serving high-quality food, delivering memorable service, and providing an inviting atmosphere.</w:t>
      </w:r>
    </w:p>
    <w:p>
      <w:pPr>
        <w:spacing w:after="0" w:line="154" w:lineRule="exact"/>
        <w:rPr>
          <w:sz w:val="20"/>
          <w:szCs w:val="20"/>
          <w:color w:val="auto"/>
        </w:rPr>
      </w:pPr>
    </w:p>
    <w:p>
      <w:pPr>
        <w:jc w:val="both"/>
        <w:ind w:left="640" w:hanging="253"/>
        <w:spacing w:after="0" w:line="271" w:lineRule="auto"/>
        <w:tabs>
          <w:tab w:leader="none" w:pos="636"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Delivering an Excellent On-Premise Dining Experience. </w:t>
      </w:r>
      <w:r>
        <w:rPr>
          <w:rFonts w:ascii="Times New Roman" w:cs="Times New Roman" w:eastAsia="Times New Roman" w:hAnsi="Times New Roman"/>
          <w:sz w:val="14"/>
          <w:szCs w:val="14"/>
          <w:color w:val="auto"/>
        </w:rPr>
        <w:t>Excellence in restaurant-level execution, recognized by customers and reinforced by the many accolades we have received,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increases the visit frequency of our customers, promotes trial by new consumers and ultimately encourages loyalty. Our single menu, throughout the day, streamlines our supply chain and restaurant operations, simplifies our employee training and provides for a consistent and superior customer dining experience.</w:t>
      </w:r>
    </w:p>
    <w:p>
      <w:pPr>
        <w:spacing w:after="0" w:line="154" w:lineRule="exact"/>
        <w:rPr>
          <w:rFonts w:ascii="Times New Roman" w:cs="Times New Roman" w:eastAsia="Times New Roman" w:hAnsi="Times New Roman"/>
          <w:sz w:val="14"/>
          <w:szCs w:val="14"/>
          <w:b w:val="1"/>
          <w:bCs w:val="1"/>
          <w:i w:val="1"/>
          <w:iCs w:val="1"/>
          <w:color w:val="auto"/>
        </w:rPr>
      </w:pPr>
    </w:p>
    <w:p>
      <w:pPr>
        <w:ind w:left="640" w:hanging="253"/>
        <w:spacing w:after="0" w:line="290"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Technology and Increased Accessibility. </w:t>
      </w:r>
      <w:r>
        <w:rPr>
          <w:rFonts w:ascii="Times New Roman" w:cs="Times New Roman" w:eastAsia="Times New Roman" w:hAnsi="Times New Roman"/>
          <w:sz w:val="14"/>
          <w:szCs w:val="14"/>
          <w:color w:val="auto"/>
        </w:rPr>
        <w:t>We believe that technology can continue to elevate the First Watch experience for both our employees and customers. To date 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implemented technologies that have enhanced accessibility by adding the functionality for direct ordering of takeout as well as third-party delivery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integrations. In 2025 and 2024, our total off-premises sales accounted for 19.0% and 17.5%, respectively, of our total restaurant sales.</w:t>
      </w:r>
    </w:p>
    <w:p>
      <w:pPr>
        <w:spacing w:after="0" w:line="20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4"/>
          <w:szCs w:val="14"/>
          <w:color w:val="auto"/>
        </w:rPr>
        <w:t>In-restaurant dining sales continue to strengthen, indicating continued customer demand for experiences and connection. Along with many other operational initiatives, processes and procedures, we continue to see opportunity to use technology to elevate the customer experience and simplify tasks for our teams. In February 2024, we completed the roll-out of pay-at-the-table technology at all company-owned restaurants. Through a QR code on our receipts, customers can seamlessly pay using Apple Pay, Google Pay or a credit or debit card, reducing bottlenecks at host stands, particularly during peak weekend hours. In 2025 we relaunched our customer facing technology platforms including a new ordering system, a new waitlist experience as well as a redeveloped app that we believe provides enhanced tools and experiences to remove bottlenecks and deliver a better experience. Amongst a variety of other benefits, customers can choose to auto check-in from the waitlist as they approach the restaurant, utilize new nutrition and allergen filters, and store personalized offers in a dynamic mobile wallet. We view these innovations as critical to maintaining relevancy across generations and ensuring that First Watch evolves with societal trends.</w:t>
      </w:r>
    </w:p>
    <w:p>
      <w:pPr>
        <w:spacing w:after="0" w:line="166" w:lineRule="exact"/>
        <w:rPr>
          <w:sz w:val="20"/>
          <w:szCs w:val="20"/>
          <w:color w:val="auto"/>
        </w:rPr>
      </w:pPr>
    </w:p>
    <w:p>
      <w:pPr>
        <w:jc w:val="both"/>
        <w:ind w:left="640" w:hanging="253"/>
        <w:spacing w:after="0" w:line="260"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Continued Menu Innovation. </w:t>
      </w:r>
      <w:r>
        <w:rPr>
          <w:rFonts w:ascii="Times New Roman" w:cs="Times New Roman" w:eastAsia="Times New Roman" w:hAnsi="Times New Roman"/>
          <w:sz w:val="14"/>
          <w:szCs w:val="14"/>
          <w:color w:val="auto"/>
        </w:rPr>
        <w:t>We constantly evolve our on-trend menu which highlights quality and freshness and is operationally efficient. When it comes to sourcing our produce,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guided by a core philosophy: “Follow the Sun.” We believe our highly anticipated seasonal menus drive customer frequency, as we welcome each season with exceptional ingredients harvested when they are most flavorful and fresh. In addition, successful platform introductions such as our Fresh Juice program, our Shareables, our alcohol program and our premium iced coffees add incremental sales opportunities and capitalize on growing trends. Our longstanding practice of rotating our menu four to five times annually, serves as an ongoing source of innovation and learning as we continue to learn what items are embraced by our customers and teams, allowing us the ability to use past items to refresh and improve our core menu. We continue to seek ways to enhance our seasonal menu and in early 2026, we relaunched both a new seasonal and core menu rooted in feedback from both our employees and our customers.</w:t>
      </w:r>
    </w:p>
    <w:p>
      <w:pPr>
        <w:spacing w:after="0" w:line="163" w:lineRule="exact"/>
        <w:rPr>
          <w:rFonts w:ascii="Times New Roman" w:cs="Times New Roman" w:eastAsia="Times New Roman" w:hAnsi="Times New Roman"/>
          <w:sz w:val="14"/>
          <w:szCs w:val="14"/>
          <w:color w:val="auto"/>
        </w:rPr>
      </w:pPr>
    </w:p>
    <w:p>
      <w:pPr>
        <w:jc w:val="both"/>
        <w:ind w:left="640" w:hanging="253"/>
        <w:spacing w:after="0" w:line="259"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Increasing Our Brand Awareness. </w:t>
      </w:r>
      <w:r>
        <w:rPr>
          <w:rFonts w:ascii="Times New Roman" w:cs="Times New Roman" w:eastAsia="Times New Roman" w:hAnsi="Times New Roman"/>
          <w:sz w:val="14"/>
          <w:szCs w:val="14"/>
          <w:color w:val="auto"/>
        </w:rPr>
        <w:t>For over 40 years, our brand awareness has grown primarily through word-of-mouth as our service, menu and environment created loyal fans. While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believe that organic growth of brand awareness contributes to our local feel, we also recognize the potential of strategically marketing in appropriate channels to accelerate our brand awareness. We continue to build expertise in, and deploy tested strategies for, utilizing targeted digital channels to reach certain attractive customer segments and build top-of-mind awareness. These channels include paid social media, connected TV, paid search, programmatic digital and digital out-of-home to name a few. In 2025, we began to increase investment in these digital channels as we have tested and learned the appropriate spending levels and media mix to drive traffic and achieve a return on the investment. In addition, by using our first party data, we have been able to identify higher frequency customers and target similar customers with digital media vehicles. These demand generation strategies have aided in “balancing out” our customer base in recent years by growing penetration with Millennial and Gen Z segments.</w:t>
      </w:r>
    </w:p>
    <w:p>
      <w:pPr>
        <w:spacing w:after="0" w:line="163" w:lineRule="exact"/>
        <w:rPr>
          <w:rFonts w:ascii="Times New Roman" w:cs="Times New Roman" w:eastAsia="Times New Roman" w:hAnsi="Times New Roman"/>
          <w:sz w:val="14"/>
          <w:szCs w:val="14"/>
          <w:color w:val="auto"/>
        </w:rPr>
      </w:pPr>
    </w:p>
    <w:p>
      <w:pPr>
        <w:jc w:val="both"/>
        <w:ind w:left="640" w:hanging="253"/>
        <w:spacing w:after="0" w:line="260"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 Technology &amp; Customer Data: </w:t>
      </w:r>
      <w:r>
        <w:rPr>
          <w:rFonts w:ascii="Times New Roman" w:cs="Times New Roman" w:eastAsia="Times New Roman" w:hAnsi="Times New Roman"/>
          <w:sz w:val="14"/>
          <w:szCs w:val="14"/>
          <w:color w:val="auto"/>
        </w:rPr>
        <w:t>We accelerated the implementation of customer data acquisition systems in order to better inform us of the habits and behaviors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With the large increase in remote digital orders, we also sought to digitize in-restaurant orders for the purpose of creating an omnichannel view of the First Watch customer. By integrating remote waitlist, remote orders, tokenized credit card transactions and WiFi into one system, we now have the ability to better understand trial and frequency. Since we implemented these systems, we have gathered information for millions of customer profiles, approximately 7.6 million of whom have opted for direct communication from First Watch. The advances in these foundational systems have allowed us to learn more about our customers and the behaviors that ultimately drive lifetime customer value. We see this as a long-term opportunity to drive increased visit frequency as we have the ability to build new customer technology features that elevate the customer experience.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Restaurant Staff</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28, 2025, we had more than 17,500 restaurant employees. None of our employees are part of a collective bargaining agreement and based upon independent surveys and our internal evaluations, we believe our “You First” organizational culture continues to foster overall favorable relations with our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restaurant operates with a staff of approximately 30 team members led by general manager(s).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a restaurant’s 7:00 a.m. to 2:30 p.m. shift, our staff focus on gracious service, food preparation, order accuracy and “instagrammable” plating. General managers interview each applicant and identify motivated employees who are friendly, service oriented, eager to prepare high-quality food and a fit for our “You First” culture. We employ a narrow span of supervisory control, which we believe contributes to the consistency of our restaurants’ performance across our system.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Training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training programs share our legacy and culture of operating excellence. We have a training facility at our corporate headquarters named the F.A.R.M. (“First Watch Academy of Restaurant Management”), to which we invite managers-in-training for a week-long immersive brand experience where we teach everything from our history and cultural pillars to leadership and management tools. In addition, newly hired managers-in-training also complete a comprehensive 10-week C.A.F.E. (“Culture and Food Experience”) training program in the restaurants, alongside experienced managers. Training for all in-restaurant management positions, as well as multi-unit leadership, was also enhanced to clearly define and delineate roles in order to drive both results and engagement. New hourly employees participate in at least three days of initial onboarding training and shadowing. Our general managers and directors of operations conduct in-restaurant training for our staff who also train online through our Virtual Learning Academy. In 2025, we also introduced our new training platform, consisting of short employee tutorials in a fun, video-based format to enhance front-of-house and back-of-house knowledge on topics such as our menu, food preparation, teamwork, food safety, Company values and inventory, among other topics.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Purchasing and Distribution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Supply Chain department manages and negotiates directly with qualified, national suppliers and distributors with the dual goals of securing the supply of high quality, fresh products and controlling cost. Our selected vendors undergo assessments from our Quality Assurance department to ensure that products purchased conform to our specifications and quality standards. Additionally, our Quality Assurance department conducts on-site visits and requires third-party supplier audits or Global Food Safety Initiative certification for all food distributors and manufacturing facilities to help ensure good manufacturing practices, food safety, pest control, sanitation, training, regulatory compliance and food defense systems are in place. To help ensure freshness, most of our restaurants accept produce and broadline distribution deliveries at least three times per week.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Quality and Food Safety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First Watch emphasizes high food quality and a commitment to food safety in each restaurant through the careful training and supervision of personnel and by following rigorous quality and cleanliness standards. Food preparation and cleaning procedures are defined, monitored and maintained by our Quality Assurance department. We contract with third-party inspectors to regularly monitor restaurant performance through unannounced non-biased food safety assessments with program standards that meet or exceed those of local health departments. These inspections are intended to achieve active managerial control in our restaurants in an effort to reduce risk factors and maintain a strong food safety culture.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Restaurant management incentive plans provide strong motivation to meet and exceed standards. In addition, as part of our overall food quality assurance, we send product samples to accredited third-party laboratories to verify key quality attributes. We also maintain a formal process for reviewing vendors’ food safety practices to ensure they meet or exceed industry standards, as described above.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Information Systems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our restaurants use digital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Marketing and Advertising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use a variety of marketing channels, including affiliate partnerships, social media interactions, digital marketing, direct mailers, public relations initiatives and local community sponsorships, email communications, promotions and partnerships. We continue to focus on increasing our engagement with social media platforms in order to generate brand awareness and also to gather information we can then apply to future marketing efforts.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Franchise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28, 2025, we had 9 franchisees that operated 73 restaurants and our existing franchisees had 17 total new restaurant development obligations. Typically, our franchise agreements provide an initial term of 10 years with additional renewal terms that total 10 years subject to various conditions that include upgrades to the restaurant facility and brand image. All franchise agreements grant licenses to use our trademarks, trade secrets and proprietary methods, recipes and procedures. The initial franchise fee for each restaurant is $35,000 to $40,000. Franchisees are required to pay 4.0% of franchised restaurant sales in royalties and contribute 1.0% to 3.0% of franchised restaurant sales to a system fund, which is used for advertising, marketing and public relations programs and materials on a system-wide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First” Culture Elevates Employee and Customer Satisfaction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First Watch has a simple mission statement based on its “You First” culture—“Making days brighter at every opportunity.” We have been people-focused from our inception as we have always believed our employees are our greatest asset. We believe that putting our employees first, in turn, leads them to put customers first and we are confident that our people-centric culture plays a significant role in retaining our employees. This culture was also a key factor in the Company’s achievement of being named a Top 100 Most Loved Workplace® for four consecutive years by the Best Practice Institute, and in 2025, being named the #1 Most Love Workplace for the second year in a row, as featured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This designation was based on an assessment of First Watch’s people practices along with an independent survey of approximately 1,000 of our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Listening to Our Employees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in fostering an environment where all employees feel valued and heard, and we furnish employees with various communication channels to provide regular feedback, including surveys, meetings, and, most importantly, direct communication with Company leadership. In 2025, CEO and President, Chris Tomasso, Chief People Officer, Laura Sorensen and Chief Operations Officer, Dan Jones, hosted twenty-three separate 90-minute calls with hourly employees across the country for their fifth annual W.H.Y. Tour – their “We Hear You” listening tour. The purpose of these in-depth sessions is to learn more about the issues most meaningful to our hourly workforce. As a result of these tours, we have been able to take swift action on the issues that surfaced, resulting in positive changes for both employees and customers. New menu changes, employee benefits, training, operational practices, and system enhancements to improve service and operations, have been introduced as a direct result of feedback from each annual tour, reinforcing our culture of listening to our employees and taking action on the issues that matter the most to them.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Taking Care of Our Employees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First Watch, our people are our purpose, which is why we continue to invest in benefits and programs. We operate on a “No Nights Ever” model and work to get our restaurant employees “out the door by four”– which allows our teams to enjoy evenings with their family and friends, and an improved quality of life. This one-shift model provides our employees with a work-life balance that does not exist for many employees in the restaurant industry. In addition to this flexibility, we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support our employees with healthcare benefits, a 401(k) plan, tuition reimbursement, family leave and other assistance, including but not limited to:</w:t>
      </w:r>
    </w:p>
    <w:p>
      <w:pPr>
        <w:spacing w:after="0" w:line="200"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Discounted and Company-subsidized backup childcare and eldercare available for all employees, at all levels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First” Emergency Assistance Fund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telemedicine for all employees regardless of insurance plan enrollment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Complimentary access to the Calm App (for meditation, relaxation and sleep) for all employees and five of their loved ones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24/7 access to confidential counseling and concierge services through the Company’s Employee Assistance Program for all employees and their family members, as well as free personal and professional coaching</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No-cost high school diploma program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Discounts on thousands of items from sporting tickets and computers to cars and daycare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 insurance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Including Our Employees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First Watch, we are committed to making days brighter by creating a culture where our teams and our customers feel valued and celebrated for who they are and the differences they bring to the table. With our mission of “Making days brighter at every opportunity”, we endeavor to provide all employees with the opportunity to contribute at the highest level to ensure everyone can belong, thrive, and “Follow the Sun” to reach their fullest potential. We believe the composition of our teams reflects the diversity of our restaurant communities across the country, allowing us to better anticipate market trends and address the needs of our customers. And while our work is ongoing, we are dedicated to continuing to build upon our “You First” commitment and unlock possibilities for each team member and the communities we serve. We work with an outside consultant to complete an annual assessment of our culture and talent to better understand our current landscape, benchmark progress, and drive performance.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five consecutive years, we have leveraged our #beabetterhuman initiative to take our people-focused approach to a new level. The #beabetterhuman initiative is comprised of monthly interactive in-person and online training workshops fostering personal and professional development. The #beabetterhuman campaign was designed to educate and develop our workforce, raise awareness of key issues impacting our employees, and influence positive change. We continue to build upon the success of the program with expanded development offerings to both our Home Office employees and restaurant management teams. Our #beabetterhuman campaign also inspired the opportunity for Home Office employees to give back to the community through our executive-sponsored and employee-led Kale Krew, which coordinates multiple volunteer opportunities annually.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Developing Our Employees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Professional development and growth are a way of life at First Watch. A majority of our general managers at corporate-owned restaurants are promoted from within. The average tenures for our directors of operations, regional vice presidents and field operations vice presidents are approximately 8 years, 12 years and 13 years,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First Watch takes a holistic approach to career advancement and development, with a focus on building skills, leadership capabilities, and long-term growth opportunities across all levels of the organization. We are constantly iterating and promoting career advancement opportunities for our people. Specific programs include:</w:t>
      </w:r>
    </w:p>
    <w:p>
      <w:pPr>
        <w:spacing w:after="0" w:line="14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certified Black Hat and Black Apron program encourages leadership development for back-of-house and front-of-house employees through financial and growth incentives.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certified training general manager and restaurant program provides additional financial and growth opportunities for aspiring leaders, enabling us to promote more employees from within our restaurants and ensure we are delivering a best-in-class training experience to all new hires.</w:t>
      </w: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“Come Grow With Us” events provide hourly employees who are interested in leadership the chance to learn about growth and development and get on the fast track to management.</w:t>
      </w:r>
    </w:p>
    <w:p>
      <w:pPr>
        <w:spacing w:after="0" w:line="169"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in 2018, our First Watch Academy of Restaurant Management (F.A.R.M) immerses new restaurant managers in our You First culture and leverages Company subject matter experts to educate these leaders on a variety of essential topics, including leadership behaviors.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While we prioritize personal and professional growth because we believe it is simply the right thing to do and it is part of our culture, it also makes our aggressive growth plans possible. With over 100 new restaurants in our real estate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pipeline, we need a robust GM-ready talent bench. Our ongoing career growth opportunities, along with our culture and hours, are key components to our employee value proposition, which fuels our ability to both attract and retain great talent.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Retaining Our Employees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focus on employee engagement and support contributes to our award-winning culture and employee retention. Our turnover measures well below the industry average and has improved sequentially over the last two years for both managers and hourly team members, enabling us to better provide consistent and memorable dining experiences for our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Experienced, Passionate Leadership Team and Deep Bench of Talent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team is led by passionate executives who have an extensive mix of experience in our brand and with other leading national restaurant concepts and consumer-facing businesses. We have a deep bench of talent throughout the organization. Our executives and key employees average more than 15 years of industry experience and our directors of operations have an average tenure at First Watch of approximately 8 years. In addition, our restaurant staff includes hundreds of fully-trained, tested, high-performing managers throughout our system who are poised to step into the general manager role as we execute our growth strategy and open new restaurants.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extensive federal, state and local government laws and regulations, including those relating to, among others, public health and safety, zoning and fire codes, alcoholic beverage control and franchising.</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are also subject to the Fair Labor Standards Act, the Immigration Reform and Control Act of 1986, the Americans with Disabilities Act and various federal and state laws governing such matters as minimum wages, exempt versus non-exempt status, overtime, unemployment tax rates, workers’ compensation rates, citizenship requirements and other working conditions. New laws, regulations or interpretations could impact our business or our cost of compliance.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discussion of the various risks we face from regulation and compliance matters, see Item 1A.“</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registered “First Watch the Daytime Cafe,” “You First,” “Yeah, It’s Fresh!” and certain other names used by our restaurants as trademarks or service marks with the United States Patent and Trademark Office (“USPTO”). In addition, the First Watch logo, website name and address and social media accounts are our intellectual property. Our policy is to pursue and maintain registration of our service marks and trademarks and to oppose vigorously any infringement or dilution of our service marks or trademarks. We maintain certain recipes for our menu items, as well as certain standards, specifications and operating procedures, as trade secrets or confidential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restaurant industry is highly competitive and fragmented, with restaurants competing directly and indirectly with regard to dining experience, food quality, service, price and location. We also compete with grocery store chains and meal subscription services. In addition, there is active competition for management personnel, real estate sites, supplies and restaurant employees. Competition is also influenced strongly by marketing and brand reputation.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consumers increasingly seek higher quality breakfast, brunch and lunch experiences, we believe we are well-positioned to compete with a wide range of national, regional and local establishments that operate during our hours of operation. More directly, we do not believe there is a comparable offering within our segment that operates at the scale of First Watch. We view our primary competition as a network of independent restaurants that also serve breakfast and lunch in neighborhoods across the United States.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quarterly results of operations are subject to fluctuations due to the timing of holidays, weather conditions and the number of new restaurant openings.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1A.“</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a discussion of risks related to periodic fluctuations.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We completed our initial public offering (“IPO”) in October 2021 and our common stock is listed on the Nasdaq Global Select Market (“Nasdaq”) under the symbol “FWRG.”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consumer website is located at www.firstwatch.com, and our investor relations website is located at https://investors.firstwatch.com. We make available, free of charge, through our internet website, our Annual Report on Form 10-K, Quarterly Reports on Form 10-Q, Current Reports on Form 8-K, Proxy Statements and amendments to those reports filed or furnished pursuant to Section 13(a) or 15(d) of the Securities Exchange Act of 1934, as amended (the “Exchange Act”), as soon as reasonably practicable after electronically filing such material with the SEC. Our reports and other materials filed with the SEC are also available at www.sec.gov. The references to these website addresses are included as textual references only, and the information contained on or accessible through these websites is not incorporated by reference into, and should not be considered part of, this Annual Report on Form 10-K or any of our other SEC filings.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announce material information to the public about us, our products and services, and other matters through a variety of means, including filings with the SEC, press releases, public conference calls, webcasts and our investor relations website (https://investors.firstwatch.com) in order to achieve broad, non-exclusionary distribution of information to the public and for complying with our disclosure obligations under Regulation FD.</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You should carefully consider the risks described below in addition to the other information set forth in this Annual Report on Form 10-K, including the sections titled “</w:t>
      </w:r>
      <w:r>
        <w:rPr>
          <w:rFonts w:ascii="Times New Roman" w:cs="Times New Roman" w:eastAsia="Times New Roman" w:hAnsi="Times New Roman"/>
          <w:sz w:val="14"/>
          <w:szCs w:val="14"/>
          <w:i w:val="1"/>
          <w:iCs w:val="1"/>
          <w:color w:val="auto"/>
        </w:rPr>
        <w:t>Management’s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Analysis of Financial Condition and Results of Operations,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Quantitative and Qualitative Disclosures About Market Risk</w:t>
      </w:r>
      <w:r>
        <w:rPr>
          <w:rFonts w:ascii="Times New Roman" w:cs="Times New Roman" w:eastAsia="Times New Roman" w:hAnsi="Times New Roman"/>
          <w:sz w:val="14"/>
          <w:szCs w:val="14"/>
          <w:color w:val="auto"/>
        </w:rPr>
        <w:t>” and our consolidated financial statements and related notes. If any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risks and uncertainties described in the cautionary factors below actually occur or continue to occur, our business, financial condition, results of operations and cash flow and the trading price of our common stock could be materially and adversely affected. The considerations and risks that follow are organized within relevant headings but may be relevant to other headings as well. Moreover, the risks below are not the only risks we face and additional risks not currently known to us or that we presently deem immaterial may emerge or become material at any time and may adversely impact our business, reputation, financial condition, results of operations or cash flow or the trading price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outside of our control, that could cause our actual results to be harmed. These risks include the following: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202" w:lineRule="exact"/>
        <w:rPr>
          <w:sz w:val="20"/>
          <w:szCs w:val="20"/>
          <w:color w:val="auto"/>
        </w:rPr>
      </w:pPr>
    </w:p>
    <w:p>
      <w:pPr>
        <w:ind w:left="5580" w:right="2720" w:hanging="5384"/>
        <w:spacing w:after="0" w:line="983" w:lineRule="auto"/>
        <w:tabs>
          <w:tab w:leader="none" w:pos="51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vulnerability to changes in economic conditions, consumer preferences and other factors, many of which are largely outside of our control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open new restaurants in new and existing markets or to operate them as profitably as we have experienced in the past</w:t>
      </w:r>
    </w:p>
    <w:p>
      <w:pPr>
        <w:spacing w:after="0" w:line="23"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manage our growth</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opening new restaurants in existing markets may adversely impact sales at our and our franchisees’ existing restaurants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visitors to retail, lifestyle or entertainment centers where our restaurants are located may decline</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expected same-restaurant sales growth or same-restaurant traffic growth</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unsuccessful marketing programs or limited-time menu offerings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or disruptions in the supply or delivery of frequently used food items or increases in the cost of our frequently used food items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unsuccessful new restaurant openings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compete successfully with other breakfast and lunch restaurants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vulnerability to food safety and food-borne illness concerns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with our existing franchisees, including their financial performance, our lack of control over their operations and conflicting business interests</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a small number of suppliers for a substantial amount of our food and coffee</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concentration</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and negative publicity, even if unwarranted</w:t>
      </w:r>
    </w:p>
    <w:p>
      <w:pPr>
        <w:spacing w:after="0" w:line="8" w:lineRule="exact"/>
        <w:rPr>
          <w:rFonts w:ascii="Times New Roman" w:cs="Times New Roman" w:eastAsia="Times New Roman" w:hAnsi="Times New Roman"/>
          <w:sz w:val="14"/>
          <w:szCs w:val="14"/>
          <w:color w:val="auto"/>
        </w:rPr>
      </w:pPr>
    </w:p>
    <w:p>
      <w:pPr>
        <w:ind w:left="520" w:hanging="324"/>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manage the accelerated impact of social media and artificial intelligence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Information Technology and Intellectual Property</w:t>
      </w:r>
    </w:p>
    <w:p>
      <w:pPr>
        <w:spacing w:after="0" w:line="202"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our failure to adequately protect our network security</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compliance with, and expansion of, federal and state laws and regulations relating to privacy, data protection, advertising and consumer protection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potential state property law liability with our gift cards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our failure to enforce and maintain our trademarks and other intellectual property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adverse litigation outcomes with respect to our intellectual property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Employees and the Workforce</w:t>
      </w:r>
    </w:p>
    <w:p>
      <w:pPr>
        <w:spacing w:after="0" w:line="202"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our inability to identify qualified individuals for our workforce</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our failure to maintain our corporate culture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potential unionization activities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risks associated with our sustainability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Risks</w:t>
      </w:r>
    </w:p>
    <w:p>
      <w:pPr>
        <w:spacing w:after="0" w:line="202"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color w:val="auto"/>
        </w:rPr>
        <w:t>compliance with federal and local environmental, labor, employment, food safety, franchise, zoning and other applicable laws and regulations</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color w:val="auto"/>
        </w:rPr>
        <w:t>the distraction and expense of litigation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color w:val="auto"/>
        </w:rPr>
        <w:t>labor shortages and increased labor and healthcare costs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leasing properties subject to long-term and non-cancelable leases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to future tax laws, unanticipated tax liabilities and realization of our deferred tax assets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4"/>
          <w:szCs w:val="14"/>
          <w:color w:val="auto"/>
        </w:rPr>
        <w:t>risks related to our sale of alcoholic beverages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Accounting and Financial Reporting Matters</w:t>
      </w:r>
    </w:p>
    <w:p>
      <w:pPr>
        <w:spacing w:after="0" w:line="202"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4"/>
          <w:szCs w:val="14"/>
          <w:color w:val="auto"/>
        </w:rPr>
        <w:t>impairment in the carrying value of our goodwill or indefinite-lived intangible assets</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changes to accounting estimates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manage our internal control over financial reporting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or estimates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Indebtedness</w:t>
      </w:r>
    </w:p>
    <w:p>
      <w:pPr>
        <w:spacing w:after="0" w:line="20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indebtedness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duty to comply with covenants under our Credit Agreement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credit and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Company and Organizational Structure</w:t>
      </w:r>
    </w:p>
    <w:p>
      <w:pPr>
        <w:spacing w:after="0" w:line="202"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our operating subsidiaries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anti-takeover provisions of Delaware law, our amended and restated certificate of incorporation (as amended to date, “our amended and restated certificate of incorporation”) and bylaws</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exclusive forum jurisdiction in the Court of Chancery in the State of Delaware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Ownership of Our Common Stock</w:t>
      </w:r>
    </w:p>
    <w:p>
      <w:pPr>
        <w:spacing w:after="0" w:line="202"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could be reduced by future offerings of debt or equity securities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not to pay any dividends on our common stock in the foreseeable future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significant fluctuations in our quarterly results of operations that could fall below the expectations of securities analysts and investors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dilutive impact from grants under our equity incentive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202"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our executive officers or other key employees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access to additional capital to support business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have adversely affected, and may continue to adversely affect the performance of individual locations. In addition, economic downturns, geopolitical tensions, inflation or increased food or energy costs have harmed and could continue to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It is possible that consumers may no longer regard our menu offerings favorably, that we will no longer be able to develop new menu items that appeal to consumer preferences or that there will be a drop in consumer demands for restaurant dining during breakfast and lunch dayparts. Restaurant traffic and our resulting sales depend in part on our ability to anticipate, identify and respond to changing consumer preferences and economic conditions. For example, the widespread popularity of certain weight loss drugs, which suppress a person’s appetite, may impact sales or traffic in our restaurants. In addition, the restaurant industry is subject to scrutiny due to the perception that restaurant company practices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adversely influence the demand for our menu offerings.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Compliance with current and future laws and regulations regarding the ingredients and nutritional content of our menu items may be costly and time-consuming. If we fail to comply with existing or future laws and regulations, we may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key part of our growth strategy includes opening new restaurants in existing and new markets and operating those restaurants on a profitable basis. We must identify target markets where we can enter or expand.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157"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identify a sufficient number of available and suitable restaurant sites;</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compete for restaurant sites;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reach acceptable agreements regarding the lease or purchase of restaurant sites;</w:t>
      </w:r>
    </w:p>
    <w:p>
      <w:pPr>
        <w:spacing w:after="0" w:line="8" w:lineRule="exact"/>
        <w:rPr>
          <w:rFonts w:ascii="Arial" w:cs="Arial" w:eastAsia="Arial" w:hAnsi="Arial"/>
          <w:sz w:val="14"/>
          <w:szCs w:val="14"/>
          <w:color w:val="auto"/>
        </w:rPr>
      </w:pPr>
    </w:p>
    <w:p>
      <w:pPr>
        <w:ind w:left="520" w:hanging="260"/>
        <w:spacing w:after="0" w:line="251" w:lineRule="auto"/>
        <w:tabs>
          <w:tab w:leader="none" w:pos="516"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obtain or have available the financing required to develop and operate new restaurants, including construction and opening costs, which includes access to leases and equipment leases at favorable interest and capitalization rates;</w:t>
      </w: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respond to unforeseen engineering or environmental problems with our selected restaurant sites;</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mitigate the impact of inclement weather, natural disasters and other calamities on the development of restaurant sites;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hire, train and retain the skilled management and other employees necessary to meet staffing needs of new restaurants;</w:t>
      </w:r>
    </w:p>
    <w:p>
      <w:pPr>
        <w:spacing w:after="0" w:line="8" w:lineRule="exact"/>
        <w:rPr>
          <w:rFonts w:ascii="Arial" w:cs="Arial" w:eastAsia="Arial" w:hAnsi="Arial"/>
          <w:sz w:val="14"/>
          <w:szCs w:val="14"/>
          <w:color w:val="auto"/>
        </w:rPr>
      </w:pPr>
    </w:p>
    <w:p>
      <w:pPr>
        <w:ind w:left="520" w:hanging="260"/>
        <w:spacing w:after="0" w:line="251" w:lineRule="auto"/>
        <w:tabs>
          <w:tab w:leader="none" w:pos="516"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ind w:left="520" w:hanging="260"/>
        <w:spacing w:after="0"/>
        <w:tabs>
          <w:tab w:leader="none" w:pos="520" w:val="left"/>
        </w:tabs>
        <w:numPr>
          <w:ilvl w:val="0"/>
          <w:numId w:val="20"/>
        </w:numPr>
        <w:rPr>
          <w:rFonts w:ascii="Arial" w:cs="Arial" w:eastAsia="Arial" w:hAnsi="Arial"/>
          <w:sz w:val="14"/>
          <w:szCs w:val="14"/>
          <w:color w:val="auto"/>
        </w:rPr>
      </w:pPr>
      <w:r>
        <w:rPr>
          <w:rFonts w:ascii="Times New Roman" w:cs="Times New Roman" w:eastAsia="Times New Roman" w:hAnsi="Times New Roman"/>
          <w:sz w:val="14"/>
          <w:szCs w:val="14"/>
          <w:color w:val="auto"/>
        </w:rPr>
        <w:t>respond to construction and equipment cost increases for new restaurants.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we are unable to open new restaurants, or if planned restaurant openings are significantly delayed, it could have a material adverse effect on our business, financial condition and results of operations.</w:t>
      </w: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our system-wide restaurants are geographically concentrated in the southeast portion of the United States and we have encountered, and may continue to encounter, new challenges as we enter new markets. The challenges of entering new markets include: difficulties in hiring experienced personnel; increased labor costs;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company-owned and franchise-owned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manage our growth effectively could harm our business and results of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our enhancement of these systems, procedures and controls and to recruit,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Opening new restaurants in existing markets may adversely impact sales at our and our franchisees’ existing restaurants.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consumer target area of our company-owned restaurants and our franchise-owned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the results of operations and same-restaurant sales growth for our restaurants in such markets due to the close proximity with our other restaurants and market saturation. Our existing restaurants could also make it more difficult to build our and our franchisees’ consumer base for a new restaurant in the same market. Sales transfer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decline in visitors to any of the retail centers, lifestyle centers, or entertainment centers where our restaurants are located could adversely affect our restaurant sales.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mobility restrictions and fear of contracting infectious diseases. A decline in traffic at these locations for a sustained period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same-restaurant sales growth and same-restaurant traffic growth may be lower than we expect in future periods.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marketing and operations initiatives to build sales. It is possible such initiatives will not be successful, that we will not achieve our target same-restaurant sales growth or that the change in same-restaurant sales growth could be negative, which may adversely impact our ability to achieve profitability. This could have a material adverse effect on our business, financial condition and results of operations.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Same-restaurant traffic growth is a significant factor affecting our ability to increase same-restaurant sales growth. This measure also provides an important indicator as to the development of our brand and the effectiveness of our marketing strategy. Our ability to increase same-restaurant traffic depends in part on our ability to successfully implement our marketing initiatives to drive traffic to our restaurants. It is possible such initiatives will not be successful, that we will not achieve our target same-restaurant traffic growth or that the change in same-restaurant traffic growth could be negative, which may adversely impact our ability to achieve profitability. This could have a material adverse effect on our business, financial condition and results of operations.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marketing programs and our limited-time menu offerings may not be successful and could fail to meet expectations, and our new menu items, advertising campaigns and restaurant designs and remodels may not generate increased sales or profits.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incur costs and expend other resources in our marketing efforts on new and seasonal menu items, advertising campaigns and restaurant designs and remodels to raise brand awareness and attract and retain 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are a key part of our promotional activities from time to time, may not perform as anticipated, which could have an adverse impact on our results of operations for the related period. If these initiatives are not successful, we could incur expenses without the benefit of higher revenues,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cost of food could have a material adverse effect on our business, financial condition and results of operations.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profitability depends in part on our ability to anticipate and react to changes in food and beverage costs, including, among other things, our costs for pork, coffee, eggs, avocados, potatoes, bread, cheese and fresh produce items. We are susceptible to increases in the cost of food due to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In 2025, for example, we experienced significant increases in the cost of eggs, primarily due to an outbreak of avian influenza, as well as coffee, primarily due to the impact of climate and weather conditions.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Further, increases in fuel prices could result in increased distribution costs.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in the price or availability of certain food products could affect our profitability and reputation. While some commodities we purchase are subject to contract pricing, as our contracts expire, we may not be able to successfully re-negotiate terms that protect us from price inflation in the future. International commodities we purchase are also subject to supply shortages or interruptions, including as a result of changes in foreign and domestic trade and tax policies.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cost increases with respect to one or more of our raw ingredients, we may choose to temporarily suspend or permanently discontinue serving menu items rather than pay the increased cost for the ingredients. Any such changes to our available menu could adversely impact our restaurant traffic, business and same-restaurant sales growth. While future cost increases can be partially offset by increasing menu prices, such price increases may adversely affect our customers’ visit frequencies and purchasing patterns. Competitive conditions may limit our menu pricing flexibility and if we or our franchisees implement menu price increases to protect our margins, restaurant traffic could be materially adversely affected, at both company-owned and franchise-owned restaurants.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restaurants may not be profitable or may close, and the performance of our restaurants that we have experienced in the past may not be indicative of future results.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restaurants open with an initial start-up period of higher or lower than normal sales volumes. Our restaurant level operating profit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and same-restaurant sales growth may not increase at the rates our existing restaurants have achieved over the past several years. Our ability to operate new restaurants profitably and increase our average unit volume and same-restaurant sales growth will depend on many factors, some of which are beyond our control, including:</w:t>
      </w:r>
    </w:p>
    <w:p>
      <w:pPr>
        <w:spacing w:after="0" w:line="162"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awareness and understanding of our brand;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which can affect restaurant traffic, local labor costs and prices we pay for the food products and other supplies we use;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consumption patterns and food preferences that may differ from region to region;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and discretionary spending;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obtaining or maintaining adequate relationships with distributors or suppliers in new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prices for commodities;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inefficiency in our labor costs as the staff gains experience;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either from our competitors in the restaurant industry or our own restaurants;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and permanent site characteristics of new restaurants;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unanticipated increases in costs, any of which could give rise to delays or cost overruns.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We also compete with a number of non-traditional market participants, such as convenience stores, grocery stores, coffee shops, and meal kit delivery services. Competition from food delivery services companies has also increased in recent years.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continued success also depends in part on the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Food safety and food-borne illness concerns may have an adverse effect on our business by decreasing sales and increasing costs.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Food safety and quality concerns may adversely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Food safety is a top priority, and we dedicate substantial resources to help ensure that our customers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employee hygiene and cleanliness failures or improper employee conduct, customers entering our restaurants while ill and contaminating food ingredients or surfaces at our restaurants could lead to product liability or other claims. Such incidents or reports could adversely affect our brand and reputation and could have a material adverse effect on our business, financial condition and results of operations. Similar incidents or reports occurring at competitors in our industry unrelated to us could likewise create negative publicity, which could adversely impact consumer behavior towards us.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food safety controls, procedures and training may not be fully effective in preventing all food safety and public health issues at our restaurants, including any occurrences of pathogens, bacteria, parasites or other toxins infecting our food supply. These potential public health issues, in addition to food tampering, could adversely affect food prices and availability of certain food products, generate negative publicity, and lead to closure of restaurants resulting in a decline in our sales or profitability. In addition, there is no guarantee that our restaurant locations will maintain the high levels of internal controls and training we require at our restaurants. Furthermore, our reliance on third-party food processors, suppliers and transporters outside of our control makes it difficult to monitor food safety compliance and may increase the risk that food-borne illness would affect multiple locations rather than single restaurants. We cannot assure that all food items will be properly maintained during transport throughout the supply chain or that our employees will identify all products that may be spoiled and should not be used in our restaurants. The risk of food-borne illness may also increase whenever our menu items are served outside of our control, such as by third-party food delivery services companies, customer take out or at catered events. We do not have direct control over our third-party suppliers, transporters or delivery services, and may not have visibility into their practices.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adversely affect sales at all our restaurants if highly publicized, such as on national media outlets or through social media, especially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the geographic concentration of many of our restaurants. This risk exists even if it were later determined that the illness was wrongly attributed to one of our restaurants.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Potential food safety incidents, whether at our restaurants or involving our business partners, could lead to wide public exposure and negative publicity, which could materially harm our business. A number of other restaurant chains have experienced incidents related to food-borne illnesses that have had material adverse impacts on their operations, and we could experience a similar impact upon the occurrence of a similar incident at one of our restaurants.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financial performance of our franchisees can have a material adverse effect on our business, financial condition and results of operations.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12% of our system-wide restaurants were franchised as of December 28, 2025, our results of operations are dependent in part upon the operational and financial success of our franchisees.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our franchisees may operate restaurants, including hiring and training managers and other restaurant personnel, in a manner that is not consistent with our standards, guidelines and requirements.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3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good relationships with our franchisees due to conflicts of interest or otherwise, revenues could decrease and we may be unable to expand our presence in certain markets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restaurants, which could, even if we prevail,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contract with one distributor, which we refer to as our “broad line” distributor, to provide virtually all of our food distribution services in the United States. If our broad-line distributor does not adequately perform its obligations or is unable to scale with our business, or our distribution is disrupted for any reason, there could be an adverse effect on our business, financial condition and results of operations. For example, in January 2024, unionized drivers at our broad-line distributor went on strike at a number of distribution centers, which adversely effected our operations and supply chain for several weeks resulting in the incurrence of higher costs and delays in food deliveries.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December 28, 2025, we procured substantially all of our pork from two suppliers, substantially all of our eggs from one supplier and all of our coffee from one supplier. We purchase these ingredients pursuant to purchase orders at prevailing market or negotiated contract prices and are not limited by minimum purchase requirements. The cancellation of our supply arrangements with any one of these suppliers or the disruption, delay or inability of these suppliers to deliver these major products to our restaurants or distribution centers due to problems in production or distribution, inclement weather, unanticipated demand, trade restrictions (such as increased tariffs or quotas, embargoes or customs restrictions) or other conditions may materially and adversely affect our results of operations while we establish alternative supplier and distribution channels. Accordingly, although we believe that alternative supply and distribution sources are available, we may not be able to identify or negotiate with such sources on terms that are commercially reasonable to us. If our existing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if our suppliers or distributors fail to comply with food safety or other laws and regulations, or face allegations of non-compliance, their operations may be disrupted. If our suppliers’ employees are unable to work or our suppliers’ operations are disrupted due to a pandemic or other infectious diseases, we and our franchisees could face shortages of food items or other supplies, and our and our franchisees’ operations and sales could be materially adversely impacted by such supply interruptions. If that were to occur, we may not be able to find replacement suppliers on commercially reasonable terms or a timely basis, if at all.</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More generally, we are subject to additional risks related to increases in energy and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war has adversely impacted, and continues to adversely impact, among other things, our raw material, energy and transportation costs, and those of certain of our suppliers, as well as global and local macroeconomic conditions, and could cause further supply chain disruptions.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system-wide restaurant base is geographically concentrated in the southeast portion of the United States, and we could be adversely affected by conditions specific to that region.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restaurants in the southeast portion of the United States represented approximately 41% of our system-wide restaurants as of December 28, 2025, with our restaurants in Florida representing approximately 22%. Adverse changes in demographic, unemployment, economic, regulatory or weather conditions in the southeast portion of the United States have had, and may continue to have, material adverse effects on our business, financial condition and results of operations. As a result of this concentration, we have been, and in the future may be, disproportionately affected by conditions in this geographic area compared to other chain restaurants with a more national footprint.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and negative publicity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reputation and the quality of our brand are critical to our business and success in existing markets, and will be critical to our success as we enter into new markets. Any incident that erodes consumer loyalty to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Any publicity relating to health concerns, perceived or specific outbreaks of infectious diseases attributed to one or more of our restaurants, or non-compliance with government restrictions imposed by federal, state and local governments could result in a significant decrease in customer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traffic in all of our restaurants and could have a material adverse effect on our business, financial condition and results of operations. Furthermore, similar negative publicity or occurrences with respect to other restaurants or other restaurant chains could also decrease our customer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including our franchise-owned restaurants. The risk of negative publicity is particularly great with respect to our franchise-owned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16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inability or failure to recognize, respond to and effectively manage the accelerated impact of social media or artificial intelligence could have a material adverse effect on our business, financial condition and results of operations.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 new social media platforms are rapidly being developed, potentially making more traditional social media platforms obsolete. As a result, we must continuously innovate and develop our marketing strategies in order to maintain broad appeal with customers and brand relevance, particularly given the rise in digital orders by customers at home due to the increased work-from-home customer base.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social media platforms and may be adverse to our reputation or business. This harm may be immediate, without affording us an opportunity for redress or correction. In addition, the rapid evolution and increased adoption of artificial intelligence technologies may affect our customers’ expectations, requirements or tastes in ways we cannot adequately anticipate or adapt to, adversely affect our business financial condition and results of operations, and may require us to develop artificial intelligence-specific systems. We and many of our vendors have started to incorporate artificial intelligence tools in our business operations in an effort to improve workflows and outcomes. If these tools are not successful, we could incur expenses without the benefit of improved efficiency.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 and Intellectual Property</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and our franchisees rely heavily on computer systems and network infrastructure across our operations, including point-of-sale processing at the restaurants and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operations and those of our franchisees depend upon the ability to protect computer equipment and systems against damage from physical theft, fire, power loss, telecommunications failure or other catastrophic events, as well as from internal and external security breaches, viruses and other disruptive problems. Any actual or perceived breach in the security of our information technology systems or those of our franchisees and third-party service providers could lead to damage or failure of our computer systems or network infrastructure, causing an interruption in our operations, or could lead to a significant theft, loss, disclosure, modification or misappropriation of, or access to, guests’, employees’, third parties’ or other proprietary data or other breach of our information technology systems, any of which could have a material adverse effect on our business or subject us or our franchisees to litigation or to actions by regulatory authorities. Furthermore, at various times we have allowed certain of our team members in our corporate headquarters to work from home. Remote working, particularly for an extended period of time, could increase certain risks to our business, including an increased risk of</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cybersecurity events, vulnerability of our systems and improper dissemination of confidential or personal information, if our physical and cybersecurity measures or our corporate policies are not effective. The costs to us to protect against any of the foregoing cybersecurity vulnerabilities or to address a cyber-incident could be significant and have a material adverse impact on our business, financial condition and results of operations.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Security incidents or breaches have from time to time occurred and may in the future occur involving our systems, the systems of the parties with whom we communicate or collaborate (including franchisees) or the systems of third-party providers. Certain of these technology systems contain personal, financial and other information of our customers, employees, franchisees and their employees, suppliers and other third parties, as well as financial, proprietary and other confidential information related to our business. 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franchisees,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compromising such information. Third parties may have the technology or know-how to breach the security of the information collected, stored, or transmitted by us or our franchisees, and our respective security measures, as well as those of our technology vendors, may not effectively prohibit others from obtaining improper access to this information. Advances in computer and software capabilities and encryption technology, new tools, and other developments may increase the risk of such a breach or compromise. The rapid evolution and increased adoption of artificial intelligence technologies may intensify our cybersecurity risks. Despite response procedures and measures in place in the event of an incident, a security breach could result in disruptions, shutdowns, or the theft or unauthorized disclosure of such information. The actual or alleged occurrence of any of these incidents could result in mitigation costs, reputational damage, adverse publicity, loss of consumer confidence, reduced sales and profits, complications in executing our growth initiatives and regulatory and legal risk, including criminal penalties or civil liabilities.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continuing to expand, upgrade and develop our information technology capabilities.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business requires the collection, transmission and retention of large volumes of customer and employee data, including credit and debit card numbers and other personally identifiable information, in various information technology systems that we and our franchisees maintain, and in those maintained by our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the standards for systems currently used for transmission and approval of electronic payment transactions, and the technology utilized in electronic payments themselves, all of which can put electronic payment data at risk, are determined and controlled by the payment card industry, not by us. For example, we are subject to industry requirements such as the Payment Card Industry Data Security Standard (“PCI-DSS”), as well as certain other industry standards. Any failure to comply with these rules and/or requirements could significantly harm our brand, reputation, business and results of operations, and in the case of PCI-DSS, could result in monetary penalties and/or the exclusion from applicable card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brands. We also rely on independent service providers for payment processing, including payments made using credit and debit cards. If these independent service providers become unwilling or unable to provide these services to us or if the cost of using these providers increases, our business could be harmed.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 security of consumer data, particularly in the context of digital marketing, which we rely upon to attract new customers. We are, and may increasingly become, subject to other various laws, directives, industry standards and regulations, as well as contractual obligations, relating to data privacy and security in the jurisdictions in which we operate. The information, security and privacy requirements imposed by governmental regulation are increasingly demanding and are subject to potentially differing interpretations. Laws and expectations relating to privacy continue to evolve, and we continue to adapt to changing needs. For example, the definition of “personal information” or “personal data” under newer privacy laws is much broader than the definition of “personally identifiable information” that appears in older privacy laws, and many jurisdictions have or will soon enact new privacy laws. Specifically, certain states in which we operate or may operate in the future have enacted or may soon enact comprehensive privacy laws that may be more stringent or broader in scope, or offer greater individual rights, with respect to personal information than current federal, international or other state laws, and such laws may differ from each other, all of which may complicate compliance efforts. The California Consumer Privacy Act (“CCPA”), for example,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became fully effective in January 2023, significantly modifies the CCPA. Colorado, Connecticut, Delaware, Indiana, Iowa, Kentucky, Maryland, Minnesota, Montana, Nebraska, New Hampshire, New Jersey, Oregon, Rhode Island, Tennessee, Texas, Utah and Virginia have enacted similar data privacy legislation. Several other states and countries are considering expanding or passing privacy laws in the near term. These laws and regulations have required and will require us to incur additional costs and expenses in our effort to comply. Our failure to adhere to or successfully implement appropriate processes to adhere to the requirements of evolving laws and regulations in this area could expose us and our franchisees to financial penalties and legal liability. Our and our franchisees’ systems may not be able to satisfy these changing requirements and customer and employee expectations, or may require significant additional investments or time in order to do so.</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3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Many applications and other devices allow consumers to avoid receiving advertisements by paying for subscriptions or other downloads.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potential liability with our gift cards under the property laws of some states.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we are not currently required to remit any amounts relating to future unredeemed gift cards to states as our subsidiary that is the issuer of our gift cards was re-domiciled in Florida on December 9, 2022, a jurisdiction which exempts gift cards from the abandoned and unclaimed property laws. If this exemption was no longer available to us, our financial condition and results of operations could be adversely affected. We recognize income from unredeemed cards when we determine that the likelihood of the cards being redeemed is remote and that recognition is appropriate based on governing state statutes.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registered First Watch</w:t>
      </w:r>
      <w:r>
        <w:rPr>
          <w:rFonts w:ascii="Times New Roman" w:cs="Times New Roman" w:eastAsia="Times New Roman" w:hAnsi="Times New Roman"/>
          <w:sz w:val="7"/>
          <w:szCs w:val="7"/>
          <w:color w:val="auto"/>
        </w:rPr>
        <w:t>®</w:t>
      </w:r>
      <w:r>
        <w:rPr>
          <w:rFonts w:ascii="Times New Roman" w:cs="Times New Roman" w:eastAsia="Times New Roman" w:hAnsi="Times New Roman"/>
          <w:sz w:val="14"/>
          <w:szCs w:val="14"/>
          <w:color w:val="auto"/>
        </w:rPr>
        <w:t xml:space="preserve"> and certain other names, logos and slogans used by our restaurants as trademarks or service marks with the USPTO. The First Watch</w:t>
      </w:r>
      <w:r>
        <w:rPr>
          <w:rFonts w:ascii="Times New Roman" w:cs="Times New Roman" w:eastAsia="Times New Roman" w:hAnsi="Times New Roman"/>
          <w:sz w:val="7"/>
          <w:szCs w:val="7"/>
          <w:color w:val="auto"/>
        </w:rPr>
        <w:t>®</w:t>
      </w:r>
      <w:r>
        <w:rPr>
          <w:rFonts w:ascii="Times New Roman" w:cs="Times New Roman" w:eastAsia="Times New Roman" w:hAnsi="Times New Roman"/>
          <w:sz w:val="14"/>
          <w:szCs w:val="14"/>
          <w:color w:val="auto"/>
        </w:rPr>
        <w:t xml:space="preserve"> trademark is also registered in Canada. In addition, the First Watch logo, website domain name and Facebook and Instagram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 third party misappropriates or infringes on our intellectual property, whether in print, on the Internet or through other media, the value of our brands may be adversely affected, which could have a material adverse effect on our business, including the failure of our brands and branded products to achieve and maintain market acceptance.</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confidential information, despite the existence of confidentiality agreements and other measures. If any of our trade secrets or other confidential information were to be disclosed to or independently developed by a competitor, it could have a material adverse effect on our business, financial condition and results of operations.</w:t>
      </w:r>
    </w:p>
    <w:p>
      <w:pPr>
        <w:spacing w:after="0" w:line="16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Third parties may, from time to time,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our intellectual property were invalidated or deemed unenforceable, we may not be able to prevent third parties from using such intellectual property or similar intellectual property to compete with us, which, in turn, could lead to a decline in our brand and the goodwill associated therewith and our results of operations. If our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management’s attention and resources and could have a material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adverse effect on our business, financial condition and results of operations regardless of whether we are able to successfully enforce our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Employees and the Workforce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identify qualified individuals for our workforce could slow our growth and adversely impact our ability to operate our restaurants.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success depends in part upon our ability to attract, motivate and retain a sufficient number of qualified managers and employees to meet the needs of our existing restaurants and to staff new restaurants. In recent years, the restaurant industry has experienced aggressive competition for talent, wage inflation and pressure to improve benefits and workplace conditions to remain competitive.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and have a material adverse effect on our business, financial condition and results of operations. Any such inability could also delay the planned openings of new restaurants and could adversely impact our existing restaurants, which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our corporate culture as we grow could have a material adverse effect on our business, financial condition and results of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elements of our corporate culture. Any failure to preserve our culture could adversely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Unionization activities may disrupt our operations and increase our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sustainability activities, including environmental, social and governance matters, could result in reputational risks, increased costs and other risks.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Certain customers, investors, lenders, regulators and other industry stakeholders have placed increasing importance on corporate sustainability practices, which could cause us to incur additional costs and changes to our operations. If our sustainability practices or disclosures do not meet stakeholders’ evolving expectations and standards, our customer and employee retention, our access to certain types of capital, and our brand and reputation may be adversely impacted, which could affect our business operations and financial condition. We could also incur additional costs and require additional resources to monitor, report and comply with various sustainability practices, laws and regulations, which could increase our operating costs and affect our results of operations and financial condition. In addition, from time to time, we may communicate certain initiatives regarding climate change, animal welfare and other corporate sustainability matters. We could fail or be perceived to fail to achieve such initiatives, which may adversely affect our reputation. The future adoption of new technology or processes to achieve such initiatives could also result in the impairment of existing assets. At the same time, stockholders and regulators have increasingly expressed opposing views and expectations with respect to ESG initiatives, including the enactment of “Anti-ESG” legislation or policies.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Matters relating to employment and labor law could have a material adverse effect on our business, financial condition and results of operations.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employment eligibility verification requirements, workers’ compensation rates, overtime, family leave, working conditions, safety standards, immigration status, unemployment tax rates, state and local payroll taxes, and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3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business is subject to the risk of litigation by employees or others through private actions, class actions, administrative proceedings, regulatory actions or other litigation. Moreover, employment and labor claims asserted against franchisees may at times be made against us as a franchisor. The outcome of litigation, particularly class action lawsuits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any such claims could have a material adverse effect on our business, financial condition and results of operations. Additionally, if we or our franchisees are unable to properly identify unauthorized workers, such workers will be subject to deportation and may subject us to fines or penalties. If any of our workers are found to be unauthorized, we could experience adverse publicity that may adversely impact our brand, disrupt our operations, make it more difficult to hire and keep qualified employees, and cause temporary increases in our labor costs as we train new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party to litigation that could distract management, increase our expenses or subject us to material monetary damages or other remedies.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adversely impact our reputation,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and our franchisees face labor shortages or increased labor costs or health care costs, it could have a material adverse effect on our business, financial condition and results of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Labor is a primary component in the cost of operating our restaurants. If we or our franchisees face labor shortages or increased labor costs because of increased competition for employees, higher employee-turnover rates, unionization of restaurant workers, or increases in the federally-mandated or state-mandated minimum wage, changes in exempt and non-exempt status, unemployment tax rates, workers’ compensation rates, overtime, family leave, safety standards, payroll taxes, citizenship requirements or other employee benefits costs (including costs associated with health insurance coverage or workers’ compensation insurance), our operating expenses could increase and our growth could be adversely affected.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wages may also result in increases in the wage rates paid for non-minimum wage positions. We may be unable to increase our menu prices in order to pass future increased labor costs on to our customers, in which case our operating margins would be adversely affected. If menu prices are increased by us or our franchisees to cover increased labor costs, the higher prices could adversely affect demand for our menu items, resulting in lower sales and decreased franchise 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associated with leasing property subject to long-term and non-cancelable leases and may be unable to renew leases at the end of their terms.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of our restaurant leases are non-cancelable and typically have initial terms of 10 years, providing for two to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unanticipated tax liabilities and realization of deferred tax assets could adversely affect our results of operations.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subject to income and other taxes in the United States. Our effective income tax rate and other taxes could be adversely affected by a number of factors, including changes in the valuation of deferred tax assets and liabilities, changes in tax laws or other legislative changes and the outcome of income tax or other tax audits. Even though we believe our tax estimates are reasonable, the final determination of tax audits could be different from our historical tax accruals and income tax provisions and could have a material effect on our results of operations or cash flows in the period or periods for which that determination is made. Our effective income tax rate and our results may be adversely impacted by our ability to realize deferred tax benefits and by any increases or decreases of our valuation allowances applied to our existing deferred tax assets. In addition, our ability to utilize deferred tax asset attributes could be adversely impacted by, among other things, a future “ownership change” as defined under Section 382 of the Internal Revenue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risks related to our sale of alcoholic beverages.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serve alcoholic beverages at our restaurants.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patrons and employees, hours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operation, advertising, trade practices, wholesale purchasing, other relationships with alcoholic beverages manufacturers, wholesalers and distributors, inventory control and handling, and storage and dispensing of alcoholic beverages. Any future failure to comply with these regulations and obtain or retain licenses could have a material adverse effect on our business, financial condition and results of operations.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subject in certain states to “dram shop” statutes, which generally provide a person injured by an intoxicated person the right to recover damages from an establishment that wrongfully served alcoholic beverages to the intoxicated person. Recent litigation against restaurant chains has resulted in significant judgments and settlements under dram shop statutes. Because these cases often seek punitive damages, which may not be covered by insurance, such litigation could have a material adverse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many federal, state and local laws with which compliance is both costly and complex.</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restaurant industry is subject to extensive federal, state and local laws and regulations, including those relating to the environment,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due to such regulations,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Americans with Disabilities Act, which, among other things, requires our restaurants to meet federally mandated requirements for the disabled, could require us to expend significant funds to make modifications to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restaurants if we failed to comply with applicable standards. Compliance with all these laws and regulations can be costly and can increase our exposure to litigation or governmental investigations or proceedings.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Accounting and Financial Reporting Matters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impairment in the carrying value of our goodwill or indefinite-lived intangible assets or changes to estimates related to our long-lived and definite-lived assets could have a material adverse effect on our financial condition and results of operations.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28, 2025, we had $420.2 million of goodwill and $140.1 million of indefinite-lived intangible assets. We test goodwill and indefinite-lived intangible assets for impairment annually on the first day of the fourth quarter of each fiscal year and whenever events or changes in circumstances indicate that impairment may have occurred. We performed a qualitative annual impairment assessment of goodwill and indefinite-lived intangible assets on the first day of the fourth quarter of 2025. Based on the results of the qualitative assessment, we did not perform a quantitative assessment and no impairment was recognized in 2025.</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cannot accurately predict the amount and timing of any impairment of assets and an impairment test in the future may indicate that an impairment has occurred. In the event that the book value of goodwill or other indefinite-lived intangible assets is impaired, any such impairment would be charged to earnings in the period of impairment and could have a material adverse effect on our financial condition and 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to estimates related to our property, fixtures and equipment and definite-lived intangible assets or operating results that are lower than our current estimates at certain restaurant locations may cause us to incur impairment losses or accelerate the amortization on certain long-lived assets, which may adversely affect our financial condition and results of operations.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effective internal control over financial reporting, we may not be able to accurately or timely report our financial condition or results of operations, which, in turn, could adversely impact the market value of our common stock.</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public company, we are required to comply with Section 404 of the Sarbanes-Oxley Act (“Section 404”) in accordance with the rules and regulations of the SEC, which requires management to certify financial and other information in our quarterly and annual reports and provide an annual management report on the effectiveness of our internal control over financial reporting. In addition, under Section 404 our independent registered public accounting firm also needs to attest to the effectiveness of our internal control over financial reporting.</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previously disclosed, we identified material weaknesses in our internal control over financial reporting as of the end of our fiscal year ended December 29, 2024. Management took several personnel-related actions and established, enhanced and implemented policies and procedures to remediate these material weaknesses. Even though we successfully completed the testing necessary to conclude that these material weaknesses have been remediated and that our financial reporting was effective as of December 28, 2025, we can provide no assurance that the measures that were taken to remediate these material weaknesses will continue to be effective in the future.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comply with the rules and regulations of the SEC, we need to continue to dedicate internal resources, engage outside consultants and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If we fail to adequately maintain effective internal control over financial reporting, additional material weaknesses or significant deficiencies in our internal control over financial reporting may occur in the future, our financial statements may contain material misstatements, and we could be required to restate our financial results. This could cause us to fail to meet our reporting obligations and adversely affect our business, our financial condition and the market price for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accounting principles applicable to us could have a material adverse effect on our financial condition and results of operations.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Generally accepted accounting principles in the U.S. are subject to interpretation by the Financial Accounting Standards Board (“FASB”), the American Institute of Certified Public Accountants, the SEC and various bodies formed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level of indebtedness could have a material adverse effect on our business, financial condition and results of operations.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principal amounts of our term loans outstanding was $267.6 million, excluding unamortized debt discount and deferred issuance costs, as of December 28, 2025. Our indebtedness could have significant effects on our business, such as:</w:t>
      </w:r>
    </w:p>
    <w:p>
      <w:pPr>
        <w:spacing w:after="0" w:line="145" w:lineRule="exact"/>
        <w:rPr>
          <w:sz w:val="20"/>
          <w:szCs w:val="20"/>
          <w:color w:val="auto"/>
        </w:rPr>
      </w:pP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amounts to fund capital expenditures, acquisitions, debt service requirements, execution of our growth strategy and other purposes;</w:t>
      </w:r>
    </w:p>
    <w:p>
      <w:pPr>
        <w:spacing w:after="0" w:line="2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make investments, including acquisitions, loans and advances, and to sell, transfer or otherwise dispose of assets;</w:t>
      </w:r>
    </w:p>
    <w:p>
      <w:pPr>
        <w:spacing w:after="0" w:line="8" w:lineRule="exact"/>
        <w:rPr>
          <w:rFonts w:ascii="Times New Roman" w:cs="Times New Roman" w:eastAsia="Times New Roman" w:hAnsi="Times New Roman"/>
          <w:sz w:val="14"/>
          <w:szCs w:val="14"/>
          <w:color w:val="auto"/>
        </w:rPr>
      </w:pPr>
    </w:p>
    <w:p>
      <w:pPr>
        <w:ind w:left="640" w:hanging="253"/>
        <w:spacing w:after="0" w:line="253"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ind w:left="640" w:hanging="253"/>
        <w:spacing w:after="0" w:line="253"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us more vulnerable to adverse changes in general economic, industry and competitive conditions, in government regulation and in our business by limiting our ability to plan for and react to changing conditions;</w:t>
      </w:r>
    </w:p>
    <w:p>
      <w:pPr>
        <w:ind w:left="640" w:hanging="253"/>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with our competitors that have less debt; and</w:t>
      </w:r>
    </w:p>
    <w:p>
      <w:pPr>
        <w:spacing w:after="0" w:line="8" w:lineRule="exact"/>
        <w:rPr>
          <w:rFonts w:ascii="Times New Roman" w:cs="Times New Roman" w:eastAsia="Times New Roman" w:hAnsi="Times New Roman"/>
          <w:sz w:val="14"/>
          <w:szCs w:val="14"/>
          <w:color w:val="auto"/>
        </w:rPr>
      </w:pPr>
    </w:p>
    <w:p>
      <w:pPr>
        <w:ind w:left="640" w:hanging="253"/>
        <w:spacing w:after="0" w:line="266" w:lineRule="auto"/>
        <w:tabs>
          <w:tab w:leader="none" w:pos="6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risks inherent in interest rate fluctuations because our borrowings are at variable rates of interest, which could result in higher interest expense in the event of increases in interest rates.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adversely affect our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Note 22,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the accompanying notes to the consolidated financial statements included in Item 8 of Part II of this Form 10-K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to comply with the covenants under our Credit Agreement or volatility in the credit and capital markets could have a material adverse effect on our financial condition.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manage our debt is dependent on our level of positive cash flow from company-owned and franchise-owned restaurants. An economic downturn may adversely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our Credit Agreement for our debt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Company and Organizational Structure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First Watch Restaurant Group, Inc. is a holding company with no operations and relies on its operating subsidiaries to provide it with funds necessary to meet its financial obligations.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First Watch Restaurant Group, Inc. is a holding company with no material direct operations. First Watch Restaurant Group, Inc.’s principal assets are the equity interests it indirectly holds in its operating subsidiaries which own our operating assets. As a result, First Watch Restaurant Group, Inc. is dependent on loans, dividends and other payments from its operating subsidiaries to generate the funds necessary to meet its financial obligations. Its subsidiaries are legally distinct from First Watch Restaurant Group, Inc. and may be prohibited or restricted from paying dividends, including pursuant to the restrictions contained in our Credit Agreement, or otherwise making funds available to us under certain conditions.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First Watch Restaurant Group, Inc. does not expect to pay dividends on its common stock for the foreseeable future, if its Board of Directors determines to pay dividends in the future, First Watch Restaurant Group, Inc. may be unable to obtain funds from its subsidiaries to pay such dividends.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to, or prevent a third party from, acquiring control of us without the approval of our Board of Directors. Among other things, these provisions:</w:t>
      </w:r>
    </w:p>
    <w:p>
      <w:pPr>
        <w:spacing w:after="0" w:line="157" w:lineRule="exact"/>
        <w:rPr>
          <w:sz w:val="20"/>
          <w:szCs w:val="20"/>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with staggered three-year terms;</w:t>
      </w:r>
    </w:p>
    <w:p>
      <w:pPr>
        <w:spacing w:after="0" w:line="2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permit cumulative voting in the election of directors, which would otherwise allow less than a majority of stockholders to elect director candidates;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sole power of a majority of the Board to fix the number of directors;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the power of our Board to fill any vacancy on our Board, whether such vacancy occurs as a result of an increase in the number of directors or otherwise;</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without any need for action by stockholders;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stockholders to call special meetings of stockholders; and</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on by stockholders at stockholder meetings.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our Credit Agreement for our debt facilities imposes, and we anticipate that documents governing our future indebtedness may impose, limitations on our ability to enter into change of control transactions. Under our Credit Agreement, the occurrence of a change of control transaction could constitute an event of default permitting acceleration of the indebtedness, thereby impeding our ability to enter into certain transactions.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of America as the sole and exclusive forum for claims arising under the Securities Act of 1933, as amended (the “Securities Act”), which, in each case, could limit our stockholders’ ability to obtain a favorable judicial forum for disputes with us or our directors, officers, employees, agents or other stockholders.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includes a forum selection provision. To the fullest extent permitted by law, any person or entity purchasing or otherwise acquiring or holding any interest in any shares of our capital stock shall be deemed to have notice of and consented to the forum selection.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our forum selection provision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equity securities by us may have a material adverse effect on the market price of our common stock.</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future, we may attempt to obtain financing or to further increase our capital resources by issuing additional shares of our common stock or by offering debt or other equity securities, including senior or subordinated notes and debt securities convertible into equity or shares of preferred stock.</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paying any dividends on our common stock in the foreseeable future.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do not expect to declare or pay any cash or other dividends on our common stock in the foreseeable future because we intend to invest cash generated by operations in the growth of our business. Our Credit Agreement for our debt facilities restricts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future issuance of additional common stock in connection with the First Watch Restaurant Group, Inc. 2021 Equity Incentive Plan (the “2021 Equity Plan”) and the First Watch Restaurant Group, Inc. 2017 Omnibus Equity Incentive Plan (the “2017 Equity Plan”) will dilute all other stockholdings.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28, 2025, we had an aggregate of 13,768,368 shares of common stock authorized for issuance under the 2021 Equity Plan and 2017 Equity Plan. Additionally, the 2021 Equity Plan contains an “evergreen provision,” pursuant to which the aggregate number of shares available for issuance will automatically increase on the first day of each fiscal year, beginning on December 26, 2022 and continuing for each fiscal year until, and including, the fiscal year ending on (and including) December 30, 2030. While we do not intend to grant any further awards under the 2017 Equity Plan, we may issue all the shares underlying the awards granted under the 2017 Equity Plan and all of the shares authorized for issuance under the 2021 Equity Plan without any action or approval by our stockholders, subject to certain exceptions. Any common stock issued in connection with the 2021 Equity Plan or the 2017 Equity Plan would dilute the ownership percentage held by existing stockholders.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rely upon the accumulated knowledge, skills and experience of our executive officers and certain other key employees.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adversely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might require additional capital to support business growth and this capital might not be available.</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Volatility in the financial markets like we are currently experiencing could affect our ability to access capital markets at a time when we desire, or need, to do so, which could have an impact on our flexibility to pursue additional expansion opportunities and maintain our desired level of revenue growth in the future.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deploy a cybersecurity program modeled on Center for Internet Security (CIS) Critical Security Controls, commonly referred to as CIS Controls. We believe our program’s control focus provides immediate protection and scalability for our business. Our program defines our governance and management oversight and includes (i) continual employee training to enhance user vigilance and resistance to phishing attempts and cyber-attacks, (ii) evaluation of compliance with privacy and data security regulations and (iii) reporting obligations in the event of an incident. As part of our program, we partner with a security operations center for continuous monitoring and alerting across all of our information technology systems. Additionally, our Information Technology leadership meets monthly with a cyber advisor to review progress on tools, scoring and management of our cybersecurity programs.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developed vendor scoring criteria to assess cybersecurity, incidence readiness and cyber insurance of our critical vendors and service providers. Additionally, we conduct ongoing internal and external vulnerability and penetration scans. Our internal security team is led by a manager with over 40 years of experience in information technology and cybersecurity, who reports directly to our Chief Information Officer.</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Security incidents or breaches have from time to time occurred and may in the future occur involving our systems, the systems of the parties with whom we communicate or collaborate (including franchisees) or the systems of third-party providers. As of the date of this Annual Report on Form 10-K, we have not experienced cybersecurity threats or incidents that have materially affected us. However, any actual or perceived breach in the security of our information technology systems or those of our franchisees or our critical vendors and service providers could lead to damage to or failure of our computer systems or network infrastructure which could cause an interruption in our operations, cause reputational harm, and could have a material adverse effect on our business. Furthermore, a significant theft, loss, disclosure, modification or misappropriation of, or access to, guests’, employees’, third parties’ or other proprietary data or other breach of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information technology systems could subject us or our franchisees to litigation or to actions by regulatory authorities. See also Item 1A. “</w:t>
      </w:r>
      <w:r>
        <w:rPr>
          <w:rFonts w:ascii="Times New Roman" w:cs="Times New Roman" w:eastAsia="Times New Roman" w:hAnsi="Times New Roman"/>
          <w:sz w:val="14"/>
          <w:szCs w:val="14"/>
          <w:i w:val="1"/>
          <w:iCs w:val="1"/>
          <w:color w:val="auto"/>
        </w:rPr>
        <w:t>Risk Factors - Risks Related to Information Technology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Intellectual Property—Information technology system failures or breaches of our network security could interrupt our operations and have a material adverse effect on our business, financial condition and results of operations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Audit Committee of our Board of Directors is tasked with oversight of certain risk issues, including cybersecurity. The Audit Committee receives reports on cybersecurity at least twice annually from the Company’s Chief Information Officer (our “CIO”), who has over 25 years of experience in the management of information technology systems and cybersecurity. These reports cover trends vulnerability management, cybersecurity posture, risk assessment findings, incident responses and updates on technology initiatives. The Audit Committee briefs the full Board of Directors on these matters as a part of its reports of its meetings.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Were a cybersecurity incident to occur or were we to identify a vulnerability, our CIO and our internal security team are responsible for leading the initial risk assessment, including the engagement of external experts, if necessary, and our Audit Committee or full Board may also be consulted. If a breach of our control structure were to occur, our executive leadership team, Audit Committee and counsel would be briefed by the CIO and a determination would be made on whether such issue is material to warrant disclosure.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We lease all our company-owned restaurant locations and our corporate headquarters. As of December 28, 2025, we had 560 company-owned restaurants and 73 franchise-owned restaurants located in 32 states, including a large presence in Florida, Texas, Ohio, North Carolina and Arizona. As of December 28, 2025, company-owned and franchise-owned restaurants by jurisdiction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Franchise-owned</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Alabama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Arizona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Arkansas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Colorado</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Georgia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Idaho</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Illinois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Indiana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Kentucky</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Louisiana</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Maryland</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Massachusetts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Michigan</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Mississippi</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Missouri</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Nebraska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Nevada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Jersey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 Carolina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Ohio</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Oklahoma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Pennsylvania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Carolina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Tennessee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Texas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Virginia</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 Virginia</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Wisconsin</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6"/>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Nasdaq under the symbol “FWRG.”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February 20, 2026, there were 3 stockholders of record of our common stock. The number of record holders does not include persons who held shares of our common stock in nominee or “street name” accounts through brokers.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currently intend to pay cash dividends on our common stock in the foreseeable future. However, in the future, subject to the factors described below and our future liquidity and capitalization, we may change this policy and choose to pay dividends. Additionally, our ability to pay dividends is currently restricted by the terms of our Credit Agreement.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 Any future determination to pay dividends will be at the discretion of our Board and will take into account: (i) restrictions in our debt instruments, including our Credit Agreement; (ii) general economic business conditions; (iii) our earnings, financial condition, and results of operations; (iv) our capital requirements; (v) our prospects; (vi) legal restrictions; and (vii) such other factors as our Board may deem relevant.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Cumulative Stock Performance Graph</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following graph compares the cumulative annual stockholders return on our common stock from October 1, 2021, the date our common stock began trading on Nasdaq, through December 28, 2025, to that of the total return index for the Nasdaq Composite Index and the S&amp;P Restaurants Index assuming an investment of $100 on October 1, 2021. The graph uses the closing market price on October 1, 2021 of $22.13 per share as the initial value of our common stock. In calculating total annual stockholder return, reinvestment of dividends, if any, is assumed. The indices are included for comparative purposes only. They do not necessarily reflect Management’s opinion that such indices are an appropriate measure of the relative performance of our common stock. The values shown are neither indicative nor determinative of future performance. Information used in the graph and table was obtained from Zacks Investment Research, a source believed to be reliable, but we are not responsible for any errors or omissions in such information. This graph is not “soliciting material,” is not deemed filed with the SEC and is not to be incorporated by reference in any of our filings under the Securities Act of 1933, as amended,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4446270" cy="2256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46270" cy="225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1, 2021</w:t>
            </w:r>
          </w:p>
        </w:tc>
        <w:tc>
          <w:tcPr>
            <w:tcW w:w="1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26, 2021</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 2022</w:t>
            </w:r>
          </w:p>
        </w:tc>
        <w:tc>
          <w:tcPr>
            <w:tcW w:w="1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160" w:type="dxa"/>
            <w:vAlign w:val="bottom"/>
          </w:tcPr>
          <w:p>
            <w:pPr>
              <w:spacing w:after="0"/>
              <w:rPr>
                <w:sz w:val="16"/>
                <w:szCs w:val="16"/>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108"/>
        </w:trPr>
        <w:tc>
          <w:tcPr>
            <w:tcW w:w="164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First Watch Restaurant</w:t>
            </w:r>
          </w:p>
        </w:tc>
        <w:tc>
          <w:tcPr>
            <w:tcW w:w="1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r>
      <w:tr>
        <w:trPr>
          <w:trHeight w:val="18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Group,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71.85</w:t>
            </w:r>
          </w:p>
        </w:tc>
      </w:tr>
      <w:tr>
        <w:trPr>
          <w:trHeight w:val="178"/>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Nasdaq Composite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107.62</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72.77</w:t>
            </w:r>
          </w:p>
        </w:tc>
        <w:tc>
          <w:tcPr>
            <w:tcW w:w="10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138.90</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167.24</w:t>
            </w:r>
          </w:p>
        </w:tc>
      </w:tr>
      <w:tr>
        <w:trPr>
          <w:trHeight w:val="18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S&amp;P Restaurants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83.75</w:t>
            </w:r>
          </w:p>
        </w:tc>
      </w:tr>
    </w:tbl>
    <w:p>
      <w:pPr>
        <w:spacing w:after="0" w:line="3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color w:val="auto"/>
        </w:rPr>
        <w:t>[Reserved]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First Watch is an award-winning Daytime Dining concept serving made-to-order breakfast, brunch and lunch using fresh ingredients. Our common stock trades on Nasdaq under the ticker symbol “FWRG.” A recipient of many local “Best Breakfast” and “Best Brunch” accolades, First Watch’s award-winning chef-driven menu includes elevated executions of classic favorites for breakfast, brunch and lunch. For four consecutive years, First Watch has been named a Top 100 Most Loved Workplace® by the Best Practice Institute, and in 2025, was named the #1 Most Loved Workplace for the second year in a row, featured in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Also, in 2025, First Watch was named one of Yelp’s Most-Loved Brands nationwide.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and franchise restaurants in 32 states under the “First Watch” trade name and as of December 28, 2025, had 560 company-owned restaurants and 73 franchise-owned restaurants. We do not operate outside of the United States.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52- or 53-week fiscal years end on the last Sunday of each calendar year. Our fiscal quarters are comprised of 13 weeks each and end on the 13th Sunday of each quarter, except for 53-week years, during which the fourth quarter ends on the 14th Sunday of the fourth quarter. All references to 2025 and 2024 reflect the results of the 52-week fiscal years ended December 28, 2025 and December 29, 2024, respectively. All references to 2023 reflect the results of the 53-week fiscal year ended December 31, 2023 unless otherwise stated. We report financial and operating information in one segment.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This section of this Annual Report on the Form 10-K generally discusses Fiscal 2025 and Fiscal 2024 and year-over-year comparisons between Fiscal 2025 and Fiscal 2024. A discussion of Fiscal 2023 and year-over-year comparisons between Fiscal 2024 and Fiscal 2023 that are not included in this Annual Report on Form 10-K can be found in Part II, Item </w:t>
      </w:r>
      <w:r>
        <w:rPr>
          <w:rFonts w:ascii="Times New Roman" w:cs="Times New Roman" w:eastAsia="Times New Roman" w:hAnsi="Times New Roman"/>
          <w:sz w:val="14"/>
          <w:szCs w:val="14"/>
          <w:i w:val="1"/>
          <w:iCs w:val="1"/>
          <w:color w:val="auto"/>
        </w:rPr>
        <w:t>7. “Management’s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Analysis of Financial Condition and Results of Operations” </w:t>
      </w:r>
      <w:r>
        <w:rPr>
          <w:rFonts w:ascii="Times New Roman" w:cs="Times New Roman" w:eastAsia="Times New Roman" w:hAnsi="Times New Roman"/>
          <w:sz w:val="14"/>
          <w:szCs w:val="14"/>
          <w:color w:val="auto"/>
        </w:rPr>
        <w:t>in our Annual Report on Form 10-K for the fiscal year ended December 31, 2023, as filed with the SEC on March 5,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Indicators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Throughout this</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we commonly discuss the following key operating metrics that we believe will drive our financial results and long-term growth model. We believe these metrics are useful to investors because our Management uses these metrics to evaluate performance and assess the growth of our business as well as the effectiveness of our marketing and operational strategies.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Restaurant Openings </w:t>
      </w:r>
      <w:r>
        <w:rPr>
          <w:rFonts w:ascii="Times New Roman" w:cs="Times New Roman" w:eastAsia="Times New Roman" w:hAnsi="Times New Roman"/>
          <w:sz w:val="14"/>
          <w:szCs w:val="14"/>
          <w:color w:val="auto"/>
        </w:rPr>
        <w:t>(“NROs”): the number of new company-owned First Watch restaurants commencing operations during the period. Management reviews the number of new restaurants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assess new restaurant growth and company-owned restaurant sales.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Franchise-owned New Restaurant Openings </w:t>
      </w:r>
      <w:r>
        <w:rPr>
          <w:rFonts w:ascii="Times New Roman" w:cs="Times New Roman" w:eastAsia="Times New Roman" w:hAnsi="Times New Roman"/>
          <w:sz w:val="14"/>
          <w:szCs w:val="14"/>
          <w:color w:val="auto"/>
        </w:rPr>
        <w:t>(“Franchise-owned NROs”): the number of new franchise-owned First Watch restaurants commencing operations during the period.</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Same-Restaurant Sales Growth</w:t>
      </w:r>
      <w:r>
        <w:rPr>
          <w:rFonts w:ascii="Times New Roman" w:cs="Times New Roman" w:eastAsia="Times New Roman" w:hAnsi="Times New Roman"/>
          <w:sz w:val="14"/>
          <w:szCs w:val="14"/>
          <w:color w:val="auto"/>
        </w:rPr>
        <w:t>: the percentage change in year-over-year restaurant sales (excluding gift card breakage) for the comparable restaurant base, which we define as the number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company-owned First Watch branded restaurants open for 18 months or longer as of the beginning of the fiscal year (“Comparable Restaurant Base”). This operating metric compares the 52-week periods ended December 28, 2025, December 29, 2024 and December 31, 2023, rather than, the 53-week fiscal year ended December 31, 2023, in order to compare like-for-like periods. For the 52-weeks ended December 28, 2025, December 29, 2024 and December 31, 2023 there were 381, 344 and 327 restaurants, in our Comparable Restaurant Base, respectively.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Same-Restaurant Traffic Growth</w:t>
      </w:r>
      <w:r>
        <w:rPr>
          <w:rFonts w:ascii="Times New Roman" w:cs="Times New Roman" w:eastAsia="Times New Roman" w:hAnsi="Times New Roman"/>
          <w:sz w:val="14"/>
          <w:szCs w:val="14"/>
          <w:color w:val="auto"/>
        </w:rPr>
        <w:t>: the percentage change in year-over-year traffic counts using the Comparable Restaurant Base. This operating metric compares the 52-week periods ended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December 28, 2025, December 29, 2024 and December 31, 2023, - (rather than the 53-week fiscal year ended December 31, 2023), in order to compare like-for-like periods. Measuring our same-restaurant traffic growth allows our Management to evaluate the performance of our existing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restaurant base. We believe this measure is useful for investors because same-restaurant traffic provides an indicator as to the development of our brand and the effectiveness of our marketing strategy.</w:t>
      </w:r>
    </w:p>
    <w:p>
      <w:pPr>
        <w:spacing w:after="0" w:line="35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Unit Volume </w:t>
      </w:r>
      <w:r>
        <w:rPr>
          <w:rFonts w:ascii="Times New Roman" w:cs="Times New Roman" w:eastAsia="Times New Roman" w:hAnsi="Times New Roman"/>
          <w:sz w:val="14"/>
          <w:szCs w:val="14"/>
          <w:color w:val="auto"/>
        </w:rPr>
        <w:t>(“AUV”): the total restaurant sales (excluding gift card breakage) recognized in the Comparable Restaurant Base, divided by the number of restaurants in the Comparable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Restaurant Base during the period. This measurement allows Management to assess changes in consumer spending patterns at our restaurants and the overall performance of our restaurant base.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System-wide restaurants</w:t>
      </w:r>
      <w:r>
        <w:rPr>
          <w:rFonts w:ascii="Times New Roman" w:cs="Times New Roman" w:eastAsia="Times New Roman" w:hAnsi="Times New Roman"/>
          <w:sz w:val="14"/>
          <w:szCs w:val="14"/>
          <w:color w:val="auto"/>
        </w:rPr>
        <w:t>: the total number of restaurants, including all company-owned and franchise-owned restaurants.</w:t>
      </w:r>
    </w:p>
    <w:p>
      <w:pPr>
        <w:spacing w:after="0" w:line="20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System-wide sales</w:t>
      </w:r>
      <w:r>
        <w:rPr>
          <w:rFonts w:ascii="Times New Roman" w:cs="Times New Roman" w:eastAsia="Times New Roman" w:hAnsi="Times New Roman"/>
          <w:sz w:val="14"/>
          <w:szCs w:val="14"/>
          <w:color w:val="auto"/>
        </w:rPr>
        <w:t>: consists of restaurant sales from our company-owned restaurants and franchise-owned restaurants. We do not recognize the restaurant sales from our franchise-owned restaurants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use Restaurant level operating profit and Restaurant level operating profit margin (i) to evaluate the performance and profitability of operating restaurants, individually and in the aggregate, and (ii) to make decisions regarding future spending and other operational decisions.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Adjusted EBITDA</w:t>
      </w:r>
      <w:r>
        <w:rPr>
          <w:rFonts w:ascii="Times New Roman" w:cs="Times New Roman" w:eastAsia="Times New Roman" w:hAnsi="Times New Roman"/>
          <w:sz w:val="14"/>
          <w:szCs w:val="14"/>
          <w:color w:val="auto"/>
        </w:rPr>
        <w:t>: represents Net income before depreciation and amortization, interest expense, income taxes and items that we do not consider in our evaluation of ongoing core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4"/>
          <w:szCs w:val="14"/>
          <w:i w:val="1"/>
          <w:iCs w:val="1"/>
          <w:color w:val="auto"/>
        </w:rPr>
        <w:t>Non-GAAP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 Reconciliations </w:t>
      </w:r>
      <w:r>
        <w:rPr>
          <w:rFonts w:ascii="Times New Roman" w:cs="Times New Roman" w:eastAsia="Times New Roman" w:hAnsi="Times New Roman"/>
          <w:sz w:val="14"/>
          <w:szCs w:val="14"/>
          <w:color w:val="auto"/>
        </w:rPr>
        <w:t>below</w:t>
      </w:r>
      <w:r>
        <w:rPr>
          <w:rFonts w:ascii="Times New Roman" w:cs="Times New Roman" w:eastAsia="Times New Roman" w:hAnsi="Times New Roman"/>
          <w:sz w:val="14"/>
          <w:szCs w:val="14"/>
          <w:i w:val="1"/>
          <w:iCs w:val="1"/>
          <w:color w:val="auto"/>
        </w:rPr>
        <w:t>.</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Adjusted EBITDA Margin</w:t>
      </w:r>
      <w:r>
        <w:rPr>
          <w:rFonts w:ascii="Times New Roman" w:cs="Times New Roman" w:eastAsia="Times New Roman" w:hAnsi="Times New Roman"/>
          <w:sz w:val="14"/>
          <w:szCs w:val="14"/>
          <w:color w:val="auto"/>
        </w:rPr>
        <w:t>: represents Adjusted EBITDA as a percentage of total revenues. See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Non-GAAP Financial Measure Reconciliations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below for a reconciliation to Net income margin,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most directly comparable GAAP measure.</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Restaurant Level Operating Profit</w:t>
      </w:r>
      <w:r>
        <w:rPr>
          <w:rFonts w:ascii="Times New Roman" w:cs="Times New Roman" w:eastAsia="Times New Roman" w:hAnsi="Times New Roman"/>
          <w:sz w:val="14"/>
          <w:szCs w:val="14"/>
          <w:color w:val="auto"/>
        </w:rPr>
        <w:t>: represents restaurant sales, less restaurant operating expenses, which include food and beverage costs, labor and other related expenses, other restaurant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4"/>
          <w:szCs w:val="14"/>
          <w:i w:val="1"/>
          <w:iCs w:val="1"/>
          <w:color w:val="auto"/>
        </w:rPr>
        <w:t>Non-GAAP Financial Measure Reconciliations</w:t>
      </w:r>
      <w:r>
        <w:rPr>
          <w:rFonts w:ascii="Times New Roman" w:cs="Times New Roman" w:eastAsia="Times New Roman" w:hAnsi="Times New Roman"/>
          <w:sz w:val="14"/>
          <w:szCs w:val="14"/>
          <w:color w:val="auto"/>
        </w:rPr>
        <w:t xml:space="preserve"> below.</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Restaurant Level Operating Profit Margin</w:t>
      </w:r>
      <w:r>
        <w:rPr>
          <w:rFonts w:ascii="Times New Roman" w:cs="Times New Roman" w:eastAsia="Times New Roman" w:hAnsi="Times New Roman"/>
          <w:sz w:val="14"/>
          <w:szCs w:val="14"/>
          <w:color w:val="auto"/>
        </w:rPr>
        <w:t>: represents Restaurant level operating profit as a percentage of restaurant sales. See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Non-GAAP Financial Measure Reconciliations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below for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reconciliation to Income from operations margin, the most directly comparable GAAP measure.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financial results of 2025 reflect the continued growth of the Company. In 2025, we executed our growth strategy with 55 new restaurant openings and the acquisition of 19 operating restaurants from our franchisees.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highlights for 2025 as compared to 2024 include the following:</w:t>
      </w:r>
    </w:p>
    <w:p>
      <w:pPr>
        <w:spacing w:after="0" w:line="200" w:lineRule="exact"/>
        <w:rPr>
          <w:sz w:val="20"/>
          <w:szCs w:val="20"/>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revenues increased 20.3% to $1.2 billion from $1.0 billion in 2024</w:t>
      </w:r>
    </w:p>
    <w:p>
      <w:pPr>
        <w:spacing w:after="0" w:line="23"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increased to $1.4 billion from $1.2 billion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Same-restaurant sales growth of 3.6%</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Same-restaurant traffic growth of 0.5%</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operations decreased to $27.5 million from $38.9 million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operations margin decreased to 2.3% from 3.9%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Restaurant level operating profit* increased to $224.1 million from $201.8 million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Restaurant level operating profit margin* decreased to 18.5% from 20.1%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increased to $19.4 million from $18.9 million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increased to $120.9 million from $113.8 million in 2024</w:t>
      </w:r>
    </w:p>
    <w:p>
      <w:pPr>
        <w:spacing w:after="0" w:line="8" w:lineRule="exact"/>
        <w:rPr>
          <w:rFonts w:ascii="Times New Roman" w:cs="Times New Roman" w:eastAsia="Times New Roman" w:hAnsi="Times New Roman"/>
          <w:sz w:val="14"/>
          <w:szCs w:val="14"/>
          <w:color w:val="auto"/>
        </w:rPr>
      </w:pPr>
    </w:p>
    <w:p>
      <w:pPr>
        <w:ind w:left="440" w:hanging="308"/>
        <w:spacing w:after="0"/>
        <w:tabs>
          <w:tab w:leader="none" w:pos="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Opened 64 system-wide restaurants (55 company-owned and 9 franchise-owned) across 23 states, resulting in a total of 633 system-wide restaurants (560 company-owned and 73 franchise-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owned) across 32 states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w:t>
      </w:r>
    </w:p>
    <w:p>
      <w:pPr>
        <w:spacing w:after="0" w:line="178" w:lineRule="exact"/>
        <w:rPr>
          <w:sz w:val="20"/>
          <w:szCs w:val="20"/>
          <w:color w:val="auto"/>
        </w:rPr>
      </w:pPr>
    </w:p>
    <w:p>
      <w:pPr>
        <w:ind w:left="100" w:hanging="95"/>
        <w:spacing w:after="0"/>
        <w:tabs>
          <w:tab w:leader="none" w:pos="1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Financial Measure Reconciliations</w:t>
      </w:r>
      <w:r>
        <w:rPr>
          <w:rFonts w:ascii="Times New Roman" w:cs="Times New Roman" w:eastAsia="Times New Roman" w:hAnsi="Times New Roman"/>
          <w:sz w:val="13"/>
          <w:szCs w:val="13"/>
          <w:color w:val="auto"/>
        </w:rPr>
        <w:t xml:space="preserve"> section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Trends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2025, our same-restaurant sales growth was 3.6% with positive traffic growth. We expect annual same-restaurant sales growth in 2026 to be between 1% and 3%.</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Commodity inflation was 5.0% in 2025, largely driven by eggs, coffee, avocado and bacon. We expect 2026 commodity prices to increase approximately 1% to 3% as compared to the prior year, primarily related to coffee.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Restaurant level labor inflation during 2025 was 3.7%, largely offset by price increases. At year end, we were staffed with over 100 managers to lead and operate future new company-owned restaurants. We expect 3% to 5% labor inflation in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Continuing our growth strategy, we intend to open 59 to 63 net new system-wide restaurants in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Highlights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During 2025, we had a total of 64 new system-wide restaurants in 23 states. Three company-owned restaurants closed in 2025. We also acquired 19 operating restaurants from our franchisees in the execution of our growth strategy. See Note 3,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 in the accompanying notes to the consolidated financial statements for additional information. At December 28, 2025, the Company had a total of 633 system-wide restaurants.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1920" w:type="dxa"/>
            <w:vAlign w:val="bottom"/>
            <w:tcBorders>
              <w:bottom w:val="single" w:sz="8" w:color="auto"/>
            </w:tcBorders>
          </w:tcPr>
          <w:p>
            <w:pPr>
              <w:spacing w:after="0"/>
              <w:rPr>
                <w:sz w:val="16"/>
                <w:szCs w:val="16"/>
                <w:color w:val="auto"/>
              </w:rPr>
            </w:pPr>
          </w:p>
        </w:tc>
      </w:tr>
      <w:tr>
        <w:trPr>
          <w:trHeight w:val="171"/>
        </w:trPr>
        <w:tc>
          <w:tcPr>
            <w:tcW w:w="5320" w:type="dxa"/>
            <w:vAlign w:val="bottom"/>
          </w:tcPr>
          <w:p>
            <w:pPr>
              <w:spacing w:after="0"/>
              <w:rPr>
                <w:sz w:val="14"/>
                <w:szCs w:val="1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Franchise-owned</w:t>
            </w:r>
          </w:p>
        </w:tc>
        <w:tc>
          <w:tcPr>
            <w:tcW w:w="192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 of period</w:t>
            </w:r>
          </w:p>
        </w:tc>
        <w:tc>
          <w:tcPr>
            <w:tcW w:w="16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r>
      <w:tr>
        <w:trPr>
          <w:trHeight w:val="17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restaurants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8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 of franchise-owned restaurants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Closures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2020" w:type="dxa"/>
            <w:vAlign w:val="bottom"/>
            <w:gridSpan w:val="2"/>
          </w:tcPr>
          <w:p>
            <w:pPr>
              <w:jc w:val="center"/>
              <w:ind w:left="1534"/>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End of period</w:t>
            </w:r>
          </w:p>
        </w:tc>
        <w:tc>
          <w:tcPr>
            <w:tcW w:w="1600" w:type="dxa"/>
            <w:vAlign w:val="bottom"/>
            <w:tcBorders>
              <w:top w:val="single" w:sz="8" w:color="auto"/>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to open between 53 to 55 company-owned restaurants and 9 to 11 franchise-owned restaurants during 2026. We also plan to close three company-owned restaurants, resulting in a total of 59 to 63 net new system-wide restaurants in 2026.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0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weeks in fiscal year</w:t>
            </w: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52</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w:t>
            </w:r>
          </w:p>
        </w:tc>
      </w:tr>
      <w:tr>
        <w:trPr>
          <w:trHeight w:val="17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System-wide restaurants</w:t>
            </w:r>
          </w:p>
        </w:tc>
        <w:tc>
          <w:tcPr>
            <w:tcW w:w="138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633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572</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524</w:t>
            </w:r>
          </w:p>
        </w:tc>
      </w:tr>
      <w:tr>
        <w:trPr>
          <w:trHeight w:val="183"/>
        </w:trPr>
        <w:tc>
          <w:tcPr>
            <w:tcW w:w="4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Company-owned</w:t>
            </w:r>
          </w:p>
        </w:tc>
        <w:tc>
          <w:tcPr>
            <w:tcW w:w="13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489</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425</w:t>
            </w:r>
          </w:p>
        </w:tc>
      </w:tr>
      <w:tr>
        <w:trPr>
          <w:trHeight w:val="178"/>
        </w:trPr>
        <w:tc>
          <w:tcPr>
            <w:tcW w:w="45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Franchise-owned</w:t>
            </w:r>
          </w:p>
        </w:tc>
        <w:tc>
          <w:tcPr>
            <w:tcW w:w="138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83</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99</w:t>
            </w:r>
          </w:p>
        </w:tc>
      </w:tr>
      <w:tr>
        <w:trPr>
          <w:trHeight w:val="18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System-wide sales (in thousands)</w:t>
            </w:r>
          </w:p>
        </w:tc>
        <w:tc>
          <w:tcPr>
            <w:tcW w:w="13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1,375,045</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1,184,469</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1,103,089</w:t>
            </w:r>
          </w:p>
        </w:tc>
      </w:tr>
      <w:tr>
        <w:trPr>
          <w:trHeight w:val="180"/>
        </w:trPr>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Same-restaurant sales growth </w:t>
            </w:r>
            <w:r>
              <w:rPr>
                <w:rFonts w:ascii="Times New Roman" w:cs="Times New Roman" w:eastAsia="Times New Roman" w:hAnsi="Times New Roman"/>
                <w:sz w:val="17"/>
                <w:szCs w:val="17"/>
                <w:color w:val="auto"/>
                <w:vertAlign w:val="superscript"/>
              </w:rPr>
              <w:t>(1)</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7.6 %</w:t>
            </w:r>
          </w:p>
        </w:tc>
      </w:tr>
      <w:tr>
        <w:trPr>
          <w:trHeight w:val="180"/>
        </w:trPr>
        <w:tc>
          <w:tcPr>
            <w:tcW w:w="4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Same-restaurant traffic growth </w:t>
            </w:r>
            <w:r>
              <w:rPr>
                <w:rFonts w:ascii="Times New Roman" w:cs="Times New Roman" w:eastAsia="Times New Roman" w:hAnsi="Times New Roman"/>
                <w:sz w:val="17"/>
                <w:szCs w:val="17"/>
                <w:color w:val="auto"/>
                <w:vertAlign w:val="superscript"/>
              </w:rPr>
              <w:t>(1)</w:t>
            </w:r>
          </w:p>
        </w:tc>
        <w:tc>
          <w:tcPr>
            <w:tcW w:w="1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7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AUV (in thousands)</w:t>
            </w:r>
          </w:p>
        </w:tc>
        <w:tc>
          <w:tcPr>
            <w:tcW w:w="138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2,294</w:t>
            </w:r>
          </w:p>
        </w:tc>
        <w:tc>
          <w:tcPr>
            <w:tcW w:w="16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2,204</w:t>
            </w:r>
          </w:p>
        </w:tc>
        <w:tc>
          <w:tcPr>
            <w:tcW w:w="180" w:type="dxa"/>
            <w:vAlign w:val="bottom"/>
          </w:tcPr>
          <w:p>
            <w:pPr>
              <w:spacing w:after="0"/>
              <w:rPr>
                <w:sz w:val="15"/>
                <w:szCs w:val="15"/>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2,250</w:t>
            </w:r>
          </w:p>
        </w:tc>
      </w:tr>
      <w:tr>
        <w:trPr>
          <w:trHeight w:val="18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 (in thousands)</w:t>
            </w:r>
          </w:p>
        </w:tc>
        <w:tc>
          <w:tcPr>
            <w:tcW w:w="138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27,511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38,907</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41,267</w:t>
            </w:r>
          </w:p>
        </w:tc>
      </w:tr>
      <w:tr>
        <w:trPr>
          <w:trHeight w:val="17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from operations margin</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83"/>
        </w:trPr>
        <w:tc>
          <w:tcPr>
            <w:tcW w:w="45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 xml:space="preserve">Restaurant level operating profit (in thousands) </w:t>
            </w:r>
            <w:r>
              <w:rPr>
                <w:rFonts w:ascii="Times New Roman" w:cs="Times New Roman" w:eastAsia="Times New Roman" w:hAnsi="Times New Roman"/>
                <w:sz w:val="17"/>
                <w:szCs w:val="17"/>
                <w:color w:val="auto"/>
                <w:vertAlign w:val="superscript"/>
              </w:rPr>
              <w:t>(2)</w:t>
            </w:r>
          </w:p>
        </w:tc>
        <w:tc>
          <w:tcPr>
            <w:tcW w:w="138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224,125</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201,761</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175,658</w:t>
            </w:r>
          </w:p>
        </w:tc>
      </w:tr>
      <w:tr>
        <w:trPr>
          <w:trHeight w:val="180"/>
        </w:trPr>
        <w:tc>
          <w:tcPr>
            <w:tcW w:w="45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Restaurant level operating profit margin </w:t>
            </w:r>
            <w:r>
              <w:rPr>
                <w:rFonts w:ascii="Times New Roman" w:cs="Times New Roman" w:eastAsia="Times New Roman" w:hAnsi="Times New Roman"/>
                <w:sz w:val="17"/>
                <w:szCs w:val="17"/>
                <w:color w:val="auto"/>
                <w:vertAlign w:val="superscript"/>
              </w:rPr>
              <w:t>(2)</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20.1 %</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8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(in thousands)</w:t>
            </w:r>
          </w:p>
        </w:tc>
        <w:tc>
          <w:tcPr>
            <w:tcW w:w="138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19,432</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18,925</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25,385</w:t>
            </w:r>
          </w:p>
        </w:tc>
      </w:tr>
      <w:tr>
        <w:trPr>
          <w:trHeight w:val="17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margin</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83"/>
        </w:trPr>
        <w:tc>
          <w:tcPr>
            <w:tcW w:w="45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 xml:space="preserve">Adjusted EBITDA (in thousands) </w:t>
            </w:r>
            <w:r>
              <w:rPr>
                <w:rFonts w:ascii="Times New Roman" w:cs="Times New Roman" w:eastAsia="Times New Roman" w:hAnsi="Times New Roman"/>
                <w:sz w:val="17"/>
                <w:szCs w:val="17"/>
                <w:color w:val="auto"/>
                <w:vertAlign w:val="superscript"/>
              </w:rPr>
              <w:t>(3)</w:t>
            </w:r>
          </w:p>
        </w:tc>
        <w:tc>
          <w:tcPr>
            <w:tcW w:w="138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120,918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113,836</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99,483</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Adjusted EBITDA margin </w:t>
            </w:r>
            <w:r>
              <w:rPr>
                <w:rFonts w:ascii="Times New Roman" w:cs="Times New Roman" w:eastAsia="Times New Roman" w:hAnsi="Times New Roman"/>
                <w:sz w:val="17"/>
                <w:szCs w:val="17"/>
                <w:color w:val="auto"/>
                <w:vertAlign w:val="superscript"/>
              </w:rPr>
              <w:t>(3)</w:t>
            </w:r>
          </w:p>
        </w:tc>
        <w:tc>
          <w:tcPr>
            <w:tcW w:w="1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w:t>
      </w:r>
    </w:p>
    <w:p>
      <w:pPr>
        <w:spacing w:after="0" w:line="12" w:lineRule="exact"/>
        <w:rPr>
          <w:sz w:val="20"/>
          <w:szCs w:val="20"/>
          <w:color w:val="auto"/>
        </w:rPr>
      </w:pPr>
    </w:p>
    <w:p>
      <w:pPr>
        <w:ind w:left="180" w:hanging="175"/>
        <w:spacing w:after="0"/>
        <w:tabs>
          <w:tab w:leader="none" w:pos="1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Comparing the 52-week periods ended December 28, 2025, December 29, 2024 and December 31, 2023 in order to compare like-for-like periods. See “Key Performance Indicators” for additional information.</w:t>
      </w:r>
    </w:p>
    <w:p>
      <w:pPr>
        <w:ind w:left="180" w:hanging="175"/>
        <w:spacing w:after="0"/>
        <w:tabs>
          <w:tab w:leader="none" w:pos="18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Reconciliations from Income from operations and Income from operations margin, the most comparable GAAP measures to Restaurant level operating profit and Restaurant level operating profit margin, respectively,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are set forth in the schedules within the </w:t>
      </w:r>
      <w:r>
        <w:rPr>
          <w:rFonts w:ascii="Times New Roman" w:cs="Times New Roman" w:eastAsia="Times New Roman" w:hAnsi="Times New Roman"/>
          <w:sz w:val="13"/>
          <w:szCs w:val="13"/>
          <w:i w:val="1"/>
          <w:iCs w:val="1"/>
          <w:color w:val="auto"/>
        </w:rPr>
        <w:t>Non-GAAP Financial Measure Reconciliations</w:t>
      </w:r>
      <w:r>
        <w:rPr>
          <w:rFonts w:ascii="Times New Roman" w:cs="Times New Roman" w:eastAsia="Times New Roman" w:hAnsi="Times New Roman"/>
          <w:sz w:val="13"/>
          <w:szCs w:val="13"/>
          <w:color w:val="auto"/>
        </w:rPr>
        <w:t xml:space="preserve"> section below.</w:t>
      </w:r>
    </w:p>
    <w:p>
      <w:pPr>
        <w:spacing w:after="0" w:line="7" w:lineRule="exact"/>
        <w:rPr>
          <w:sz w:val="20"/>
          <w:szCs w:val="20"/>
          <w:color w:val="auto"/>
        </w:rPr>
      </w:pPr>
    </w:p>
    <w:p>
      <w:pPr>
        <w:ind w:firstLine="5"/>
        <w:spacing w:after="0" w:line="258" w:lineRule="auto"/>
        <w:tabs>
          <w:tab w:leader="none" w:pos="184"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Reconciliations from Net income and Net income margin, the most comparable GAAP measures to Adjusted EBITDA and Adjusted EBITDA margin, respectively, are set forth in the schedules within the </w:t>
      </w:r>
      <w:r>
        <w:rPr>
          <w:rFonts w:ascii="Times New Roman" w:cs="Times New Roman" w:eastAsia="Times New Roman" w:hAnsi="Times New Roman"/>
          <w:sz w:val="13"/>
          <w:szCs w:val="13"/>
          <w:i w:val="1"/>
          <w:iCs w:val="1"/>
          <w:color w:val="auto"/>
        </w:rPr>
        <w:t>Non-GAAP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Financial Measure Reconciliations </w:t>
      </w:r>
      <w:r>
        <w:rPr>
          <w:rFonts w:ascii="Times New Roman" w:cs="Times New Roman" w:eastAsia="Times New Roman" w:hAnsi="Times New Roman"/>
          <w:sz w:val="13"/>
          <w:szCs w:val="13"/>
          <w:color w:val="auto"/>
        </w:rPr>
        <w:t>section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discussion that follows includes a comparison of our results of operations for 2025 and 2024.</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results of operations and the percentages of items in our Consolidated Statements of Operations and Comprehensive Income in relation to Total revenues or, where indicated, Restaurant sales for 2025 and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r>
      <w:tr>
        <w:trPr>
          <w:trHeight w:val="16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Restaurant sales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1,212,173</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99.2 %</w:t>
            </w:r>
          </w:p>
        </w:tc>
        <w:tc>
          <w:tcPr>
            <w:tcW w:w="22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1,004,355</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98.9 %</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Franchise revenues</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10,328</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11,555</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58"/>
        </w:trPr>
        <w:tc>
          <w:tcPr>
            <w:tcW w:w="6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1,222,501</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1,015,910</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642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Restaurant operating expenses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(exclusive of depreciation and amortization shown below):</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Food and beverage costs</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280,098</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23.1 %</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223,097</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22.2 %</w:t>
            </w:r>
          </w:p>
        </w:tc>
      </w:tr>
      <w:tr>
        <w:trPr>
          <w:trHeight w:val="17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Labor and other related expenses</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405,544</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33.5 %</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335,038</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33.4 %</w:t>
            </w:r>
          </w:p>
        </w:tc>
      </w:tr>
      <w:tr>
        <w:trPr>
          <w:trHeight w:val="183"/>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restaurant operating expenses</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188,685</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151,968</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15.1 %</w:t>
            </w:r>
          </w:p>
        </w:tc>
      </w:tr>
      <w:tr>
        <w:trPr>
          <w:trHeight w:val="17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Occupancy expenses</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100,788</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82,694</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r>
      <w:tr>
        <w:trPr>
          <w:trHeight w:val="183"/>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Pre-opening expenses</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128,950</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113,270</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11.1 %</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75,011</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57,715</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Impairments and loss on disposal of assets</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4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 net</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58"/>
        </w:trPr>
        <w:tc>
          <w:tcPr>
            <w:tcW w:w="6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1,194,990</w:t>
            </w:r>
          </w:p>
        </w:tc>
        <w:tc>
          <w:tcPr>
            <w:tcW w:w="4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97.7 %</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977,003</w:t>
            </w:r>
          </w:p>
        </w:tc>
        <w:tc>
          <w:tcPr>
            <w:tcW w:w="4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96.2 %</w:t>
            </w:r>
          </w:p>
        </w:tc>
      </w:tr>
      <w:tr>
        <w:trPr>
          <w:trHeight w:val="163"/>
        </w:trPr>
        <w:tc>
          <w:tcPr>
            <w:tcW w:w="64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Income from operations </w:t>
            </w:r>
            <w:r>
              <w:rPr>
                <w:rFonts w:ascii="Times New Roman" w:cs="Times New Roman" w:eastAsia="Times New Roman" w:hAnsi="Times New Roman"/>
                <w:sz w:val="17"/>
                <w:szCs w:val="17"/>
                <w:color w:val="auto"/>
                <w:vertAlign w:val="superscript"/>
              </w:rPr>
              <w:t>(1)</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27,511</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38,907</w:t>
            </w: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w:t>
            </w: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5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28,026</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8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4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(9,101)</w:t>
            </w: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60"/>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As a percentage of restaurant sales.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Restaurant Sales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Restaurant sales:</w:t>
            </w:r>
          </w:p>
        </w:tc>
        <w:tc>
          <w:tcPr>
            <w:tcW w:w="1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8"/>
        </w:trPr>
        <w:tc>
          <w:tcPr>
            <w:tcW w:w="4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In-restaurant dining sales</w:t>
            </w:r>
          </w:p>
        </w:tc>
        <w:tc>
          <w:tcPr>
            <w:tcW w:w="1400" w:type="dxa"/>
            <w:vAlign w:val="bottom"/>
          </w:tcPr>
          <w:p>
            <w:pPr>
              <w:jc w:val="right"/>
              <w:ind w:right="12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982,349</w:t>
            </w:r>
          </w:p>
        </w:tc>
        <w:tc>
          <w:tcPr>
            <w:tcW w:w="100" w:type="dxa"/>
            <w:vAlign w:val="bottom"/>
          </w:tcPr>
          <w:p>
            <w:pPr>
              <w:spacing w:after="0"/>
              <w:rPr>
                <w:sz w:val="15"/>
                <w:szCs w:val="15"/>
                <w:color w:val="auto"/>
              </w:rPr>
            </w:pPr>
          </w:p>
        </w:tc>
        <w:tc>
          <w:tcPr>
            <w:tcW w:w="1380" w:type="dxa"/>
            <w:vAlign w:val="bottom"/>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829,048</w:t>
            </w:r>
          </w:p>
        </w:tc>
        <w:tc>
          <w:tcPr>
            <w:tcW w:w="8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153,301</w:t>
            </w: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18.5 %</w:t>
            </w:r>
          </w:p>
        </w:tc>
      </w:tr>
      <w:tr>
        <w:trPr>
          <w:trHeight w:val="183"/>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Third-party delivery sales</w:t>
            </w:r>
          </w:p>
        </w:tc>
        <w:tc>
          <w:tcPr>
            <w:tcW w:w="1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142,255</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44,811</w:t>
            </w:r>
          </w:p>
        </w:tc>
        <w:tc>
          <w:tcPr>
            <w:tcW w:w="6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46.0 %</w:t>
            </w:r>
          </w:p>
        </w:tc>
      </w:tr>
      <w:tr>
        <w:trPr>
          <w:trHeight w:val="178"/>
        </w:trPr>
        <w:tc>
          <w:tcPr>
            <w:tcW w:w="4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Take-out sales</w:t>
            </w:r>
          </w:p>
        </w:tc>
        <w:tc>
          <w:tcPr>
            <w:tcW w:w="1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87,569</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77,863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6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12.5 %</w:t>
            </w:r>
          </w:p>
        </w:tc>
      </w:tr>
      <w:tr>
        <w:trPr>
          <w:trHeight w:val="18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Restaurant sales</w:t>
            </w:r>
          </w:p>
        </w:tc>
        <w:tc>
          <w:tcPr>
            <w:tcW w:w="1400" w:type="dxa"/>
            <w:vAlign w:val="bottom"/>
            <w:tcBorders>
              <w:bottom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1,212,173</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23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1,004,355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207,818</w:t>
            </w:r>
          </w:p>
        </w:tc>
        <w:tc>
          <w:tcPr>
            <w:tcW w:w="6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total restaurant sales was primarily due to (i) new restaurant openings and acquiring restaurants from franchisees in 2025, (ii) recognizing a full year of sales for restaurants opened and acquired in 2024, (iii) positive same-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restaurant sales growth of 3.6%, and (iv) positive traffic of 0.5%. The increase was partially offset by increased promotional usage.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Franchise Revenues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1"/>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6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Franchise revenues: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Royalty and system fund contributions</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9,705</w:t>
            </w:r>
          </w:p>
        </w:tc>
        <w:tc>
          <w:tcPr>
            <w:tcW w:w="100" w:type="dxa"/>
            <w:vAlign w:val="bottom"/>
          </w:tcPr>
          <w:p>
            <w:pPr>
              <w:spacing w:after="0"/>
              <w:rPr>
                <w:sz w:val="15"/>
                <w:szCs w:val="15"/>
                <w:color w:val="auto"/>
              </w:rPr>
            </w:pP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10,864</w:t>
            </w:r>
          </w:p>
        </w:tc>
        <w:tc>
          <w:tcPr>
            <w:tcW w:w="100" w:type="dxa"/>
            <w:vAlign w:val="bottom"/>
          </w:tcPr>
          <w:p>
            <w:pPr>
              <w:spacing w:after="0"/>
              <w:rPr>
                <w:sz w:val="15"/>
                <w:szCs w:val="15"/>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83"/>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Initial fees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78"/>
        </w:trPr>
        <w:tc>
          <w:tcPr>
            <w:tcW w:w="5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Business combinations - revenues recognized</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5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Franchise revenues</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11,555</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5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decrease in franchise revenues during 2025 as compared to 2024 was primarily driven by the Company’s acquisition of 19 and 22 franchise-owned restaurants during 2025 and 2024, respectively, partially offset by incremental revenue from nine franchise-owned NROs in 2025 and seven franchise-owned NROs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Food and Beverage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Food and beverage costs at company-owned restaurants vary with sales volume and are subject to increases and declines in commodity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Food and beverage costs</w:t>
            </w: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280,098</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223,097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57,001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25.5 %</w:t>
            </w:r>
          </w:p>
        </w:tc>
      </w:t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restaurant sales</w:t>
            </w: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23.1 %</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0.9%</w:t>
            </w:r>
          </w:p>
        </w:tc>
        <w:tc>
          <w:tcPr>
            <w:tcW w:w="720" w:type="dxa"/>
            <w:vAlign w:val="bottom"/>
          </w:tcPr>
          <w:p>
            <w:pPr>
              <w:spacing w:after="0"/>
              <w:rPr>
                <w:sz w:val="15"/>
                <w:szCs w:val="15"/>
                <w:color w:val="auto"/>
              </w:rPr>
            </w:pPr>
          </w:p>
        </w:tc>
      </w:tr>
    </w:tbl>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Food and beverage costs as a percent of restaurant sales increased during 2025 as compared to 2024 primarily due to (i) commodity inflation of 5.0%, as discussed below, and (ii) increased portion size in certain menu items. The increase was partially offset by the impact of menu price increases.</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Food and beverage costs increased during 2025 as compared to 2024 primarily as a result of (i) the 20.7% increase in restaurant sales, (ii) opening and acquiring restaurants in 2025, (iii) recognizing a full year of costs for restaurants opened and acquired in 2024, (iv) commodity inflation experienced in eggs, coffee, bacon and avocados and (v) increased portion size in certain menu items.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 and Other Related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Labor and other related expenses include hourly and management wages, bonuses, payroll taxes, workers’ compensation expense and employee benefits. Factors that influence labor costs include minimum wage and payroll tax legislation, health care costs, the number and performance of our company-owned restaurants and competition for qualified staff.</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other related expenses</w:t>
            </w: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405,544</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335,038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70,506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restaurant sales</w:t>
            </w: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33.5 %</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0.1%</w:t>
            </w:r>
          </w:p>
        </w:tc>
        <w:tc>
          <w:tcPr>
            <w:tcW w:w="720" w:type="dxa"/>
            <w:vAlign w:val="bottom"/>
          </w:tcPr>
          <w:p>
            <w:pPr>
              <w:spacing w:after="0"/>
              <w:rPr>
                <w:sz w:val="15"/>
                <w:szCs w:val="15"/>
                <w:color w:val="auto"/>
              </w:rPr>
            </w:pPr>
          </w:p>
        </w:tc>
      </w:tr>
    </w:tbl>
    <w:p>
      <w:pPr>
        <w:spacing w:after="0" w:line="2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Labor and other related expenses as a percentage of restaurant sales increased during 2025 as compared to 2024 primarily as a result of (i) wage increases and (ii) higher health insurance costs. This increase was mostly offset by (i) menu price increases and (ii) improved hourly labor efficiency.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increase in labor and other related expenses during 2025 as compared to 2024 was primarily due to (i) the increase in staffing levels to support the increase in company-owned restaurants, (ii) wage increases and (iii) higher health insurance costs. The increase was partially offset by hourly labor efficiency.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Restaurant Operating Expenses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restaurant operating expenses consist of marketing and advertising expenses, utilities, insurance and other variable expenses incidental to operating company-owned restaurants, such as operating supplies (including paper products, menus and to-go supplies), credit card fees, repairs and maintenance and third-party delivery services fees.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restaurant operating expenses</w:t>
            </w: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188,685</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151,968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36,717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24.2 %</w:t>
            </w: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restaurant sales</w:t>
            </w: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0.5%</w:t>
            </w:r>
          </w:p>
        </w:tc>
        <w:tc>
          <w:tcPr>
            <w:tcW w:w="720" w:type="dxa"/>
            <w:vAlign w:val="bottom"/>
          </w:tcPr>
          <w:p>
            <w:pPr>
              <w:spacing w:after="0"/>
              <w:rPr>
                <w:sz w:val="15"/>
                <w:szCs w:val="15"/>
                <w:color w:val="auto"/>
              </w:rPr>
            </w:pPr>
          </w:p>
        </w:tc>
      </w:tr>
    </w:tbl>
    <w:p>
      <w:pPr>
        <w:spacing w:after="0" w:line="2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restaurant operating expenses as a percentage of restaurant sales during 2025 increased as compared to 2024 primarily due to (i) third-party delivery fees, (ii) utility expenses and (iii) supply costs, which increased as a percentage of restaurant sales. This increase was partially offset by (i) leveraging menu price increases and (ii) credit card, restaurant-level legal, accounting, and licensing fees, which decreased as a percentage of restaurant sales.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other restaurant operating expenses during 2025 as compared to 2024 was primarily due to the increase in the number of restaurants driving increases in certain expenses including (i) $10.9 million related to operating supplies, (ii) $10.4 million in utilities and repair and maintenance expenses, (iii) $9.1 million in third-party delivery fees, (iv) $4.0 million in credit card fees and (v) $1.4 million in insurance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Occupancy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Occupancy expenses primarily consist of rent expense, property insurance, common area expenses and property taxes.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expenses</w:t>
            </w: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100,788</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33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82,694</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18,094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21.9 %</w:t>
            </w: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a percentage of restaurant sales</w:t>
            </w: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0.1%</w:t>
            </w:r>
          </w:p>
        </w:tc>
        <w:tc>
          <w:tcPr>
            <w:tcW w:w="720" w:type="dxa"/>
            <w:vAlign w:val="bottom"/>
          </w:tcPr>
          <w:p>
            <w:pPr>
              <w:spacing w:after="0"/>
              <w:rPr>
                <w:sz w:val="15"/>
                <w:szCs w:val="15"/>
                <w:color w:val="auto"/>
              </w:rPr>
            </w:pPr>
          </w:p>
        </w:tc>
      </w:tr>
    </w:tbl>
    <w:p>
      <w:pPr>
        <w:spacing w:after="0" w:line="2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increase in occupancy expenses as a percentage of restaurant sales during 2025 as compared to 2024 was primarily due to higher rent expense associated with new restaurants mostly offset by leveraging increased restaurant sales.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occupancy expenses during 2025 as compared to 2024 was primarily due to the increase in the number of company-owned restaurants.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Pre-opening Expenses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Pre-opening expenses are costs incurred to open new company-owned restaurants. Pre-opening expenses include rent expense, manager salaries, recruiting expenses, employee payroll and training costs. Pre-opening expenses can fluctuate from period to period, based on the number and timing of new company-owned restaurant openings.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Pre-opening expenses</w:t>
            </w:r>
          </w:p>
        </w:tc>
        <w:tc>
          <w:tcPr>
            <w:tcW w:w="1460" w:type="dxa"/>
            <w:vAlign w:val="bottom"/>
            <w:shd w:val="clear" w:color="auto" w:fill="CCEEFF"/>
          </w:tcPr>
          <w:p>
            <w:pPr>
              <w:jc w:val="right"/>
              <w:ind w:right="133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rPr>
              <w:t>2,824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27.9 %</w:t>
            </w:r>
          </w:p>
        </w:tc>
      </w:tr>
    </w:tbl>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2025 pre-opening expenses as compared to 2024 was primarily due to (i) the higher number of new restaurants opened and under construction and (ii) the related increase in rent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44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128,950</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113,270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rPr>
              <w:t>15,680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general and administrative expenses during 2025 as compared to 2024 was mainly due to (i) an $8.0 million increase in marketing expenses, (ii) a $6.7 million increase in compensation and other related expenses from wage increases and additional employee headcount to support growth, and (iii) a $2.1 million increase in licenses and fees related to information technology due to increase in restaurants. The increase in 2025 was partially offset in part by a $2.4 million decrease in recruiting and training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60" w:type="dxa"/>
            <w:vAlign w:val="bottom"/>
            <w:shd w:val="clear" w:color="auto" w:fill="CCEEFF"/>
          </w:tcPr>
          <w:p>
            <w:pPr>
              <w:jc w:val="right"/>
              <w:ind w:right="133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75,011</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rPr>
              <w:t>17,296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30.0 %</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depreciation and amortization during 2025 as compared to 2024 was primarily due to additional NRO assets and restaurants acquired, including reacquired rights from franchisees.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 Expenses, Net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Transaction expenses, net principally include (i) costs incurred in connection with the acquisition of franchise-owned restaurants and (ii) costs related to secondary equity offerings.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4"/>
                <w:szCs w:val="14"/>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 net</w:t>
            </w:r>
          </w:p>
        </w:tc>
        <w:tc>
          <w:tcPr>
            <w:tcW w:w="1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2,533</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2,587</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(54)</w:t>
            </w:r>
          </w:p>
        </w:tc>
        <w:tc>
          <w:tcPr>
            <w:tcW w:w="8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3"/>
                <w:szCs w:val="13"/>
                <w:color w:val="auto"/>
              </w:rPr>
            </w:pPr>
          </w:p>
        </w:tc>
      </w:tr>
      <w:tr>
        <w:trPr>
          <w:trHeight w:val="413"/>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2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27,511</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38,907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(11,396)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 margin</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(1.6)%</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from operations margin decreased during 2025 as compared to 2024 due to increases in operating expenses as a percentage of restaurant sales, primarily (i) food and beverage cost inflation,</w:t>
      </w:r>
    </w:p>
    <w:p>
      <w:pPr>
        <w:spacing w:after="0" w:line="23" w:lineRule="exact"/>
        <w:rPr>
          <w:sz w:val="20"/>
          <w:szCs w:val="20"/>
          <w:color w:val="auto"/>
        </w:rPr>
      </w:pPr>
    </w:p>
    <w:p>
      <w:pPr>
        <w:ind w:firstLine="5"/>
        <w:spacing w:after="0" w:line="266" w:lineRule="auto"/>
        <w:tabs>
          <w:tab w:leader="none" w:pos="2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restaurant operating expenses and (iii) depreciation and amortization expense driven by restaurant growth and our acquisition of restaurants from franchisees, offset in part by the leveraging of certain general and administrative expenses.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Income from operations decreased during 2025 as compared to 2024 due to higher (i) restaurant operating expenses, (ii) depreciation and amortization expenses driven by our restaurant growth and our acquisition of restaurants from franchisees, and (iii) general and administrative expenses primarily attributable to increased marketing costs, additional employee headcount and compensation. This was partially offset by the increase in revenues.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primarily consists of interest and fees on our outstanding debt and the amortization expense for debt discount and deferred issuance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44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rPr>
              <w:t>(4,059)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32.1 %</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interest expense during 2025 as compared to 2024 was primarily due an increase in borrowings associated with franchise acquisitions.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includes items deemed to be non-operating based on Management’s assessment of the nature of the item in relation to our core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44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3"/>
                <w:szCs w:val="13"/>
                <w:color w:val="auto"/>
              </w:rPr>
              <w:t>(438)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decreased in 2025 primarily due to a reduction in interest income, partially offset by an increase in insurance recoveries recognized in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w:t>
            </w:r>
          </w:p>
        </w:tc>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Income tax consists of federal and state taxes.</w:t>
            </w: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4"/>
                <w:szCs w:val="14"/>
                <w:color w:val="auto"/>
              </w:rPr>
            </w:pPr>
          </w:p>
        </w:tc>
      </w:tr>
      <w:tr>
        <w:trPr>
          <w:trHeight w:val="16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7,299</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8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(9,101)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16,400</w:t>
            </w:r>
          </w:p>
        </w:tc>
        <w:tc>
          <w:tcPr>
            <w:tcW w:w="9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(180.2)%</w:t>
            </w:r>
          </w:p>
        </w:tc>
      </w:tr>
      <w:tr>
        <w:trPr>
          <w:trHeight w:val="176"/>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540" w:type="dxa"/>
            <w:vAlign w:val="bottom"/>
          </w:tcPr>
          <w:p>
            <w:pPr>
              <w:spacing w:after="0"/>
              <w:rPr>
                <w:sz w:val="15"/>
                <w:szCs w:val="15"/>
                <w:color w:val="auto"/>
              </w:rPr>
            </w:pPr>
          </w:p>
        </w:tc>
        <w:tc>
          <w:tcPr>
            <w:tcW w:w="1680" w:type="dxa"/>
            <w:vAlign w:val="bottom"/>
          </w:tcPr>
          <w:p>
            <w:pPr>
              <w:ind w:left="1260"/>
              <w:spacing w:after="0"/>
              <w:rPr>
                <w:sz w:val="20"/>
                <w:szCs w:val="20"/>
                <w:color w:val="auto"/>
              </w:rPr>
            </w:pPr>
            <w:r>
              <w:rPr>
                <w:rFonts w:ascii="Times New Roman" w:cs="Times New Roman" w:eastAsia="Times New Roman" w:hAnsi="Times New Roman"/>
                <w:sz w:val="13"/>
                <w:szCs w:val="13"/>
                <w:color w:val="auto"/>
                <w:w w:val="94"/>
              </w:rPr>
              <w:t>(60.2)%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(92.7)%</w:t>
            </w:r>
          </w:p>
        </w:tc>
        <w:tc>
          <w:tcPr>
            <w:tcW w:w="900" w:type="dxa"/>
            <w:vAlign w:val="bottom"/>
          </w:tcPr>
          <w:p>
            <w:pPr>
              <w:spacing w:after="0"/>
              <w:rPr>
                <w:sz w:val="15"/>
                <w:szCs w:val="15"/>
                <w:color w:val="auto"/>
              </w:rPr>
            </w:pPr>
          </w:p>
        </w:tc>
      </w:tr>
    </w:tbl>
    <w:p>
      <w:pPr>
        <w:spacing w:after="0" w:line="2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change in the effective income tax rate and provision for income taxes for 2025 as compared to 2024 was primarily due to the favorable impact of the increase in the tax benefit from the FICA tip credits and the net change in the valuation allowance against the FICA tip credit carryforward. The adjustment to the valuation allowance was determined as part of Management’s year-end assessment of the realizability of the Company’s deferred tax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6"/>
        </w:trPr>
        <w:tc>
          <w:tcPr>
            <w:tcW w:w="4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19,432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18,925</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rPr>
              <w:t>507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margin</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tcPr>
          <w:p>
            <w:pPr>
              <w:spacing w:after="0"/>
              <w:rPr>
                <w:sz w:val="15"/>
                <w:szCs w:val="15"/>
                <w:color w:val="auto"/>
              </w:rPr>
            </w:pPr>
          </w:p>
        </w:tc>
      </w:tr>
    </w:tbl>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decrease in net income margin during 2025 as compared to 2024 was primarily due to (i) the decrease in income from operations as expenses inflated rapidly early in the year, (ii) increased depreciation and amortization associated with new company-owned restaurants opened and acquired in 2025 and 2024 and (iii) interest expense from the borrowings to fund acquisitions, partially offset by the impact of the income tax benefit recognized in 2025.</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net income during 2025 as compared to 2024 was primarily due to the impact of the income tax benefit recognized in 2025. The increase was partially offset by (i) the decrease in income from operations, (ii) the increase in depreciation and amortization attributed primarily to locations opened and acquired in 2025 and 2024, and (iii) the increase in interest expense associated with increased borrowings to fund acquisitions.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818"/>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Restaurant Level Operating Profit and Restaurant level Operating Profit Margin</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3"/>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r>
      <w:tr>
        <w:trPr>
          <w:trHeight w:val="16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Restaurant level operating profit</w:t>
            </w: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224,125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201,761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22,364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11.1 %</w:t>
            </w:r>
          </w:p>
        </w:tc>
      </w:tr>
      <w:tr>
        <w:trPr>
          <w:trHeight w:val="17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Restaurant level operating profit margin</w:t>
            </w:r>
          </w:p>
        </w:tc>
        <w:tc>
          <w:tcPr>
            <w:tcW w:w="8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rPr>
              <w:t>(1.6)%</w:t>
            </w:r>
          </w:p>
        </w:tc>
        <w:tc>
          <w:tcPr>
            <w:tcW w:w="720" w:type="dxa"/>
            <w:vAlign w:val="bottom"/>
          </w:tcPr>
          <w:p>
            <w:pPr>
              <w:spacing w:after="0"/>
              <w:rPr>
                <w:sz w:val="15"/>
                <w:szCs w:val="15"/>
                <w:color w:val="auto"/>
              </w:rPr>
            </w:pPr>
          </w:p>
        </w:tc>
      </w:tr>
    </w:tbl>
    <w:p>
      <w:pPr>
        <w:spacing w:after="0" w:line="25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Restaurant level operating profit margin during 2025 decreased as compared to 2024 primarily due to an increase in (i) food and beverage costs as a percent of sales and (ii) other restaurant operating expenses as a percent of sales. This was partially offset by leverage associated with our positive same-restaurant sales growth.</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Restaurant level operating profit during 2025 increased as compared to 2024 due to sales growth driven primarily by the increase in (i) restaurant locations, (ii) menu prices and (iii) traffic. This was partially offset by (i) the increase in inflation across commodities and (ii) increases in operating expenses due to restaurant growth.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and Adjusted EBITDA Margin</w:t>
            </w: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93"/>
        </w:trPr>
        <w:tc>
          <w:tcPr>
            <w:tcW w:w="40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0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r>
      <w:tr>
        <w:trPr>
          <w:trHeight w:val="160"/>
        </w:trPr>
        <w:tc>
          <w:tcPr>
            <w:tcW w:w="4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120,918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113,836</w:t>
            </w:r>
          </w:p>
        </w:tc>
        <w:tc>
          <w:tcPr>
            <w:tcW w:w="80" w:type="dxa"/>
            <w:vAlign w:val="bottom"/>
            <w:shd w:val="clear" w:color="auto" w:fill="CCEEFF"/>
          </w:tcPr>
          <w:p>
            <w:pPr>
              <w:spacing w:after="0"/>
              <w:rPr>
                <w:sz w:val="13"/>
                <w:szCs w:val="13"/>
                <w:color w:val="auto"/>
              </w:rPr>
            </w:pPr>
          </w:p>
        </w:tc>
        <w:tc>
          <w:tcPr>
            <w:tcW w:w="500" w:type="dxa"/>
            <w:vAlign w:val="bottom"/>
            <w:shd w:val="clear" w:color="auto" w:fill="BFE4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BFE4FF"/>
          </w:tcPr>
          <w:p>
            <w:pPr>
              <w:jc w:val="right"/>
              <w:ind w:right="614"/>
              <w:spacing w:after="0"/>
              <w:rPr>
                <w:sz w:val="20"/>
                <w:szCs w:val="20"/>
                <w:color w:val="auto"/>
              </w:rPr>
            </w:pPr>
            <w:r>
              <w:rPr>
                <w:rFonts w:ascii="Times New Roman" w:cs="Times New Roman" w:eastAsia="Times New Roman" w:hAnsi="Times New Roman"/>
                <w:sz w:val="13"/>
                <w:szCs w:val="13"/>
                <w:color w:val="auto"/>
              </w:rPr>
              <w:t>7,082</w:t>
            </w:r>
          </w:p>
        </w:tc>
        <w:tc>
          <w:tcPr>
            <w:tcW w:w="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(1.3)%</w:t>
            </w:r>
          </w:p>
        </w:tc>
        <w:tc>
          <w:tcPr>
            <w:tcW w:w="680" w:type="dxa"/>
            <w:vAlign w:val="bottom"/>
          </w:tcPr>
          <w:p>
            <w:pPr>
              <w:spacing w:after="0"/>
              <w:rPr>
                <w:sz w:val="15"/>
                <w:szCs w:val="15"/>
                <w:color w:val="auto"/>
              </w:rPr>
            </w:pPr>
          </w:p>
        </w:tc>
      </w:tr>
    </w:tbl>
    <w:p>
      <w:pPr>
        <w:spacing w:after="0" w:line="2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decrease in Adjusted EBITDA margin during 2025 as compared to 2024 was primarily due the decrease in restaurant level operating profit margin, partially offset by the decrease in general and administrative expenses as a percentage of revenues.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 in Adjusted EBITDA during 2025 as compared to 2024 was primarily due to the increase in restaurant level operating profit. This was partially offset by the increase in general and administrative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Non-GAAP Financial Measure Reconciliations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Adjusted EBITDA and Adjusted EBITDA margin </w:t>
      </w:r>
      <w:r>
        <w:rPr>
          <w:rFonts w:ascii="Times New Roman" w:cs="Times New Roman" w:eastAsia="Times New Roman" w:hAnsi="Times New Roman"/>
          <w:sz w:val="14"/>
          <w:szCs w:val="14"/>
          <w:color w:val="auto"/>
        </w:rPr>
        <w:t>- The following table reconciles Net income and Net income margin, the most directly comparable GAAP measures to Adjusted EBITDA and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Adjusted EBITDA margin, respectively,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7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19,432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25,385</w:t>
            </w:r>
          </w:p>
        </w:tc>
      </w:tr>
      <w:tr>
        <w:trPr>
          <w:trHeight w:val="178"/>
        </w:trPr>
        <w:tc>
          <w:tcPr>
            <w:tcW w:w="62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75,011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41,223</w:t>
            </w:r>
          </w:p>
        </w:tc>
      </w:tr>
      <w:tr>
        <w:trPr>
          <w:trHeight w:val="183"/>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16,699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8,063</w:t>
            </w:r>
          </w:p>
        </w:tc>
      </w:tr>
      <w:tr>
        <w:trPr>
          <w:trHeight w:val="178"/>
        </w:trPr>
        <w:tc>
          <w:tcPr>
            <w:tcW w:w="62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Income taxes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(7,299)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9,101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10,690</w:t>
            </w:r>
          </w:p>
        </w:tc>
      </w:tr>
      <w:tr>
        <w:trPr>
          <w:trHeight w:val="16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EBITDA</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103,843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98,381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85,361</w:t>
            </w:r>
          </w:p>
        </w:tc>
      </w:tr>
      <w:tr>
        <w:trPr>
          <w:trHeight w:val="180"/>
        </w:trPr>
        <w:tc>
          <w:tcPr>
            <w:tcW w:w="624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Stock-based compensation, net of amounts capitalized </w:t>
            </w:r>
            <w:r>
              <w:rPr>
                <w:rFonts w:ascii="Times New Roman" w:cs="Times New Roman" w:eastAsia="Times New Roman" w:hAnsi="Times New Roman"/>
                <w:sz w:val="17"/>
                <w:szCs w:val="17"/>
                <w:color w:val="auto"/>
                <w:vertAlign w:val="superscript"/>
              </w:rPr>
              <w:t>(1)</w:t>
            </w: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10,760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8,525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7,604</w:t>
            </w:r>
          </w:p>
        </w:tc>
      </w:tr>
      <w:tr>
        <w:trPr>
          <w:trHeight w:val="180"/>
        </w:trPr>
        <w:tc>
          <w:tcPr>
            <w:tcW w:w="62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Transaction expenses, net </w:t>
            </w:r>
            <w:r>
              <w:rPr>
                <w:rFonts w:ascii="Times New Roman" w:cs="Times New Roman" w:eastAsia="Times New Roman" w:hAnsi="Times New Roman"/>
                <w:sz w:val="17"/>
                <w:szCs w:val="17"/>
                <w:color w:val="auto"/>
                <w:vertAlign w:val="superscript"/>
              </w:rPr>
              <w:t>(2)</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3,147</w:t>
            </w:r>
          </w:p>
        </w:tc>
      </w:tr>
      <w:tr>
        <w:trPr>
          <w:trHeight w:val="180"/>
        </w:trPr>
        <w:tc>
          <w:tcPr>
            <w:tcW w:w="624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Strategic transition costs </w:t>
            </w:r>
            <w:r>
              <w:rPr>
                <w:rFonts w:ascii="Times New Roman" w:cs="Times New Roman" w:eastAsia="Times New Roman" w:hAnsi="Times New Roman"/>
                <w:sz w:val="17"/>
                <w:szCs w:val="17"/>
                <w:color w:val="auto"/>
                <w:vertAlign w:val="superscript"/>
              </w:rPr>
              <w:t>(3)</w:t>
            </w: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892</w:t>
            </w:r>
          </w:p>
        </w:tc>
      </w:tr>
      <w:tr>
        <w:trPr>
          <w:trHeight w:val="180"/>
        </w:trPr>
        <w:tc>
          <w:tcPr>
            <w:tcW w:w="62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Impairments and loss on disposal of assets </w:t>
            </w:r>
            <w:r>
              <w:rPr>
                <w:rFonts w:ascii="Times New Roman" w:cs="Times New Roman" w:eastAsia="Times New Roman" w:hAnsi="Times New Roman"/>
                <w:sz w:val="17"/>
                <w:szCs w:val="17"/>
                <w:color w:val="auto"/>
                <w:vertAlign w:val="superscript"/>
              </w:rPr>
              <w:t>(4)</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1,359</w:t>
            </w:r>
          </w:p>
        </w:tc>
      </w:tr>
      <w:tr>
        <w:trPr>
          <w:trHeight w:val="180"/>
        </w:trPr>
        <w:tc>
          <w:tcPr>
            <w:tcW w:w="624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Delaware Voluntary Disclosure Agreement Program </w:t>
            </w:r>
            <w:r>
              <w:rPr>
                <w:rFonts w:ascii="Times New Roman" w:cs="Times New Roman" w:eastAsia="Times New Roman" w:hAnsi="Times New Roman"/>
                <w:sz w:val="17"/>
                <w:szCs w:val="17"/>
                <w:color w:val="auto"/>
                <w:vertAlign w:val="superscript"/>
              </w:rPr>
              <w:t>(5)</w:t>
            </w: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1,250</w:t>
            </w:r>
          </w:p>
        </w:tc>
      </w:tr>
      <w:tr>
        <w:trPr>
          <w:trHeight w:val="180"/>
        </w:trPr>
        <w:tc>
          <w:tcPr>
            <w:tcW w:w="62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Recruiting and relocation costs </w:t>
            </w:r>
            <w:r>
              <w:rPr>
                <w:rFonts w:ascii="Times New Roman" w:cs="Times New Roman" w:eastAsia="Times New Roman" w:hAnsi="Times New Roman"/>
                <w:sz w:val="17"/>
                <w:szCs w:val="17"/>
                <w:color w:val="auto"/>
                <w:vertAlign w:val="superscript"/>
              </w:rPr>
              <w:t>(6)</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465</w:t>
            </w:r>
          </w:p>
        </w:tc>
      </w:tr>
      <w:tr>
        <w:trPr>
          <w:trHeight w:val="180"/>
        </w:trPr>
        <w:tc>
          <w:tcPr>
            <w:tcW w:w="624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Severance costs </w:t>
            </w:r>
            <w:r>
              <w:rPr>
                <w:rFonts w:ascii="Times New Roman" w:cs="Times New Roman" w:eastAsia="Times New Roman" w:hAnsi="Times New Roman"/>
                <w:sz w:val="17"/>
                <w:szCs w:val="17"/>
                <w:color w:val="auto"/>
                <w:vertAlign w:val="superscript"/>
              </w:rPr>
              <w:t>(7)</w:t>
            </w:r>
          </w:p>
        </w:tc>
        <w:tc>
          <w:tcPr>
            <w:tcW w:w="3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r>
      <w:tr>
        <w:trPr>
          <w:trHeight w:val="180"/>
        </w:trPr>
        <w:tc>
          <w:tcPr>
            <w:tcW w:w="62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Insurance proceeds in connection with natural disasters, net </w:t>
            </w:r>
            <w:r>
              <w:rPr>
                <w:rFonts w:ascii="Times New Roman" w:cs="Times New Roman" w:eastAsia="Times New Roman" w:hAnsi="Times New Roman"/>
                <w:sz w:val="17"/>
                <w:szCs w:val="17"/>
                <w:color w:val="auto"/>
                <w:vertAlign w:val="superscript"/>
              </w:rPr>
              <w:t>(8)</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(621)</w:t>
            </w:r>
          </w:p>
        </w:tc>
      </w:tr>
      <w:tr>
        <w:trPr>
          <w:trHeight w:val="178"/>
        </w:trPr>
        <w:tc>
          <w:tcPr>
            <w:tcW w:w="62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120,918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113,836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99,483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6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1,222,501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1,015,910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891,551</w:t>
            </w:r>
          </w:p>
        </w:tc>
      </w:tr>
      <w:tr>
        <w:trPr>
          <w:trHeight w:val="178"/>
        </w:trPr>
        <w:tc>
          <w:tcPr>
            <w:tcW w:w="62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income margin</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83"/>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Adjusted EBITDA margin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170"/>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information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0"/>
        </w:trPr>
        <w:tc>
          <w:tcPr>
            <w:tcW w:w="62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Deferred rent expense </w:t>
            </w:r>
            <w:r>
              <w:rPr>
                <w:rFonts w:ascii="Times New Roman" w:cs="Times New Roman" w:eastAsia="Times New Roman" w:hAnsi="Times New Roman"/>
                <w:sz w:val="17"/>
                <w:szCs w:val="17"/>
                <w:color w:val="auto"/>
                <w:vertAlign w:val="superscript"/>
              </w:rPr>
              <w:t>(9)</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20"/>
                <w:szCs w:val="20"/>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tcPr>
          <w:p>
            <w:pPr>
              <w:spacing w:after="0"/>
              <w:rPr>
                <w:sz w:val="20"/>
                <w:szCs w:val="20"/>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2,090</w:t>
            </w:r>
          </w:p>
        </w:tc>
      </w:tr>
    </w:tbl>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3" w:lineRule="exact"/>
        <w:rPr>
          <w:sz w:val="20"/>
          <w:szCs w:val="20"/>
          <w:color w:val="auto"/>
        </w:rPr>
      </w:pPr>
    </w:p>
    <w:p>
      <w:pPr>
        <w:ind w:left="60" w:firstLine="5"/>
        <w:spacing w:after="0" w:line="241" w:lineRule="auto"/>
        <w:tabs>
          <w:tab w:leader="none" w:pos="246"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non-cash, stock-based compensation expense, net of amounts capitalized, which is recorded within General and administrative expenses on the Consolidated Statements of Operations and Comprehensive Income.</w:t>
      </w:r>
    </w:p>
    <w:p>
      <w:pPr>
        <w:ind w:left="60" w:firstLine="5"/>
        <w:spacing w:after="0" w:line="246" w:lineRule="auto"/>
        <w:tabs>
          <w:tab w:leader="none" w:pos="25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incurred in connection with the acquisition of franchise-owned restaurants, secondary offering costs, costs related to restaurant closures, expenses related to debt and revaluations of contingent consideration liability.</w:t>
      </w:r>
    </w:p>
    <w:p>
      <w:pPr>
        <w:spacing w:after="0" w:line="1" w:lineRule="exact"/>
        <w:rPr>
          <w:rFonts w:ascii="Times New Roman" w:cs="Times New Roman" w:eastAsia="Times New Roman" w:hAnsi="Times New Roman"/>
          <w:sz w:val="13"/>
          <w:szCs w:val="13"/>
          <w:color w:val="auto"/>
        </w:rPr>
      </w:pPr>
    </w:p>
    <w:p>
      <w:pPr>
        <w:ind w:left="60" w:firstLine="5"/>
        <w:spacing w:after="0" w:line="246" w:lineRule="auto"/>
        <w:tabs>
          <w:tab w:leader="none" w:pos="254"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related to process improvements and strategic initiatives. These costs are recorded within General and administrative expenses on the Consolidated Statements of Operations and Comprehensive Income.</w:t>
      </w:r>
    </w:p>
    <w:p>
      <w:pPr>
        <w:spacing w:after="0" w:line="1" w:lineRule="exact"/>
        <w:rPr>
          <w:rFonts w:ascii="Times New Roman" w:cs="Times New Roman" w:eastAsia="Times New Roman" w:hAnsi="Times New Roman"/>
          <w:sz w:val="13"/>
          <w:szCs w:val="13"/>
          <w:color w:val="auto"/>
        </w:rPr>
      </w:pPr>
    </w:p>
    <w:p>
      <w:pPr>
        <w:ind w:left="240" w:hanging="175"/>
        <w:spacing w:after="0"/>
        <w:tabs>
          <w:tab w:leader="none" w:pos="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and costs related to the disposal of assets due to retirements, replacements, restaurant closures and natural disasters.</w:t>
      </w:r>
    </w:p>
    <w:p>
      <w:pPr>
        <w:ind w:left="60" w:firstLine="5"/>
        <w:spacing w:after="0" w:line="246" w:lineRule="auto"/>
        <w:tabs>
          <w:tab w:leader="none" w:pos="26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spacing w:after="0" w:line="1" w:lineRule="exact"/>
        <w:rPr>
          <w:rFonts w:ascii="Times New Roman" w:cs="Times New Roman" w:eastAsia="Times New Roman" w:hAnsi="Times New Roman"/>
          <w:sz w:val="13"/>
          <w:szCs w:val="13"/>
          <w:color w:val="auto"/>
        </w:rPr>
      </w:pPr>
    </w:p>
    <w:p>
      <w:pPr>
        <w:ind w:left="240" w:hanging="175"/>
        <w:spacing w:after="0"/>
        <w:tabs>
          <w:tab w:leader="none" w:pos="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incurred for hiring qualified individuals. These costs are recorded within General and administrative expenses on the Consolidated Statements of Operations and Comprehensive Income.</w:t>
      </w:r>
    </w:p>
    <w:p>
      <w:pPr>
        <w:spacing w:after="0" w:line="1" w:lineRule="exact"/>
        <w:rPr>
          <w:rFonts w:ascii="Times New Roman" w:cs="Times New Roman" w:eastAsia="Times New Roman" w:hAnsi="Times New Roman"/>
          <w:sz w:val="13"/>
          <w:szCs w:val="13"/>
          <w:color w:val="auto"/>
        </w:rPr>
      </w:pPr>
    </w:p>
    <w:p>
      <w:pPr>
        <w:ind w:left="240" w:hanging="175"/>
        <w:spacing w:after="0"/>
        <w:tabs>
          <w:tab w:leader="none" w:pos="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Severance costs are recorded in General and administrative expenses on the Consolidated Statements of Operations and Comprehensive Income.</w:t>
      </w:r>
    </w:p>
    <w:p>
      <w:pPr>
        <w:spacing w:after="0" w:line="6" w:lineRule="exact"/>
        <w:rPr>
          <w:rFonts w:ascii="Times New Roman" w:cs="Times New Roman" w:eastAsia="Times New Roman" w:hAnsi="Times New Roman"/>
          <w:sz w:val="13"/>
          <w:szCs w:val="13"/>
          <w:color w:val="auto"/>
        </w:rPr>
      </w:pPr>
    </w:p>
    <w:p>
      <w:pPr>
        <w:ind w:left="240" w:hanging="175"/>
        <w:spacing w:after="0"/>
        <w:tabs>
          <w:tab w:leader="none" w:pos="2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insurance recoveries, net of costs incurred, in connection with hurricane damage, which were recorded in Other income, net on the Consolidated Statements of Operations and Comprehensive Income.</w:t>
      </w:r>
    </w:p>
    <w:p>
      <w:pPr>
        <w:ind w:left="60" w:firstLine="5"/>
        <w:spacing w:after="0" w:line="258" w:lineRule="auto"/>
        <w:tabs>
          <w:tab w:leader="none" w:pos="25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Restaurant level operating profit and Restaurant level operating profit margin </w:t>
      </w:r>
      <w:r>
        <w:rPr>
          <w:rFonts w:ascii="Times New Roman" w:cs="Times New Roman" w:eastAsia="Times New Roman" w:hAnsi="Times New Roman"/>
          <w:sz w:val="14"/>
          <w:szCs w:val="14"/>
          <w:color w:val="auto"/>
        </w:rPr>
        <w:t>- The following table reconciles Income from operations and Income from operations margin, the most comparable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measures to Restaurant level operating profit and Restaurant level operating profit margin, respectively,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27,511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38,907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41,267</w:t>
            </w:r>
          </w:p>
        </w:tc>
      </w:tr>
      <w:tr>
        <w:trPr>
          <w:trHeight w:val="178"/>
        </w:trPr>
        <w:tc>
          <w:tcPr>
            <w:tcW w:w="6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Less: Franchise revenues</w:t>
            </w:r>
          </w:p>
        </w:tc>
        <w:tc>
          <w:tcPr>
            <w:tcW w:w="38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(10,328)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(11,555)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(14,459)</w:t>
            </w:r>
          </w:p>
        </w:tc>
      </w:tr>
      <w:tr>
        <w:trPr>
          <w:trHeight w:val="18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8"/>
        </w:trPr>
        <w:tc>
          <w:tcPr>
            <w:tcW w:w="6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8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128,950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113,270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103,121</w:t>
            </w:r>
          </w:p>
        </w:tc>
      </w:tr>
      <w:tr>
        <w:trPr>
          <w:trHeight w:val="183"/>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75,011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41,223</w:t>
            </w:r>
          </w:p>
        </w:tc>
      </w:tr>
      <w:tr>
        <w:trPr>
          <w:trHeight w:val="180"/>
        </w:trPr>
        <w:tc>
          <w:tcPr>
            <w:tcW w:w="610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Transaction expenses, net </w:t>
            </w:r>
            <w:r>
              <w:rPr>
                <w:rFonts w:ascii="Times New Roman" w:cs="Times New Roman" w:eastAsia="Times New Roman" w:hAnsi="Times New Roman"/>
                <w:sz w:val="17"/>
                <w:szCs w:val="17"/>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2,587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3,147</w:t>
            </w:r>
          </w:p>
        </w:tc>
      </w:tr>
      <w:tr>
        <w:trPr>
          <w:trHeight w:val="180"/>
        </w:trPr>
        <w:tc>
          <w:tcPr>
            <w:tcW w:w="61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Impairments and loss on disposal of assets </w:t>
            </w:r>
            <w:r>
              <w:rPr>
                <w:rFonts w:ascii="Times New Roman" w:cs="Times New Roman" w:eastAsia="Times New Roman" w:hAnsi="Times New Roman"/>
                <w:sz w:val="17"/>
                <w:szCs w:val="17"/>
                <w:color w:val="auto"/>
                <w:vertAlign w:val="superscript"/>
              </w:rPr>
              <w:t>(2)</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1,359</w:t>
            </w:r>
          </w:p>
        </w:tc>
      </w:tr>
      <w:tr>
        <w:trPr>
          <w:trHeight w:val="180"/>
        </w:trPr>
        <w:tc>
          <w:tcPr>
            <w:tcW w:w="6100" w:type="dxa"/>
            <w:vAlign w:val="bottom"/>
          </w:tcPr>
          <w:p>
            <w:pPr>
              <w:ind w:left="280"/>
              <w:spacing w:after="0" w:line="181" w:lineRule="exact"/>
              <w:rPr>
                <w:sz w:val="20"/>
                <w:szCs w:val="20"/>
                <w:color w:val="auto"/>
              </w:rPr>
            </w:pPr>
            <w:r>
              <w:rPr>
                <w:rFonts w:ascii="Times New Roman" w:cs="Times New Roman" w:eastAsia="Times New Roman" w:hAnsi="Times New Roman"/>
                <w:sz w:val="13"/>
                <w:szCs w:val="13"/>
                <w:color w:val="auto"/>
              </w:rPr>
              <w:t xml:space="preserve">Costs in connection with natural disasters </w:t>
            </w:r>
            <w:r>
              <w:rPr>
                <w:rFonts w:ascii="Times New Roman" w:cs="Times New Roman" w:eastAsia="Times New Roman" w:hAnsi="Times New Roman"/>
                <w:sz w:val="17"/>
                <w:szCs w:val="17"/>
                <w:color w:val="auto"/>
                <w:vertAlign w:val="superscript"/>
              </w:rPr>
              <w:t>(3)</w:t>
            </w:r>
          </w:p>
        </w:tc>
        <w:tc>
          <w:tcPr>
            <w:tcW w:w="38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Restaurant level operating profit</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224,125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201,761</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175,658</w:t>
            </w:r>
          </w:p>
        </w:tc>
      </w:tr>
      <w:tr>
        <w:trPr>
          <w:trHeight w:val="170"/>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Restaurant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1,212,173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1,004,355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877,092</w:t>
            </w:r>
          </w:p>
        </w:tc>
      </w:tr>
      <w:tr>
        <w:trPr>
          <w:trHeight w:val="178"/>
        </w:trPr>
        <w:tc>
          <w:tcPr>
            <w:tcW w:w="6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from operations margin</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183"/>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Restaurant level operating profit margin</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70"/>
        </w:trPr>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information</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6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Deferred rent expense </w:t>
            </w:r>
            <w:r>
              <w:rPr>
                <w:rFonts w:ascii="Times New Roman" w:cs="Times New Roman" w:eastAsia="Times New Roman" w:hAnsi="Times New Roman"/>
                <w:sz w:val="17"/>
                <w:szCs w:val="17"/>
                <w:color w:val="auto"/>
                <w:vertAlign w:val="superscript"/>
              </w:rPr>
              <w:t>(4)</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20"/>
                <w:szCs w:val="20"/>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20"/>
                <w:szCs w:val="20"/>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1,891</w:t>
            </w:r>
          </w:p>
        </w:tc>
      </w:tr>
    </w:tbl>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3" w:lineRule="exact"/>
        <w:rPr>
          <w:sz w:val="20"/>
          <w:szCs w:val="20"/>
          <w:color w:val="auto"/>
        </w:rPr>
      </w:pPr>
    </w:p>
    <w:p>
      <w:pPr>
        <w:ind w:firstLine="5"/>
        <w:spacing w:after="0" w:line="232" w:lineRule="auto"/>
        <w:tabs>
          <w:tab w:leader="none" w:pos="19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incurred in connection with the acquisition of franchise-owned restaurants, secondary offering costs, costs related to restaurant closures, expenses related to debt and revaluations of contingent consideration liability.</w:t>
      </w:r>
    </w:p>
    <w:p>
      <w:pPr>
        <w:spacing w:after="0" w:line="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and costs related to the disposal of assets due to retirements, replacements, restaurant closures and natural disasters.</w:t>
      </w:r>
    </w:p>
    <w:p>
      <w:pPr>
        <w:spacing w:after="0" w:line="1" w:lineRule="exact"/>
        <w:rPr>
          <w:rFonts w:ascii="Times New Roman" w:cs="Times New Roman" w:eastAsia="Times New Roman" w:hAnsi="Times New Roman"/>
          <w:sz w:val="13"/>
          <w:szCs w:val="13"/>
          <w:color w:val="auto"/>
        </w:rPr>
      </w:pPr>
    </w:p>
    <w:p>
      <w:pPr>
        <w:ind w:firstLine="5"/>
        <w:spacing w:after="0" w:line="246" w:lineRule="auto"/>
        <w:tabs>
          <w:tab w:leader="none" w:pos="202"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incurred in connection with hurricane damage. The costs include inventory spoilage and labor costs, which were recorded in Food and beverage costs and Labor and other related expenses, respectively, on the Consolidated Statements of Operations and Comprehensive Income.</w:t>
      </w:r>
    </w:p>
    <w:p>
      <w:pPr>
        <w:spacing w:after="0" w:line="1"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non-cash portion of straight-line rent expense recorded within Occupancy expenses on the Consolidated Statements of Operations and Comprehensive Income.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28, 2025, we had cash and cash equivalents of $21.2 million and outstanding borrowings under the Credit Facility of $267.6 million, excluding unamortized debt discount and deferred issuance costs. We had availability of $66.9 million under our revolving credit facility of $125.0 million, of which $2.1 million is reserved under letters of credit pursuant to our credit agreement dated as of October 6, 2021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purchases at the time of the sale, which frequently precedes our payment terms with suppliers.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our cash flow from operations combined with our availability under the Credit Facility and our cash and cash equivalents will be sufficient to meet our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estimate that our capital expenditures will total approximately $150.0 million to $160.0 million in 2026. This capital is invested primarily in new restaurant projects and planned remodels. We intend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our cash provided by (used in) operating, investing and financing activities for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171"/>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125,912</w:t>
            </w:r>
          </w:p>
        </w:tc>
        <w:tc>
          <w:tcPr>
            <w:tcW w:w="80" w:type="dxa"/>
            <w:vAlign w:val="bottom"/>
          </w:tcPr>
          <w:p>
            <w:pPr>
              <w:spacing w:after="0"/>
              <w:rPr>
                <w:sz w:val="13"/>
                <w:szCs w:val="13"/>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115,673</w:t>
            </w:r>
          </w:p>
        </w:tc>
      </w:tr>
      <w:tr>
        <w:trPr>
          <w:trHeight w:val="178"/>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5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(213,764)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(206,653)</w:t>
            </w: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5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75,786</w:t>
            </w:r>
          </w:p>
        </w:tc>
        <w:tc>
          <w:tcPr>
            <w:tcW w:w="8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74,331</w:t>
            </w:r>
          </w:p>
        </w:tc>
      </w:tr>
      <w:tr>
        <w:trPr>
          <w:trHeight w:val="158"/>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(12,066)</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(16,649)</w:t>
            </w:r>
          </w:p>
        </w:tc>
      </w:tr>
      <w:tr>
        <w:trPr>
          <w:trHeight w:val="20"/>
        </w:trPr>
        <w:tc>
          <w:tcPr>
            <w:tcW w:w="6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provided by operations is our typical source of liquidity used (i) to fund capital expenditures for new restaurants, (ii) to maintain and remodel existing restaurants and (iii) for debt service. Cash provided by operations increased in 2025 as compared to 2024 primarily due to (i) the addition of new and acquired restaurants, (ii) the timing of operational payments and (iii) the impact of non-cash charges, offset by the decrease to income from operations.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increased during 2025 from 2024 primarily as a result of the increase in capital expenditures to support our restaurant growth, partially offset by the decrease in amounts paid to acquire restaurants from our franchisees.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provided by financing activities increased slightly in 2025 compared to 2024 and included borrowings under our Credit Agreement to fund capital projects and the acquisition of restaurants from our franchisees and proceeds from stock option exercises, partially offset by debt repayments.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Material contractual obligations arising in the normal course of business primarily consist of operating and finance lease obligations, long-term debt and purchase obligations. The timing and nature of these commitments are expected to have an impact on our liquidity and capital requirements in future periods. Refer to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 the accompanying consolidated financial statements for additional information relating to our long-term debt and Note 12,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 the accompanying consolidated financial statements included in Item 8 of Part II of this Annual Report on Form 10-K for additional information related to our operating and financing leases.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Purchase obligations include agreements related to the construction or remodeling of restaurant facilities, the purchase of food, beverages, paper goods and other supplies, equipment purchases, marketing-related contracts, software license commitments, technology and other service contracts in the normal course of business. These obligations are generally pursuant to short-term purchase orders at prevailing market prices and are recorded as liabilities when the related goods are received or services rendered. These commitments are cancellable and there are no material financial penalties associated with these commitments in the event of early termination.</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Purchase obligations also include firm minimum commitments in excess of 12 months for certain contracts. Refer to Note 18,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in the accompanying consolidated financial statements included in Item 8 of Part II of this Annual Report on Form 10-K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is based upon our consolidated financial statements and related notes included elsewhere in this Annual Report on Form 10-K,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policies and estimates that we believe to be the most critical to an understanding of our financial condition and results of operations and that require the most complex and subjective management judgments are discussed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account for acquisitions using the purchase method of accounting. As such, the fair value of purchase consideration is allocated to the tangible assets acquired, liabilities assumed and intangible assets acquired based on estimated fair values at the acquisition date. The excess of the purchase consideration over the fair values of identifiable assets and liabilities is recorded as goodwill. The fair values assigned, defined as the price that would be received to sell an asset or paid to transfer a liability in an orderly transaction between willing market participants, are based on estimates and assumptions determined by Management. We determine the fair values of tangible and intangible assets acquired generally in consultation with a third-party valuation advisor. In addition, we have estimated the value and economic lives of certain tangible assets based on historical information, industry estimates and averages, which are used to calculate depreciation and amortization expense. If the subsequent actual results and updated projections of the underlying business activity change, compared with the assumptions and projections used to develop these values, we could experience impairment charges. If our estimates of the economic lives change, depreciation or amortization expense could be accelerated or extended. Management’s estimates of fair value are based upon assumptions believed to be reasonable, but which are inherently uncertain and unpredictable and, as a result, actual results may differ from estimates.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the initial accounting for a business combination is incomplete at the end of a reporting period that falls within a measurement period not to exceed a year from the date of acquisition, we report provisional amounts in our consolidated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adjustment to goodwill. Any adjustments identified after the measurement period are recorded in the Consolidated Statements of Operations and Comprehensive Income.</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results of operations of acquired businesses are included in the consolidated financial statements from the acquisition date and costs that we incur to complete the business combination, such as legal and other professional fees, are expensed as they are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Indefinite-Lived Intangibles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Goodwill and indefinite-lived intangibles are tested for impairment annually on the first day of the fourth quarter of the fiscal year, or when events or changes in circumstances indicate that the carrying amount may not be recoverable.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Adverse changes in these factors could have a significant impact on the recoverability of our goodwill and indefinite-lived intangible assets and could have a material impact on our consolidated financial statements.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identified one reporting unit to which we have attributed goodwill. 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the qualitative assessment is not performed or if we determine that it is not more likely than not that the fair value of the reporting unit exceeds the carrying value, the fair value of the reporting unit is calculated using the best information available, including market information (also referred to as the market approach) and discounted cash flow projections (also referred to as the income approach). The market approach estimates fair value by applying projected cash flow earnings multiples to the reporting unit’s operating performance. The multiples are derived from comparable publicly-traded companies with similar operating and investment characteristics. The income approach uses internal future cash flow estimates, which are influenced by revenue growth rates, operating margins and new restaurant openings, that are discounted using a weighted-average cost of capital that reflects current market conditions. We recognize an impairment loss when the carrying value of the reporting unit exceeds the estimated fair value.</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performing the quantitative assessment for indefinite-lived intangibles, we estimate the fair value of trade names and trademarks using the relief-from-royalty method, which requires assumptions related to projected sales, assumed royalty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rates that could be payable if we did not own the trademarks and a discount rate. We recognize an impairment loss when the carrying value of the asset exceeds the estimated fair value.</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subjective estimates associated with Management’s judgments and assumptions in fair value calculations at the measurement date are affected by various factors including changes in economic conditions, our operating performance and our business strategies.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2025 and 2024, we elected to perform a qualitative assessment for our annual impairment review of goodwill and indefinite-lived intangibles. In considering the qualitative approach related to goodwill, we considered factors including, but not limited to, macro-economic conditions, market and industry conditions, the competitive environment, results of prior impairment tests, operational stability, the overall financial performance of the reporting unit and the impacts of the discount rates. Management also considered the specific future outlook for the reporting unit. As it relates to our trade names and trademarks, we evaluate similar factors as the goodwill assessment, in addition to impacts of potential changes to the assumed royalty rate. Based on the results of the qualitative assessment, Management concluded that impairment of goodwill and its indefinite-lived intangibles was not likely and as a result, Management was not required to perform a quantitative assessment.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 and Definite-Lived Intangible Assets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Long-lived assets deployed at company-owned restaurants include (i) property, fixtures and equipment, (ii) operating lease right-of-use assets, net of the related operating lease liabilities and (iii) reacquired rights to the extent the restaurants have been acquired by the Company. Long-lived assets are reviewed for impairment whenever events or changes in circumstances indicate that the carrying amount of an asset group may not be recoverable. Recoverability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judgment is used to determine the expected useful lives of long-lived assets and the estimated future cash flows, including projected sales growth, operating margins and ongoing maintenance and improvement of the assets. If the carrying amount of the asset group exceeds its estimated undiscounted future cash flows, an impairment charge is recognized.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Definite-lived intangible assets consist of rights valued in business combinations. Definite-lived intangible assets are amortized on a straight-line basis over their estimated useful lives and are reviewed for impairment when events or change in circumstances indicate that the carrying amount of such assets may not be recoverable. Significant judgment is used to determine if an indicator of impairment has occurred. Such indicators may include, among others: negative operating performance of our restaurants, economic and restaurant industry trends, legal factors, significant competition or changes in our business strategy. Adverse changes in these factors could have a significant impact on the recoverability of these assets and the resulting impairment charge could be material to our consolidated financial statements.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Recoverability of definite-lived intangible assets is measured by a comparison of the carrying amount of the asset group to the estimated undiscounted future cash flows expected to be generated by the asset group. If the total future undiscounted net cash flows are less than the carrying amount, this may be an indication of impairment. An impairment loss is recognized when the asset’s carrying value exceeds its estimated fair value, which is generally estimated using discounted future cash flows expected from future use of the asset group.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lease our restaurant facilities and corporate offices, as well as certain restaurant equipment, under various non-cancelable agreements. At the inception of each lease, we evaluate the expected term which includes reasonably certain renewal options, and classify the lease as either an operating leases or a finance lease. Lease liabilities represent the present value of future lease payments. To determine the present value of the lease liability, we estimate the incremental borrowing rates corresponding to the reasonably certain lease term as our leases do not provide implicit rates. Assumptions used in determining our incremental borrowing rate include a market yield implied by our outstanding secured term loans interpolated for various maturities using our synthetic credit rating, which is determined using a regression analysis of rated comparable publicly-traded companies and their financial data.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assess the impairment of the right-of-use asset at the asset group level whenever events or changes in circumstances indicate that the carrying value of the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Management’s judgments and in the assumptions being used may produce materially different amounts in the recognition of the right-of-use assets, lease liabilities and lease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provision for income taxes, deferred income tax assets and liabilities and any related valuation allowance requires the use of estimates based on Management’s interpretation and application of complex tax laws and accounting guidance. The estimates made under this method include, among other items, depreciation and amortization expense allowable for tax purposes, credits for items such as taxes paid on reported employee tip wages, effective tax rates for state and local income taxes and the deductibility of certain items.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taxes are accounted for utilizing the asset and liability method, under which deferred income tax assets and liabilities are recognized based on the differences between the financial reporting bases and the respective tax bases of assets and liabilities.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expected to apply to taxable income in the years in which we expect the temporary differences to reverse. Any effects of changes in the income tax rates or tax laws are included in the provision for income taxes in the period that includes the enacted date.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routinely assesses the realizability of deferred tax assets and may record a valuation allowance if, based on all available positive and negative evidence, the determination is reached that some portion of the deferred tax assets may not be realized prior to expiration. If we determine that we may be able to realize the deferred tax assets in the future, we would make an adjustment to the deferred tax asset valuation allowance, which would reduce the provision for income taxes during the period in which the determination was made.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and Fair Value of Common Stock</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Stock-based compensation expense is measured based on the award’s fair value at the date of grant. Stock-based compensation expense related to time-based stock option awards issued under our 2017 Equity Plan is recognized on an accelerated recognition method over the requisite service period. No awards were granted under the 2017 Equity Plan during 2025, 2024 and 2023, and we do not intend to grant any further awards under the 2017 Equity Plan. Stock-based compensation expense related to time-based stock option awards issued under our 2021 Equity Plan is recognized on a straight-line basis over the requisite service period. Forfeitures are recognized as they occur for all awards.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Management estimates the fair value of stock option awards using the Black-Scholes valuation model, which involves several assumptions and judgments including the expected term of the stock option, expected volatility, the risk-free interest rate and the expected dividend yield. The Company does not have sufficient historical stock option exercise activity and therefore the expected term of stock options granted under the 2021 Equity Plan is estimated using the simplified method, which represents the mid-point between the vesting period and the contractual term for each grant. Prior to our IPO in October 2021, the expected term of stock option awards was determined based on data from publicly-traded companies. The expected volatility of stock option awards is based on the historical volatilities of a set of publicly-traded peer companies in a similar industry, as we lack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there is no intent to pay dividends in the foreseeable future. These assumptions represented Management’s best estimate, which involved inherent uncertainties and the application of Management’s judgment. As a result, use of significantly different assumptions or estimates could yield a materially different stock-based compensation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common stock and our stock-based awards’ grant date fair value is determined based on the closing price on our common stock on Nasdaq.</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in the accompanying notes to the consolidated financial statements included in Item 8 of Part II of this Annual Report on Form 10-K for additional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Reserves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self-insured for employee group health claims and Ohio workers’ compensation and carry retention levels and per-claim deductibles for a significant portion of expected losses associated with other workers’ compensation and general liability programs. Liabilities for unresolved and incurred but not reported claims are recognized at the anticipated cost below applicable retention levels or per-claim deductible amounts. Insurance reserve liabilities are established using actuarial assumptions and judgments regarding the frequency and severity of claims.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a discussion of recently issued accounting pronouncements, 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 the accompanying notes to the consolidated financial statements included in Item 8 of Part II of this Annual Report on Form 10-K.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Commodity and Food Price Risks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profitability is dependent on, among other things, our ability to anticipate and react to changes in the costs of key operating resources, including food and beverage, energy, fuel costs and other commodities. We have been able to partly offset cost increases resulting from a number of factors, including market conditions, shortages or interruptions in supply due to weather, the macroeconomic impacts of regional conflicts, including the ongoing Russia-Ukraine conflict, or other conditions beyond our control, governmental regulations and inflation, by increasing our menu prices, as well as making other operational adjustments that increase productivity. However, elevated inflation in commodity markets and substantial increases in costs and expenses could impact our results of operations to the extent that such increases cannot be offset by menu price increases. Currently we do not use financial instruments to hedge our commodity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market basket experienced cost inflation of 5% in 2025. We expect a 1% to 3% increase in our 2026 commodity prices as compared to the prior year.</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2026, we expect that we will negotiate annual pricing for approximately 30% of our market basket. Other commodities are purchased based upon price ranges established with vendors and are subject to fixed prices or fixed formulas for 30-to-90 day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As of December 28, 2025, we had $267.6 million in outstanding borrowings, excluding unamortized debt discount and deferred issuance costs. Our loans pursuant to our Credit Agreement incur interest at a floating rate and we also pay an unused commitment fee of between 37.5 and 50 basis points on the undrawn commitments, depending on the Total Rent Adjusted Net Leverage Ratio, as defined in our Credit Agreement. On June 23, 2023, we entered into a variable-to-fixed interest rate swap agreement with two financial institutions to hedge $90 million of the outstanding variable rate debt. Under the terms of these interest rate swap agreements, we will pay a weighted average fixed rate of 4.16% on the notional amount and will receive payments from the counterparties based on the three-month secured overnight financing rate. On May 17, 2024, we entered into two additional variable-to-fixed interest rate swaps. These interest rate swaps have an aggregate notional amount of $60 million and mature on June 30, 2027. Under the terms of these interest rate swaps, we will pay a weighted average fixed rate of 4.42% on the notional amount and will receive payments from the counterparties based on the three-month secured overnight financing rate. Refer to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Interest Rate Swaps</w:t>
      </w:r>
      <w:r>
        <w:rPr>
          <w:rFonts w:ascii="Times New Roman" w:cs="Times New Roman" w:eastAsia="Times New Roman" w:hAnsi="Times New Roman"/>
          <w:sz w:val="14"/>
          <w:szCs w:val="14"/>
          <w:color w:val="auto"/>
        </w:rPr>
        <w:t>, in the accompanying notes to the consolidated financial statements included in Item 8 of Part II of this Annual Report on Form 10-K for more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03"/>
        </w:trPr>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3"/>
          </w:tcPr>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73"/>
        </w:trPr>
        <w:tc>
          <w:tcPr>
            <w:tcW w:w="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0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0000FF"/>
                <w:w w:val="85"/>
              </w:rPr>
              <w:t>56</w:t>
            </w: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 December 28, 2025 and December 29, 2024</w:t>
            </w:r>
          </w:p>
        </w:tc>
        <w:tc>
          <w:tcPr>
            <w:tcW w:w="1060" w:type="dxa"/>
            <w:vAlign w:val="bottom"/>
            <w:gridSpan w:val="2"/>
          </w:tcPr>
          <w:p>
            <w:pPr>
              <w:jc w:val="right"/>
              <w:ind w:right="920"/>
              <w:spacing w:after="0" w:line="151" w:lineRule="exact"/>
              <w:rPr>
                <w:sz w:val="20"/>
                <w:szCs w:val="20"/>
                <w:color w:val="auto"/>
              </w:rPr>
            </w:pPr>
            <w:r>
              <w:rPr>
                <w:rFonts w:ascii="Times New Roman" w:cs="Times New Roman" w:eastAsia="Times New Roman" w:hAnsi="Times New Roman"/>
                <w:sz w:val="14"/>
                <w:szCs w:val="14"/>
                <w:color w:val="0000FF"/>
                <w:w w:val="85"/>
              </w:rPr>
              <w:t>59</w:t>
            </w: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17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 - For Fiscal Years 2025, 2024 and 2023</w:t>
            </w:r>
          </w:p>
        </w:tc>
        <w:tc>
          <w:tcPr>
            <w:tcW w:w="1060" w:type="dxa"/>
            <w:vAlign w:val="bottom"/>
            <w:gridSpan w:val="2"/>
          </w:tcPr>
          <w:p>
            <w:pPr>
              <w:jc w:val="right"/>
              <w:ind w:right="920"/>
              <w:spacing w:after="0" w:line="151" w:lineRule="exact"/>
              <w:rPr>
                <w:sz w:val="20"/>
                <w:szCs w:val="20"/>
                <w:color w:val="auto"/>
              </w:rPr>
            </w:pPr>
            <w:r>
              <w:rPr>
                <w:rFonts w:ascii="Times New Roman" w:cs="Times New Roman" w:eastAsia="Times New Roman" w:hAnsi="Times New Roman"/>
                <w:sz w:val="14"/>
                <w:szCs w:val="14"/>
                <w:color w:val="0000FF"/>
                <w:w w:val="85"/>
              </w:rPr>
              <w:t>60</w:t>
            </w: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176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1580" w:type="dxa"/>
            <w:vAlign w:val="bottom"/>
            <w:tcBorders>
              <w:bottom w:val="single" w:sz="8" w:color="0000FF"/>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Equity - For Fiscal Years 2025, 2024 and 2023</w:t>
            </w:r>
          </w:p>
        </w:tc>
        <w:tc>
          <w:tcPr>
            <w:tcW w:w="1060" w:type="dxa"/>
            <w:vAlign w:val="bottom"/>
            <w:gridSpan w:val="2"/>
          </w:tcPr>
          <w:p>
            <w:pPr>
              <w:jc w:val="right"/>
              <w:ind w:right="920"/>
              <w:spacing w:after="0" w:line="151" w:lineRule="exact"/>
              <w:rPr>
                <w:sz w:val="20"/>
                <w:szCs w:val="20"/>
                <w:color w:val="auto"/>
              </w:rPr>
            </w:pPr>
            <w:r>
              <w:rPr>
                <w:rFonts w:ascii="Times New Roman" w:cs="Times New Roman" w:eastAsia="Times New Roman" w:hAnsi="Times New Roman"/>
                <w:sz w:val="14"/>
                <w:szCs w:val="14"/>
                <w:color w:val="0000FF"/>
                <w:w w:val="85"/>
              </w:rPr>
              <w:t>61</w:t>
            </w: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1760" w:type="dxa"/>
            <w:vAlign w:val="bottom"/>
            <w:tcBorders>
              <w:bottom w:val="single" w:sz="8" w:color="0000FF"/>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 - For Fiscal Years 2025, 2024 and 2023</w:t>
            </w:r>
          </w:p>
        </w:tc>
        <w:tc>
          <w:tcPr>
            <w:tcW w:w="1060" w:type="dxa"/>
            <w:vAlign w:val="bottom"/>
            <w:gridSpan w:val="2"/>
          </w:tcPr>
          <w:p>
            <w:pPr>
              <w:jc w:val="right"/>
              <w:ind w:right="920"/>
              <w:spacing w:after="0" w:line="151" w:lineRule="exact"/>
              <w:rPr>
                <w:sz w:val="20"/>
                <w:szCs w:val="20"/>
                <w:color w:val="auto"/>
              </w:rPr>
            </w:pPr>
            <w:r>
              <w:rPr>
                <w:rFonts w:ascii="Times New Roman" w:cs="Times New Roman" w:eastAsia="Times New Roman" w:hAnsi="Times New Roman"/>
                <w:sz w:val="14"/>
                <w:szCs w:val="14"/>
                <w:color w:val="0000FF"/>
                <w:w w:val="85"/>
              </w:rPr>
              <w:t>62</w:t>
            </w: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0000FF"/>
            </w:tcBorders>
            <w:gridSpan w:val="2"/>
          </w:tcPr>
          <w:p>
            <w:pPr>
              <w:spacing w:after="0" w:line="20" w:lineRule="exact"/>
              <w:rPr>
                <w:sz w:val="1"/>
                <w:szCs w:val="1"/>
                <w:color w:val="auto"/>
              </w:rPr>
            </w:pPr>
          </w:p>
        </w:tc>
        <w:tc>
          <w:tcPr>
            <w:tcW w:w="2040" w:type="dxa"/>
            <w:vAlign w:val="bottom"/>
            <w:tcBorders>
              <w:bottom w:val="single" w:sz="8" w:color="0000FF"/>
            </w:tcBorders>
            <w:gridSpan w:val="4"/>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720" w:type="dxa"/>
            <w:vAlign w:val="bottom"/>
            <w:gridSpan w:val="6"/>
          </w:tcPr>
          <w:p>
            <w:pPr>
              <w:spacing w:after="0"/>
              <w:rPr>
                <w:sz w:val="14"/>
                <w:szCs w:val="14"/>
                <w:color w:val="auto"/>
              </w:rPr>
            </w:pPr>
          </w:p>
        </w:tc>
        <w:tc>
          <w:tcPr>
            <w:tcW w:w="1060" w:type="dxa"/>
            <w:vAlign w:val="bottom"/>
            <w:gridSpan w:val="2"/>
          </w:tcPr>
          <w:p>
            <w:pPr>
              <w:jc w:val="right"/>
              <w:ind w:right="920"/>
              <w:spacing w:after="0" w:line="151" w:lineRule="exact"/>
              <w:rPr>
                <w:sz w:val="20"/>
                <w:szCs w:val="20"/>
                <w:color w:val="auto"/>
              </w:rPr>
            </w:pPr>
            <w:r>
              <w:rPr>
                <w:rFonts w:ascii="Times New Roman" w:cs="Times New Roman" w:eastAsia="Times New Roman" w:hAnsi="Times New Roman"/>
                <w:sz w:val="14"/>
                <w:szCs w:val="14"/>
                <w:color w:val="0000FF"/>
                <w:w w:val="85"/>
              </w:rPr>
              <w:t>64</w:t>
            </w:r>
          </w:p>
        </w:tc>
      </w:tr>
      <w:tr>
        <w:trPr>
          <w:trHeight w:val="742"/>
        </w:trPr>
        <w:tc>
          <w:tcPr>
            <w:tcW w:w="20" w:type="dxa"/>
            <w:vAlign w:val="bottom"/>
          </w:tcPr>
          <w:p>
            <w:pPr>
              <w:spacing w:after="0"/>
              <w:rPr>
                <w:sz w:val="24"/>
                <w:szCs w:val="24"/>
                <w:color w:val="auto"/>
              </w:rPr>
            </w:pPr>
          </w:p>
        </w:tc>
        <w:tc>
          <w:tcPr>
            <w:tcW w:w="2480" w:type="dxa"/>
            <w:vAlign w:val="bottom"/>
            <w:tcBorders>
              <w:top w:val="single" w:sz="8" w:color="0000FF"/>
            </w:tcBorders>
            <w:gridSpan w:val="2"/>
          </w:tcPr>
          <w:p>
            <w:pPr>
              <w:spacing w:after="0"/>
              <w:rPr>
                <w:sz w:val="24"/>
                <w:szCs w:val="24"/>
                <w:color w:val="auto"/>
              </w:rPr>
            </w:pPr>
          </w:p>
        </w:tc>
        <w:tc>
          <w:tcPr>
            <w:tcW w:w="36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55</w:t>
            </w:r>
          </w:p>
        </w:tc>
        <w:tc>
          <w:tcPr>
            <w:tcW w:w="4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First Watch Restaurant Group,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2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First Watch Restaurant Group, Inc. and its subsidiaries (the "Company") as of December 28, 2025 and December 29, 2024, and the related consolidated statements of operations and comprehensive income, of equity and of cash flows for each of the three years in the period ended December 28, 2025, including the related notes (collectively referred to as the “consolidated financial statements”). We have also audited the Company’s internal control over financial reporting as of December 28, 2025, based on criteria established in Internal Control - Integrated Framework (2013) issued by the Committee of Sponsoring Organizations of the Treadway Commission (COSO).</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the criteria established in Internal Control - Integrated Framework (2013) issued by the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 consolidated financial statements, for maintaining effective internal control over financial reporting, and for its assessment of the effectiveness of internal control over financial reporting, included in Managements’s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Insurance Reserves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the Company’s estimated unpaid claims and other insurance liabilities was $6.3 million as of December 28, 2025. The Company is self-insured for employee group health claims and Ohio workers’ compensation. The Company also carries retention levels and per-claim deductibles associated with other workers’ compensation and general liability insurance programs. Stop loss coverage is maintained with third-party insurers to limit loss exposure. Management records liabilities for unresolved and incurred but not reported claims at the anticipated cost below applicable retention levels or per-claim deductible amounts. Insurance reserve liabilities are established at the balance sheet date using actuarial assumptions and historical data including the frequency and severity of claims.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insurance reserves is a critical audit matter are (i) the significant judgment by management when developing the estimate of insurance reserves; (ii) a high degree of auditor judgment, subjectivity, and effort in performing procedures and evaluating management’s significant assumptions related to the frequency and severity of claims; and (iii) the audit effort involved the use of professionals with specialized skill and knowledge.</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insurance reserves, including controls over the development of significant assumptions. These procedures also included, among others (i) testing management’s process for developing the estimate of insurance reserves, (ii) evaluating the appropriateness of the actuarial methods used by management, (iii) evaluating the reasonableness of the significant assumptions used by management related to the frequency and severity of claims, and (iv) testing the completeness and accuracy of the underlying data used in the valuation. Evaluating management’s assumptions related to the frequency and severity of claims involved considering (i) the consistency with external market data; and (ii) whether the assumptions were consistent with evidence obtained in other areas of the audit. Professionals with specialized skill and knowledge assisted in evaluating the reasonableness of management's estimate by (i) developing an independent estimate of insurance reserves and comparing the independent estimate to management's actuarial determined reserves, (ii) evaluating the appropriateness of management's actuarial methodologies and, (iii) evaluating the reasonableness of management's significant assumptions related to frequency and severity of claims.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Franchise Operated First Watch Restaurants on April 28, 2025 – Valuation of Reacquired Rights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on April 28, 2025, the Company acquired certain franchise operated First Watch restaurants for a net purchase price of $49.2 million. Of the assets acquired, $13.1 million of reacquired rights were recorded. The fair value of reacquired rights is determined as of the acquisition date by management using the excess earnings method. Under this method, the fair value is determined based on estimated future cash flows arising from the reacquired rights over their estimated economic lives. The assumptions that have the most significant effect on the fair value calculations are projected Earnings Before Interest and Taxes (“EBIT”) margins and the discount rate.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reacquired rights acquired in the acquisition of franchise operated First Watch restaurants on April 28, 2025 is a critical audit matter are (i) the significant judgment by management when developing the fair value estimate of the reacquired rights intangible asset acquired; (ii) a high degree of auditor judgment and effort in performing procedures and evaluating management’s significant assumptions related to the projected EBIT margins and the discount rate; and (iii) the audit effort involved the use of professionals with specialized skill and knowledge.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reacquired rights intangible asset acquired. These procedures also included, among others, (i) reading the purchase agreement; (ii) testing management’s process for developing the fair value estimate of the reacquired rights intangible asset acquired;</w:t>
      </w:r>
    </w:p>
    <w:p>
      <w:pPr>
        <w:spacing w:after="0" w:line="1" w:lineRule="exact"/>
        <w:rPr>
          <w:sz w:val="20"/>
          <w:szCs w:val="20"/>
          <w:color w:val="auto"/>
        </w:rPr>
      </w:pPr>
    </w:p>
    <w:p>
      <w:pPr>
        <w:jc w:val="both"/>
        <w:ind w:firstLine="5"/>
        <w:spacing w:after="0" w:line="243" w:lineRule="auto"/>
        <w:tabs>
          <w:tab w:leader="none" w:pos="25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appropriateness of the excess earnings method used by management; (iv) testing the completeness and accuracy of the underlying data used in the excess earnings method; and (v) evaluating the reasonableness of the significant assumptions used by management related to the projected EBIT margins and the discount rate. Evaluating management’s assumptions related to projected EBIT margins involved considering (i) the current and past performance of the franchisee’s franchise locations; (ii) the consistency with the historical performance of the Company’s existing restaurants; and (iii) whether the assumptions were consistent with evidence obtained in other areas of the audit. Professionals with specialized skill and knowledge were used to assist in evaluating (i) the appropriateness of the excess earnings method and (ii) the reasonableness of the discount rate assumption.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Tampa, Florida</w:t>
      </w:r>
    </w:p>
    <w:p>
      <w:pPr>
        <w:spacing w:after="0"/>
        <w:rPr>
          <w:sz w:val="20"/>
          <w:szCs w:val="20"/>
          <w:color w:val="auto"/>
        </w:rPr>
      </w:pPr>
      <w:r>
        <w:rPr>
          <w:rFonts w:ascii="Times New Roman" w:cs="Times New Roman" w:eastAsia="Times New Roman" w:hAnsi="Times New Roman"/>
          <w:sz w:val="14"/>
          <w:szCs w:val="14"/>
          <w:color w:val="auto"/>
        </w:rPr>
        <w:t>February 24,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28, 2025</w:t>
            </w:r>
          </w:p>
        </w:tc>
        <w:tc>
          <w:tcPr>
            <w:tcW w:w="260" w:type="dxa"/>
            <w:vAlign w:val="bottom"/>
          </w:tcPr>
          <w:p>
            <w:pPr>
              <w:spacing w:after="0"/>
              <w:rPr>
                <w:sz w:val="14"/>
                <w:szCs w:val="14"/>
                <w:color w:val="auto"/>
              </w:rPr>
            </w:pPr>
          </w:p>
        </w:tc>
        <w:tc>
          <w:tcPr>
            <w:tcW w:w="18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29, 2024</w:t>
            </w:r>
          </w:p>
        </w:tc>
        <w:tc>
          <w:tcPr>
            <w:tcW w:w="0" w:type="dxa"/>
            <w:vAlign w:val="bottom"/>
          </w:tcPr>
          <w:p>
            <w:pPr>
              <w:spacing w:after="0"/>
              <w:rPr>
                <w:sz w:val="1"/>
                <w:szCs w:val="1"/>
                <w:color w:val="auto"/>
              </w:rPr>
            </w:pPr>
          </w:p>
        </w:tc>
      </w:tr>
      <w:tr>
        <w:trPr>
          <w:trHeight w:val="152"/>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33,312</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Inventory</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Deposits and other 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0" w:type="dxa"/>
            <w:vAlign w:val="bottom"/>
          </w:tcPr>
          <w:p>
            <w:pPr>
              <w:spacing w:after="0"/>
              <w:rPr>
                <w:sz w:val="1"/>
                <w:szCs w:val="1"/>
                <w:color w:val="auto"/>
              </w:rPr>
            </w:pPr>
          </w:p>
        </w:tc>
      </w:tr>
      <w:tr>
        <w:trPr>
          <w:trHeight w:val="158"/>
        </w:trPr>
        <w:tc>
          <w:tcPr>
            <w:tcW w:w="6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current assets</w:t>
            </w:r>
          </w:p>
        </w:tc>
        <w:tc>
          <w:tcPr>
            <w:tcW w:w="28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49,080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55,876</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398,565</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167,596</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614,548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527,674</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Property, fixtures and equipment, net of accumulated depreciation of $285,706 and $229,227, respectively</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478,451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361,394</w:t>
            </w: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assets</w:t>
            </w:r>
          </w:p>
        </w:tc>
        <w:tc>
          <w:tcPr>
            <w:tcW w:w="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0" w:type="dxa"/>
            <w:vAlign w:val="bottom"/>
          </w:tcPr>
          <w:p>
            <w:pPr>
              <w:spacing w:after="0"/>
              <w:rPr>
                <w:sz w:val="1"/>
                <w:szCs w:val="1"/>
                <w:color w:val="auto"/>
              </w:rPr>
            </w:pPr>
          </w:p>
        </w:tc>
      </w:tr>
      <w:tr>
        <w:trPr>
          <w:trHeight w:val="163"/>
        </w:trPr>
        <w:tc>
          <w:tcPr>
            <w:tcW w:w="6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1,742,029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1,514,356</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6,961</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39,607</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compensation</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21,244</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revenues</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55,704</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rate swap liabilities, current</w:t>
            </w:r>
          </w:p>
        </w:tc>
        <w:tc>
          <w:tcPr>
            <w:tcW w:w="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58"/>
        </w:trPr>
        <w:tc>
          <w:tcPr>
            <w:tcW w:w="6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138,472</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651,254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555,576</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189,043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32,218</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Derivative liabilities</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0" w:type="dxa"/>
            <w:vAlign w:val="bottom"/>
          </w:tcPr>
          <w:p>
            <w:pPr>
              <w:spacing w:after="0"/>
              <w:rPr>
                <w:sz w:val="1"/>
                <w:szCs w:val="1"/>
                <w:color w:val="auto"/>
              </w:rPr>
            </w:pPr>
          </w:p>
        </w:tc>
      </w:tr>
      <w:tr>
        <w:trPr>
          <w:trHeight w:val="158"/>
        </w:trPr>
        <w:tc>
          <w:tcPr>
            <w:tcW w:w="6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liabilities</w:t>
            </w:r>
          </w:p>
        </w:tc>
        <w:tc>
          <w:tcPr>
            <w:tcW w:w="28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918,967</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18)</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28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68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Common stock; $0.01 par value; 300,000,000 shares authorized; 61,131,978 and 60,700,090 shares issued and outstanding at</w:t>
            </w:r>
          </w:p>
        </w:tc>
        <w:tc>
          <w:tcPr>
            <w:tcW w:w="280" w:type="dxa"/>
            <w:vAlign w:val="bottom"/>
          </w:tcPr>
          <w:p>
            <w:pPr>
              <w:spacing w:after="0"/>
              <w:rPr>
                <w:sz w:val="11"/>
                <w:szCs w:val="11"/>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December 28, 2025 and December 29, 2024, respectively</w:t>
            </w:r>
          </w:p>
        </w:tc>
        <w:tc>
          <w:tcPr>
            <w:tcW w:w="2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661,153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649,045</w:t>
            </w:r>
          </w:p>
        </w:tc>
        <w:tc>
          <w:tcPr>
            <w:tcW w:w="0" w:type="dxa"/>
            <w:vAlign w:val="bottom"/>
          </w:tcPr>
          <w:p>
            <w:pPr>
              <w:spacing w:after="0"/>
              <w:rPr>
                <w:sz w:val="1"/>
                <w:szCs w:val="1"/>
                <w:color w:val="auto"/>
              </w:rPr>
            </w:pPr>
          </w:p>
        </w:tc>
      </w:tr>
      <w:tr>
        <w:trPr>
          <w:trHeight w:val="168"/>
        </w:trPr>
        <w:tc>
          <w:tcPr>
            <w:tcW w:w="68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(53,822)</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8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equity</w:t>
            </w: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626,279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595,389</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1,742,029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1,514,356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61"/>
        </w:trPr>
        <w:tc>
          <w:tcPr>
            <w:tcW w:w="52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Restaurant sales</w:t>
            </w: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1,212,173</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1,004,355</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877,092</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Franchise revenues</w:t>
            </w:r>
          </w:p>
        </w:tc>
        <w:tc>
          <w:tcPr>
            <w:tcW w:w="1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14,459</w:t>
            </w:r>
          </w:p>
        </w:tc>
      </w:tr>
      <w:tr>
        <w:trPr>
          <w:trHeight w:val="158"/>
        </w:trPr>
        <w:tc>
          <w:tcPr>
            <w:tcW w:w="5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1,222,501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1,015,910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891,551</w:t>
            </w:r>
          </w:p>
        </w:tc>
      </w:tr>
      <w:tr>
        <w:trPr>
          <w:trHeight w:val="15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Restaurant operating expenses (exclusive of depreciation and amortization shown below):</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Food and beverage costs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280,098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223,097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197,374</w:t>
            </w:r>
          </w:p>
        </w:tc>
      </w:tr>
      <w:tr>
        <w:trPr>
          <w:trHeight w:val="168"/>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Labor and other related expenses</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335,038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294,010</w:t>
            </w:r>
          </w:p>
        </w:tc>
      </w:tr>
      <w:tr>
        <w:trPr>
          <w:trHeight w:val="172"/>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restaurant operating expenses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151,968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134,477</w:t>
            </w:r>
          </w:p>
        </w:tc>
      </w:tr>
      <w:tr>
        <w:trPr>
          <w:trHeight w:val="168"/>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Occupancy expenses</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68,400</w:t>
            </w:r>
          </w:p>
        </w:tc>
      </w:tr>
      <w:tr>
        <w:trPr>
          <w:trHeight w:val="172"/>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Pre-opening expenses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113,270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103,121</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41,223</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Impairments and loss on disposal of assets</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 net</w:t>
            </w:r>
          </w:p>
        </w:tc>
        <w:tc>
          <w:tcPr>
            <w:tcW w:w="1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3,147</w:t>
            </w:r>
          </w:p>
        </w:tc>
      </w:tr>
      <w:tr>
        <w:trPr>
          <w:trHeight w:val="158"/>
        </w:trPr>
        <w:tc>
          <w:tcPr>
            <w:tcW w:w="5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1,194,990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977,003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850,284</w:t>
            </w:r>
          </w:p>
        </w:tc>
      </w:tr>
      <w:tr>
        <w:trPr>
          <w:trHeight w:val="16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41,267</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(8,063)</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1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w:t>
            </w:r>
          </w:p>
        </w:tc>
      </w:tr>
      <w:tr>
        <w:trPr>
          <w:trHeight w:val="158"/>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36,075</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(10,690)</w:t>
            </w:r>
          </w:p>
        </w:tc>
      </w:tr>
      <w:tr>
        <w:trPr>
          <w:trHeight w:val="16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25,385</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1"/>
        </w:trPr>
        <w:tc>
          <w:tcPr>
            <w:tcW w:w="5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25,385</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8"/>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Unrealized (loss) gain on derivatives</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r>
      <w:tr>
        <w:trPr>
          <w:trHeight w:val="172"/>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tax related to other comprehensive (loss) income</w:t>
            </w:r>
          </w:p>
        </w:tc>
        <w:tc>
          <w:tcPr>
            <w:tcW w:w="1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5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1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18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basic</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0.43</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diluted</w:t>
            </w: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w:t>
            </w: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common shares outstanding - basic</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60,963,587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60,365,393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59,531,404</w:t>
            </w:r>
          </w:p>
        </w:tc>
      </w:tr>
      <w:tr>
        <w:trPr>
          <w:trHeight w:val="16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number of common shares outstanding - diluted</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62,842,519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62,351,222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61,191,613</w:t>
            </w:r>
          </w:p>
        </w:tc>
      </w:tr>
    </w:tbl>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CONSOLIDATED STATEMENTS OF EQUITY</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25, 2022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59,211,019</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33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Common stock issued under stock-based compensation plans,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680,686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w:t>
            </w: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59,891,705</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33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Common stock issued under stock-based compensation plans,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808,385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w:t>
            </w: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29, 2024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60,700,090</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33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Common stock issued under stock-based compensation plans,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431,888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w:t>
            </w: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28,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61,131,978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-1731010</wp:posOffset>
            </wp:positionV>
            <wp:extent cx="7134860" cy="107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-1501775</wp:posOffset>
            </wp:positionV>
            <wp:extent cx="7134860"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-1279525</wp:posOffset>
            </wp:positionV>
            <wp:extent cx="713486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8859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-982980</wp:posOffset>
            </wp:positionV>
            <wp:extent cx="7134860" cy="107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-464185</wp:posOffset>
            </wp:positionV>
            <wp:extent cx="7134860" cy="107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-248920</wp:posOffset>
            </wp:positionV>
            <wp:extent cx="713486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-767715</wp:posOffset>
            </wp:positionV>
            <wp:extent cx="713486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-2033905</wp:posOffset>
            </wp:positionV>
            <wp:extent cx="713486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940" w:type="dxa"/>
            <w:vAlign w:val="bottom"/>
          </w:tcPr>
          <w:p>
            <w:pPr>
              <w:jc w:val="right"/>
              <w:ind w:right="396"/>
              <w:spacing w:after="0" w:line="12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Comprehensive Income</w:t>
            </w:r>
          </w:p>
        </w:tc>
        <w:tc>
          <w:tcPr>
            <w:tcW w:w="200" w:type="dxa"/>
            <w:vAlign w:val="bottom"/>
          </w:tcPr>
          <w:p>
            <w:pPr>
              <w:spacing w:after="0"/>
              <w:rPr>
                <w:sz w:val="11"/>
                <w:szCs w:val="11"/>
                <w:color w:val="auto"/>
              </w:rPr>
            </w:pPr>
          </w:p>
        </w:tc>
        <w:tc>
          <w:tcPr>
            <w:tcW w:w="110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67"/>
        </w:trPr>
        <w:tc>
          <w:tcPr>
            <w:tcW w:w="9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620,675</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(98,132)</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523,135</w:t>
            </w:r>
          </w:p>
        </w:tc>
        <w:tc>
          <w:tcPr>
            <w:tcW w:w="0" w:type="dxa"/>
            <w:vAlign w:val="bottom"/>
          </w:tcPr>
          <w:p>
            <w:pPr>
              <w:spacing w:after="0"/>
              <w:rPr>
                <w:sz w:val="1"/>
                <w:szCs w:val="1"/>
                <w:color w:val="auto"/>
              </w:rPr>
            </w:pPr>
          </w:p>
        </w:tc>
      </w:tr>
      <w:tr>
        <w:trPr>
          <w:trHeight w:val="297"/>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5,820</w:t>
            </w: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25,385</w:t>
            </w:r>
          </w:p>
        </w:tc>
        <w:tc>
          <w:tcPr>
            <w:tcW w:w="0" w:type="dxa"/>
            <w:vAlign w:val="bottom"/>
          </w:tcPr>
          <w:p>
            <w:pPr>
              <w:spacing w:after="0"/>
              <w:rPr>
                <w:sz w:val="1"/>
                <w:szCs w:val="1"/>
                <w:color w:val="auto"/>
              </w:rPr>
            </w:pPr>
          </w:p>
        </w:tc>
      </w:tr>
      <w:tr>
        <w:trPr>
          <w:trHeight w:val="191"/>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7,604</w:t>
            </w:r>
          </w:p>
        </w:tc>
        <w:tc>
          <w:tcPr>
            <w:tcW w:w="1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16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634,099</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(72,747)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561,284</w:t>
            </w:r>
          </w:p>
        </w:tc>
        <w:tc>
          <w:tcPr>
            <w:tcW w:w="0" w:type="dxa"/>
            <w:vAlign w:val="bottom"/>
          </w:tcPr>
          <w:p>
            <w:pPr>
              <w:spacing w:after="0"/>
              <w:rPr>
                <w:sz w:val="1"/>
                <w:szCs w:val="1"/>
                <w:color w:val="auto"/>
              </w:rPr>
            </w:pPr>
          </w:p>
        </w:tc>
      </w:tr>
      <w:tr>
        <w:trPr>
          <w:trHeight w:val="297"/>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6,421</w:t>
            </w: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6,429</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8,525</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6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649,045</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(53,822)</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3"/>
                <w:szCs w:val="13"/>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595,389</w:t>
            </w:r>
          </w:p>
        </w:tc>
        <w:tc>
          <w:tcPr>
            <w:tcW w:w="0" w:type="dxa"/>
            <w:vAlign w:val="bottom"/>
          </w:tcPr>
          <w:p>
            <w:pPr>
              <w:spacing w:after="0"/>
              <w:rPr>
                <w:sz w:val="1"/>
                <w:szCs w:val="1"/>
                <w:color w:val="auto"/>
              </w:rPr>
            </w:pPr>
          </w:p>
        </w:tc>
      </w:tr>
      <w:tr>
        <w:trPr>
          <w:trHeight w:val="297"/>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1,189</w:t>
            </w: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10,919</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10,919</w:t>
            </w:r>
          </w:p>
        </w:tc>
        <w:tc>
          <w:tcPr>
            <w:tcW w:w="0" w:type="dxa"/>
            <w:vAlign w:val="bottom"/>
          </w:tcPr>
          <w:p>
            <w:pPr>
              <w:spacing w:after="0"/>
              <w:rPr>
                <w:sz w:val="1"/>
                <w:szCs w:val="1"/>
                <w:color w:val="auto"/>
              </w:rPr>
            </w:pPr>
          </w:p>
        </w:tc>
      </w:tr>
      <w:tr>
        <w:trPr>
          <w:trHeight w:val="170"/>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63"/>
        </w:trPr>
        <w:tc>
          <w:tcPr>
            <w:tcW w:w="9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661,153</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(34,390)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626,279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7277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-6350</wp:posOffset>
            </wp:positionV>
            <wp:extent cx="72771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-140970</wp:posOffset>
            </wp:positionV>
            <wp:extent cx="7277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10" cy="698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-1393825</wp:posOffset>
            </wp:positionV>
            <wp:extent cx="7277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220"/>
            <w:col w:w="5180"/>
          </w:cols>
          <w:pgMar w:left="300" w:top="125" w:right="339" w:bottom="1440" w:gutter="0" w:footer="0" w:header="0"/>
          <w:type w:val="continuous"/>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6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25,385</w:t>
            </w: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41,223</w:t>
            </w:r>
          </w:p>
        </w:tc>
      </w:tr>
      <w:tr>
        <w:trPr>
          <w:trHeight w:val="172"/>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7,604</w:t>
            </w:r>
          </w:p>
        </w:tc>
      </w:tr>
      <w:tr>
        <w:trPr>
          <w:trHeight w:val="168"/>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32,786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w:t>
            </w:r>
          </w:p>
        </w:tc>
      </w:tr>
      <w:tr>
        <w:trPr>
          <w:trHeight w:val="172"/>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Non-cash loss on extinguishments and modifications of debt</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8,315</w:t>
            </w:r>
          </w:p>
        </w:tc>
      </w:tr>
      <w:tr>
        <w:trPr>
          <w:trHeight w:val="172"/>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 and deferred issuance costs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68"/>
        </w:trPr>
        <w:tc>
          <w:tcPr>
            <w:tcW w:w="6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Impairments and loss on disposal of assets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r>
      <w:tr>
        <w:trPr>
          <w:trHeight w:val="172"/>
        </w:trPr>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assets and liabilities, net of effects of business combinations: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r>
      <w:tr>
        <w:trPr>
          <w:trHeight w:val="17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Inventory</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6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w:t>
            </w:r>
          </w:p>
        </w:tc>
      </w:tr>
      <w:tr>
        <w:trPr>
          <w:trHeight w:val="17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Deposits and other assets, current and long-term</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(3,540)</w:t>
            </w:r>
          </w:p>
        </w:tc>
      </w:tr>
      <w:tr>
        <w:trPr>
          <w:trHeight w:val="168"/>
        </w:trPr>
        <w:tc>
          <w:tcPr>
            <w:tcW w:w="6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r>
      <w:tr>
        <w:trPr>
          <w:trHeight w:val="17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Accrued liabilities and other long-term liabilities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w:t>
            </w:r>
          </w:p>
        </w:tc>
      </w:tr>
      <w:tr>
        <w:trPr>
          <w:trHeight w:val="168"/>
        </w:trPr>
        <w:tc>
          <w:tcPr>
            <w:tcW w:w="6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Accrued compensation and deferred payroll taxes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w:t>
            </w:r>
          </w:p>
        </w:tc>
      </w:tr>
      <w:tr>
        <w:trPr>
          <w:trHeight w:val="17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Deferred revenues, current and long-term</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r>
      <w:tr>
        <w:trPr>
          <w:trHeight w:val="168"/>
        </w:trPr>
        <w:tc>
          <w:tcPr>
            <w:tcW w:w="6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r>
      <w:tr>
        <w:trPr>
          <w:trHeight w:val="17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(8,056)</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(5,142)</w:t>
            </w: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(11,399)</w:t>
            </w:r>
          </w:p>
        </w:tc>
      </w:tr>
      <w:tr>
        <w:trPr>
          <w:trHeight w:val="158"/>
        </w:trPr>
        <w:tc>
          <w:tcPr>
            <w:tcW w:w="69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125,912</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115,673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95,338</w:t>
            </w:r>
          </w:p>
        </w:tc>
      </w:tr>
      <w:tr>
        <w:trPr>
          <w:trHeight w:val="15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(156,906)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(83,329)</w:t>
            </w:r>
          </w:p>
        </w:tc>
      </w:tr>
      <w:tr>
        <w:trPr>
          <w:trHeight w:val="17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(56,008)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(39,880)</w:t>
            </w:r>
          </w:p>
        </w:tc>
      </w:tr>
      <w:tr>
        <w:trPr>
          <w:trHeight w:val="165"/>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3"/>
        </w:trPr>
        <w:tc>
          <w:tcPr>
            <w:tcW w:w="690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(213,764)</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(206,653)</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STATEMENTS OF CASH FLOWS - </w:t>
      </w:r>
      <w:r>
        <w:rPr>
          <w:rFonts w:ascii="Times New Roman" w:cs="Times New Roman" w:eastAsia="Times New Roman" w:hAnsi="Times New Roman"/>
          <w:sz w:val="14"/>
          <w:szCs w:val="14"/>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63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8"/>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r>
      <w:tr>
        <w:trPr>
          <w:trHeight w:val="17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borrowings on revolving credit facility</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long-term debt, including finance lease liabilities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(6,183)</w:t>
            </w:r>
          </w:p>
        </w:tc>
      </w:tr>
      <w:tr>
        <w:trPr>
          <w:trHeight w:val="168"/>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debt discount and deferred issuance costs</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 net of employee taxes paid</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w:t>
            </w:r>
          </w:p>
        </w:tc>
      </w:tr>
      <w:tr>
        <w:trPr>
          <w:trHeight w:val="168"/>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Contingent consideration payment</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7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notes payable</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w:t>
            </w:r>
          </w:p>
        </w:tc>
      </w:tr>
      <w:tr>
        <w:trPr>
          <w:trHeight w:val="158"/>
        </w:trPr>
        <w:tc>
          <w:tcPr>
            <w:tcW w:w="63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75,786</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74,331</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28,070</w:t>
            </w:r>
          </w:p>
        </w:tc>
      </w:tr>
      <w:tr>
        <w:trPr>
          <w:trHeight w:val="172"/>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Beginning of period</w:t>
            </w:r>
          </w:p>
        </w:tc>
        <w:tc>
          <w:tcPr>
            <w:tcW w:w="9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49,961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49,923</w:t>
            </w:r>
          </w:p>
        </w:tc>
      </w:tr>
      <w:tr>
        <w:trPr>
          <w:trHeight w:val="160"/>
        </w:trPr>
        <w:tc>
          <w:tcPr>
            <w:tcW w:w="63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End of period</w:t>
            </w:r>
          </w:p>
        </w:tc>
        <w:tc>
          <w:tcPr>
            <w:tcW w:w="960" w:type="dxa"/>
            <w:vAlign w:val="bottom"/>
            <w:tcBorders>
              <w:bottom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21,246</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33,312</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49,961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1"/>
        </w:trPr>
        <w:tc>
          <w:tcPr>
            <w:tcW w:w="63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9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65"/>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 net of amounts capitalized</w:t>
            </w:r>
          </w:p>
        </w:tc>
        <w:tc>
          <w:tcPr>
            <w:tcW w:w="96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15,507</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12,328</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w:t>
            </w:r>
          </w:p>
        </w:tc>
      </w:tr>
      <w:tr>
        <w:trPr>
          <w:trHeight w:val="17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income taxes, net of refunds</w:t>
            </w: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100" w:type="dxa"/>
            <w:vAlign w:val="bottom"/>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r>
      <w:tr>
        <w:trPr>
          <w:trHeight w:val="170"/>
        </w:trPr>
        <w:tc>
          <w:tcPr>
            <w:tcW w:w="6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activities: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63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Leased assets obtained in exchange for new operating lease liabilities </w:t>
            </w:r>
            <w:r>
              <w:rPr>
                <w:rFonts w:ascii="Times New Roman" w:cs="Times New Roman" w:eastAsia="Times New Roman" w:hAnsi="Times New Roman"/>
                <w:sz w:val="16"/>
                <w:szCs w:val="16"/>
                <w:color w:val="auto"/>
                <w:vertAlign w:val="superscript"/>
              </w:rPr>
              <w:t>(1)</w:t>
            </w:r>
          </w:p>
        </w:tc>
        <w:tc>
          <w:tcPr>
            <w:tcW w:w="96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114,903</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129,105</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88,819</w:t>
            </w:r>
          </w:p>
        </w:tc>
      </w:tr>
      <w:tr>
        <w:trPr>
          <w:trHeight w:val="17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Leased assets obtained in exchange for new finance lease liabilities</w:t>
            </w: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9,831</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8"/>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Remeasurements and terminations of operating lease assets and lease liabilities</w:t>
            </w:r>
          </w:p>
        </w:tc>
        <w:tc>
          <w:tcPr>
            <w:tcW w:w="96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4,757</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r>
      <w:tr>
        <w:trPr>
          <w:trHeight w:val="17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Remeasurements and terminations of finance lease assets and lease liabilities</w:t>
            </w: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5"/>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Increase in liabilities from acquisition of property, fixtures and equipment</w:t>
            </w:r>
          </w:p>
        </w:tc>
        <w:tc>
          <w:tcPr>
            <w:tcW w:w="96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7,036</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Leased assets and liabilities obtained in Fiscal 2025 and 2024 include $23.6 million and $28.1 million, respectively, from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Business and Organization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First Watch Restaurant Group, Inc. (collectively with its wholly-owned subsidiaries, “the Company” or “Management”) is a Delaware holding company. The Company operates and franchises restaurants in 32 states operating under the “First Watch” trade name, which are focused on made-to-order breakfast, brunch and lunch. The Company does not operate outside of the United States and all of its assets are located in the United States.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operates restaurants through its wholly owned subsidiary, First Watch Restaurants, Inc., and is a franchisor through its wholly owned subsidiary, First Watch Franchise Development Co. As of December 28, 2025 and December 29, 2024, the Company operated 560 company-owned restaurants and 489 company-owned restaurants, respectively, and had 73 franchise-owned restaurants and 83 franchise-owned restaurants, respectively.</w:t>
      </w:r>
    </w:p>
    <w:p>
      <w:pPr>
        <w:spacing w:after="0" w:line="21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reports financial information on a 52- or 53-week fiscal year ending on the last Sunday of each calendar year. The fiscal years ended December 28, 2025 (“Fiscal 2025”), December 29, 2024 (“Fiscal 2024”) and December 31, 2023 (“Fiscal 2023”) contained 52 weeks, 52 weeks and 53 weeks, respectively. The accompanying consolidated financial statements of the Company have been prepared by the Company in accordance with generally accepted accounting principles in the United States of America (“GAAP”).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financial statements include the accounts of its wholly owned subsidiaries. All intercompany transactions and balances have been eliminated in consolidation.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does not hold ownership interests in any franchisee and does not provide financial support to franchisees. As a result, the Company’s franchise relationships are not variable interest entities and are not consolidated.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 estimates and such differences could be material.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Company’s business combinations are accounted for using the purchase method of accounting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consideration transferred in a business combination, identifiable assets acquired and liabilities assumed are measured at their estimated fair value as of the date of the acquisition. The fair value of reacquired rights is determined as of the acquisition date by Management using the excess earnings method. Under this method, the fair value is determined based on estimated future cash flows arising from the reacquired rights over their estimated economic lives. The assumptions that have the most significant effect on the fair value calculations are projected Earnings Before Interest and Taxes (“EBIT”) margins and the discount rate. Goodwill is recognized for the amount by which the purchase consideration exceeds the fair values of the net assets acquired. Costs incurred in connection with business combinations are expensed as incurred. The results of operations of the businesses that were acquired are included as of their respective dates of acquisition.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Financial assets and liabilities carried at fair value are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Level 1</w:t>
            </w:r>
          </w:p>
        </w:tc>
        <w:tc>
          <w:tcPr>
            <w:tcW w:w="10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Quoted prices (unadjusted) in active markets for identical assets or liabilities</w:t>
            </w:r>
          </w:p>
        </w:tc>
      </w:tr>
      <w:tr>
        <w:trPr>
          <w:trHeight w:val="177"/>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Level 2</w:t>
            </w:r>
          </w:p>
        </w:tc>
        <w:tc>
          <w:tcPr>
            <w:tcW w:w="104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Observable inputs available other than quoted prices included in Level 1</w:t>
            </w:r>
          </w:p>
        </w:tc>
      </w:tr>
      <w:tr>
        <w:trPr>
          <w:trHeight w:val="18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Level 3</w:t>
            </w:r>
          </w:p>
        </w:tc>
        <w:tc>
          <w:tcPr>
            <w:tcW w:w="10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Unobservable inputs based on assumptions that cannot be determined by observable market data</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including cash equivalents, accounts receivable, accounts payable, accrued expenses and other current liabilities, approximate their fair values due to their short-term maturities.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rate swaps are used as an element of the Company’s interest rate risk management strategy with the intent of reducing cash flow exposure to variability in expected future interest rates. Management has elected to designate and qualify the interest rate swaps as cash flow hedges. As such, the instruments are recorded on the balance sheet at fair value. Thereafter, gains or losses on the instruments are recognized in equity as changes to Other comprehensive income (loss) and subsequently reclassified into earnings at the time of the Company’s debt-interest payments. The Company has elected to record cash flows from interest rate swaps within operating activities, the same category as the items being hedged, in its Consolidated Statements of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all cash balances and highly liquid investments with an original maturity of three months or less. Amounts receivable from credit card processors are considered cash equivalents because they are highly liquid and are typically converted to cash within three business days.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concentrations of market and credit risk, are cash and cash equivalents. At times, cash balances may be in excess of the Federal Deposit Insurance Corporation insurance limits. The Company has not experienced any losses to date as a result of these risks. Management periodically assesses the quality of the financial institutions and believes that the risk related to these deposits is minimal.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Accounts receivable consist primarily of receivables from franchisees, receivables from third-party delivery providers, receivables from gift card sales and vendor rebates. The Company believes all amounts to be collectible based on a variety of factors it evaluates, including historical experience, current economic conditions and other factors. Accordingly, no allowance for credit losses or doubtful accounts has been recorded as of December 28, 2025 and December 29,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Inventory consists primarily of food and beverage costs and is stated at the lower of cost (determined by the first-in, first-out method) or net realizable value. Adjustments are not deemed necessary to reduce inventory to net realizable value due to the rapid turnover and utilization of inventory.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restaurant facilities, corporate offices and certain restaurant equipment are leased under various agreements having initial terms expiring between 2026 and 2041. Restaurant facility leases generally have renewal periods of five to 20 years, exercisable at the option of the Company. At the commencement of each lease, an evaluation is performed to determine whether (i) the contract involves the use of property or equipment, (ii) the Company controls the use of the asset and (iii) the Company has the right to direct the use of the asset. Management determines the classification of lease contracts as operating or finance leases. The majority of the Company’s real estate leases are classified as operating leases and the majority of the Company’s equipment leases are classified as finance leases.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operating leases with lease terms greater than 12 months, a lease liability is recognized for future fixed lease payments and a corresponding right-of-use asset is recognized representing the Company’s right to use the underlying asset during the lease term. The lease liability is initially measured as the present value of the future fixed lease payments that will be made over the lease term using the Company’s incremental borrowing rate as there are no implicit rates provided in the lease contracts. The Company’s incremental borrowing rate is based on a market yield implied by the Company’s outstanding secured term loans interpolated for various maturities using the Company’s synthetic credit rating, which was determined using a regression analysis of rated comparable publicly-traded companies and their financial data. Occupancy expense, which includes the effects of free rent periods and rent escalation clauses within certain of the Company’s leases, is recognized on a straight-line basis over the lease term. Tenant improvement allowances are amortized on a straight-line basis over the term of the lease as a reduction of lease expense. The lease term, which commences on the date the Company has the right to control the use of the property, includes the Company’s options to extend the lease to the extent it is reasonably certain that the renewal options will be exercised.</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Leases with indexed rent escalation clauses are recorded using the index that existed at lease commencement or upon the latest modification requiring remeasurement. Subsequent changes in the index are recorded as variable lease expense. Contingent rent payments, which are based on a percentage of sales for certain restaurant facilities, are recorded as variable lease expense when the Company determines that such sales levels will be achieved. In addition to fixed lease payments, certain of the Company’s real estate leases also require payment of a proportionate share of property taxes, insurance and maintenance costs, which are expensed as incurred in the Consolidated Statements of Operations and Comprehensive Income and future variable rent obligations are not included within the lease liabilities on the Consolidated Balance Sheets.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operating lease right-of-use asset is measured as the amount of the lease liability with adjustments for (i) rent prepayments made prior to or at lease commencement, (ii) landlord incentives and</w:t>
      </w:r>
    </w:p>
    <w:p>
      <w:pPr>
        <w:spacing w:after="0" w:line="23" w:lineRule="exact"/>
        <w:rPr>
          <w:sz w:val="20"/>
          <w:szCs w:val="20"/>
          <w:color w:val="auto"/>
        </w:rPr>
      </w:pPr>
    </w:p>
    <w:p>
      <w:pPr>
        <w:ind w:firstLine="5"/>
        <w:spacing w:after="0" w:line="266" w:lineRule="auto"/>
        <w:tabs>
          <w:tab w:leader="none" w:pos="24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favorable and unfavorable leasehold positions. The depreciable life of an operating lease right-of-use asset is limited by the lease term. The Company’s leases do not contain any material residual value guarantees or material restrictive covenants.</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Fixed lease and non-lease components of the Company’s restaurant facility leases are accounted for as a single lease component. Leases with an initial term of 12 months or less are not recorded on the Consolidated Balance Sheets, however, they are recognized on a straight-line basis over the lease term in the Consolidated Statements of Operations and Comprehensive Income.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Finance lease liabilities and corresponding finance lease assets are recognized at an amount equal to the present value of the minimum lease payments over the lease term. The amortization of finance lease assets is recognized over the shorter of the lease term or useful life of the underlying asset within Depreciation and amortization. The interest expense related to finance leases, including any variable lease payments, is recognized in Interest expense. Finance lease assets are classified in Property, fixtures and equipment, net and current maturities and long-term portions of finance lease liabilities are classified within Current portion of long-term debt and Long-term debt, net,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Fixtures and Equipment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Repair and maintenance costs are expensed as incurred. Leasehold improvements are depreciated over the shorter of their useful life or the lease term. The carrying amount of assets sold, replaced or retired and the related accumulated depreciation are eliminated at the time of disposal and any resulting gains and losses on disposal are recognized in the Consolidated Statements of Operations and Comprehensive Income.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Direct internal costs associated with the acquisition, development, design and construction of company-owned restaurants are capitalized as these costs have a future benefit to the Company. Direct internal costs of $1.7 million and $1.2 million were capitalized in Fiscal 2025 and Fiscal 2024,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tc>
        <w:tc>
          <w:tcPr>
            <w:tcW w:w="2120" w:type="dxa"/>
            <w:vAlign w:val="bottom"/>
          </w:tcPr>
          <w:p>
            <w:pPr>
              <w:spacing w:after="0"/>
              <w:rPr>
                <w:sz w:val="13"/>
                <w:szCs w:val="13"/>
                <w:color w:val="auto"/>
              </w:rPr>
            </w:pPr>
          </w:p>
        </w:tc>
      </w:tr>
      <w:tr>
        <w:trPr>
          <w:trHeight w:val="186"/>
        </w:trPr>
        <w:tc>
          <w:tcPr>
            <w:tcW w:w="916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2120" w:type="dxa"/>
            <w:vAlign w:val="bottom"/>
          </w:tcPr>
          <w:p>
            <w:pPr>
              <w:spacing w:after="0"/>
              <w:rPr>
                <w:sz w:val="16"/>
                <w:szCs w:val="16"/>
                <w:color w:val="auto"/>
              </w:rPr>
            </w:pPr>
          </w:p>
        </w:tc>
      </w:tr>
      <w:tr>
        <w:trPr>
          <w:trHeight w:val="64"/>
        </w:trPr>
        <w:tc>
          <w:tcPr>
            <w:tcW w:w="916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r>
      <w:tr>
        <w:trPr>
          <w:trHeight w:val="489"/>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is computed using the straight-line method over the following estimated useful lives:</w:t>
            </w:r>
          </w:p>
        </w:tc>
        <w:tc>
          <w:tcPr>
            <w:tcW w:w="2120" w:type="dxa"/>
            <w:vAlign w:val="bottom"/>
          </w:tcPr>
          <w:p>
            <w:pPr>
              <w:spacing w:after="0"/>
              <w:rPr>
                <w:sz w:val="24"/>
                <w:szCs w:val="24"/>
                <w:color w:val="auto"/>
              </w:rPr>
            </w:pPr>
          </w:p>
        </w:tc>
      </w:tr>
      <w:tr>
        <w:trPr>
          <w:trHeight w:val="107"/>
        </w:trPr>
        <w:tc>
          <w:tcPr>
            <w:tcW w:w="916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18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 and land improvements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to 40 years</w:t>
            </w:r>
          </w:p>
        </w:tc>
      </w:tr>
      <w:tr>
        <w:trPr>
          <w:trHeight w:val="18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to 20 years</w:t>
            </w:r>
          </w:p>
        </w:tc>
      </w:tr>
      <w:tr>
        <w:trPr>
          <w:trHeight w:val="18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to 10 years</w:t>
            </w:r>
          </w:p>
        </w:tc>
      </w:tr>
      <w:tr>
        <w:trPr>
          <w:trHeight w:val="18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(including capitalized software)</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to 15 years</w:t>
            </w:r>
          </w:p>
        </w:tc>
      </w:tr>
      <w:tr>
        <w:trPr>
          <w:trHeight w:val="18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to 10 years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Indefinite-lived Intangible Assets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and indefinite-lived intangible assets are evaluated for impairment annually on the first day of the fourth quarter of the fiscal year, or whenever events or changes in circumstances indicate that the carrying amount may not be recoverable. The Company has one reporting unit for goodwill impairment testing purposes.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the indefinite-lived intangibles is determined through a relief from royalty method using certain unobservable inputs that fall within Level 3 of the fair value hierarchy. The respective carrying values are compared to the related estimated fair values and an impairment loss is recognized in an amount equal to the excess of the carrying value over estimated fair values.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performed a qualitative annual impairment assessment for goodwill and indefinite-lived intangible assets as of the first day of the fourth quarter of each of Fiscal 2025 and Fiscal 2024 and concluded that impairment of both goodwill and indefinite-lived intangible assets was not more likely than not. As a result, a quantitative assessment was not required in either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with definite lives consist of franchise rights and reacquired rights from the Company’s acquisitions of franchised restaurants. Definite-lived intangible assets are amortized over their estimated useful lives and are tested for impairment whenever events or changes in circumstances indicate that the carrying amount may not be recoverable.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When evaluating the carrying amount for recoverability, the total future undiscounted net cash flows expected to be generated by the asset are compared to the carrying amount. If the total future undiscounted net cash flows are less than the carrying amount, this may be an indicator of impairment. An impairment loss is recognized when the asset’s carrying value exceeds its estimated fair value. Fair value is generally estimated using a discounted cash flow model using unobservable inputs that fall within Level 3 of the fair value hierarchy. No impairment loss was recorded for definite-lived intangible assets in Fiscal 2025, Fiscal 2024 and Fiscal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Assessment of Long-lived Assets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When circumstances indicate that the carrying value may not be recoverable, an evaluation for impairment is performed at the lowest level of identifiable cash flows, which is at the individual restaurant level. If the total future undiscounted net cash flows are less than the carrying value of the long-lived assets at the individual restaurant level, the fair value is determined based on discounted future net cash flows expected to result from the use and eventual disposition of the assets, which are unobservable inputs that fall within Level 3 of the fair value hierarchy. An impairment loss is recognized in an amount equal to the excess of the carrying value over the estimated fair value.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Insurance Reserves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self-insured for employee group health claims and Ohio workers’ compensation. The Company also carries retention levels and per-claim deductibles associated with other workers’ compensation and general liability insurance programs. Stop loss coverage is maintained with third-party insurers to limit loss exposure.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record liabilities for unresolved and incurred but not reported claims at the anticipated cost below applicable retention levels or per-claim deductible amounts. Insurance reserve liabilities are established at the balance sheet date using actuarial assumptions and historical data including the frequency and severity of claims. The establishment of the reserves utilizing estimates and assumptions is based, in part, on the premise that historical claims experience is indicative of current and future expected activity, which could differ significantly. If actual results are not consistent with our estimates or assumptions, the Company may be exposed to losses or gains that could be material.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Estimated unpaid claims and other insurance liabilities of $6.3 million and $3.9 million were recorded in the accompanying Consolidated Balance Sheets as of December 28, 2025 and December 29, 2024,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Revenues from food and beverage sales are reported, net of discounts and taxes. For in-restaurant dining and take-out sales, revenues are recognized when payment is tendered. For delivery sales made through the Company’s mobile application and website, the Company controls the delivery services and recognizes revenue, including delivery fees, when the delivery partner transfers the food and beverage to the customer. With respect to sales made through delivery partners’ mobile applications or websites, the Company recognizes revenue, excluding delivery fees collected by the delivery partner, when control of the food and beverage is transferred to the delivery partner. Payment is received from the delivery partner subsequent to the transfer of food and beverage and the payment terms are short-term.</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Franchise revenues include initial franchise fees and ongoing sales-based royalty and system fund contributions, which are used for advertising, marketing and public relations programs and materials. The 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one distinct performance obligation. Payments for initial franchise fees are received either upon execution of the franchise agreement and/or upon opening of the restaurant. These payments are deferred and recognized as revenue throughout the contractual term of the related franchise agreement. Unamortized deferred franchise fees are recognized as revenue upon the termination of franchise agreements with franchisees. The short-term and long-term unamortized portion of these liabilities are included in Deferred revenues and in Other long-term liabilities,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Royalty and system fund contributions from franchisees are based on a percentage of sales and are recognized as revenue in the period the sales occurred.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Gift cards are sold at restaurants and certain retail venues. Deferred revenues include liabilities established for the value of the gift cards when sold. Revenue is recognized from gift card sales upon redemption by the customer. Management estimates the amount of gift cards for which the likelihood of redemption is remote, referred to as “breakage,” using historical gift card redemption patterns. The estimated breakage is recognized over the expected period of redemption as the remaining gift card values are redeemed, which is generally over a period of two years. Utilizing this method, Management estimates both the breakage and the time period of redemption. If actual redemption patterns vary from these estimates, actual gift card breakage income may differ from the amounts recorded. Estimates of the redemption period and breakage rate applied are updated periodically. Gift card liabilities are included in Deferred revenues.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Food and Beverage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food and beverage costs at company-owned restaurants fluctuate directly with sales volumes and are impacted by changes in commodity prices or promotional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Pre-opening Expenses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Received from Vendors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receives consideration from certain vendors for volume rebates and allowances. The Company accounts for consideration from a vendor as a reduction of the purchase price of the goods or services acquired from the vendor.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costs are recognized as incurred or, in the case of advertisements, when the advertisement occurs. Advertising costs were $16.5 million, $8.5 million and $7.2 million during Fiscal 2025, Fiscal 2024 and Fiscal 2023, respectively, and are included in General and administrative expenses, Other restaurant operating expenses and Pre-opening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Discount and Deferred Issuance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Debt discount and deferred issuance costs incurred in connection with the issuance of long-term debt are recorded as reductions of long-term debt and are amortized over the term of the related debt.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of debt discount and deferred issuance costs is included in Interest expense.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of accounting. Under this method, deferred tax assets or liabilities are recognized for the estimated future tax effects attributable to temporary differences between the carrying value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Management determines it is more likely than not that some portion or all of the deferred tax assets may not be realized, a valuation allowance is established against the deferred tax assets. In the assessment for realization of deferred tax assets, Management considers all sources of taxable income including carryback available, scheduling of anticipated reversal of taxable temporary differences, prudent and feasible tax-planning strategies and future taxable income expected.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evaluates our tax filing positions and recognizes a tax benefit from an uncertain tax position only if, based on its technical merits, it is more likely than not that the tax position will be sustained upon examination by the relevant taxing authorities. The tax benefits recognized in the financial statements from such a position would be measured based on the largest tax benefit that has a greater than 50% likelihood of being realized upon settlement with a taxing authority. For uncertain tax positions that do not meet this threshold, we would record a related tax reserve in the period in which it arises. We would adjust our unrecognized tax benefit liability and provision for income taxes in the period in which the uncertain tax position is effectively settled, the statute of limitations expires for the relevant taxing authority to examine the tax position or when new information becomes available that would require a change in recognition and/or measurement of the liability.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interest to be paid on an underpayment of income taxes in interest expense and any related statutory penalties in the provision for income taxes. Accrued interest and penalties would be included within the related tax reserve on our consolidated balance sheets.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is recognized in General and administrative expenses based on the fair value of the stock-based awards on the date of grant. The fair value of performance-based awards is recognized as expense when the achievement of the performance condition is probable. Stock-based compensation expense for time-based awards is expensed over the requisite service period.</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restricted stock units (“RSU”) is determined by the market price of the Company’s stock on the date the RSU is granted. The fair value of stock option awards is determined using the Black-Scholes option pricing model. Determining the fair value of stock option awards at the grant date requires judgment, including estimating the expected term that the stock option awards will be outstanding prior to exercise, volatility, dividend yield and risk-free interest rate. The assumptions underlying these valuations represented Management’s best estimate, which involved inherent uncertainties and the application of Management’s judgment. As a result, if Management had used significantly different assumptions or estimates, the fair value of stock option awards and stock-based compensation expense could have been materially different.</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Stock option exercises and restricted stock unit vesting are settled with authorized but unissued shares of the Company’s common stock. Forfeitures of stock-based awards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Recently Issued Accounting Pronouncements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Accounting Standards Update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which establishes new income tax disclosure requirements including disaggregated information about a reporting entity’s effective tax rate reconciliation as well as disaggregated information on income taxes paid. The Company adopted ASU 2023-09 prospectively on December 28, 2025. See the disclosure included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 - Goodwill and Other - Internal-Use Software</w:t>
      </w:r>
      <w:r>
        <w:rPr>
          <w:rFonts w:ascii="Times New Roman" w:cs="Times New Roman" w:eastAsia="Times New Roman" w:hAnsi="Times New Roman"/>
          <w:sz w:val="14"/>
          <w:szCs w:val="14"/>
          <w:color w:val="auto"/>
        </w:rPr>
        <w:t>, which updates the accounting for internal-use software by replacing stage-based rules with a principles-based framework, clarifying the criteria for capitalization and merging website development cost guidance. The amendments in this update are effective for annual periods beginning after December 15, 2027, and interim reporting periods within those annual reporting periods. The update may be applied prospectively, retrospectively, or on a modified transition basis based on the status of the project and whether software costs were capitalized before the date of adoption. Management is currently evaluating the impact of this new standard.</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November 2025, the FASB issued ASU 2025-09, </w:t>
      </w:r>
      <w:r>
        <w:rPr>
          <w:rFonts w:ascii="Times New Roman" w:cs="Times New Roman" w:eastAsia="Times New Roman" w:hAnsi="Times New Roman"/>
          <w:sz w:val="14"/>
          <w:szCs w:val="14"/>
          <w:i w:val="1"/>
          <w:iCs w:val="1"/>
          <w:color w:val="auto"/>
        </w:rPr>
        <w:t>Derivatives and Hedging: Hedge Accounting Improvements,</w:t>
      </w:r>
      <w:r>
        <w:rPr>
          <w:rFonts w:ascii="Times New Roman" w:cs="Times New Roman" w:eastAsia="Times New Roman" w:hAnsi="Times New Roman"/>
          <w:sz w:val="14"/>
          <w:szCs w:val="14"/>
          <w:color w:val="auto"/>
        </w:rPr>
        <w:t xml:space="preserve"> which includes amendments to more closely align hedge accounting with the economics of the Company’s risk management activities. The amendments in this update are effective for annual periods beginning after December 15, 2026, and interim reporting periods within those annual reporting periods. Early adoption is permitted. Management is currently evaluating the impact of this new standard.</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Narrow-Scope Improvements,</w:t>
      </w:r>
      <w:r>
        <w:rPr>
          <w:rFonts w:ascii="Times New Roman" w:cs="Times New Roman" w:eastAsia="Times New Roman" w:hAnsi="Times New Roman"/>
          <w:sz w:val="14"/>
          <w:szCs w:val="14"/>
          <w:color w:val="auto"/>
        </w:rPr>
        <w:t xml:space="preserve"> which makes targeted, narrow scope improvements to interim reporting to clarify application and improve consistency in practice. The amendments in this update are effective for interim reporting periods within annual reporting periods beginning after December 15, 2027. Early adoption is permitted. Management is currently evaluating the impact of this new standard.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 accounting guidance not discussed herein is not applicable, did not have, or is not expected to have a material impact on the Company.</w:t>
      </w:r>
    </w:p>
    <w:p>
      <w:pPr>
        <w:spacing w:after="0" w:line="26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Business Acquisitions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Fiscal 2025 and Fiscal 2024, the Company acquired substantially all the assets associated with 19 and 22 franchise operated First Watch restaurants, respectively. The purchase price was allocated to the fair value of assets acquired and liabilities assumed. Fiscal 2025 acquisitions are based on preliminary valuations and are subject to adjustment as additional information is available.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The dates and details of each acquisition are as follows: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APRIL 28, 2025</w:t>
            </w:r>
          </w:p>
        </w:tc>
        <w:tc>
          <w:tcPr>
            <w:tcW w:w="1680" w:type="dxa"/>
            <w:vAlign w:val="bottom"/>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14, 2025</w:t>
            </w:r>
          </w:p>
        </w:tc>
        <w:tc>
          <w:tcPr>
            <w:tcW w:w="100" w:type="dxa"/>
            <w:vAlign w:val="bottom"/>
          </w:tcPr>
          <w:p>
            <w:pPr>
              <w:spacing w:after="0"/>
              <w:rPr>
                <w:sz w:val="14"/>
                <w:szCs w:val="14"/>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APRIL 15, 2024</w:t>
            </w:r>
          </w:p>
        </w:tc>
        <w:tc>
          <w:tcPr>
            <w:tcW w:w="21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JANUARY 22, 2024</w:t>
            </w: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acquired restaurants</w:t>
            </w:r>
          </w:p>
        </w:tc>
        <w:tc>
          <w:tcPr>
            <w:tcW w:w="2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price (cash)</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49,247</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6,985</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75,119</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incurred</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27"/>
        </w:trPr>
        <w:tc>
          <w:tcPr>
            <w:tcW w:w="3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Deferred franchise fees recognized as a result of termination of pre-</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existing franchise agreement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0"/>
        </w:trPr>
        <w:tc>
          <w:tcPr>
            <w:tcW w:w="3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Recognized amounts of identifiable assets acquired and liabilities</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assumed:</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Inventory</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8"/>
        </w:trPr>
        <w:tc>
          <w:tcPr>
            <w:tcW w:w="3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fixtures and equipment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w:t>
            </w:r>
          </w:p>
        </w:tc>
        <w:tc>
          <w:tcPr>
            <w:tcW w:w="0" w:type="dxa"/>
            <w:vAlign w:val="bottom"/>
          </w:tcPr>
          <w:p>
            <w:pPr>
              <w:spacing w:after="0"/>
              <w:rPr>
                <w:sz w:val="1"/>
                <w:szCs w:val="1"/>
                <w:color w:val="auto"/>
              </w:rPr>
            </w:pPr>
          </w:p>
        </w:tc>
      </w:tr>
      <w:tr>
        <w:trPr>
          <w:trHeight w:val="178"/>
        </w:trPr>
        <w:tc>
          <w:tcPr>
            <w:tcW w:w="3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Reacquired rights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13,060</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21,459</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30"/>
        </w:trPr>
        <w:tc>
          <w:tcPr>
            <w:tcW w:w="3860" w:type="dxa"/>
            <w:vAlign w:val="bottom"/>
            <w:shd w:val="clear" w:color="auto" w:fill="CCEEFF"/>
          </w:tcPr>
          <w:p>
            <w:pPr>
              <w:ind w:left="360"/>
              <w:spacing w:after="0" w:line="129" w:lineRule="exact"/>
              <w:rPr>
                <w:sz w:val="20"/>
                <w:szCs w:val="20"/>
                <w:color w:val="auto"/>
              </w:rPr>
            </w:pPr>
            <w:r>
              <w:rPr>
                <w:rFonts w:ascii="Times New Roman" w:cs="Times New Roman" w:eastAsia="Times New Roman" w:hAnsi="Times New Roman"/>
                <w:sz w:val="13"/>
                <w:szCs w:val="13"/>
                <w:color w:val="auto"/>
              </w:rPr>
              <w:t>Goodwill (primarily expected synergies and assembled</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workforce; tax deductible)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0" w:type="dxa"/>
            <w:vAlign w:val="bottom"/>
          </w:tcPr>
          <w:p>
            <w:pPr>
              <w:spacing w:after="0"/>
              <w:rPr>
                <w:sz w:val="1"/>
                <w:szCs w:val="1"/>
                <w:color w:val="auto"/>
              </w:rPr>
            </w:pPr>
          </w:p>
        </w:tc>
      </w:tr>
      <w:tr>
        <w:trPr>
          <w:trHeight w:val="127"/>
        </w:trPr>
        <w:tc>
          <w:tcPr>
            <w:tcW w:w="38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auto"/>
              </w:rPr>
              <w:t>Operating right-of-use assets, net of lease positions and prepaid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rent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17,305</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2,922</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26,199</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3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(19,896)</w:t>
            </w:r>
          </w:p>
        </w:tc>
        <w:tc>
          <w:tcPr>
            <w:tcW w:w="8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4"/>
              </w:rPr>
              <w:t>(3,735)</w:t>
            </w:r>
          </w:p>
        </w:tc>
        <w:tc>
          <w:tcPr>
            <w:tcW w:w="100" w:type="dxa"/>
            <w:vAlign w:val="bottom"/>
          </w:tcPr>
          <w:p>
            <w:pPr>
              <w:spacing w:after="0"/>
              <w:rPr>
                <w:sz w:val="15"/>
                <w:szCs w:val="15"/>
                <w:color w:val="auto"/>
              </w:rPr>
            </w:pP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(26,853)</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revenues - gift card liabilities assumed</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763"/>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Revenues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tables include a detail of liabilities from contracts with customers: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gift card revenue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6,548</w:t>
            </w:r>
          </w:p>
        </w:tc>
        <w:tc>
          <w:tcPr>
            <w:tcW w:w="4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franchise fee revenue - current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deferred revenues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6,778</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Other long-term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franchise fee revenue - non-current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1,226</w:t>
            </w:r>
          </w:p>
        </w:tc>
        <w:tc>
          <w:tcPr>
            <w:tcW w:w="4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Changes in deferred gift card contract liabilities were as follows:</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gift card revenue:</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tcPr>
          <w:p>
            <w:pPr>
              <w:spacing w:after="0"/>
              <w:rPr>
                <w:sz w:val="15"/>
                <w:szCs w:val="15"/>
                <w:color w:val="auto"/>
              </w:rPr>
            </w:pPr>
          </w:p>
        </w:tc>
        <w:tc>
          <w:tcPr>
            <w:tcW w:w="1480" w:type="dxa"/>
            <w:vAlign w:val="bottom"/>
            <w:gridSpan w:val="2"/>
          </w:tcPr>
          <w:p>
            <w:pPr>
              <w:jc w:val="right"/>
              <w:ind w:right="6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8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Gift card sales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12,329</w:t>
            </w:r>
          </w:p>
        </w:tc>
        <w:tc>
          <w:tcPr>
            <w:tcW w:w="0" w:type="dxa"/>
            <w:vAlign w:val="bottom"/>
          </w:tcPr>
          <w:p>
            <w:pPr>
              <w:spacing w:after="0"/>
              <w:rPr>
                <w:sz w:val="1"/>
                <w:szCs w:val="1"/>
                <w:color w:val="auto"/>
              </w:rPr>
            </w:pPr>
          </w:p>
        </w:tc>
      </w:tr>
      <w:tr>
        <w:trPr>
          <w:trHeight w:val="178"/>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Gift card redemptions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(10,230)</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(11,198)</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Gift card breakage</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0" w:type="dxa"/>
            <w:vAlign w:val="bottom"/>
          </w:tcPr>
          <w:p>
            <w:pPr>
              <w:spacing w:after="0"/>
              <w:rPr>
                <w:sz w:val="1"/>
                <w:szCs w:val="1"/>
                <w:color w:val="auto"/>
              </w:rPr>
            </w:pPr>
          </w:p>
        </w:tc>
      </w:tr>
      <w:tr>
        <w:trPr>
          <w:trHeight w:val="178"/>
        </w:trPr>
        <w:tc>
          <w:tcPr>
            <w:tcW w:w="3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Gift card liabilities assumed through acquisitions</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Gift cards are combined in one pool and are not separately identifiable. As such, the revenue recognized consists of gift cards that were part of the deferred revenue balance at the beginning of the period as well as gift cards that were issued during the period.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deferred franchise fee contract liabilities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franchise fee revenue:</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52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100" w:type="dxa"/>
            <w:vAlign w:val="bottom"/>
          </w:tcPr>
          <w:p>
            <w:pPr>
              <w:spacing w:after="0"/>
              <w:rPr>
                <w:sz w:val="15"/>
                <w:szCs w:val="15"/>
                <w:color w:val="auto"/>
              </w:rPr>
            </w:pPr>
          </w:p>
        </w:tc>
        <w:tc>
          <w:tcPr>
            <w:tcW w:w="520" w:type="dxa"/>
            <w:vAlign w:val="bottom"/>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received</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78"/>
        </w:trPr>
        <w:tc>
          <w:tcPr>
            <w:tcW w:w="4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Franchise revenues recognized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Business combinations - franchise revenues recognized</w:t>
            </w: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60"/>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recognized disaggregated by type were as follows:</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Restaurant sales:</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In-restaurant dining sales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982,349</w:t>
            </w: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829,048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716,960</w:t>
            </w: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Third-party delivery sales</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91,433</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Take-out sales</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87,569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77,863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68,699</w:t>
            </w: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restaurant sales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1,212,173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1,004,355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877,092</w:t>
            </w:r>
          </w:p>
        </w:tc>
        <w:tc>
          <w:tcPr>
            <w:tcW w:w="0" w:type="dxa"/>
            <w:vAlign w:val="bottom"/>
          </w:tcPr>
          <w:p>
            <w:pPr>
              <w:spacing w:after="0"/>
              <w:rPr>
                <w:sz w:val="1"/>
                <w:szCs w:val="1"/>
                <w:color w:val="auto"/>
              </w:rPr>
            </w:pPr>
          </w:p>
        </w:tc>
      </w:tr>
      <w:tr>
        <w:trPr>
          <w:trHeight w:val="38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Franchise revenues: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Royalty and system fund contributions</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w:t>
            </w:r>
          </w:p>
        </w:tc>
        <w:tc>
          <w:tcPr>
            <w:tcW w:w="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13,464</w:t>
            </w:r>
          </w:p>
        </w:tc>
        <w:tc>
          <w:tcPr>
            <w:tcW w:w="0" w:type="dxa"/>
            <w:vAlign w:val="bottom"/>
          </w:tcPr>
          <w:p>
            <w:pPr>
              <w:spacing w:after="0"/>
              <w:rPr>
                <w:sz w:val="1"/>
                <w:szCs w:val="1"/>
                <w:color w:val="auto"/>
              </w:rPr>
            </w:pPr>
          </w:p>
        </w:tc>
      </w:tr>
      <w:tr>
        <w:trPr>
          <w:trHeight w:val="178"/>
        </w:trPr>
        <w:tc>
          <w:tcPr>
            <w:tcW w:w="4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Initial fees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3"/>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Business combinations - revenues recognized</w:t>
            </w: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5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franchise revenues</w:t>
            </w: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10,328</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14,459</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1,222,501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1,015,910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891,551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revenues as of December 28, 2025 are expected to be recognized as follows:</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6,778</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717"/>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1095"/>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5.</w:t>
        <w:tab/>
        <w:t>Accounts Receivable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consisted of the following:</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Receivables from third-party delivery providers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Receivables from franchisees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Receivables from vendors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Receivables related to gift card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receivables</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accounts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00" w:type="dxa"/>
            <w:vAlign w:val="bottom"/>
          </w:tcPr>
          <w:p>
            <w:pPr>
              <w:spacing w:after="0"/>
              <w:rPr>
                <w:sz w:val="16"/>
                <w:szCs w:val="16"/>
                <w:color w:val="auto"/>
              </w:rPr>
            </w:pPr>
          </w:p>
        </w:tc>
        <w:tc>
          <w:tcPr>
            <w:tcW w:w="2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56"/>
        </w:trPr>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2,068</w:t>
            </w:r>
          </w:p>
        </w:tc>
        <w:tc>
          <w:tcPr>
            <w:tcW w:w="80" w:type="dxa"/>
            <w:vAlign w:val="bottom"/>
          </w:tcPr>
          <w:p>
            <w:pPr>
              <w:spacing w:after="0"/>
              <w:rPr>
                <w:sz w:val="13"/>
                <w:szCs w:val="13"/>
                <w:color w:val="auto"/>
              </w:rPr>
            </w:pP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w:t>
            </w:r>
          </w:p>
        </w:tc>
      </w:tr>
      <w:tr>
        <w:trPr>
          <w:trHeight w:val="180"/>
        </w:trPr>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r>
      <w:tr>
        <w:trPr>
          <w:trHeight w:val="180"/>
        </w:trPr>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r>
      <w:tr>
        <w:trPr>
          <w:trHeight w:val="180"/>
        </w:trPr>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w:t>
            </w:r>
          </w:p>
        </w:tc>
      </w:tr>
      <w:tr>
        <w:trPr>
          <w:trHeight w:val="183"/>
        </w:trPr>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r>
      <w:tr>
        <w:trPr>
          <w:trHeight w:val="160"/>
        </w:trPr>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6,859</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-713740</wp:posOffset>
            </wp:positionV>
            <wp:extent cx="716153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-484505</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-255270</wp:posOffset>
            </wp:positionV>
            <wp:extent cx="7161530"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40"/>
          </w:cols>
          <w:pgMar w:left="300" w:top="125" w:right="319" w:bottom="1440" w:gutter="0" w:footer="0" w:header="0"/>
          <w:type w:val="continuous"/>
        </w:sect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Goodwill</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08"/>
        </w:trPr>
        <w:tc>
          <w:tcPr>
            <w:tcW w:w="9380" w:type="dxa"/>
            <w:vAlign w:val="bottom"/>
          </w:tcPr>
          <w:p>
            <w:pPr>
              <w:spacing w:after="0"/>
              <w:rPr>
                <w:sz w:val="20"/>
                <w:szCs w:val="20"/>
                <w:color w:val="auto"/>
              </w:rPr>
            </w:pPr>
            <w:r>
              <w:rPr>
                <w:rFonts w:ascii="Times New Roman" w:cs="Times New Roman" w:eastAsia="Times New Roman" w:hAnsi="Times New Roman"/>
                <w:sz w:val="14"/>
                <w:szCs w:val="14"/>
                <w:color w:val="auto"/>
              </w:rPr>
              <w:t>The changes in the carrying value of goodwill were as follows: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4"/>
        </w:trPr>
        <w:tc>
          <w:tcPr>
            <w:tcW w:w="9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8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359,883</w:t>
            </w:r>
          </w:p>
        </w:tc>
      </w:tr>
      <w:tr>
        <w:trPr>
          <w:trHeight w:val="177"/>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Additions - acquisitions</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38,682</w:t>
            </w:r>
          </w:p>
        </w:tc>
      </w:tr>
      <w:tr>
        <w:trPr>
          <w:trHeight w:val="174"/>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29, 2024</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398,565</w:t>
            </w:r>
          </w:p>
        </w:tc>
      </w:tr>
      <w:tr>
        <w:trPr>
          <w:trHeight w:val="177"/>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Additions - acquisitions</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21,643</w:t>
            </w:r>
          </w:p>
        </w:tc>
      </w:tr>
      <w:tr>
        <w:trPr>
          <w:trHeight w:val="199"/>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28, 2025</w:t>
            </w:r>
          </w:p>
        </w:tc>
        <w:tc>
          <w:tcPr>
            <w:tcW w:w="54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420,208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Intangible Assets,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DECEMBER 28, 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gridSpan w:val="2"/>
          </w:tcPr>
          <w:p>
            <w:pPr>
              <w:jc w:val="center"/>
              <w:ind w:right="20"/>
              <w:spacing w:after="0" w:line="11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27"/>
        </w:trPr>
        <w:tc>
          <w:tcPr>
            <w:tcW w:w="4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80" w:type="dxa"/>
            <w:vAlign w:val="bottom"/>
            <w:gridSpan w:val="2"/>
          </w:tcPr>
          <w:p>
            <w:pPr>
              <w:jc w:val="center"/>
              <w:ind w:right="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CEEFF"/>
            </w:tcBorders>
            <w:gridSpan w:val="3"/>
            <w:vMerge w:val="continue"/>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Useful Lives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Carrying Value</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Registered trademarks, trade names, domains, liquor licenses</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Franchise rights</w:t>
            </w:r>
          </w:p>
        </w:tc>
        <w:tc>
          <w:tcPr>
            <w:tcW w:w="158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6 years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55,735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(20,879)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34,856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4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195,787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(20,879)</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174,908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DECEMBER 29,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gridSpan w:val="2"/>
          </w:tcPr>
          <w:p>
            <w:pPr>
              <w:jc w:val="center"/>
              <w:ind w:right="60"/>
              <w:spacing w:after="0" w:line="112"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8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Useful Lives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Carrying Value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Registered trademarks, trade names, domains, liquor licenses</w:t>
            </w:r>
          </w:p>
        </w:tc>
        <w:tc>
          <w:tcPr>
            <w:tcW w:w="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139,202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Franchise rights</w:t>
            </w:r>
          </w:p>
        </w:tc>
        <w:tc>
          <w:tcPr>
            <w:tcW w:w="158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7 years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40,771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179,973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amortization expense related to definite-lived intangible assets was $8.5 million, $5.6 million and $1.5 million in Fiscal 2025, Fiscal 2024 and Fiscal 2023,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6"/>
        </w:trPr>
        <w:tc>
          <w:tcPr>
            <w:tcW w:w="87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4"/>
        </w:trPr>
        <w:tc>
          <w:tcPr>
            <w:tcW w:w="8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489"/>
        </w:trPr>
        <w:tc>
          <w:tcPr>
            <w:tcW w:w="872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amortization of definite-lived intangible assets as of December 28, 2025 is as follows:</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2"/>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r>
      <w:tr>
        <w:trPr>
          <w:trHeight w:val="18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3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8,917</w:t>
            </w:r>
          </w:p>
        </w:tc>
      </w:tr>
      <w:tr>
        <w:trPr>
          <w:trHeight w:val="176"/>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38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8,238</w:t>
            </w:r>
          </w:p>
        </w:tc>
      </w:tr>
      <w:tr>
        <w:trPr>
          <w:trHeight w:val="18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3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7,188</w:t>
            </w:r>
          </w:p>
        </w:tc>
      </w:tr>
      <w:tr>
        <w:trPr>
          <w:trHeight w:val="176"/>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38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w:t>
            </w:r>
          </w:p>
        </w:tc>
      </w:tr>
      <w:tr>
        <w:trPr>
          <w:trHeight w:val="18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3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w:t>
            </w:r>
          </w:p>
        </w:tc>
      </w:tr>
      <w:tr>
        <w:trPr>
          <w:trHeight w:val="176"/>
        </w:trPr>
        <w:tc>
          <w:tcPr>
            <w:tcW w:w="8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38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w:t>
            </w:r>
          </w:p>
        </w:tc>
      </w:tr>
    </w:tbl>
    <w:p>
      <w:pPr>
        <w:spacing w:after="0" w:line="31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Property, Fixtures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fixtures and equipment, net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6"/>
                <w:szCs w:val="16"/>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80" w:type="dxa"/>
            <w:vAlign w:val="bottom"/>
          </w:tcPr>
          <w:p>
            <w:pPr>
              <w:spacing w:after="0"/>
              <w:rPr>
                <w:sz w:val="16"/>
                <w:szCs w:val="16"/>
                <w:color w:val="auto"/>
              </w:rPr>
            </w:pPr>
          </w:p>
        </w:tc>
        <w:tc>
          <w:tcPr>
            <w:tcW w:w="19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6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 and land improvements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Leased land asset</w:t>
            </w:r>
          </w:p>
        </w:tc>
        <w:tc>
          <w:tcPr>
            <w:tcW w:w="26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434,438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324,389</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fixtures and equipment (including capitalized software)</w:t>
            </w:r>
          </w:p>
        </w:tc>
        <w:tc>
          <w:tcPr>
            <w:tcW w:w="26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223,137</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lease assets</w:t>
            </w: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5,312</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Vehicles</w:t>
            </w:r>
          </w:p>
        </w:tc>
        <w:tc>
          <w:tcPr>
            <w:tcW w:w="260" w:type="dxa"/>
            <w:vAlign w:val="bottom"/>
          </w:tcPr>
          <w:p>
            <w:pPr>
              <w:spacing w:after="0"/>
              <w:rPr>
                <w:sz w:val="15"/>
                <w:szCs w:val="15"/>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r>
      <w:tr>
        <w:trPr>
          <w:trHeight w:val="163"/>
        </w:trPr>
        <w:tc>
          <w:tcPr>
            <w:tcW w:w="64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 property, fixtures and equipment</w:t>
            </w:r>
          </w:p>
        </w:tc>
        <w:tc>
          <w:tcPr>
            <w:tcW w:w="260" w:type="dxa"/>
            <w:vAlign w:val="bottom"/>
            <w:tcBorders>
              <w:top w:val="single" w:sz="8" w:color="auto"/>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728,013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555,842</w:t>
            </w:r>
          </w:p>
        </w:tc>
      </w:tr>
      <w:tr>
        <w:trPr>
          <w:trHeight w:val="17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6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(285,706)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(229,227)</w:t>
            </w:r>
          </w:p>
        </w:tc>
      </w:tr>
      <w:tr>
        <w:trPr>
          <w:trHeight w:val="18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Construction-in-progress</w:t>
            </w:r>
          </w:p>
        </w:tc>
        <w:tc>
          <w:tcPr>
            <w:tcW w:w="26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36,144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34,779</w:t>
            </w:r>
          </w:p>
        </w:tc>
      </w:tr>
      <w:tr>
        <w:trPr>
          <w:trHeight w:val="158"/>
        </w:trPr>
        <w:tc>
          <w:tcPr>
            <w:tcW w:w="6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property, fixtures and equipment, net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478,451</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361,394</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$66.5 million, $52.1 million and $39.7 million during Fiscal 2025, Fiscal 2024 and Fiscal 2023, respectively.</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Fiscal 2025 and Fiscal 2024, there were no impairment losses recorded. In Fiscal 2023, the Company recognized impairment losses of $0.5 million, primarily related to the long-lived assets of two company-owned restaurants due to their approved closures.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Loss on disposals of assets of $0.4 million, $0.5 million and $0.8 million were recognized in Fiscal 2025, Fiscal 2024 and Fiscal 2023, respectively, primarily related to the write-off of assets retired as a result of the replacement of assets or restaurant closures.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2025 and December 29, 2024, Property, fixtures and equipment, net included $1.2 million in land related to sale and leaseback transactions accounted for as financing obligations.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Accrued Liabilities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consisted of the following:</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61"/>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liabilities</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16,769</w:t>
            </w:r>
          </w:p>
        </w:tc>
        <w:tc>
          <w:tcPr>
            <w:tcW w:w="0" w:type="dxa"/>
            <w:vAlign w:val="bottom"/>
          </w:tcPr>
          <w:p>
            <w:pPr>
              <w:spacing w:after="0"/>
              <w:rPr>
                <w:sz w:val="1"/>
                <w:szCs w:val="1"/>
                <w:color w:val="auto"/>
              </w:rPr>
            </w:pPr>
          </w:p>
        </w:tc>
      </w:tr>
      <w:tr>
        <w:trPr>
          <w:trHeight w:val="1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tax</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7,919</w:t>
            </w: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 liabilities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Utilities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 card fees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0" w:type="dxa"/>
            <w:vAlign w:val="bottom"/>
          </w:tcPr>
          <w:p>
            <w:pPr>
              <w:spacing w:after="0"/>
              <w:rPr>
                <w:sz w:val="1"/>
                <w:szCs w:val="1"/>
                <w:color w:val="auto"/>
              </w:rPr>
            </w:pPr>
          </w:p>
        </w:tc>
      </w:tr>
      <w:tr>
        <w:trPr>
          <w:trHeight w:val="1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Property tax</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rent</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0" w:type="dxa"/>
            <w:vAlign w:val="bottom"/>
          </w:tcPr>
          <w:p>
            <w:pPr>
              <w:spacing w:after="0"/>
              <w:rPr>
                <w:sz w:val="1"/>
                <w:szCs w:val="1"/>
                <w:color w:val="auto"/>
              </w:rPr>
            </w:pPr>
          </w:p>
        </w:tc>
      </w:tr>
      <w:tr>
        <w:trPr>
          <w:trHeight w:val="178"/>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0" w:type="dxa"/>
            <w:vAlign w:val="bottom"/>
          </w:tcPr>
          <w:p>
            <w:pPr>
              <w:spacing w:after="0"/>
              <w:rPr>
                <w:sz w:val="1"/>
                <w:szCs w:val="1"/>
                <w:color w:val="auto"/>
              </w:rPr>
            </w:pPr>
          </w:p>
        </w:tc>
      </w:tr>
      <w:tr>
        <w:trPr>
          <w:trHeight w:val="188"/>
        </w:trPr>
        <w:tc>
          <w:tcPr>
            <w:tcW w:w="220" w:type="dxa"/>
            <w:vAlign w:val="bottom"/>
            <w:tcBorders>
              <w:bottom w:val="single" w:sz="8" w:color="CCEEFF"/>
            </w:tcBorders>
            <w:shd w:val="clear" w:color="auto" w:fill="CCEEFF"/>
          </w:tcPr>
          <w:p>
            <w:pPr>
              <w:spacing w:after="0"/>
              <w:rPr>
                <w:sz w:val="15"/>
                <w:szCs w:val="15"/>
                <w:color w:val="auto"/>
              </w:rPr>
            </w:pPr>
          </w:p>
        </w:tc>
        <w:tc>
          <w:tcPr>
            <w:tcW w:w="4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 accrued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39,607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10.</w:t>
            </w:r>
          </w:p>
        </w:tc>
        <w:tc>
          <w:tcPr>
            <w:tcW w:w="44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20" w:type="dxa"/>
            <w:vAlign w:val="bottom"/>
            <w:vMerge w:val="continue"/>
          </w:tcPr>
          <w:p>
            <w:pPr>
              <w:spacing w:after="0"/>
              <w:rPr>
                <w:sz w:val="24"/>
                <w:szCs w:val="24"/>
                <w:color w:val="auto"/>
              </w:rPr>
            </w:pPr>
          </w:p>
        </w:tc>
        <w:tc>
          <w:tcPr>
            <w:tcW w:w="4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net consisted of the following:</w:t>
            </w: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3"/>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7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60"/>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Facilities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211,625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center"/>
              <w:ind w:right="134"/>
              <w:spacing w:after="0"/>
              <w:rPr>
                <w:sz w:val="20"/>
                <w:szCs w:val="20"/>
                <w:color w:val="auto"/>
              </w:rPr>
            </w:pPr>
            <w:r>
              <w:rPr>
                <w:rFonts w:ascii="Times New Roman" w:cs="Times New Roman" w:eastAsia="Times New Roman" w:hAnsi="Times New Roman"/>
                <w:sz w:val="13"/>
                <w:szCs w:val="13"/>
                <w:color w:val="auto"/>
                <w:w w:val="95"/>
              </w:rPr>
              <w:t>6.54%</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193,797</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34"/>
              <w:spacing w:after="0"/>
              <w:rPr>
                <w:sz w:val="20"/>
                <w:szCs w:val="20"/>
                <w:color w:val="auto"/>
              </w:rPr>
            </w:pPr>
            <w:r>
              <w:rPr>
                <w:rFonts w:ascii="Times New Roman" w:cs="Times New Roman" w:eastAsia="Times New Roman" w:hAnsi="Times New Roman"/>
                <w:sz w:val="13"/>
                <w:szCs w:val="13"/>
                <w:color w:val="auto"/>
                <w:w w:val="95"/>
              </w:rPr>
              <w:t>7.17%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Financing obligation</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Unamortized debt discount and deferred issuance costs</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4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Debt, net</w:t>
            </w:r>
          </w:p>
        </w:tc>
        <w:tc>
          <w:tcPr>
            <w:tcW w:w="3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198,271</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portion of long-term debt</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4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Long-term debt, net</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269,071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189,043</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FWR Holding Corporation (“FWR”), a subsidiary of the Company, is the borrower under the credit agreement dated October 6, 2021, the terms of which were amended on February 24, 2023 and January 5, 2024, which provides for (i) a $225.0 million term loan A facility and delayed draw facility (the “Term Facilities”) and (ii) a $125.0 million revolving credit facility (the “Revolving Credit Facility” and collectively with the Term Facilities the “Credit Facility”). The Credit Facility matures on January 5, 2029.</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Fiscal 2024, the Company drew $97.5 million of the $125.0 million delayed draw facility. The proceeds were used to repay $22.5 million of borrowings under the Revolving Credit Facility and fund the business acquisition that was completed on April 15, 2024 for approximately $75.1 million. During Fiscal 2025, the Company drew the remaining $27.5 million on the delayed draw facility and $32.5 million on the Revolving Credit Facility, primarily to fund the business acquisitions referenced in Note 3, “Business Acquisitions”. As of December 28, 2025, the delayed draw facility was fully drawn with the same servicing and repayment terms as the term loan A facility. The Company drew an additional $23.5 million on the Revolving Credit Facility during Fiscal 2025 primarily to fund capital expenditures.</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of December 28, 2025,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the secured overnight financing rate (“SOFR”), plus a credit spread adjustment of 10 basis points plus a margin of between 250 and 325 basis points depending on the Total Rent Adjusted Net Leverage Ratio. Additionally, an unused commitment fee of between 37.5 and 50 basis points is paid on the undrawn commitments under the New Revolving Credit Facility, also depending on the Total Rent Adjusted Net Leverage Ratio. Refer to Note 11, Interest Rate Swaps, for information about the Company’s variable-to-fixed interest rate swap agreements.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Term Facilities are subject to amortization of principal, payable in quarterly installments equal to (i) 1.9% of the original principal amount of the term loans in Fiscal 2024, (ii) 4.4% of the original principal amount of the term loans in the fiscal year ending December 28, 2025, (iii) 5.0% of the original principal amount of the term loans in the fiscal year ending December 27, 2026, (iv) 6.9% of the original principal amount of the term loans in the fiscal year ending December 26, 2027 and (v) 9.4% of the original principal amount of the term loans in the fiscal year ending December 31, 2028. The remaining principal amount outstanding is payable at maturity.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payments due on the outstanding debt, excluding finance lease liabilities and financing obligations, as of December 28, 2025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0" w:type="dxa"/>
            <w:vAlign w:val="bottom"/>
          </w:tcPr>
          <w:p>
            <w:pPr>
              <w:spacing w:after="0"/>
              <w:rPr>
                <w:sz w:val="1"/>
                <w:szCs w:val="1"/>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15,469</w:t>
            </w: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21,094</w:t>
            </w:r>
          </w:p>
        </w:tc>
        <w:tc>
          <w:tcPr>
            <w:tcW w:w="0" w:type="dxa"/>
            <w:vAlign w:val="bottom"/>
          </w:tcPr>
          <w:p>
            <w:pPr>
              <w:spacing w:after="0"/>
              <w:rPr>
                <w:sz w:val="1"/>
                <w:szCs w:val="1"/>
                <w:color w:val="auto"/>
              </w:rPr>
            </w:pPr>
          </w:p>
        </w:tc>
      </w:tr>
      <w:tr>
        <w:trPr>
          <w:trHeight w:val="178"/>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219,812</w:t>
            </w:r>
          </w:p>
        </w:tc>
        <w:tc>
          <w:tcPr>
            <w:tcW w:w="0" w:type="dxa"/>
            <w:vAlign w:val="bottom"/>
          </w:tcPr>
          <w:p>
            <w:pPr>
              <w:spacing w:after="0"/>
              <w:rPr>
                <w:sz w:val="1"/>
                <w:szCs w:val="1"/>
                <w:color w:val="auto"/>
              </w:rPr>
            </w:pPr>
          </w:p>
        </w:tc>
      </w:tr>
      <w:tr>
        <w:trPr>
          <w:trHeight w:val="185"/>
        </w:trPr>
        <w:tc>
          <w:tcPr>
            <w:tcW w:w="59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interest expense:</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(8,063)</w:t>
            </w:r>
          </w:p>
        </w:tc>
        <w:tc>
          <w:tcPr>
            <w:tcW w:w="0" w:type="dxa"/>
            <w:vAlign w:val="bottom"/>
          </w:tcPr>
          <w:p>
            <w:pPr>
              <w:spacing w:after="0"/>
              <w:rPr>
                <w:sz w:val="1"/>
                <w:szCs w:val="1"/>
                <w:color w:val="auto"/>
              </w:rPr>
            </w:pPr>
          </w:p>
        </w:tc>
      </w:tr>
      <w:tr>
        <w:trPr>
          <w:trHeight w:val="178"/>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expense, net</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Debt</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200" w:type="dxa"/>
            <w:vAlign w:val="bottom"/>
          </w:tcPr>
          <w:p>
            <w:pPr>
              <w:spacing w:after="0"/>
              <w:rPr>
                <w:sz w:val="16"/>
                <w:szCs w:val="16"/>
                <w:color w:val="auto"/>
              </w:rPr>
            </w:pPr>
          </w:p>
        </w:tc>
        <w:tc>
          <w:tcPr>
            <w:tcW w:w="30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Facilities</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3"/>
                <w:szCs w:val="13"/>
                <w:color w:val="auto"/>
              </w:rPr>
              <w:t>211,625</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210,860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193,797</w:t>
            </w:r>
          </w:p>
        </w:tc>
        <w:tc>
          <w:tcPr>
            <w:tcW w:w="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193,417</w:t>
            </w:r>
          </w:p>
        </w:tc>
      </w:tr>
      <w:tr>
        <w:trPr>
          <w:trHeight w:val="174"/>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56,000</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55,761</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Letter of Credit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utilizes standby letters of credit to satisfy workers’ compensation and general liability insurance requirements. The contract amount of the letters of credit approximates fair value. As of December 28, 2025 and December 29, 2024, the open letters of credit totaled approximately $2.1 million and $1.7 million, respectively, and there were no draws against the letters of credit. The Company pays participation fees for the letters of credit based on a varying percentage of the amount not drawn.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Covenants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Credit Facilities are guaranteed by all of FWR’s wholly-owned domestic restricted subsidiaries, subject to customary exceptions, and by AI Fresh Parent, Inc., a Delaware corporation and the direct parent company of FWR (“Holdings”), and are secured by associated collateral agreements that pledge a lien on substantially all of FWR’s and each guarantor’s assets, including fixed assets and intangibles, in each case, subject to customary exceptions.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covenants under the Credit Agreement as of December 28, 2025 and December 29,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Interest Rate Swaps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swaps are utilized to hedge a portion of the cash flows of the Company’s variable rate debt.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23, 2023, the Company entered into two variable-to-fixed interest rate swaps. The interest rate swaps have an aggregate notional amount of $90.0 million and mature on October 6, 2026. Under the terms of the interest rate swaps, the Company will pay a weighted average fixed rate of 4.16% on the notional amount and will receive payments from, or make payments to, the counterparties based on the three-month SOFR rate.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17, 2024, the Company entered into two additional variable-to-fixed interest rate swaps. These interest rate swaps have an aggregate notional amount of $60.0 million and mature on June 30, 2027. Under the terms of the interest rate swaps, the Company pays a weighted average fixed rate of 4.42% on the notional amount and will receive payments from, or make payments to, the counterparties based on the three-month SOFR rate.</w:t>
      </w:r>
    </w:p>
    <w:p>
      <w:pPr>
        <w:spacing w:after="0" w:line="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Amounts reported in Other comprehensive income (loss) related to the interest rate swaps will be reclassified to interest expense as interest payments are made on the Company’s variable-rate debt. During the fiscal year ended December 28, 2025, a total of $0.1 million was reclassified from Other comprehensive income (loss) as an increase to interest expense. During the fiscal year ended December 29, 2024, a total of $1.0 million was reclassified from Other comprehensive income (loss) as a reduction to interest expense. Over the next 12 months, Management estimates that $1.1 million will be reclassified as an increase to interest expense.</w:t>
      </w:r>
    </w:p>
    <w:p>
      <w:pPr>
        <w:sectPr>
          <w:pgSz w:w="11900" w:h="16838" w:orient="portrait"/>
          <w:cols w:equalWidth="0" w:num="1">
            <w:col w:w="11280"/>
          </w:cols>
          <w:pgMar w:left="300" w:top="123" w:right="319" w:bottom="1440" w:gutter="0" w:footer="0" w:header="0"/>
        </w:sectPr>
      </w:pP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Leases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includes a detail of lease assets and liabilities: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Balance Sheets Classification</w:t>
            </w: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lease assets - current</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and other current assets</w:t>
            </w:r>
          </w:p>
        </w:tc>
      </w:tr>
      <w:tr>
        <w:trPr>
          <w:trHeight w:val="174"/>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lease assets</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fixtures and equipment, net</w:t>
            </w:r>
          </w:p>
        </w:tc>
      </w:tr>
      <w:tr>
        <w:trPr>
          <w:trHeight w:val="180"/>
        </w:trPr>
        <w:tc>
          <w:tcPr>
            <w:tcW w:w="3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lease assets</w:t>
            </w:r>
          </w:p>
        </w:tc>
        <w:tc>
          <w:tcPr>
            <w:tcW w:w="3740" w:type="dxa"/>
            <w:vAlign w:val="bottom"/>
          </w:tcPr>
          <w:p>
            <w:pPr>
              <w:spacing w:after="0"/>
              <w:rPr>
                <w:sz w:val="15"/>
                <w:szCs w:val="15"/>
                <w:color w:val="auto"/>
              </w:rPr>
            </w:pPr>
          </w:p>
        </w:tc>
      </w:tr>
      <w:tr>
        <w:trPr>
          <w:trHeight w:val="42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Operating lease liabilities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 current</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r>
      <w:tr>
        <w:trPr>
          <w:trHeight w:val="174"/>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non-current</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lease liabilities - current</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long-term debt</w:t>
            </w: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lease liabilities - non-current</w:t>
            </w:r>
          </w:p>
        </w:tc>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r>
      <w:tr>
        <w:trPr>
          <w:trHeight w:val="202"/>
        </w:trPr>
        <w:tc>
          <w:tcPr>
            <w:tcW w:w="31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lease liabilities</w:t>
            </w:r>
          </w:p>
        </w:tc>
        <w:tc>
          <w:tcPr>
            <w:tcW w:w="3740" w:type="dxa"/>
            <w:vAlign w:val="bottom"/>
          </w:tcPr>
          <w:p>
            <w:pPr>
              <w:spacing w:after="0"/>
              <w:rPr>
                <w:sz w:val="17"/>
                <w:szCs w:val="17"/>
                <w:color w:val="auto"/>
              </w:rPr>
            </w:pPr>
          </w:p>
        </w:tc>
      </w:tr>
      <w:tr>
        <w:trPr>
          <w:trHeight w:val="267"/>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w:t>
            </w:r>
          </w:p>
        </w:tc>
        <w:tc>
          <w:tcPr>
            <w:tcW w:w="3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-1360170</wp:posOffset>
            </wp:positionV>
            <wp:extent cx="7161530" cy="121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-1123950</wp:posOffset>
            </wp:positionV>
            <wp:extent cx="7161530" cy="11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-881380</wp:posOffset>
            </wp:positionV>
            <wp:extent cx="716153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-632460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(1) Excludes all variable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2025</w:t>
            </w:r>
          </w:p>
        </w:tc>
        <w:tc>
          <w:tcPr>
            <w:tcW w:w="260" w:type="dxa"/>
            <w:vAlign w:val="bottom"/>
          </w:tcPr>
          <w:p>
            <w:pPr>
              <w:spacing w:after="0"/>
              <w:rPr>
                <w:sz w:val="14"/>
                <w:szCs w:val="14"/>
                <w:color w:val="auto"/>
              </w:rPr>
            </w:pPr>
          </w:p>
        </w:tc>
        <w:tc>
          <w:tcPr>
            <w:tcW w:w="18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29, 2024</w:t>
            </w:r>
          </w:p>
        </w:tc>
      </w:tr>
      <w:tr>
        <w:trPr>
          <w:trHeight w:val="169"/>
        </w:trPr>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527,674</w:t>
            </w:r>
          </w:p>
        </w:tc>
      </w:tr>
      <w:tr>
        <w:trPr>
          <w:trHeight w:val="183"/>
        </w:trPr>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10,730</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2,724</w:t>
            </w:r>
          </w:p>
        </w:tc>
      </w:tr>
      <w:tr>
        <w:trPr>
          <w:trHeight w:val="160"/>
        </w:trPr>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625,398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530,398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52"/>
        </w:trPr>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tcPr>
          <w:p>
            <w:pPr>
              <w:spacing w:after="0"/>
              <w:rPr>
                <w:sz w:val="24"/>
                <w:szCs w:val="2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55,704</w:t>
            </w:r>
          </w:p>
        </w:tc>
      </w:tr>
      <w:tr>
        <w:trPr>
          <w:trHeight w:val="180"/>
        </w:trPr>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651,254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555,576</w:t>
            </w:r>
          </w:p>
        </w:tc>
      </w:tr>
      <w:tr>
        <w:trPr>
          <w:trHeight w:val="180"/>
        </w:trPr>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83"/>
        </w:trPr>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10,847</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2,179</w:t>
            </w:r>
          </w:p>
        </w:tc>
      </w:tr>
      <w:tr>
        <w:trPr>
          <w:trHeight w:val="160"/>
        </w:trPr>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739,194</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614,046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582" w:lineRule="exact"/>
        <w:rPr>
          <w:sz w:val="20"/>
          <w:szCs w:val="20"/>
          <w:color w:val="auto"/>
        </w:rPr>
      </w:pPr>
    </w:p>
    <w:p>
      <w:pPr>
        <w:sectPr>
          <w:pgSz w:w="11900" w:h="16838" w:orient="portrait"/>
          <w:cols w:equalWidth="0" w:num="2">
            <w:col w:w="6920" w:space="80"/>
            <w:col w:w="4280"/>
          </w:cols>
          <w:pgMar w:left="300" w:top="123" w:right="319" w:bottom="1440" w:gutter="0" w:footer="0" w:header="0"/>
          <w:type w:val="continuous"/>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 Comprehensive Income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34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2"/>
        </w:trPr>
        <w:tc>
          <w:tcPr>
            <w:tcW w:w="216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Operating lease expense</w:t>
            </w:r>
          </w:p>
        </w:tc>
        <w:tc>
          <w:tcPr>
            <w:tcW w:w="4420" w:type="dxa"/>
            <w:vAlign w:val="bottom"/>
            <w:tcBorders>
              <w:top w:val="single" w:sz="8" w:color="auto"/>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Other restaurant operating expenses</w:t>
            </w: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r>
      <w:tr>
        <w:trPr>
          <w:trHeight w:val="134"/>
        </w:trPr>
        <w:tc>
          <w:tcPr>
            <w:tcW w:w="2160" w:type="dxa"/>
            <w:vAlign w:val="bottom"/>
            <w:shd w:val="clear" w:color="auto" w:fill="CCEEFF"/>
          </w:tcPr>
          <w:p>
            <w:pPr>
              <w:spacing w:after="0"/>
              <w:rPr>
                <w:sz w:val="11"/>
                <w:szCs w:val="11"/>
                <w:color w:val="auto"/>
              </w:rPr>
            </w:pPr>
          </w:p>
        </w:tc>
        <w:tc>
          <w:tcPr>
            <w:tcW w:w="450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Occupancy expenses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32"/>
        </w:trPr>
        <w:tc>
          <w:tcPr>
            <w:tcW w:w="2160" w:type="dxa"/>
            <w:vAlign w:val="bottom"/>
            <w:shd w:val="clear" w:color="auto" w:fill="CCEEFF"/>
          </w:tcPr>
          <w:p>
            <w:pPr>
              <w:spacing w:after="0"/>
              <w:rPr>
                <w:sz w:val="11"/>
                <w:szCs w:val="11"/>
                <w:color w:val="auto"/>
              </w:rPr>
            </w:pPr>
          </w:p>
        </w:tc>
        <w:tc>
          <w:tcPr>
            <w:tcW w:w="450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Pre-opening expenses</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87"/>
        </w:trPr>
        <w:tc>
          <w:tcPr>
            <w:tcW w:w="216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84,790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69,908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56,129</w:t>
            </w:r>
          </w:p>
        </w:tc>
      </w:tr>
      <w:tr>
        <w:trPr>
          <w:trHeight w:val="132"/>
        </w:trPr>
        <w:tc>
          <w:tcPr>
            <w:tcW w:w="216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Variable lease expense</w:t>
            </w:r>
          </w:p>
        </w:tc>
        <w:tc>
          <w:tcPr>
            <w:tcW w:w="45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Food and beverage costs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4"/>
        </w:trPr>
        <w:tc>
          <w:tcPr>
            <w:tcW w:w="2160" w:type="dxa"/>
            <w:vAlign w:val="bottom"/>
          </w:tcPr>
          <w:p>
            <w:pPr>
              <w:spacing w:after="0"/>
              <w:rPr>
                <w:sz w:val="11"/>
                <w:szCs w:val="11"/>
                <w:color w:val="auto"/>
              </w:rPr>
            </w:pPr>
          </w:p>
        </w:tc>
        <w:tc>
          <w:tcPr>
            <w:tcW w:w="450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auto"/>
              </w:rPr>
              <w:t>Occupancy expenses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8"/>
        </w:trPr>
        <w:tc>
          <w:tcPr>
            <w:tcW w:w="2160" w:type="dxa"/>
            <w:vAlign w:val="bottom"/>
          </w:tcPr>
          <w:p>
            <w:pPr>
              <w:spacing w:after="0"/>
              <w:rPr>
                <w:sz w:val="15"/>
                <w:szCs w:val="15"/>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17,158</w:t>
            </w: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expense:</w:t>
            </w:r>
          </w:p>
        </w:tc>
        <w:tc>
          <w:tcPr>
            <w:tcW w:w="4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8"/>
        </w:trPr>
        <w:tc>
          <w:tcPr>
            <w:tcW w:w="2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leased assets</w:t>
            </w: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r>
      <w:tr>
        <w:trPr>
          <w:trHeight w:val="183"/>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60"/>
        </w:trPr>
        <w:tc>
          <w:tcPr>
            <w:tcW w:w="216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 xml:space="preserve">Total lease expense </w:t>
            </w:r>
            <w:r>
              <w:rPr>
                <w:rFonts w:ascii="Times New Roman" w:cs="Times New Roman" w:eastAsia="Times New Roman" w:hAnsi="Times New Roman"/>
                <w:sz w:val="17"/>
                <w:szCs w:val="17"/>
                <w:color w:val="auto"/>
                <w:vertAlign w:val="superscript"/>
              </w:rPr>
              <w:t>(1)</w:t>
            </w:r>
          </w:p>
        </w:tc>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109,786</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89,760</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73,886</w:t>
            </w:r>
          </w:p>
        </w:tc>
      </w:tr>
      <w:tr>
        <w:trPr>
          <w:trHeight w:val="20"/>
        </w:trPr>
        <w:tc>
          <w:tcPr>
            <w:tcW w:w="2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Includes contingent rent expense of $2.1 million, $1.8 million and $2.1 million during Fiscal 2025, Fiscal 2024 and Fiscal 2023, respectively.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8"/>
        </w:trPr>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cash flows - operating leases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60,065</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48,467</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47,930</w:t>
            </w:r>
          </w:p>
        </w:tc>
      </w:tr>
      <w:tr>
        <w:trPr>
          <w:trHeight w:val="183"/>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cash flows - finance leases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6"/>
        </w:trPr>
        <w:tc>
          <w:tcPr>
            <w:tcW w:w="6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Financing cash flows - finance leases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information related to leases was as follows:</w:t>
      </w:r>
    </w:p>
    <w:p>
      <w:pPr>
        <w:spacing w:after="0" w:line="1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FISCAL YEAR</w:t>
      </w:r>
    </w:p>
    <w:p>
      <w:pPr>
        <w:sectPr>
          <w:pgSz w:w="11900" w:h="16838" w:orient="portrait"/>
          <w:cols w:equalWidth="0" w:num="1">
            <w:col w:w="11280"/>
          </w:cols>
          <w:pgMar w:left="300" w:top="123" w:right="319" w:bottom="1440" w:gutter="0" w:footer="0" w:header="0"/>
        </w:sect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Operating leases</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Finance leases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Weighted-average discount rate </w:t>
      </w:r>
      <w:r>
        <w:rPr>
          <w:rFonts w:ascii="Times New Roman" w:cs="Times New Roman" w:eastAsia="Times New Roman" w:hAnsi="Times New Roman"/>
          <w:sz w:val="17"/>
          <w:szCs w:val="17"/>
          <w:color w:val="auto"/>
          <w:vertAlign w:val="superscript"/>
        </w:rPr>
        <w:t>(1)</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Operating leases</w:t>
      </w:r>
    </w:p>
    <w:p>
      <w:pPr>
        <w:spacing w:after="0" w:line="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Finance leases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Based on the Company’s incremental borrowing rate.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4"/>
                <w:szCs w:val="14"/>
                <w:color w:val="auto"/>
              </w:rPr>
            </w:pPr>
          </w:p>
        </w:tc>
        <w:tc>
          <w:tcPr>
            <w:tcW w:w="222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36"/>
        </w:trPr>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80"/>
        </w:trPr>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361"/>
        </w:trPr>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80"/>
        </w:trPr>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8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-683895</wp:posOffset>
            </wp:positionV>
            <wp:extent cx="716153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-454660</wp:posOffset>
            </wp:positionV>
            <wp:extent cx="7161530"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-225425</wp:posOffset>
            </wp:positionV>
            <wp:extent cx="716153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6020" w:space="720"/>
            <w:col w:w="4540"/>
          </w:cols>
          <w:pgMar w:left="300" w:top="123" w:right="31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2025, future minimum lease payments for operating and finance leases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8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Pr>
          <w:p>
            <w:pPr>
              <w:spacing w:after="0"/>
              <w:rPr>
                <w:sz w:val="16"/>
                <w:szCs w:val="16"/>
                <w:color w:val="auto"/>
              </w:rPr>
            </w:pPr>
          </w:p>
        </w:tc>
        <w:tc>
          <w:tcPr>
            <w:tcW w:w="21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82"/>
        </w:trPr>
        <w:tc>
          <w:tcPr>
            <w:tcW w:w="6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77,739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r>
      <w:tr>
        <w:trPr>
          <w:trHeight w:val="178"/>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w:t>
            </w:r>
          </w:p>
        </w:tc>
      </w:tr>
      <w:tr>
        <w:trPr>
          <w:trHeight w:val="18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2,558</w:t>
            </w:r>
          </w:p>
        </w:tc>
      </w:tr>
      <w:tr>
        <w:trPr>
          <w:trHeight w:val="178"/>
        </w:trPr>
        <w:tc>
          <w:tcPr>
            <w:tcW w:w="6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2,556</w:t>
            </w:r>
          </w:p>
        </w:tc>
      </w:tr>
      <w:tr>
        <w:trPr>
          <w:trHeight w:val="18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r>
      <w:tr>
        <w:trPr>
          <w:trHeight w:val="178"/>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736,730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7,652</w:t>
            </w:r>
          </w:p>
        </w:tc>
      </w:tr>
      <w:tr>
        <w:trPr>
          <w:trHeight w:val="163"/>
        </w:trPr>
        <w:tc>
          <w:tcPr>
            <w:tcW w:w="62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Total future minimum lease payments </w:t>
            </w:r>
            <w:r>
              <w:rPr>
                <w:rFonts w:ascii="Times New Roman" w:cs="Times New Roman" w:eastAsia="Times New Roman" w:hAnsi="Times New Roman"/>
                <w:sz w:val="17"/>
                <w:szCs w:val="17"/>
                <w:color w:val="auto"/>
                <w:vertAlign w:val="superscript"/>
              </w:rPr>
              <w:t>(1)</w:t>
            </w:r>
          </w:p>
        </w:tc>
        <w:tc>
          <w:tcPr>
            <w:tcW w:w="30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1,173,071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18,201</w:t>
            </w:r>
          </w:p>
        </w:tc>
      </w:tr>
      <w:tr>
        <w:trPr>
          <w:trHeight w:val="178"/>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(446,783)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(5,415)</w:t>
            </w:r>
          </w:p>
        </w:tc>
      </w:tr>
      <w:tr>
        <w:trPr>
          <w:trHeight w:val="188"/>
        </w:trPr>
        <w:tc>
          <w:tcPr>
            <w:tcW w:w="6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present value of lease liabilities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726,288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Excludes approximately $130.7 million of executed operating leases that have not commenced as of December 28,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Sale-Leaseback Transactions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2015, Management entered into an agreement relating to the sale and leaseback of the land for use in restaurant operations and received cash proceeds of $3.1 million. As the Company had continuing involvement with the property, the sale of the land did not qualify for sale accounting. As a result, the cash proceeds were recorded as a financing obligation. The balance of the financing obligation was $3.1 million as of December 28, 2025 and December 29, 2024.</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Transaction Expenses,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Transaction expenses,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71"/>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Acquisition-related costs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r>
      <w:tr>
        <w:trPr>
          <w:trHeight w:val="17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Secondary offering costs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 Agreement modification</w:t>
            </w:r>
          </w:p>
        </w:tc>
        <w:tc>
          <w:tcPr>
            <w:tcW w:w="3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7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(Gain), net on restaurant closures/relocations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8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3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transaction expenses, net</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3,147</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2025 and 2024, $1.1 million and $1.6 million, respectively, of costs were incurred in connection with the acquisition of certain franchise-owned restaurants.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both Fiscal 2025 and 2024, $1.3 million of costs were incurred by the Company in connection with underwritten secondary offerings of the Company’s common stock and public resales of the Company’s common stock under Rule 144 of the Securities Act of 1933, as amended, by entities affiliated with or managed by our former majority owner. During Fiscal 2023, total costs of $1.0 million were incurred by the Company in connection with secondary offerings.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b w:val="1"/>
          <w:bCs w:val="1"/>
          <w:color w:val="auto"/>
        </w:rPr>
        <w:t>14.</w:t>
        <w:tab/>
        <w:t>Income Taxes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before taxes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income before tax</w:t>
            </w:r>
          </w:p>
        </w:tc>
        <w:tc>
          <w:tcPr>
            <w:tcW w:w="5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36,075</w:t>
            </w:r>
          </w:p>
        </w:tc>
        <w:tc>
          <w:tcPr>
            <w:tcW w:w="0" w:type="dxa"/>
            <w:vAlign w:val="bottom"/>
          </w:tcPr>
          <w:p>
            <w:pPr>
              <w:spacing w:after="0"/>
              <w:rPr>
                <w:sz w:val="1"/>
                <w:szCs w:val="1"/>
                <w:color w:val="auto"/>
              </w:rPr>
            </w:pPr>
          </w:p>
        </w:tc>
      </w:tr>
      <w:tr>
        <w:trPr>
          <w:trHeight w:val="160"/>
        </w:trPr>
        <w:tc>
          <w:tcPr>
            <w:tcW w:w="4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before taxes</w:t>
            </w: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12,133</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36,075</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components of the provision for income taxes were as follows:</w:t>
            </w: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6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provision:</w:t>
            </w:r>
          </w:p>
        </w:tc>
        <w:tc>
          <w:tcPr>
            <w:tcW w:w="5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80" w:type="dxa"/>
            <w:vAlign w:val="bottom"/>
          </w:tcPr>
          <w:p>
            <w:pPr>
              <w:spacing w:after="0"/>
              <w:rPr>
                <w:sz w:val="15"/>
                <w:szCs w:val="15"/>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5"/>
                <w:szCs w:val="15"/>
                <w:color w:val="auto"/>
              </w:rPr>
            </w:pPr>
          </w:p>
        </w:tc>
        <w:tc>
          <w:tcPr>
            <w:tcW w:w="880" w:type="dxa"/>
            <w:vAlign w:val="bottom"/>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(1,952)</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current provision</w:t>
            </w: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(2,278)</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0" w:type="dxa"/>
            <w:vAlign w:val="bottom"/>
          </w:tcPr>
          <w:p>
            <w:pPr>
              <w:spacing w:after="0"/>
              <w:rPr>
                <w:sz w:val="1"/>
                <w:szCs w:val="1"/>
                <w:color w:val="auto"/>
              </w:rPr>
            </w:pPr>
          </w:p>
        </w:tc>
      </w:tr>
      <w:tr>
        <w:trPr>
          <w:trHeight w:val="16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benefit (provision):</w:t>
            </w:r>
          </w:p>
        </w:tc>
        <w:tc>
          <w:tcPr>
            <w:tcW w:w="5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U.S. Federal</w:t>
            </w:r>
          </w:p>
        </w:tc>
        <w:tc>
          <w:tcPr>
            <w:tcW w:w="5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(7,031)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(8,896)</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State</w:t>
            </w:r>
          </w:p>
        </w:tc>
        <w:tc>
          <w:tcPr>
            <w:tcW w:w="5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deferred benefit (provision)</w:t>
            </w: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10,031</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(6,823)</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(8,315)</w:t>
            </w: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(9,101)</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reconciliation of the provision for income taxes to the amount computed by applying the federal statutory income tax rate to income before income taxes after the adoption of ASU 2023-09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Borders>
              <w:bottom w:val="single" w:sz="8" w:color="auto"/>
            </w:tcBorders>
          </w:tcPr>
          <w:p>
            <w:pPr>
              <w:spacing w:after="0"/>
              <w:rPr>
                <w:sz w:val="16"/>
                <w:szCs w:val="16"/>
                <w:color w:val="auto"/>
              </w:rPr>
            </w:pPr>
          </w:p>
        </w:tc>
      </w:tr>
      <w:tr>
        <w:trPr>
          <w:trHeight w:val="171"/>
        </w:trPr>
        <w:tc>
          <w:tcPr>
            <w:tcW w:w="6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4"/>
                <w:szCs w:val="14"/>
                <w:color w:val="auto"/>
              </w:rPr>
            </w:pPr>
          </w:p>
        </w:tc>
      </w:tr>
      <w:tr>
        <w:trPr>
          <w:trHeight w:val="16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 statutory rate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24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rPr>
              <w:t>2,548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8"/>
        </w:trPr>
        <w:tc>
          <w:tcPr>
            <w:tcW w:w="6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 income taxes, net of federal income tax effect (a)</w:t>
            </w:r>
          </w:p>
        </w:tc>
        <w:tc>
          <w:tcPr>
            <w:tcW w:w="880" w:type="dxa"/>
            <w:vAlign w:val="bottom"/>
          </w:tcPr>
          <w:p>
            <w:pPr>
              <w:spacing w:after="0"/>
              <w:rPr>
                <w:sz w:val="15"/>
                <w:szCs w:val="15"/>
                <w:color w:val="auto"/>
              </w:rPr>
            </w:pPr>
          </w:p>
        </w:tc>
        <w:tc>
          <w:tcPr>
            <w:tcW w:w="2420" w:type="dxa"/>
            <w:vAlign w:val="bottom"/>
          </w:tcPr>
          <w:p>
            <w:pPr>
              <w:jc w:val="right"/>
              <w:ind w:right="1135"/>
              <w:spacing w:after="0"/>
              <w:rPr>
                <w:sz w:val="20"/>
                <w:szCs w:val="20"/>
                <w:color w:val="auto"/>
              </w:rPr>
            </w:pPr>
            <w:r>
              <w:rPr>
                <w:rFonts w:ascii="Times New Roman" w:cs="Times New Roman" w:eastAsia="Times New Roman" w:hAnsi="Times New Roman"/>
                <w:sz w:val="13"/>
                <w:szCs w:val="13"/>
                <w:color w:val="auto"/>
              </w:rPr>
              <w:t>1,415</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11.7 %</w:t>
            </w:r>
          </w:p>
        </w:tc>
      </w:tr>
      <w:tr>
        <w:trPr>
          <w:trHeight w:val="18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8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6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FICA tip credit</w:t>
            </w:r>
          </w:p>
        </w:tc>
        <w:tc>
          <w:tcPr>
            <w:tcW w:w="880" w:type="dxa"/>
            <w:vAlign w:val="bottom"/>
          </w:tcPr>
          <w:p>
            <w:pPr>
              <w:spacing w:after="0"/>
              <w:rPr>
                <w:sz w:val="15"/>
                <w:szCs w:val="15"/>
                <w:color w:val="auto"/>
              </w:rPr>
            </w:pPr>
          </w:p>
        </w:tc>
        <w:tc>
          <w:tcPr>
            <w:tcW w:w="2420" w:type="dxa"/>
            <w:vAlign w:val="bottom"/>
          </w:tcPr>
          <w:p>
            <w:pPr>
              <w:jc w:val="right"/>
              <w:ind w:right="1115"/>
              <w:spacing w:after="0"/>
              <w:rPr>
                <w:sz w:val="20"/>
                <w:szCs w:val="20"/>
                <w:color w:val="auto"/>
              </w:rPr>
            </w:pPr>
            <w:r>
              <w:rPr>
                <w:rFonts w:ascii="Times New Roman" w:cs="Times New Roman" w:eastAsia="Times New Roman" w:hAnsi="Times New Roman"/>
                <w:sz w:val="13"/>
                <w:szCs w:val="13"/>
                <w:color w:val="auto"/>
              </w:rPr>
              <w:t>(12,561)</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r>
      <w:tr>
        <w:trPr>
          <w:trHeight w:val="18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880" w:type="dxa"/>
            <w:vAlign w:val="bottom"/>
            <w:shd w:val="clear" w:color="auto" w:fill="CCEEFF"/>
          </w:tcPr>
          <w:p>
            <w:pPr>
              <w:spacing w:after="0"/>
              <w:rPr>
                <w:sz w:val="15"/>
                <w:szCs w:val="15"/>
                <w:color w:val="auto"/>
              </w:rPr>
            </w:pPr>
          </w:p>
        </w:tc>
        <w:tc>
          <w:tcPr>
            <w:tcW w:w="24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3"/>
                <w:szCs w:val="13"/>
                <w:color w:val="auto"/>
              </w:rPr>
              <w:t>(3,147)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77"/>
        </w:trPr>
        <w:tc>
          <w:tcPr>
            <w:tcW w:w="6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8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FICA tip expenses</w:t>
            </w:r>
          </w:p>
        </w:tc>
        <w:tc>
          <w:tcPr>
            <w:tcW w:w="880" w:type="dxa"/>
            <w:vAlign w:val="bottom"/>
            <w:shd w:val="clear" w:color="auto" w:fill="CCEEFF"/>
          </w:tcPr>
          <w:p>
            <w:pPr>
              <w:spacing w:after="0"/>
              <w:rPr>
                <w:sz w:val="15"/>
                <w:szCs w:val="15"/>
                <w:color w:val="auto"/>
              </w:rPr>
            </w:pPr>
          </w:p>
        </w:tc>
        <w:tc>
          <w:tcPr>
            <w:tcW w:w="24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rPr>
              <w:t>2,638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21.7 %</w:t>
            </w:r>
          </w:p>
        </w:tc>
      </w:tr>
      <w:tr>
        <w:trPr>
          <w:trHeight w:val="178"/>
        </w:trPr>
        <w:tc>
          <w:tcPr>
            <w:tcW w:w="6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tcPr>
          <w:p>
            <w:pPr>
              <w:spacing w:after="0"/>
              <w:rPr>
                <w:sz w:val="15"/>
                <w:szCs w:val="15"/>
                <w:color w:val="auto"/>
              </w:rPr>
            </w:pPr>
          </w:p>
        </w:tc>
        <w:tc>
          <w:tcPr>
            <w:tcW w:w="2420" w:type="dxa"/>
            <w:vAlign w:val="bottom"/>
          </w:tcPr>
          <w:p>
            <w:pPr>
              <w:jc w:val="right"/>
              <w:ind w:right="1135"/>
              <w:spacing w:after="0"/>
              <w:rPr>
                <w:sz w:val="20"/>
                <w:szCs w:val="20"/>
                <w:color w:val="auto"/>
              </w:rPr>
            </w:pPr>
            <w:r>
              <w:rPr>
                <w:rFonts w:ascii="Times New Roman" w:cs="Times New Roman" w:eastAsia="Times New Roman" w:hAnsi="Times New Roman"/>
                <w:sz w:val="13"/>
                <w:szCs w:val="13"/>
                <w:color w:val="auto"/>
              </w:rPr>
              <w:t>1,278</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10.5 %</w:t>
            </w:r>
          </w:p>
        </w:tc>
      </w:tr>
      <w:tr>
        <w:trPr>
          <w:trHeight w:val="183"/>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Secondary offerings - costs</w:t>
            </w:r>
          </w:p>
        </w:tc>
        <w:tc>
          <w:tcPr>
            <w:tcW w:w="880" w:type="dxa"/>
            <w:vAlign w:val="bottom"/>
            <w:shd w:val="clear" w:color="auto" w:fill="CCEEFF"/>
          </w:tcPr>
          <w:p>
            <w:pPr>
              <w:spacing w:after="0"/>
              <w:rPr>
                <w:sz w:val="15"/>
                <w:szCs w:val="15"/>
                <w:color w:val="auto"/>
              </w:rPr>
            </w:pPr>
          </w:p>
        </w:tc>
        <w:tc>
          <w:tcPr>
            <w:tcW w:w="24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rPr>
              <w:t>291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78"/>
        </w:trPr>
        <w:tc>
          <w:tcPr>
            <w:tcW w:w="68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Meals</w:t>
            </w:r>
          </w:p>
        </w:tc>
        <w:tc>
          <w:tcPr>
            <w:tcW w:w="880" w:type="dxa"/>
            <w:vAlign w:val="bottom"/>
          </w:tcPr>
          <w:p>
            <w:pPr>
              <w:spacing w:after="0"/>
              <w:rPr>
                <w:sz w:val="15"/>
                <w:szCs w:val="15"/>
                <w:color w:val="auto"/>
              </w:rPr>
            </w:pPr>
          </w:p>
        </w:tc>
        <w:tc>
          <w:tcPr>
            <w:tcW w:w="2420" w:type="dxa"/>
            <w:vAlign w:val="bottom"/>
          </w:tcPr>
          <w:p>
            <w:pPr>
              <w:jc w:val="right"/>
              <w:ind w:right="1135"/>
              <w:spacing w:after="0"/>
              <w:rPr>
                <w:sz w:val="20"/>
                <w:szCs w:val="20"/>
                <w:color w:val="auto"/>
              </w:rPr>
            </w:pPr>
            <w:r>
              <w:rPr>
                <w:rFonts w:ascii="Times New Roman" w:cs="Times New Roman" w:eastAsia="Times New Roman" w:hAnsi="Times New Roman"/>
                <w:sz w:val="13"/>
                <w:szCs w:val="13"/>
                <w:color w:val="auto"/>
              </w:rPr>
              <w:t>130</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83"/>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nondeductible items</w:t>
            </w:r>
          </w:p>
        </w:tc>
        <w:tc>
          <w:tcPr>
            <w:tcW w:w="880" w:type="dxa"/>
            <w:vAlign w:val="bottom"/>
            <w:shd w:val="clear" w:color="auto" w:fill="CCEEFF"/>
          </w:tcPr>
          <w:p>
            <w:pPr>
              <w:spacing w:after="0"/>
              <w:rPr>
                <w:sz w:val="15"/>
                <w:szCs w:val="15"/>
                <w:color w:val="auto"/>
              </w:rPr>
            </w:pPr>
          </w:p>
        </w:tc>
        <w:tc>
          <w:tcPr>
            <w:tcW w:w="24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3"/>
                <w:szCs w:val="13"/>
                <w:color w:val="auto"/>
              </w:rPr>
              <w:t>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r>
      <w:tr>
        <w:trPr>
          <w:trHeight w:val="17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8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3"/>
                <w:szCs w:val="13"/>
                <w:color w:val="auto"/>
              </w:rPr>
              <w:t>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8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242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3"/>
                <w:szCs w:val="13"/>
                <w:color w:val="auto"/>
              </w:rPr>
              <w:t>(7,299)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a) State taxes in Florida, Texas and Missouri make up the majority (greater than 50 percent) of the tax effect of this category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 income tax rate for Fiscal 2025 differed from the federal statutory rate primarily due to (i) the benefit of the tax credits for FICA taxes on certain employee tips, (ii) the change in valuation allowance, (iii) state taxes and (iv) impacts of executive stock-based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federal statutory income tax rate to the Company’s effective income tax rate before the adoption of ASU 2023-09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40" w:type="dxa"/>
            <w:vAlign w:val="bottom"/>
            <w:tcBorders>
              <w:bottom w:val="single" w:sz="8" w:color="auto"/>
            </w:tcBorders>
          </w:tcPr>
          <w:p>
            <w:pPr>
              <w:spacing w:after="0"/>
              <w:rPr>
                <w:sz w:val="16"/>
                <w:szCs w:val="16"/>
                <w:color w:val="auto"/>
              </w:rPr>
            </w:pPr>
          </w:p>
        </w:tc>
      </w:tr>
      <w:tr>
        <w:trPr>
          <w:trHeight w:val="171"/>
        </w:trPr>
        <w:tc>
          <w:tcPr>
            <w:tcW w:w="66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at federal statutory rate</w:t>
            </w:r>
          </w:p>
        </w:tc>
        <w:tc>
          <w:tcPr>
            <w:tcW w:w="15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8"/>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tax effect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r>
      <w:tr>
        <w:trPr>
          <w:trHeight w:val="18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FICA tip credit</w:t>
            </w: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(19.9)</w:t>
            </w:r>
          </w:p>
        </w:tc>
      </w:tr>
      <w:tr>
        <w:trPr>
          <w:trHeight w:val="178"/>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tax credits</w:t>
            </w: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 for federal and state</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17.6</w:t>
            </w:r>
          </w:p>
        </w:tc>
      </w:tr>
      <w:tr>
        <w:trPr>
          <w:trHeight w:val="178"/>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r>
      <w:tr>
        <w:trPr>
          <w:trHeight w:val="18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Secondary offerings - costs</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r>
      <w:tr>
        <w:trPr>
          <w:trHeight w:val="178"/>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permanent items</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0.5</w:t>
            </w:r>
          </w:p>
        </w:tc>
      </w:tr>
      <w:tr>
        <w:trPr>
          <w:trHeight w:val="183"/>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change</w:t>
            </w: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r>
      <w:tr>
        <w:trPr>
          <w:trHeight w:val="178"/>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6740" w:type="dxa"/>
            <w:vAlign w:val="bottom"/>
            <w:tcBorders>
              <w:top w:val="single" w:sz="8" w:color="CCEEFF"/>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w:t>
            </w:r>
          </w:p>
        </w:tc>
        <w:tc>
          <w:tcPr>
            <w:tcW w:w="15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29.6 %</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 income tax rate for Fiscal year 2024 and Fiscal year 2023 differed from the blended federal and state statutory rate primarily due to (i) the change in the valuation allowance, (ii) the benefit of the tax credits for FICA taxes on certain employee tips, (iii) impacts of executive stock-based compensation and (iv) non-deductible costs associated with the secondary offerings.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deferred tax assets and liabilities were as follows:</w:t>
            </w: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340" w:type="dxa"/>
            <w:vAlign w:val="bottom"/>
          </w:tcPr>
          <w:p>
            <w:pPr>
              <w:spacing w:after="0"/>
              <w:rPr>
                <w:sz w:val="24"/>
                <w:szCs w:val="24"/>
                <w:color w:val="auto"/>
              </w:rPr>
            </w:pPr>
          </w:p>
        </w:tc>
        <w:tc>
          <w:tcPr>
            <w:tcW w:w="2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29, 2024</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14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FICA tip credit</w:t>
            </w:r>
          </w:p>
        </w:tc>
        <w:tc>
          <w:tcPr>
            <w:tcW w:w="1780" w:type="dxa"/>
            <w:vAlign w:val="bottom"/>
            <w:gridSpan w:val="2"/>
          </w:tcPr>
          <w:p>
            <w:pPr>
              <w:jc w:val="right"/>
              <w:ind w:right="207"/>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70,094</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59,671</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tax credits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operating loss</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17,462</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155,540</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Organizational costs</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limitation</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compensation</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revenues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Research expenses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rate swaps</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0" w:type="dxa"/>
            <w:vAlign w:val="bottom"/>
          </w:tcPr>
          <w:p>
            <w:pPr>
              <w:spacing w:after="0"/>
              <w:rPr>
                <w:sz w:val="1"/>
                <w:szCs w:val="1"/>
                <w:color w:val="auto"/>
              </w:rPr>
            </w:pPr>
          </w:p>
        </w:tc>
      </w:tr>
      <w:tr>
        <w:trPr>
          <w:trHeight w:val="178"/>
        </w:trPr>
        <w:tc>
          <w:tcPr>
            <w:tcW w:w="4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Valuation allowance</w:t>
            </w:r>
          </w:p>
        </w:tc>
        <w:tc>
          <w:tcPr>
            <w:tcW w:w="1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(54,365)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(57,664)</w:t>
            </w:r>
          </w:p>
        </w:tc>
        <w:tc>
          <w:tcPr>
            <w:tcW w:w="0" w:type="dxa"/>
            <w:vAlign w:val="bottom"/>
          </w:tcPr>
          <w:p>
            <w:pPr>
              <w:spacing w:after="0"/>
              <w:rPr>
                <w:sz w:val="1"/>
                <w:szCs w:val="1"/>
                <w:color w:val="auto"/>
              </w:rPr>
            </w:pPr>
          </w:p>
        </w:tc>
      </w:tr>
      <w:tr>
        <w:trPr>
          <w:trHeight w:val="1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deferred income tax assets</w:t>
            </w:r>
          </w:p>
        </w:tc>
        <w:tc>
          <w:tcPr>
            <w:tcW w:w="1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215,972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185,262</w:t>
            </w:r>
          </w:p>
        </w:tc>
        <w:tc>
          <w:tcPr>
            <w:tcW w:w="0" w:type="dxa"/>
            <w:vAlign w:val="bottom"/>
          </w:tcPr>
          <w:p>
            <w:pPr>
              <w:spacing w:after="0"/>
              <w:rPr>
                <w:sz w:val="1"/>
                <w:szCs w:val="1"/>
                <w:color w:val="auto"/>
              </w:rPr>
            </w:pPr>
          </w:p>
        </w:tc>
      </w:tr>
      <w:tr>
        <w:trPr>
          <w:trHeight w:val="177"/>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liabilities</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(154,405)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(132,054)</w:t>
            </w:r>
          </w:p>
        </w:tc>
        <w:tc>
          <w:tcPr>
            <w:tcW w:w="0" w:type="dxa"/>
            <w:vAlign w:val="bottom"/>
          </w:tcPr>
          <w:p>
            <w:pPr>
              <w:spacing w:after="0"/>
              <w:rPr>
                <w:sz w:val="1"/>
                <w:szCs w:val="1"/>
                <w:color w:val="auto"/>
              </w:rPr>
            </w:pPr>
          </w:p>
        </w:tc>
      </w:tr>
      <w:tr>
        <w:trPr>
          <w:trHeight w:val="17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(48,303)</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Intangible assets</w:t>
            </w:r>
          </w:p>
        </w:tc>
        <w:tc>
          <w:tcPr>
            <w:tcW w:w="14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(37,290)</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(37,123)</w:t>
            </w:r>
          </w:p>
        </w:tc>
        <w:tc>
          <w:tcPr>
            <w:tcW w:w="0" w:type="dxa"/>
            <w:vAlign w:val="bottom"/>
          </w:tcPr>
          <w:p>
            <w:pPr>
              <w:spacing w:after="0"/>
              <w:rPr>
                <w:sz w:val="1"/>
                <w:szCs w:val="1"/>
                <w:color w:val="auto"/>
              </w:rPr>
            </w:pPr>
          </w:p>
        </w:tc>
      </w:tr>
      <w:tr>
        <w:trPr>
          <w:trHeight w:val="15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deferred income tax liabilities</w:t>
            </w:r>
          </w:p>
        </w:tc>
        <w:tc>
          <w:tcPr>
            <w:tcW w:w="14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(237,944)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(217,480)</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deferred income tax liabilities</w:t>
            </w:r>
          </w:p>
        </w:tc>
        <w:tc>
          <w:tcPr>
            <w:tcW w:w="14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81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 Carryforwards</w:t>
            </w: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55"/>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The amount and expiration dates of tax carryforwards as of December 28, 2025 are as follows:</w:t>
            </w:r>
          </w:p>
        </w:tc>
        <w:tc>
          <w:tcPr>
            <w:tcW w:w="2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87"/>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480" w:type="dxa"/>
            <w:vAlign w:val="bottom"/>
          </w:tcPr>
          <w:p>
            <w:pPr>
              <w:spacing w:after="0"/>
              <w:rPr>
                <w:sz w:val="24"/>
                <w:szCs w:val="24"/>
                <w:color w:val="auto"/>
              </w:rPr>
            </w:pPr>
          </w:p>
        </w:tc>
        <w:tc>
          <w:tcPr>
            <w:tcW w:w="190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net operating loss carryforwards</w:t>
            </w: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Indefinite</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23,602</w:t>
            </w:r>
          </w:p>
        </w:tc>
      </w:tr>
      <w:tr>
        <w:trPr>
          <w:trHeight w:val="174"/>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business tax credits (carried forward 20 years)</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2031 - 2045</w:t>
            </w:r>
          </w:p>
        </w:tc>
        <w:tc>
          <w:tcPr>
            <w:tcW w:w="8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70,264</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has state net operating loss carryforwards of $11.9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U.S., a restaurant company employer may claim a credit against its federal income taxes for FICA taxes paid on certain tipped wages (“FICA tip credit”).</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first quarter of 2024, the Company’s former majority shareholder sold shares, through a secondary offering. The sale resulted in a change in control event, per the terms of the agreement with previous stockholders, and the contingent liability was reevaluated and final payment to previous stockholders was made in the second quarter of 2024.</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Section 382 of the Internal Revenue Code (“IRC § 382”) limits a company’s ability to utilize tax attribute carryforwards in the event of an “ownership change”, which is defined as a change in ownership of more than 50% of a company’s stock within a rolling three-year period. We have considered the impact of potential ownership changes to our ability to realize the benefit of our deferred tax assets and do not believe that any resulting limitation will have a material impact.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Allowance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 result of Management’s annual assessment, for the fiscal year ended on December 28, 2025, there was a net decrease to the valuation allowance on federal tax credit carryforwards. Management’s assessment of the valuation allowance considered all available positive and negative evidence, including the scheduled reversal of temporary differences, cumulative income position, recent and projected future taxable income, and prudent and feasible tax planning strategies.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deferred tax asset valuation allowance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tcPr>
          <w:p>
            <w:pPr>
              <w:jc w:val="right"/>
              <w:ind w:right="816"/>
              <w:spacing w:after="0"/>
              <w:rPr>
                <w:sz w:val="20"/>
                <w:szCs w:val="20"/>
                <w:color w:val="auto"/>
              </w:rPr>
            </w:pPr>
            <w:r>
              <w:rPr>
                <w:rFonts w:ascii="Times New Roman" w:cs="Times New Roman" w:eastAsia="Times New Roman" w:hAnsi="Times New Roman"/>
                <w:sz w:val="13"/>
                <w:szCs w:val="13"/>
                <w:i w:val="1"/>
                <w:iCs w:val="1"/>
                <w:color w:val="auto"/>
              </w:rPr>
              <w:t>(in thousands)</w:t>
            </w:r>
          </w:p>
        </w:tc>
      </w:tr>
      <w:tr>
        <w:trPr>
          <w:trHeight w:val="18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25, 2022</w:t>
            </w: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(41,754)</w:t>
            </w:r>
          </w:p>
        </w:tc>
      </w:tr>
      <w:tr>
        <w:trPr>
          <w:trHeight w:val="178"/>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Increase</w:t>
            </w: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(6,357)</w:t>
            </w:r>
          </w:p>
        </w:tc>
      </w:tr>
      <w:tr>
        <w:trPr>
          <w:trHeight w:val="16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50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(48,111)</w:t>
            </w:r>
          </w:p>
        </w:tc>
      </w:tr>
      <w:tr>
        <w:trPr>
          <w:trHeight w:val="178"/>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Increase</w:t>
            </w: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(9,553)</w:t>
            </w:r>
          </w:p>
        </w:tc>
      </w:tr>
      <w:tr>
        <w:trPr>
          <w:trHeight w:val="16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29, 2024</w:t>
            </w:r>
          </w:p>
        </w:tc>
        <w:tc>
          <w:tcPr>
            <w:tcW w:w="50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(57,664)</w:t>
            </w:r>
          </w:p>
        </w:tc>
      </w:tr>
      <w:tr>
        <w:trPr>
          <w:trHeight w:val="178"/>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Decrease</w:t>
            </w: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3,299</w:t>
            </w:r>
          </w:p>
        </w:tc>
      </w:tr>
      <w:tr>
        <w:trPr>
          <w:trHeight w:val="188"/>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28, 2025</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(54,365)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examination by federal, state and local jurisdictions, where applicable. As of December 28, 2025, the tax years that remain subject to examination by major tax jurisdictions under the statute of limitations are from the year 2017 and forward.</w:t>
      </w:r>
    </w:p>
    <w:p>
      <w:pPr>
        <w:sectPr>
          <w:pgSz w:w="11900" w:h="16838" w:orient="portrait"/>
          <w:cols w:equalWidth="0" w:num="1">
            <w:col w:w="11280"/>
          </w:cols>
          <w:pgMar w:left="300" w:top="123" w:right="31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Income Taxes Paid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 paid by jurisdiction are as follows:</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Federal</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Florida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Texas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All other states</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Total taxes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71"/>
        </w:trPr>
        <w:tc>
          <w:tcPr>
            <w:tcW w:w="5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56"/>
        </w:trPr>
        <w:tc>
          <w:tcPr>
            <w:tcW w:w="500" w:type="dxa"/>
            <w:vAlign w:val="bottom"/>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80"/>
        </w:trPr>
        <w:tc>
          <w:tcPr>
            <w:tcW w:w="50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r>
      <w:tr>
        <w:trPr>
          <w:trHeight w:val="180"/>
        </w:trPr>
        <w:tc>
          <w:tcPr>
            <w:tcW w:w="50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83"/>
        </w:trPr>
        <w:tc>
          <w:tcPr>
            <w:tcW w:w="5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w:t>
            </w:r>
          </w:p>
        </w:tc>
      </w:tr>
      <w:tr>
        <w:trPr>
          <w:trHeight w:val="160"/>
        </w:trPr>
        <w:tc>
          <w:tcPr>
            <w:tcW w:w="5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-598805</wp:posOffset>
            </wp:positionV>
            <wp:extent cx="7161530"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-370205</wp:posOffset>
            </wp:positionV>
            <wp:extent cx="716153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-140970</wp:posOffset>
            </wp:positionV>
            <wp:extent cx="716153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820"/>
          </w:cols>
          <w:pgMar w:left="300" w:top="123" w:right="31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Enactment of H.R. 1</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On July 4, 2025, H.R. 1 - the </w:t>
      </w:r>
      <w:r>
        <w:rPr>
          <w:rFonts w:ascii="Times New Roman" w:cs="Times New Roman" w:eastAsia="Times New Roman" w:hAnsi="Times New Roman"/>
          <w:sz w:val="14"/>
          <w:szCs w:val="14"/>
          <w:i w:val="1"/>
          <w:iCs w:val="1"/>
          <w:color w:val="auto"/>
        </w:rPr>
        <w:t>One Big Beautiful Bill Act</w:t>
      </w:r>
      <w:r>
        <w:rPr>
          <w:rFonts w:ascii="Times New Roman" w:cs="Times New Roman" w:eastAsia="Times New Roman" w:hAnsi="Times New Roman"/>
          <w:sz w:val="14"/>
          <w:szCs w:val="14"/>
          <w:color w:val="auto"/>
        </w:rPr>
        <w:t xml:space="preserve"> (“the Bill”) was enacted in the U.S. The Bill includes a broad range of tax reform provisions, including extending and modifying certain key Tax Cuts and Jobs Act provisions and provisions allowing accelerated tax deductions for qualified property and research expenditures. The Bill has multiple effective dates, with certain provisions effective in 2025 and others to be implemented through 2027. The Bill’s enactment did not materially impact our effective income tax rate or cash tax position for the year ended December 28, 2025.</w:t>
      </w: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Stockholders’ Equity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300,000,000 common stock shares with a par value of $0.01 per share and 10,000,000 preferred stock shares with a par value of $0.01 per share pursuant to the Company’s Amended and Restated Certificate of Incorporation.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Each share of common stock entitles the holder to one vote for each share of common stock held and common stockholders will not have cumulative voting rights. Common stockholders are entitled to receive dividends, as and if declared by the Board of Directors. In addition, all common stockholders are entitled to share equally on a share-for-share basis in any assets available for distribution to common stockholders upon liquidation, dissolution, or winding up of the Company after payment is made to the preferred stockholders.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Fiscal 2025, our former majority shareholder sold their remaining 10,289,784 shares of common stock through secondary offerings. During Fiscal 2024 and Fiscal 2023, our former majority shareholder sold 14,900,000 and 7,475,000 shares of common stock through secondary offerings, respectively. The net proceeds from the sales of common stock from the transactions were distributed to the selling stockholders.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cash dividends were declared or paid in Fiscal 2025, Fiscal 2024 and Fiscal 2023.</w:t>
      </w:r>
    </w:p>
    <w:p>
      <w:pPr>
        <w:spacing w:after="0" w:line="2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Employee Savings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sponsors a defined contribution 401(k) savings plan (“401(k) Plan”) which requires the Company to match contributions for participants. The Company matches 50% of the first 6% of employees’ wages deferred into the 401(k) Plan. The 401(k) Plan also allows for additional profit-sharing contributions by the Company at the sole discretion of Management. Company contributions vest over a five-year service period. Total expense recognized for the Company’s contributions to the 401(k) Plan was $2.3 million, $1.9 million and $1.1 million in Fiscal 2025, Fiscal 2024 and Fiscal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Non-Qualified Deferred Compensation Plan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First Watch Deferred Compensation Plan is a non-qualified plan that allows officers and other eligible key employees to defer a percentage of their base salary and cash bonus on a pre-tax basis. The plan allows participants to make tax-deferred contributions that would otherwise be limited under the 401(k) Plan because of Internal Revenue Service rules. The Company matches 50% of the first 6% of employees’ wages deferred into the First Watch Deferred Compensation Plan. The employer match credits vest over a five-year service period, or vest in full upon an active participant’s death, disability or a Company change in control event, as defined in the plan. Participants’ earnings on contributions fluctuate with the actual earnings and losses of available investment choices selected by the participants. Changes to deferred compensation liabilities incurred under the First Watch Deferred Compensation Plan are recorded as general and administrative expenses. As of December 28, 2025, the deferred compensation obligation was included in Other long-term liabilities and totaled $1.9 million.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First Watch Deferred Compensation Plan is unsecured, Management has elected to fund certain of these obligations through a rabbi trust, the assets of which consist of company-owned life insurance policies. The life insurance policies cover certain of our officers and other key employees included in the First Watch Deferred Compensation Plan. The assets held in the rabbi trust are not available for general corporate purposes and are subject to creditor claims in the event of insolvency. Changes to the cash surrender value are recorded as general and administrative expenses. The cash surrender value of the life insurance policies in the rabbi trust is recorded in Other long-term assets and totaled $1.8 million as of December 28,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Stock-Based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Plans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Equity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number of shares of common stock reserved for issuance under the 2021 Equity Plan (“Share Reserve”) for Fiscal 2025, Fiscal 2024 and Fiscal 2023 was 7,630,128, 6,416,126, and 5,218,292, respectively.</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number of shares of common stock that may be issued under the 2021 Equity Plan will automatically increase on the first day of each fiscal year, beginning on December 26, 2022 and continuing for each fiscal year until, and including, the fiscal year ending on December 29, 2030, equal to the least of (i) 2.0%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and will not be available for future awards under the 2021 Equity Plan.</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non-qualified time-based option awards granted under the 2021 Equity Plan in Fiscal 2022 vest over a three-year requisite service period from the date of grant and expire 10 years after the grant date. Restricted stock units are granted at values equal to the market price of the Company’s common stock on the date of grant. Stock-based compensation expense for awards made under the 2021 Equity Plan is recognized on a straight-line recognition method over the requisite service period. There were no stock option awards granted under the 2021 Equity Plan after Fiscal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2017 Equity Plan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2017 Equity Plan authorizes stock-based awards to be granted for up to 6,138,240 shares of common stock. The awards granted under the 2017 Equity Plan consisted of non-qualified stock options that generally vest over a five-year requisite service period from the date of grant (the “time-based option awards”), as well as upon the occurrence of certain events and if certain market conditions were achieved (the “performance-based option awards”). Stock-based compensation expense related to the stock option awards issued under the 2017 Plan is recognized on an accelerated recognition method over the requisite service period. All stock options have an exercisable life of no more than 10 years from the date of grant. No awards were granted under the 2017 Equity Plan after Fiscal 2021, and the Company does not intend to grant any further awards under the 2017 Equity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 of Performance-Based Option Awards - 2017 Equity Plan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31, 2021, the Company’s Board of Directors amended the 2017 Equity Plan such that the performance-based option awards that convert into time-based option awards upon an initial public offering no longer vested over a period of three years, but instead vested one-third (1/3rd) on each of the first two anniversaries of an initial public offering and one-third (1/3rd) on the 273rd day following the second anniversary of an initial public offering. This was accounted for as a modification, resulting in a new fair value for all the performance-based option awards using an option-pricing model as of the modification date.</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19, 2021, the Company’s Board of Directors modified performance-based option awards that contained a market condition granted under the 2017 Equity Plan, such that the vesting terms for one such tranche were amended to waive the market condition. Accordingly, upon the Company’s IPO, such tranche converted into time-based option awards and vested one-third (1/3rd) on each of the first two anniversaries of the Company’s IPO and one-third (1/3rd) on the 273rd day following the second anniversary of the Company’s IPO. This was accounted for as a modification resulting in a new fair value using the option-pricing model for such performance-based option awards as of the modification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the Company’s IPO such that they no longer vested one-third (1/3rd) on each of the first two anniversaries of the Company’s IPO and one-third (1/3rd) on the 273rd day following the second anniversary of the Company’s IPO, but instead vested on August 1, 2022. Additionally, the exercise period of these time-based and performance-based vested option awards was modified such that any vested option may be exercised at any time prior to the 10th anniversary of the original grant date. These actions were accounted for as modifications and resulted in an increase of $0.3 million to the fair value of these awards.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the consummation of the Company’s IPO in October 2021, certain performance-based option awards converted into time-based option awards and stock compensation expense of $2.4 million was recognized in the fourth quarter of Fiscal 2021. The remaining expense is being recognized on an accelerated recognition method over the remaining service period. An immediate one-time charge of $5.6 million was recognized upon closing of the IPO, which included (i) the expense from the date of the modifications through the IPO date and (ii) the expense related to performance-based option awards for which the market condition was not satisfied upon the IPO.</w:t>
      </w:r>
    </w:p>
    <w:p>
      <w:pPr>
        <w:sectPr>
          <w:pgSz w:w="11900" w:h="16838" w:orient="portrait"/>
          <w:cols w:equalWidth="0" w:num="1">
            <w:col w:w="11280"/>
          </w:cols>
          <w:pgMar w:left="300" w:top="123" w:right="319" w:bottom="1440" w:gutter="0" w:footer="0" w:header="0"/>
        </w:sectPr>
      </w:pP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option activity for Fiscal 2025:</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Outstanding, December 29, 2024</w:t>
            </w:r>
          </w:p>
        </w:tc>
        <w:tc>
          <w:tcPr>
            <w:tcW w:w="2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900" w:type="dxa"/>
            <w:vAlign w:val="bottom"/>
            <w:vMerge w:val="continue"/>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3,701,017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(122,679)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Outstanding, December 28, 2025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3,577,374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Exercisable, December 28, 2025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3,573,428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1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8"/>
        </w:trPr>
        <w:tc>
          <w:tcPr>
            <w:tcW w:w="1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0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70"/>
        </w:trPr>
        <w:tc>
          <w:tcPr>
            <w:tcW w:w="1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6"/>
              </w:rPr>
              <w:t>(in thousands)</w:t>
            </w: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(in years)</w:t>
            </w:r>
          </w:p>
        </w:tc>
        <w:tc>
          <w:tcPr>
            <w:tcW w:w="0" w:type="dxa"/>
            <w:vAlign w:val="bottom"/>
          </w:tcPr>
          <w:p>
            <w:pPr>
              <w:spacing w:after="0"/>
              <w:rPr>
                <w:sz w:val="1"/>
                <w:szCs w:val="1"/>
                <w:color w:val="auto"/>
              </w:rPr>
            </w:pPr>
          </w:p>
        </w:tc>
      </w:tr>
      <w:tr>
        <w:trPr>
          <w:trHeight w:val="156"/>
        </w:trPr>
        <w:tc>
          <w:tcPr>
            <w:tcW w:w="1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10.14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31,676</w:t>
            </w:r>
          </w:p>
        </w:tc>
        <w:tc>
          <w:tcPr>
            <w:tcW w:w="80" w:type="dxa"/>
            <w:vAlign w:val="bottom"/>
          </w:tcPr>
          <w:p>
            <w:pPr>
              <w:spacing w:after="0"/>
              <w:rPr>
                <w:sz w:val="13"/>
                <w:szCs w:val="13"/>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80"/>
        </w:trPr>
        <w:tc>
          <w:tcPr>
            <w:tcW w:w="1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12.58</w:t>
            </w: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9.73</w:t>
            </w: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10.15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20,614</w:t>
            </w:r>
          </w:p>
        </w:tc>
        <w:tc>
          <w:tcPr>
            <w:tcW w:w="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308"/>
        </w:trPr>
        <w:tc>
          <w:tcPr>
            <w:tcW w:w="1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10.15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20,601</w:t>
            </w:r>
          </w:p>
        </w:tc>
        <w:tc>
          <w:tcPr>
            <w:tcW w:w="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-434340</wp:posOffset>
            </wp:positionV>
            <wp:extent cx="7161530" cy="114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-191770</wp:posOffset>
            </wp:positionV>
            <wp:extent cx="7161530" cy="742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7429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-663575</wp:posOffset>
            </wp:positionV>
            <wp:extent cx="716153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5120" w:space="160"/>
            <w:col w:w="6000"/>
          </w:cols>
          <w:pgMar w:left="300" w:top="123" w:right="319" w:bottom="1440" w:gutter="0" w:footer="0" w:header="0"/>
          <w:type w:val="continuous"/>
        </w:sectPr>
      </w:pPr>
    </w:p>
    <w:p>
      <w:pPr>
        <w:spacing w:after="0" w:line="271" w:lineRule="auto"/>
        <w:rPr>
          <w:sz w:val="20"/>
          <w:szCs w:val="20"/>
          <w:color w:val="auto"/>
        </w:rPr>
      </w:pPr>
      <w:r>
        <w:rPr>
          <w:rFonts w:ascii="Times New Roman" w:cs="Times New Roman" w:eastAsia="Times New Roman" w:hAnsi="Times New Roman"/>
          <w:sz w:val="14"/>
          <w:szCs w:val="14"/>
          <w:color w:val="auto"/>
        </w:rPr>
        <w:t>The aggregate intrinsic value is based on the difference between the exercise price of the stock option and the closing price of the Company’s common stock on the Nasdaq Global Select Market on the last day of the trading period. The total intrinsic value of stock options exercised was $0.9 million, $6.6 million, and $5.7 million during Fiscal 2025, Fiscal 2024 and Fiscal 2023, respectively.</w:t>
      </w:r>
    </w:p>
    <w:p>
      <w:pPr>
        <w:sectPr>
          <w:pgSz w:w="11900" w:h="16838" w:orient="portrait"/>
          <w:cols w:equalWidth="0" w:num="1">
            <w:col w:w="11280"/>
          </w:cols>
          <w:pgMar w:left="300" w:top="123" w:right="31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non-vested stock option activity during Fiscal 2025 is as follows: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Nonvested, December 29,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Vested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Forfeited</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Nonvested, December 28, 2025</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56"/>
        </w:trPr>
        <w:tc>
          <w:tcPr>
            <w:tcW w:w="2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324,245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80"/>
        </w:trPr>
        <w:tc>
          <w:tcPr>
            <w:tcW w:w="2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63"/>
        </w:trPr>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-484505</wp:posOffset>
            </wp:positionV>
            <wp:extent cx="716153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-255270</wp:posOffset>
            </wp:positionV>
            <wp:extent cx="716153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60"/>
          </w:cols>
          <w:pgMar w:left="300" w:top="123" w:right="319" w:bottom="1440" w:gutter="0" w:footer="0" w:header="0"/>
          <w:type w:val="continuous"/>
        </w:sectPr>
      </w:pPr>
    </w:p>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total grant date fair value of stock options that vested during Fiscal 2025, Fiscal 2024 and Fiscal 2023 was $2.1 million, $6.8 million and $7.1 million, respectively. There were no stock options granted after Fiscal 2022.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Stock Options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Black-Scholes valuation model is used to estimate the fair value of stock option awards granted. The Company has not had sufficient historical stock option exercise activity and therefore the expected term of stock options granted is estimated using the simplified method, which represents the mid-point between the vesting period and the contractual term for each grant. The expected volatility of stock options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RSU activity for Fiscal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40" w:type="dxa"/>
            <w:vAlign w:val="bottom"/>
          </w:tcPr>
          <w:p>
            <w:pPr>
              <w:spacing w:after="0"/>
              <w:rPr>
                <w:sz w:val="14"/>
                <w:szCs w:val="14"/>
                <w:color w:val="auto"/>
              </w:rPr>
            </w:pPr>
          </w:p>
        </w:tc>
        <w:tc>
          <w:tcPr>
            <w:tcW w:w="2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4"/>
                <w:szCs w:val="14"/>
                <w:color w:val="auto"/>
              </w:rPr>
            </w:pPr>
          </w:p>
        </w:tc>
        <w:tc>
          <w:tcPr>
            <w:tcW w:w="27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GRANT DATE FAIR VALUE</w:t>
            </w:r>
          </w:p>
        </w:tc>
        <w:tc>
          <w:tcPr>
            <w:tcW w:w="220" w:type="dxa"/>
            <w:vAlign w:val="bottom"/>
          </w:tcPr>
          <w:p>
            <w:pPr>
              <w:spacing w:after="0"/>
              <w:rPr>
                <w:sz w:val="14"/>
                <w:szCs w:val="14"/>
                <w:color w:val="auto"/>
              </w:rPr>
            </w:pPr>
          </w:p>
        </w:tc>
        <w:tc>
          <w:tcPr>
            <w:tcW w:w="2760" w:type="dxa"/>
            <w:vAlign w:val="bottom"/>
          </w:tcPr>
          <w:p>
            <w:pPr>
              <w:jc w:val="right"/>
              <w:ind w:right="105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0" w:type="dxa"/>
            <w:vAlign w:val="bottom"/>
          </w:tcPr>
          <w:p>
            <w:pPr>
              <w:spacing w:after="0"/>
              <w:rPr>
                <w:sz w:val="1"/>
                <w:szCs w:val="1"/>
                <w:color w:val="auto"/>
              </w:rPr>
            </w:pPr>
          </w:p>
        </w:tc>
      </w:tr>
      <w:tr>
        <w:trPr>
          <w:trHeight w:val="16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December 29, 2024</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759,721</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14,207</w:t>
            </w:r>
          </w:p>
        </w:tc>
        <w:tc>
          <w:tcPr>
            <w:tcW w:w="0" w:type="dxa"/>
            <w:vAlign w:val="bottom"/>
          </w:tcPr>
          <w:p>
            <w:pPr>
              <w:spacing w:after="0"/>
              <w:rPr>
                <w:sz w:val="1"/>
                <w:szCs w:val="1"/>
                <w:color w:val="auto"/>
              </w:rPr>
            </w:pPr>
          </w:p>
        </w:tc>
      </w:tr>
      <w:tr>
        <w:trPr>
          <w:trHeight w:val="17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2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1,572,044</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(309,209)</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(11,639)</w:t>
            </w:r>
          </w:p>
        </w:tc>
        <w:tc>
          <w:tcPr>
            <w:tcW w:w="260" w:type="dxa"/>
            <w:vAlign w:val="bottom"/>
            <w:tcBorders>
              <w:bottom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December 28, 2025</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2,010,917</w:t>
            </w:r>
          </w:p>
        </w:tc>
        <w:tc>
          <w:tcPr>
            <w:tcW w:w="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the 1,572,044 RSUs granted in Fiscal 2025, 597,737 will vest ratably over a period of three years from the grant date, 65,364 will vest one year from the grant date, and the remaining 908,943 will vest four years from the grant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restricted stock units that vested in Fiscal 2025 and Fiscal 2024 was $5.8 million and $4.7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net of amounts capitalized, was $10.8 million, $8.5 million and $7.6 million during Fiscal 2025, Fiscal 2024 and Fiscal 2023, respectively. Capitalized stock-based compensation included in property, fixtures and equipment totaled $0.2 million during Fiscal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related income tax benefit for stock-based compensation expense was $0.3 million, $0.8 million and $0.6 million for Fiscal 2025, Fiscal 2024 and Fiscal 2023, respectively.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received from stock options exercised was $1.2 million, $6.4 million and $5.8 million for Fiscal 2025, Fiscal 2024 and Fiscal 2023, respectively. The tax benefit realized from stock option exercises and vesting of restricted stock units was $1.5 million, $2.3 million and $1.6 million in Fiscal 2025, Fiscal 2024 and Fiscal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Unrecognized Stock-Based Compensation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represents unrecognized stock-based compensation expense and the remaining weighted average vesting period as of December 28,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UNRECOGNIZED STOCK-BASED COMPENSATION</w:t>
            </w:r>
          </w:p>
        </w:tc>
        <w:tc>
          <w:tcPr>
            <w:tcW w:w="4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WEIGHTED AVERAGE</w:t>
            </w:r>
          </w:p>
        </w:tc>
      </w:tr>
      <w:tr>
        <w:trPr>
          <w:trHeight w:val="138"/>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EXPENSE</w:t>
            </w:r>
          </w:p>
        </w:tc>
        <w:tc>
          <w:tcPr>
            <w:tcW w:w="4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VESTING PERIOD</w:t>
            </w:r>
          </w:p>
        </w:tc>
      </w:tr>
      <w:tr>
        <w:trPr>
          <w:trHeight w:val="170"/>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41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(in years)</w:t>
            </w:r>
          </w:p>
        </w:tc>
      </w:tr>
      <w:tr>
        <w:trPr>
          <w:trHeight w:val="16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3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4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6"/>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3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25,882</w:t>
            </w:r>
          </w:p>
        </w:tc>
        <w:tc>
          <w:tcPr>
            <w:tcW w:w="80" w:type="dxa"/>
            <w:vAlign w:val="bottom"/>
          </w:tcPr>
          <w:p>
            <w:pPr>
              <w:spacing w:after="0"/>
              <w:rPr>
                <w:sz w:val="15"/>
                <w:szCs w:val="15"/>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bl>
    <w:p>
      <w:pPr>
        <w:spacing w:after="0" w:line="3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Commitments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enter into various purchase obligations in the ordinary course of business, generally of a short-term nature. These purchase obligations include commitments for inventory purchases, marketing-related contracts, corporate sponsorships,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software/license commitments and service contracts. We also enter into long-term, exclusive contracts with vendors to supply us with certain goods and services, however, they generally do not include firm minimum purchase commitments.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Unconditional Purchase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entered into certain off–balance sheet commitments that require the future purchase of goods or services</w:t>
      </w:r>
    </w:p>
    <w:p>
      <w:pPr>
        <w:spacing w:after="0" w:line="2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4"/>
          <w:szCs w:val="14"/>
          <w:color w:val="auto"/>
        </w:rPr>
        <w:t>(“unconditional purchase obligations”). Future payments of noncancellable unconditional purchase obligations with a remaining term in excess of one year were $14.4 million and $11.7 million as of December 28, 2025 and December 29, 2024, respectively. The majority of these purchase obligations are due within two years, however commitments with various vendors extend through 2029. The Company’s unconditional purchase obligations primarily consist of payments for subscriptions, technology, restaurant level services, and marketing-related platforms.</w:t>
      </w:r>
    </w:p>
    <w:p>
      <w:pPr>
        <w:spacing w:after="0" w:line="16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July 2022, Management entered into an agreement with a vendor to purchase product. The agreement will remain in effect through the later of (i) the purchase of 585,940 gallons of product or (ii) 5 years from the effective date of the agreement. The remaining minimum purchase commitment as of December 28, 2025 was approximately $3.0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claims and liabilities that arise in the ordinary course of business. The amount of the ultimate liability with respect to these matters was not material as of December 28, 2025. In the event any litigation losses become probable and estimable, the Company will recognize any anticipated losses.</w:t>
      </w:r>
    </w:p>
    <w:p>
      <w:pPr>
        <w:spacing w:after="0" w:line="2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tab/>
        <w:t>Segment Information</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to evaluate performance and make key operating decisions, such as investments in our long-term growth strategy. This measure is also used to monitor budget against actual results.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Segment accounting policies are consistent with those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Revenue is derived from sales of food and beverage, net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 as total capital expenditures.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consolidated net income for the segment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171"/>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1,222,501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1,015,910</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891,551</w:t>
            </w:r>
          </w:p>
        </w:tc>
      </w:tr>
      <w:tr>
        <w:trPr>
          <w:trHeight w:val="157"/>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5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4"/>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Food and beverage costs</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280,098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223,097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197,374</w:t>
            </w:r>
          </w:p>
        </w:tc>
      </w:tr>
      <w:tr>
        <w:trPr>
          <w:trHeight w:val="178"/>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Labor and other related expenses</w:t>
            </w: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335,038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294,010</w:t>
            </w:r>
          </w:p>
        </w:tc>
      </w:tr>
      <w:tr>
        <w:trPr>
          <w:trHeight w:val="183"/>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restaurant operating expenses</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151,968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134,477</w:t>
            </w:r>
          </w:p>
        </w:tc>
      </w:tr>
      <w:tr>
        <w:trPr>
          <w:trHeight w:val="178"/>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Occupancy expenses</w:t>
            </w: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68,400</w:t>
            </w:r>
          </w:p>
        </w:tc>
      </w:tr>
      <w:tr>
        <w:trPr>
          <w:trHeight w:val="183"/>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Pre-opening expenses</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w:t>
            </w:r>
          </w:p>
        </w:tc>
      </w:tr>
      <w:tr>
        <w:trPr>
          <w:trHeight w:val="17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w:t>
            </w:r>
          </w:p>
        </w:tc>
      </w:tr>
      <w:tr>
        <w:trPr>
          <w:trHeight w:val="183"/>
        </w:trPr>
        <w:tc>
          <w:tcPr>
            <w:tcW w:w="3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General and administrative expenses</w:t>
            </w:r>
            <w:r>
              <w:rPr>
                <w:rFonts w:ascii="Times New Roman" w:cs="Times New Roman" w:eastAsia="Times New Roman" w:hAnsi="Times New Roman"/>
                <w:sz w:val="17"/>
                <w:szCs w:val="17"/>
                <w:color w:val="auto"/>
                <w:vertAlign w:val="superscript"/>
              </w:rPr>
              <w:t>(1)</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118,190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104,745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95,517</w:t>
            </w:r>
          </w:p>
        </w:tc>
      </w:tr>
      <w:tr>
        <w:trPr>
          <w:trHeight w:val="17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75,011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57,715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41,223</w:t>
            </w:r>
          </w:p>
        </w:tc>
      </w:tr>
      <w:tr>
        <w:trPr>
          <w:trHeight w:val="183"/>
        </w:trPr>
        <w:tc>
          <w:tcPr>
            <w:tcW w:w="38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7"/>
                <w:szCs w:val="17"/>
                <w:color w:val="auto"/>
                <w:vertAlign w:val="superscript"/>
              </w:rPr>
              <w:t>(2)</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w:t>
            </w:r>
          </w:p>
        </w:tc>
      </w:tr>
      <w:tr>
        <w:trPr>
          <w:trHeight w:val="17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8,063</w:t>
            </w:r>
          </w:p>
        </w:tc>
      </w:tr>
      <w:tr>
        <w:trPr>
          <w:trHeight w:val="18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w:t>
            </w:r>
          </w:p>
        </w:tc>
      </w:tr>
      <w:tr>
        <w:trPr>
          <w:trHeight w:val="17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5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10,690</w:t>
            </w:r>
          </w:p>
        </w:tc>
      </w:tr>
      <w:tr>
        <w:trPr>
          <w:trHeight w:val="18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hanging="175"/>
        <w:spacing w:after="0"/>
        <w:tabs>
          <w:tab w:leader="none" w:pos="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and administrative expenses excludes stock-based compensation, net of amounts capitalized, presented separately.</w:t>
      </w:r>
    </w:p>
    <w:p>
      <w:pPr>
        <w:spacing w:after="0" w:line="13"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income primarily includes transaction expenses, and impairments and loss on disposal of assets.</w:t>
      </w:r>
    </w:p>
    <w:p>
      <w:pPr>
        <w:spacing w:after="0" w:line="200" w:lineRule="exact"/>
        <w:rPr>
          <w:sz w:val="20"/>
          <w:szCs w:val="20"/>
          <w:color w:val="auto"/>
        </w:rPr>
      </w:pPr>
    </w:p>
    <w:p>
      <w:pPr>
        <w:spacing w:after="0" w:line="3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20.</w:t>
        <w:tab/>
        <w:t>Net Income Per Common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computations of basic and diluted net income per common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7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Numerator:</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8"/>
        </w:trPr>
        <w:tc>
          <w:tcPr>
            <w:tcW w:w="62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19,432</w:t>
            </w:r>
          </w:p>
        </w:tc>
        <w:tc>
          <w:tcPr>
            <w:tcW w:w="10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18,925</w:t>
            </w:r>
          </w:p>
        </w:tc>
        <w:tc>
          <w:tcPr>
            <w:tcW w:w="80" w:type="dxa"/>
            <w:vAlign w:val="bottom"/>
          </w:tcPr>
          <w:p>
            <w:pPr>
              <w:spacing w:after="0"/>
              <w:rPr>
                <w:sz w:val="15"/>
                <w:szCs w:val="15"/>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25,385</w:t>
            </w:r>
          </w:p>
        </w:tc>
      </w:tr>
      <w:tr>
        <w:trPr>
          <w:trHeight w:val="18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Denominator:</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8"/>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60,963,587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60,365,393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59,531,404</w:t>
            </w:r>
          </w:p>
        </w:tc>
      </w:tr>
      <w:tr>
        <w:trPr>
          <w:trHeight w:val="18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62,842,519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62,351,222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61,191,613</w:t>
            </w:r>
          </w:p>
        </w:tc>
      </w:tr>
      <w:tr>
        <w:trPr>
          <w:trHeight w:val="178"/>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basic</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80" w:type="dxa"/>
            <w:vAlign w:val="bottom"/>
          </w:tcPr>
          <w:p>
            <w:pPr>
              <w:spacing w:after="0"/>
              <w:rPr>
                <w:sz w:val="15"/>
                <w:szCs w:val="15"/>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r>
      <w:tr>
        <w:trPr>
          <w:trHeight w:val="18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diluted</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w:t>
            </w:r>
          </w:p>
        </w:tc>
      </w:tr>
      <w:tr>
        <w:trPr>
          <w:trHeight w:val="178"/>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 outstanding not included in diluted net income per common share as their effect is anti-dilutive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13,656</w:t>
            </w:r>
          </w:p>
        </w:tc>
      </w:tr>
      <w:tr>
        <w:trPr>
          <w:trHeight w:val="134"/>
        </w:trPr>
        <w:tc>
          <w:tcPr>
            <w:tcW w:w="62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Restricted stock units outstanding not included in diluted net income per common share as their effect is anti-</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7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dilutive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Diluted net income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21.</w:t>
        <w:tab/>
        <w:t>Condensed Financial Information of Registrant (Parent Company Only)</w:t>
      </w:r>
    </w:p>
    <w:p>
      <w:pPr>
        <w:spacing w:after="0" w:line="25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FIRST WATCH RESTAURANT GROUP, INC.</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(PARENT COMPANY ONLY)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440" w:type="dxa"/>
            <w:vAlign w:val="bottom"/>
          </w:tcPr>
          <w:p>
            <w:pPr>
              <w:spacing w:after="0"/>
              <w:rPr>
                <w:sz w:val="16"/>
                <w:szCs w:val="16"/>
                <w:color w:val="auto"/>
              </w:rPr>
            </w:pPr>
          </w:p>
        </w:tc>
        <w:tc>
          <w:tcPr>
            <w:tcW w:w="1860" w:type="dxa"/>
            <w:vAlign w:val="bottom"/>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161"/>
        </w:trPr>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r>
      <w:tr>
        <w:trPr>
          <w:trHeight w:val="170"/>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Investment in subsidiaries</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626,279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595,389</w:t>
            </w: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73"/>
        </w:trPr>
        <w:tc>
          <w:tcPr>
            <w:tcW w:w="220" w:type="dxa"/>
            <w:vAlign w:val="bottom"/>
            <w:shd w:val="clear" w:color="auto" w:fill="CCEEFF"/>
          </w:tcPr>
          <w:p>
            <w:pPr>
              <w:spacing w:after="0"/>
              <w:rPr>
                <w:sz w:val="15"/>
                <w:szCs w:val="15"/>
                <w:color w:val="auto"/>
              </w:rPr>
            </w:pPr>
          </w:p>
        </w:tc>
        <w:tc>
          <w:tcPr>
            <w:tcW w:w="6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79"/>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2"/>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62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Common stock; $0.01 par value; 300,000,000 shares authorized; 61,131,978 and 60,700,090 shares issued and</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5"/>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outstanding at December 28, 2025 and December 29, 2024, respectively</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607</w:t>
            </w:r>
          </w:p>
        </w:tc>
      </w:tr>
      <w:tr>
        <w:trPr>
          <w:trHeight w:val="182"/>
        </w:trPr>
        <w:tc>
          <w:tcPr>
            <w:tcW w:w="6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661,153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649,045</w:t>
            </w:r>
          </w:p>
        </w:tc>
      </w:tr>
      <w:tr>
        <w:trPr>
          <w:trHeight w:val="178"/>
        </w:trPr>
        <w:tc>
          <w:tcPr>
            <w:tcW w:w="6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(53,822)</w:t>
            </w:r>
          </w:p>
        </w:tc>
      </w:tr>
      <w:tr>
        <w:trPr>
          <w:trHeight w:val="183"/>
        </w:trPr>
        <w:tc>
          <w:tcPr>
            <w:tcW w:w="6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r>
      <w:tr>
        <w:trPr>
          <w:trHeight w:val="160"/>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equity attributable to First Watch Restaurant Group, Inc.</w:t>
            </w:r>
          </w:p>
        </w:tc>
        <w:tc>
          <w:tcPr>
            <w:tcW w:w="260" w:type="dxa"/>
            <w:vAlign w:val="bottom"/>
          </w:tcPr>
          <w:p>
            <w:pPr>
              <w:spacing w:after="0"/>
              <w:rPr>
                <w:sz w:val="13"/>
                <w:szCs w:val="13"/>
                <w:color w:val="auto"/>
              </w:rPr>
            </w:pPr>
          </w:p>
        </w:tc>
        <w:tc>
          <w:tcPr>
            <w:tcW w:w="126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626,279</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595,389</w:t>
            </w:r>
          </w:p>
        </w:tc>
      </w:tr>
      <w:tr>
        <w:trPr>
          <w:trHeight w:val="20"/>
        </w:trPr>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77"/>
        </w:trPr>
        <w:tc>
          <w:tcPr>
            <w:tcW w:w="220" w:type="dxa"/>
            <w:vAlign w:val="bottom"/>
          </w:tcPr>
          <w:p>
            <w:pPr>
              <w:spacing w:after="0"/>
              <w:rPr>
                <w:sz w:val="24"/>
                <w:szCs w:val="24"/>
                <w:color w:val="auto"/>
              </w:rPr>
            </w:pPr>
          </w:p>
        </w:tc>
        <w:tc>
          <w:tcPr>
            <w:tcW w:w="7620" w:type="dxa"/>
            <w:vAlign w:val="bottom"/>
            <w:gridSpan w:val="4"/>
          </w:tcPr>
          <w:p>
            <w:pPr>
              <w:jc w:val="center"/>
              <w:ind w:left="3051"/>
              <w:spacing w:after="0"/>
              <w:rPr>
                <w:sz w:val="20"/>
                <w:szCs w:val="20"/>
                <w:color w:val="auto"/>
              </w:rPr>
            </w:pPr>
            <w:r>
              <w:rPr>
                <w:rFonts w:ascii="Times New Roman" w:cs="Times New Roman" w:eastAsia="Times New Roman" w:hAnsi="Times New Roman"/>
                <w:sz w:val="15"/>
                <w:szCs w:val="15"/>
                <w:b w:val="1"/>
                <w:bCs w:val="1"/>
                <w:color w:val="auto"/>
                <w:w w:val="97"/>
              </w:rPr>
              <w:t>FIRST WATCH RESTAURANT GROUP, INC.</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9"/>
        </w:trPr>
        <w:tc>
          <w:tcPr>
            <w:tcW w:w="220" w:type="dxa"/>
            <w:vAlign w:val="bottom"/>
          </w:tcPr>
          <w:p>
            <w:pPr>
              <w:spacing w:after="0"/>
              <w:rPr>
                <w:sz w:val="15"/>
                <w:szCs w:val="15"/>
                <w:color w:val="auto"/>
              </w:rPr>
            </w:pPr>
          </w:p>
        </w:tc>
        <w:tc>
          <w:tcPr>
            <w:tcW w:w="8660" w:type="dxa"/>
            <w:vAlign w:val="bottom"/>
            <w:gridSpan w:val="7"/>
          </w:tcPr>
          <w:p>
            <w:pPr>
              <w:jc w:val="center"/>
              <w:ind w:left="1991"/>
              <w:spacing w:after="0"/>
              <w:rPr>
                <w:sz w:val="20"/>
                <w:szCs w:val="20"/>
                <w:color w:val="auto"/>
              </w:rPr>
            </w:pPr>
            <w:r>
              <w:rPr>
                <w:rFonts w:ascii="Times New Roman" w:cs="Times New Roman" w:eastAsia="Times New Roman" w:hAnsi="Times New Roman"/>
                <w:sz w:val="15"/>
                <w:szCs w:val="15"/>
                <w:b w:val="1"/>
                <w:bCs w:val="1"/>
                <w:color w:val="auto"/>
                <w:w w:val="98"/>
              </w:rPr>
              <w:t>CONSOLIDATED STATEMENTS OF OPERATIONS AND COMPREHENSIVE INCOME</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6"/>
        </w:trPr>
        <w:tc>
          <w:tcPr>
            <w:tcW w:w="220" w:type="dxa"/>
            <w:vAlign w:val="bottom"/>
          </w:tcPr>
          <w:p>
            <w:pPr>
              <w:spacing w:after="0"/>
              <w:rPr>
                <w:sz w:val="16"/>
                <w:szCs w:val="16"/>
                <w:color w:val="auto"/>
              </w:rPr>
            </w:pPr>
          </w:p>
        </w:tc>
        <w:tc>
          <w:tcPr>
            <w:tcW w:w="7620" w:type="dxa"/>
            <w:vAlign w:val="bottom"/>
            <w:gridSpan w:val="4"/>
          </w:tcPr>
          <w:p>
            <w:pPr>
              <w:jc w:val="center"/>
              <w:ind w:left="3051"/>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93"/>
        </w:trPr>
        <w:tc>
          <w:tcPr>
            <w:tcW w:w="2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r>
      <w:tr>
        <w:trPr>
          <w:trHeight w:val="160"/>
        </w:trPr>
        <w:tc>
          <w:tcPr>
            <w:tcW w:w="220" w:type="dxa"/>
            <w:vAlign w:val="bottom"/>
          </w:tcPr>
          <w:p>
            <w:pPr>
              <w:spacing w:after="0"/>
              <w:rPr>
                <w:sz w:val="13"/>
                <w:szCs w:val="13"/>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 in net income of subsidiaries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r>
      <w:tr>
        <w:trPr>
          <w:trHeight w:val="178"/>
        </w:trPr>
        <w:tc>
          <w:tcPr>
            <w:tcW w:w="2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and comprehensive income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18,778</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19,151</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24,718</w:t>
            </w:r>
          </w:p>
        </w:tc>
        <w:tc>
          <w:tcPr>
            <w:tcW w:w="2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per common share attributable to First Watch Restaurant Group, Inc. - basic</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220" w:type="dxa"/>
            <w:vAlign w:val="bottom"/>
          </w:tcPr>
          <w:p>
            <w:pPr>
              <w:spacing w:after="0"/>
              <w:rPr>
                <w:sz w:val="15"/>
                <w:szCs w:val="15"/>
                <w:color w:val="auto"/>
              </w:rPr>
            </w:pPr>
          </w:p>
        </w:tc>
      </w:tr>
      <w:tr>
        <w:trPr>
          <w:trHeight w:val="178"/>
        </w:trPr>
        <w:tc>
          <w:tcPr>
            <w:tcW w:w="2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per common share attributable to First Watch Restaurant Group, Inc. - diluted</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8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w:t>
            </w:r>
          </w:p>
        </w:tc>
        <w:tc>
          <w:tcPr>
            <w:tcW w:w="22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common shares outstanding - basic</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60,963,587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60,365,393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59,531,404</w:t>
            </w:r>
          </w:p>
        </w:tc>
        <w:tc>
          <w:tcPr>
            <w:tcW w:w="220" w:type="dxa"/>
            <w:vAlign w:val="bottom"/>
          </w:tcPr>
          <w:p>
            <w:pPr>
              <w:spacing w:after="0"/>
              <w:rPr>
                <w:sz w:val="15"/>
                <w:szCs w:val="15"/>
                <w:color w:val="auto"/>
              </w:rPr>
            </w:pPr>
          </w:p>
        </w:tc>
      </w:tr>
      <w:tr>
        <w:trPr>
          <w:trHeight w:val="176"/>
        </w:trPr>
        <w:tc>
          <w:tcPr>
            <w:tcW w:w="2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number of common shares outstanding - diluted</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62,842,519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62,351,222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61,191,613</w:t>
            </w:r>
          </w:p>
        </w:tc>
        <w:tc>
          <w:tcPr>
            <w:tcW w:w="220" w:type="dxa"/>
            <w:vAlign w:val="bottom"/>
          </w:tcPr>
          <w:p>
            <w:pPr>
              <w:spacing w:after="0"/>
              <w:rPr>
                <w:sz w:val="15"/>
                <w:szCs w:val="15"/>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cash flows have not been presented as First Watch Restaurant Group, Inc. did not have any cash as of, or for Fiscal 2025, Fiscal 2024 and Fiscal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is a holding company without any operations of its own (the “Parent Company”). Pursuant to the terms of the Credit Agreement discussed in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the Company and certain subsidiaries of the Company have restrictions on their ability to, among other things, (i) incur additional indebtedness, pay dividends or make certain intercompany loans and advances, and (ii) exceed a maximum total rent adjusted net leverage ratio or fall below a minimum fixed charge coverage ratio.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28, 2025 and December 29, 2024.</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GAAP have been condensed or omitted. The accompanying financial information should be read in conjunction with the accompanying Company’s consolidated financial statements and related notes thereto.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5400"/>
        <w:spacing w:after="0" w:line="416"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Annual Report on Form 10-K, is recorded, processed, summarized and reported within the time periods specified in the SEC’s rules and forms.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Disclosure controls and procedures are also designed to ensure that information allowing for timely disclosure decisions is accumulated and communicated to Management, including the Chief Executive Officer and Chief Financial Officer, as appropriate.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including our Chief Executive Officer and Chief Financial Officer, has evaluated the effectiveness of our disclosure controls and procedures as of the end of the period covered by this Annual Report on Form 10-K. Based on that evaluation, our Chief Executive Officer and Chief Financial Officer concluded that, as of December 28, 2025, our disclosure controls and procedures were effective.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28, 2025 using the criteria described in “Internal Control-Integrated Framework” (2013) issued by the Committee of Sponsoring Organizations of the Treadway Commission. Based on this evaluation, Management concluded the Company’s internal control over financial reporting was effective as of December 28, 2025.</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28, 2025 has been audited by PricewaterhouseCoopers LLP, an independent registered public accounting firm, as stated in their report included 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of Previously Identified Material Weaknesses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previously disclosed in our Annual Report on Form 10-K for the year ended December 29, 2024, and in subsequent quarterly reports, Management concluded that the following material weaknesses existed in our internal control over financial reporting:</w:t>
      </w:r>
    </w:p>
    <w:p>
      <w:pPr>
        <w:spacing w:after="0" w:line="39" w:lineRule="exact"/>
        <w:rPr>
          <w:sz w:val="20"/>
          <w:szCs w:val="20"/>
          <w:color w:val="auto"/>
        </w:rPr>
      </w:pPr>
    </w:p>
    <w:p>
      <w:pPr>
        <w:ind w:left="520" w:hanging="255"/>
        <w:spacing w:after="0" w:line="264" w:lineRule="auto"/>
        <w:rPr>
          <w:sz w:val="20"/>
          <w:szCs w:val="20"/>
          <w:color w:val="auto"/>
        </w:rPr>
      </w:pPr>
      <w:r>
        <w:rPr>
          <w:rFonts w:ascii="Times New Roman" w:cs="Times New Roman" w:eastAsia="Times New Roman" w:hAnsi="Times New Roman"/>
          <w:sz w:val="14"/>
          <w:szCs w:val="14"/>
          <w:color w:val="auto"/>
        </w:rPr>
        <w:t>– 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material weaknesses contributed to the following additional material weaknesses:</w:t>
      </w:r>
    </w:p>
    <w:p>
      <w:pPr>
        <w:spacing w:after="0" w:line="94" w:lineRule="exact"/>
        <w:rPr>
          <w:sz w:val="20"/>
          <w:szCs w:val="20"/>
          <w:color w:val="auto"/>
        </w:rPr>
      </w:pPr>
    </w:p>
    <w:p>
      <w:pPr>
        <w:ind w:left="520" w:hanging="255"/>
        <w:spacing w:after="0" w:line="287" w:lineRule="auto"/>
        <w:rPr>
          <w:sz w:val="20"/>
          <w:szCs w:val="20"/>
          <w:color w:val="auto"/>
        </w:rPr>
      </w:pPr>
      <w:r>
        <w:rPr>
          <w:rFonts w:ascii="Times New Roman" w:cs="Times New Roman" w:eastAsia="Times New Roman" w:hAnsi="Times New Roman"/>
          <w:sz w:val="14"/>
          <w:szCs w:val="14"/>
          <w:color w:val="auto"/>
        </w:rPr>
        <w:t>– 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Management, with the participation of the Audit Committee and the Board of Directors, began the implementation of remediation measures in 2021 and continued to develop remediation plans and implement additional measures throughout 2025, with all measures being completed as of December 28, 2025.</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Management completed its operating effectiveness testing of the newly designed and enhanced control activities that were implemented as part of the remediation plan and determined that, as of December 28, 2025, these control activities 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appropriately designed and have operated effectively for a sufficient period of time to conclude that the previously identified material weaknesses have been remediated as of December 28, 2025.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quarter ended December 28, 2025 that have materially affected, or are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Adoption or Termination of Trading Arrangements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28, 2025, none of our directors or officers adopted or terminated a “Rule 10b5-1 trading arrangement” or “non-Rule 10b5-1 trading arrangement,” as those terms are defined in Regulation S-K, Item 408, except as described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&amp; Title</w:t>
            </w: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Date Adopted</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Character of Trading</w:t>
            </w: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Aggregate Number of Shares of Common Stock</w:t>
            </w:r>
          </w:p>
        </w:tc>
        <w:tc>
          <w:tcPr>
            <w:tcW w:w="176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Duration (2)</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Arrangement (1)</w:t>
            </w: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 be Sold Pursuant to Trading Arrangement</w:t>
            </w: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Matthew Eisenacher, Chief Brand Officer</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ind w:right="314"/>
              <w:spacing w:after="0" w:line="133" w:lineRule="exact"/>
              <w:rPr>
                <w:sz w:val="20"/>
                <w:szCs w:val="20"/>
                <w:color w:val="auto"/>
              </w:rPr>
            </w:pPr>
            <w:r>
              <w:rPr>
                <w:rFonts w:ascii="Times New Roman" w:cs="Times New Roman" w:eastAsia="Times New Roman" w:hAnsi="Times New Roman"/>
                <w:sz w:val="14"/>
                <w:szCs w:val="14"/>
                <w:color w:val="auto"/>
              </w:rPr>
              <w:t>12/11/2025</w:t>
            </w: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Rule 10b5-1 Trading</w:t>
            </w:r>
          </w:p>
        </w:tc>
        <w:tc>
          <w:tcPr>
            <w:tcW w:w="8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Up to 62,986 shares to be sold (3)</w:t>
            </w:r>
          </w:p>
        </w:tc>
        <w:tc>
          <w:tcPr>
            <w:tcW w:w="14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right"/>
              <w:ind w:right="494"/>
              <w:spacing w:after="0" w:line="133" w:lineRule="exact"/>
              <w:rPr>
                <w:sz w:val="20"/>
                <w:szCs w:val="20"/>
                <w:color w:val="auto"/>
              </w:rPr>
            </w:pPr>
            <w:r>
              <w:rPr>
                <w:rFonts w:ascii="Times New Roman" w:cs="Times New Roman" w:eastAsia="Times New Roman" w:hAnsi="Times New Roman"/>
                <w:sz w:val="14"/>
                <w:szCs w:val="14"/>
                <w:color w:val="auto"/>
              </w:rPr>
              <w:t>12/11/2026</w:t>
            </w:r>
          </w:p>
        </w:tc>
        <w:tc>
          <w:tcPr>
            <w:tcW w:w="0" w:type="dxa"/>
            <w:vAlign w:val="bottom"/>
          </w:tcPr>
          <w:p>
            <w:pPr>
              <w:spacing w:after="0"/>
              <w:rPr>
                <w:sz w:val="1"/>
                <w:szCs w:val="1"/>
                <w:color w:val="auto"/>
              </w:rPr>
            </w:pPr>
          </w:p>
        </w:tc>
      </w:tr>
      <w:tr>
        <w:trPr>
          <w:trHeight w:val="191"/>
        </w:trPr>
        <w:tc>
          <w:tcPr>
            <w:tcW w:w="3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Arrangement</w:t>
            </w:r>
          </w:p>
        </w:tc>
        <w:tc>
          <w:tcPr>
            <w:tcW w:w="2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Jay Wolszczak, Chief Legal Officer, General Counsel &amp;</w:t>
            </w:r>
          </w:p>
        </w:tc>
        <w:tc>
          <w:tcPr>
            <w:tcW w:w="1400" w:type="dxa"/>
            <w:vAlign w:val="bottom"/>
          </w:tcPr>
          <w:p>
            <w:pPr>
              <w:jc w:val="right"/>
              <w:ind w:right="354"/>
              <w:spacing w:after="0" w:line="138" w:lineRule="exact"/>
              <w:rPr>
                <w:sz w:val="20"/>
                <w:szCs w:val="20"/>
                <w:color w:val="auto"/>
              </w:rPr>
            </w:pPr>
            <w:r>
              <w:rPr>
                <w:rFonts w:ascii="Times New Roman" w:cs="Times New Roman" w:eastAsia="Times New Roman" w:hAnsi="Times New Roman"/>
                <w:sz w:val="14"/>
                <w:szCs w:val="14"/>
                <w:color w:val="auto"/>
              </w:rPr>
              <w:t>12/4/2025</w:t>
            </w:r>
          </w:p>
        </w:tc>
        <w:tc>
          <w:tcPr>
            <w:tcW w:w="80" w:type="dxa"/>
            <w:vAlign w:val="bottom"/>
          </w:tcPr>
          <w:p>
            <w:pPr>
              <w:spacing w:after="0"/>
              <w:rPr>
                <w:sz w:val="11"/>
                <w:szCs w:val="11"/>
                <w:color w:val="auto"/>
              </w:rPr>
            </w:pPr>
          </w:p>
        </w:tc>
        <w:tc>
          <w:tcPr>
            <w:tcW w:w="16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Rule 10b5-1 Trading</w:t>
            </w:r>
          </w:p>
        </w:tc>
        <w:tc>
          <w:tcPr>
            <w:tcW w:w="25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Up to 70,000 shares to be sold (4)</w:t>
            </w:r>
          </w:p>
        </w:tc>
        <w:tc>
          <w:tcPr>
            <w:tcW w:w="1760" w:type="dxa"/>
            <w:vAlign w:val="bottom"/>
          </w:tcPr>
          <w:p>
            <w:pPr>
              <w:jc w:val="right"/>
              <w:ind w:right="534"/>
              <w:spacing w:after="0" w:line="138" w:lineRule="exact"/>
              <w:rPr>
                <w:sz w:val="20"/>
                <w:szCs w:val="20"/>
                <w:color w:val="auto"/>
              </w:rPr>
            </w:pPr>
            <w:r>
              <w:rPr>
                <w:rFonts w:ascii="Times New Roman" w:cs="Times New Roman" w:eastAsia="Times New Roman" w:hAnsi="Times New Roman"/>
                <w:sz w:val="14"/>
                <w:szCs w:val="14"/>
                <w:color w:val="auto"/>
              </w:rPr>
              <w:t>12/4/2026</w:t>
            </w:r>
          </w:p>
        </w:tc>
        <w:tc>
          <w:tcPr>
            <w:tcW w:w="0" w:type="dxa"/>
            <w:vAlign w:val="bottom"/>
          </w:tcPr>
          <w:p>
            <w:pPr>
              <w:spacing w:after="0"/>
              <w:rPr>
                <w:sz w:val="1"/>
                <w:szCs w:val="1"/>
                <w:color w:val="auto"/>
              </w:rPr>
            </w:pPr>
          </w:p>
        </w:tc>
      </w:tr>
      <w:tr>
        <w:trPr>
          <w:trHeight w:val="18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Secretary</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Arrangement</w:t>
            </w: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3" w:lineRule="exact"/>
        <w:rPr>
          <w:sz w:val="20"/>
          <w:szCs w:val="20"/>
          <w:color w:val="auto"/>
        </w:rPr>
      </w:pPr>
    </w:p>
    <w:p>
      <w:pPr>
        <w:ind w:left="200" w:hanging="195"/>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trading arrangement marked as a “Rule 10b5-1 Trading Arrangement” is intended to satisfy the affirmative defense of Rule 10b5-1(c), as amended (the “Rule”).</w:t>
      </w:r>
    </w:p>
    <w:p>
      <w:pPr>
        <w:spacing w:after="0" w:line="8" w:lineRule="exact"/>
        <w:rPr>
          <w:rFonts w:ascii="Times New Roman" w:cs="Times New Roman" w:eastAsia="Times New Roman" w:hAnsi="Times New Roman"/>
          <w:sz w:val="14"/>
          <w:szCs w:val="14"/>
          <w:color w:val="auto"/>
        </w:rPr>
      </w:pPr>
    </w:p>
    <w:p>
      <w:pPr>
        <w:jc w:val="both"/>
        <w:ind w:firstLine="5"/>
        <w:spacing w:after="0" w:line="253" w:lineRule="auto"/>
        <w:tabs>
          <w:tab w:leader="none" w:pos="20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trading arrangement permits transactions through and including the earliest to occur of (i) the completion of all purchases or sales or the expiration of all of the orders relating to such trades, or (ii) the date listed in the table. Trading arrangements marked as a “Rule 10b5-1 Trading Arrangement” only permit transactions upon the expiration of the applicable mandatory cooling-off period under the Rule.</w:t>
      </w:r>
    </w:p>
    <w:p>
      <w:pPr>
        <w:ind w:left="200" w:hanging="195"/>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Eisenacher’s trading plan provides for the sale of up to 62,986 shares after the applicable mandatory cooling-off period subject to limit prices.</w:t>
      </w:r>
    </w:p>
    <w:p>
      <w:pPr>
        <w:spacing w:after="0" w:line="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Wolszczak’s trading plan provides for the sale of up to 70,000 shares after the applicable mandatory cooling-off period subject to limit prices.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adopted a Code of Ethics and Business Conduct that applies to, among others, our chief executive officer, chief financial officer (who is also our principal accounting officer), and other finance and accounting leaders, which is a “code of ethics” as defined by applicable rules of the SEC. This code is publicly available on our website. The Internet address for our website is www.firstwatch.com, and the Code of Ethics and Business Conduct may be found on our main webpage by clicking first on “Investors” and then on “Corporate Governance” and next on “Code of Ethics and Business Conduct.” If we make any amendments to this code other than technical, administrative or other non-substantive amendments, or grant any waivers, including implicit waivers, from a provision of this code to our chief executive officer, chief financial officer (who is also our principal accounting officer), or other finance and accounting leaders, we will disclose the nature of the amendment or waiver, its effective date and to whom it applies on our website as specified above or in a report on Form 8-K filed with the SEC.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remaining information required by this item is incorporated herein by reference to the sections entitled “Proposal 1: Director Election Proposal,” “Information Regarding the Board of Directors and Corporate Governance” and “Executive Officers” in our definitive Proxy Statement for the Annual Meeting of Stockholders expected to be held on May 20, 2026 (the “Proxy Statement”).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provide disclosure of delinquent Section 16(a) reports, if any, in our Proxy Statement, and such disclosure, if any,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sections entitled “Executive Compensation,” “Director Compensation” and “Information Regarding the Board of Directors and Corporate Governance” in the Proxy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section entitled “Security Ownership of Certain Beneficial Owners and Management” in the Proxy Statement.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sections entitled “Certain Relationships and Related Person Transactions” and “Proposal 1: Director Election Proposal” in the Proxy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sections entitled “Proposal 4: Auditor Ratification Proposal,” “Auditor Fees and Services” and “Policy for Approval of Audit and Permitted Non-Audit Services” in the Proxy Statement.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Documents filed as part of this Annual Report on Form 10-K:</w:t>
      </w:r>
    </w:p>
    <w:p>
      <w:pPr>
        <w:spacing w:after="0" w:line="147" w:lineRule="exact"/>
        <w:rPr>
          <w:sz w:val="20"/>
          <w:szCs w:val="20"/>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Statements</w:t>
      </w:r>
    </w:p>
    <w:p>
      <w:pPr>
        <w:spacing w:after="0" w:line="95"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Consolidated financial statements filed as part of this report are listed under Item 8, “Financial Statements and Supplementary Data.”</w:t>
      </w:r>
    </w:p>
    <w:p>
      <w:pPr>
        <w:spacing w:after="0" w:line="144" w:lineRule="exact"/>
        <w:rPr>
          <w:rFonts w:ascii="Times New Roman" w:cs="Times New Roman" w:eastAsia="Times New Roman" w:hAnsi="Times New Roman"/>
          <w:sz w:val="14"/>
          <w:szCs w:val="14"/>
          <w:b w:val="1"/>
          <w:bCs w:val="1"/>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 Schedules</w:t>
      </w:r>
    </w:p>
    <w:p>
      <w:pPr>
        <w:spacing w:after="0" w:line="95" w:lineRule="exact"/>
        <w:rPr>
          <w:rFonts w:ascii="Times New Roman" w:cs="Times New Roman" w:eastAsia="Times New Roman" w:hAnsi="Times New Roman"/>
          <w:sz w:val="14"/>
          <w:szCs w:val="14"/>
          <w:b w:val="1"/>
          <w:bCs w:val="1"/>
          <w:color w:val="auto"/>
        </w:rPr>
      </w:pPr>
    </w:p>
    <w:p>
      <w:pPr>
        <w:ind w:left="260"/>
        <w:spacing w:after="0" w:line="28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schedules are required because either the required information is not present or is not present in amounts sufficient to require submission of the schedule, or because the information required is included in the consolidated financial statements or notes thereto.</w:t>
      </w:r>
    </w:p>
    <w:p>
      <w:pPr>
        <w:spacing w:after="0" w:line="101" w:lineRule="exact"/>
        <w:rPr>
          <w:rFonts w:ascii="Times New Roman" w:cs="Times New Roman" w:eastAsia="Times New Roman" w:hAnsi="Times New Roman"/>
          <w:sz w:val="14"/>
          <w:szCs w:val="14"/>
          <w:b w:val="1"/>
          <w:bCs w:val="1"/>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vMerge w:val="restart"/>
          </w:tcPr>
          <w:p>
            <w:pPr>
              <w:spacing w:after="0"/>
              <w:rPr>
                <w:sz w:val="10"/>
                <w:szCs w:val="1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FILINGS REFERENCED FOR INCORPORATION BY</w:t>
            </w:r>
          </w:p>
        </w:tc>
        <w:tc>
          <w:tcPr>
            <w:tcW w:w="0" w:type="dxa"/>
            <w:vAlign w:val="bottom"/>
          </w:tcPr>
          <w:p>
            <w:pPr>
              <w:spacing w:after="0"/>
              <w:rPr>
                <w:sz w:val="1"/>
                <w:szCs w:val="1"/>
                <w:color w:val="auto"/>
              </w:rPr>
            </w:pPr>
          </w:p>
        </w:tc>
      </w:tr>
      <w:tr>
        <w:trPr>
          <w:trHeight w:val="154"/>
        </w:trPr>
        <w:tc>
          <w:tcPr>
            <w:tcW w:w="9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gridSpan w:val="6"/>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Amended and Restated Certificate of Incorporation of First Watch Restaurant Group, Inc.</w:t>
              </w:r>
            </w:hyperlink>
          </w:p>
        </w:tc>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6, 2021, Form 8-K, Exhibit 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7"/>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Certificate of Amendment of the Amended and Restated Certificate of Incorporation of First</w:t>
              </w:r>
            </w:hyperlink>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March 11, 2025, Form 10-K, Exhibit 3.2</w:t>
            </w: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80" w:type="dxa"/>
            <w:vAlign w:val="bottom"/>
            <w:tcBorders>
              <w:top w:val="single" w:sz="8" w:color="0000FF"/>
            </w:tcBorders>
            <w:vMerge w:val="restart"/>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Watch Restaurant Group, Inc.</w:t>
              </w:r>
            </w:hyperlink>
          </w:p>
        </w:tc>
        <w:tc>
          <w:tcPr>
            <w:tcW w:w="3540" w:type="dxa"/>
            <w:vAlign w:val="bottom"/>
            <w:tcBorders>
              <w:top w:val="single" w:sz="8" w:color="0000FF"/>
            </w:tcBorders>
            <w:gridSpan w:val="4"/>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4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Borders>
              <w:bottom w:val="single" w:sz="8" w:color="0000FF"/>
            </w:tcBorders>
            <w:vMerge w:val="continue"/>
          </w:tcPr>
          <w:p>
            <w:pPr>
              <w:spacing w:after="0"/>
              <w:rPr>
                <w:sz w:val="2"/>
                <w:szCs w:val="2"/>
                <w:color w:val="auto"/>
              </w:rPr>
            </w:pPr>
          </w:p>
        </w:tc>
        <w:tc>
          <w:tcPr>
            <w:tcW w:w="354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Amended and Restated Bylaws of First Watch Restaurant Group, Inc.</w:t>
              </w:r>
            </w:hyperlink>
          </w:p>
        </w:tc>
        <w:tc>
          <w:tcPr>
            <w:tcW w:w="1460" w:type="dxa"/>
            <w:vAlign w:val="bottom"/>
            <w:gridSpan w:val="4"/>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6, 2021, Form 8-K, Exhibit 3.2</w:t>
            </w:r>
          </w:p>
        </w:tc>
        <w:tc>
          <w:tcPr>
            <w:tcW w:w="0" w:type="dxa"/>
            <w:vAlign w:val="bottom"/>
          </w:tcPr>
          <w:p>
            <w:pPr>
              <w:spacing w:after="0"/>
              <w:rPr>
                <w:sz w:val="1"/>
                <w:szCs w:val="1"/>
                <w:color w:val="auto"/>
              </w:rPr>
            </w:pPr>
          </w:p>
        </w:tc>
      </w:tr>
      <w:tr>
        <w:trPr>
          <w:trHeight w:val="16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gridSpan w:val="7"/>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Certificate of Common Stock</w:t>
              </w:r>
            </w:hyperlink>
          </w:p>
        </w:tc>
        <w:tc>
          <w:tcPr>
            <w:tcW w:w="4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September 7, 2021, Form S-1, Exhibit 4.1</w:t>
            </w:r>
          </w:p>
        </w:tc>
        <w:tc>
          <w:tcPr>
            <w:tcW w:w="0" w:type="dxa"/>
            <w:vAlign w:val="bottom"/>
          </w:tcPr>
          <w:p>
            <w:pPr>
              <w:spacing w:after="0"/>
              <w:rPr>
                <w:sz w:val="1"/>
                <w:szCs w:val="1"/>
                <w:color w:val="auto"/>
              </w:rPr>
            </w:pPr>
          </w:p>
        </w:tc>
      </w:tr>
      <w:tr>
        <w:trPr>
          <w:trHeight w:val="71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0000FF"/>
            </w:tcBorders>
            <w:gridSpan w:val="2"/>
          </w:tcPr>
          <w:p>
            <w:pPr>
              <w:spacing w:after="0"/>
              <w:rPr>
                <w:sz w:val="24"/>
                <w:szCs w:val="24"/>
                <w:color w:val="auto"/>
              </w:rPr>
            </w:pPr>
          </w:p>
        </w:tc>
        <w:tc>
          <w:tcPr>
            <w:tcW w:w="2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3"/>
        </w:trPr>
        <w:tc>
          <w:tcPr>
            <w:tcW w:w="1000" w:type="dxa"/>
            <w:vAlign w:val="bottom"/>
            <w:tcBorders>
              <w:top w:val="single" w:sz="8" w:color="0000FF"/>
              <w:bottom w:val="single" w:sz="8" w:color="0000FF"/>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24"/>
                <w:szCs w:val="24"/>
                <w:color w:val="auto"/>
              </w:rPr>
            </w:pPr>
          </w:p>
        </w:tc>
        <w:tc>
          <w:tcPr>
            <w:tcW w:w="506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Registration Rights Agreement by and among First Watch Restaurant Group, Inc. and the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320" w:type="dxa"/>
            <w:vAlign w:val="bottom"/>
            <w:gridSpan w:val="37"/>
            <w:vMerge w:val="restart"/>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other parties thereto, dated as of October 1, 2021</w:t>
              </w:r>
            </w:hyperlink>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320" w:type="dxa"/>
            <w:vAlign w:val="bottom"/>
            <w:gridSpan w:val="3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4"/>
                <w:szCs w:val="14"/>
                <w:color w:val="auto"/>
              </w:rPr>
            </w:pPr>
          </w:p>
        </w:tc>
        <w:tc>
          <w:tcPr>
            <w:tcW w:w="3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Description of First Watch Restaurant Group, Inc. Securities</w:t>
            </w:r>
          </w:p>
        </w:tc>
        <w:tc>
          <w:tcPr>
            <w:tcW w:w="19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10.1(a)</w:t>
            </w:r>
          </w:p>
        </w:tc>
        <w:tc>
          <w:tcPr>
            <w:tcW w:w="5320" w:type="dxa"/>
            <w:vAlign w:val="bottom"/>
            <w:gridSpan w:val="37"/>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Credit Agreement, dated as of October 6, 2021, by and among FWR Holding Corporation, AI</w:t>
              </w:r>
            </w:hyperlink>
          </w:p>
        </w:tc>
        <w:tc>
          <w:tcPr>
            <w:tcW w:w="0" w:type="dxa"/>
            <w:vAlign w:val="bottom"/>
          </w:tcPr>
          <w:p>
            <w:pPr>
              <w:spacing w:after="0"/>
              <w:rPr>
                <w:sz w:val="1"/>
                <w:szCs w:val="1"/>
                <w:color w:val="auto"/>
              </w:rPr>
            </w:pPr>
          </w:p>
        </w:tc>
      </w:tr>
      <w:tr>
        <w:trPr>
          <w:trHeight w:val="118"/>
        </w:trPr>
        <w:tc>
          <w:tcPr>
            <w:tcW w:w="1020" w:type="dxa"/>
            <w:vAlign w:val="bottom"/>
            <w:gridSpan w:val="2"/>
            <w:vMerge w:val="continue"/>
          </w:tcPr>
          <w:p>
            <w:pPr>
              <w:spacing w:after="0"/>
              <w:rPr>
                <w:sz w:val="10"/>
                <w:szCs w:val="10"/>
                <w:color w:val="auto"/>
              </w:rPr>
            </w:pPr>
          </w:p>
        </w:tc>
        <w:tc>
          <w:tcPr>
            <w:tcW w:w="5300" w:type="dxa"/>
            <w:vAlign w:val="bottom"/>
            <w:tcBorders>
              <w:top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Fresh Parent, Inc., the lenders party thereto, the other parties therein and Bank of America,</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2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N.A., as administrative agent</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10.1(b)</w:t>
            </w:r>
          </w:p>
        </w:tc>
        <w:tc>
          <w:tcPr>
            <w:tcW w:w="486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Amendment No. 1 to Credit Agreement dated as of February 24, 2023, between FWR</w:t>
              </w:r>
            </w:hyperlink>
          </w:p>
        </w:tc>
        <w:tc>
          <w:tcPr>
            <w:tcW w:w="4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20" w:type="dxa"/>
            <w:vAlign w:val="bottom"/>
            <w:gridSpan w:val="2"/>
            <w:vMerge w:val="continue"/>
          </w:tcPr>
          <w:p>
            <w:pPr>
              <w:spacing w:after="0"/>
              <w:rPr>
                <w:sz w:val="10"/>
                <w:szCs w:val="10"/>
                <w:color w:val="auto"/>
              </w:rPr>
            </w:pPr>
          </w:p>
        </w:tc>
        <w:tc>
          <w:tcPr>
            <w:tcW w:w="5320" w:type="dxa"/>
            <w:vAlign w:val="bottom"/>
            <w:gridSpan w:val="37"/>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Holding Corporation as Borrower, the lenders party thereto, the other parties therein and</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Bank of America N.A., as administrative agent</w:t>
              </w:r>
            </w:hyperlink>
          </w:p>
        </w:tc>
        <w:tc>
          <w:tcPr>
            <w:tcW w:w="234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10.1(c)</w:t>
            </w:r>
          </w:p>
        </w:tc>
        <w:tc>
          <w:tcPr>
            <w:tcW w:w="5320" w:type="dxa"/>
            <w:vAlign w:val="bottom"/>
            <w:gridSpan w:val="3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Amendment No. 2 to Credit Agreement dated as of January 5, 2024, by and among FWR</w:t>
              </w:r>
            </w:hyperlink>
          </w:p>
        </w:tc>
        <w:tc>
          <w:tcPr>
            <w:tcW w:w="0" w:type="dxa"/>
            <w:vAlign w:val="bottom"/>
          </w:tcPr>
          <w:p>
            <w:pPr>
              <w:spacing w:after="0"/>
              <w:rPr>
                <w:sz w:val="1"/>
                <w:szCs w:val="1"/>
                <w:color w:val="auto"/>
              </w:rPr>
            </w:pPr>
          </w:p>
        </w:tc>
      </w:tr>
      <w:tr>
        <w:trPr>
          <w:trHeight w:val="118"/>
        </w:trPr>
        <w:tc>
          <w:tcPr>
            <w:tcW w:w="1020" w:type="dxa"/>
            <w:vAlign w:val="bottom"/>
            <w:gridSpan w:val="2"/>
            <w:vMerge w:val="continue"/>
          </w:tcPr>
          <w:p>
            <w:pPr>
              <w:spacing w:after="0"/>
              <w:rPr>
                <w:sz w:val="10"/>
                <w:szCs w:val="10"/>
                <w:color w:val="auto"/>
              </w:rPr>
            </w:pPr>
          </w:p>
        </w:tc>
        <w:tc>
          <w:tcPr>
            <w:tcW w:w="50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Holding Corporation as Borrower, the lenders party thereto, the other parties thereto and</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Bank of America N.A., as administrative agent</w:t>
              </w:r>
            </w:hyperlink>
          </w:p>
        </w:tc>
        <w:tc>
          <w:tcPr>
            <w:tcW w:w="234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3"/>
                <w:szCs w:val="13"/>
                <w:color w:val="auto"/>
              </w:rPr>
            </w:pPr>
          </w:p>
        </w:tc>
        <w:tc>
          <w:tcPr>
            <w:tcW w:w="492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Employment Agreement, dated March 9, 2022, by and between First Watch Restaurant</w:t>
              </w:r>
            </w:hyperlink>
          </w:p>
        </w:tc>
        <w:tc>
          <w:tcPr>
            <w:tcW w:w="4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300" w:type="dxa"/>
            <w:vAlign w:val="bottom"/>
            <w:gridSpan w:val="9"/>
            <w:vMerge w:val="restart"/>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Group, Inc. and Christopher A. Tomasso</w:t>
              </w:r>
            </w:hyperlink>
          </w:p>
        </w:tc>
        <w:tc>
          <w:tcPr>
            <w:tcW w:w="3020" w:type="dxa"/>
            <w:vAlign w:val="bottom"/>
            <w:gridSpan w:val="28"/>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00" w:type="dxa"/>
            <w:vAlign w:val="bottom"/>
            <w:tcBorders>
              <w:bottom w:val="single" w:sz="8" w:color="0000FF"/>
            </w:tcBorders>
            <w:gridSpan w:val="9"/>
            <w:vMerge w:val="continue"/>
          </w:tcPr>
          <w:p>
            <w:pPr>
              <w:spacing w:after="0"/>
              <w:rPr>
                <w:sz w:val="2"/>
                <w:szCs w:val="2"/>
                <w:color w:val="auto"/>
              </w:rPr>
            </w:pPr>
          </w:p>
        </w:tc>
        <w:tc>
          <w:tcPr>
            <w:tcW w:w="3020" w:type="dxa"/>
            <w:vAlign w:val="bottom"/>
            <w:gridSpan w:val="2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512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Employment Agreement, dated August 21, 2017, by and between First Watch Restaurants,</w:t>
              </w:r>
            </w:hyperlink>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4"/>
            <w:vMerge w:val="restart"/>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Inc. and Eric Hartman</w:t>
              </w:r>
            </w:hyperlink>
          </w:p>
        </w:tc>
        <w:tc>
          <w:tcPr>
            <w:tcW w:w="4060" w:type="dxa"/>
            <w:vAlign w:val="bottom"/>
            <w:gridSpan w:val="33"/>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0000FF"/>
            </w:tcBorders>
            <w:gridSpan w:val="4"/>
            <w:vMerge w:val="continue"/>
          </w:tcPr>
          <w:p>
            <w:pPr>
              <w:spacing w:after="0"/>
              <w:rPr>
                <w:sz w:val="2"/>
                <w:szCs w:val="2"/>
                <w:color w:val="auto"/>
              </w:rPr>
            </w:pPr>
          </w:p>
        </w:tc>
        <w:tc>
          <w:tcPr>
            <w:tcW w:w="4060" w:type="dxa"/>
            <w:vAlign w:val="bottom"/>
            <w:gridSpan w:val="3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4"/>
                <w:szCs w:val="14"/>
                <w:color w:val="auto"/>
              </w:rPr>
            </w:pPr>
          </w:p>
        </w:tc>
        <w:tc>
          <w:tcPr>
            <w:tcW w:w="5120" w:type="dxa"/>
            <w:vAlign w:val="bottom"/>
            <w:tcBorders>
              <w:bottom w:val="single" w:sz="8" w:color="0000FF"/>
            </w:tcBorders>
            <w:gridSpan w:val="33"/>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Employment Agreement, dated August 21, 2017, by and between First Watch Restaurants,</w:t>
              </w:r>
            </w:hyperlink>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6"/>
            <w:vMerge w:val="restart"/>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Inc. and Laura Sorensen</w:t>
              </w:r>
            </w:hyperlink>
          </w:p>
        </w:tc>
        <w:tc>
          <w:tcPr>
            <w:tcW w:w="3940" w:type="dxa"/>
            <w:vAlign w:val="bottom"/>
            <w:gridSpan w:val="31"/>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0000FF"/>
            </w:tcBorders>
            <w:gridSpan w:val="6"/>
            <w:vMerge w:val="continue"/>
          </w:tcPr>
          <w:p>
            <w:pPr>
              <w:spacing w:after="0"/>
              <w:rPr>
                <w:sz w:val="2"/>
                <w:szCs w:val="2"/>
                <w:color w:val="auto"/>
              </w:rPr>
            </w:pPr>
          </w:p>
        </w:tc>
        <w:tc>
          <w:tcPr>
            <w:tcW w:w="3940" w:type="dxa"/>
            <w:vAlign w:val="bottom"/>
            <w:gridSpan w:val="3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4"/>
                <w:szCs w:val="14"/>
                <w:color w:val="auto"/>
              </w:rPr>
            </w:pPr>
          </w:p>
        </w:tc>
        <w:tc>
          <w:tcPr>
            <w:tcW w:w="5320" w:type="dxa"/>
            <w:vAlign w:val="bottom"/>
            <w:tcBorders>
              <w:bottom w:val="single" w:sz="8" w:color="0000FF"/>
            </w:tcBorders>
            <w:gridSpan w:val="3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Letter Agreement, dated February 1, 2021, by and between First Watch Restaurants, Inc. and</w:t>
              </w:r>
            </w:hyperlink>
          </w:p>
        </w:tc>
        <w:tc>
          <w:tcPr>
            <w:tcW w:w="0" w:type="dxa"/>
            <w:vAlign w:val="bottom"/>
          </w:tcPr>
          <w:p>
            <w:pPr>
              <w:spacing w:after="0"/>
              <w:rPr>
                <w:sz w:val="1"/>
                <w:szCs w:val="1"/>
                <w:color w:val="auto"/>
              </w:rPr>
            </w:pPr>
          </w:p>
        </w:tc>
      </w:tr>
      <w:tr>
        <w:trPr>
          <w:trHeight w:val="96"/>
        </w:trPr>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320" w:type="dxa"/>
            <w:vAlign w:val="bottom"/>
            <w:gridSpan w:val="37"/>
            <w:vMerge w:val="restart"/>
          </w:tcPr>
          <w:p>
            <w:pPr>
              <w:spacing w:after="0" w:line="139"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Kenneth L. Pendery, Jr.</w:t>
              </w:r>
            </w:hyperlink>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5320" w:type="dxa"/>
            <w:vAlign w:val="bottom"/>
            <w:gridSpan w:val="3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5"/>
                <w:szCs w:val="15"/>
                <w:color w:val="auto"/>
              </w:rPr>
            </w:pPr>
          </w:p>
        </w:tc>
        <w:tc>
          <w:tcPr>
            <w:tcW w:w="5320" w:type="dxa"/>
            <w:vAlign w:val="bottom"/>
            <w:tcBorders>
              <w:bottom w:val="single" w:sz="8" w:color="0000FF"/>
            </w:tcBorders>
            <w:gridSpan w:val="37"/>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Letter Agreement, dated July 12, 2018, by and between First Watch Restaurants, Inc. and Mel</w:t>
              </w:r>
            </w:hyperlink>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320" w:type="dxa"/>
            <w:vAlign w:val="bottom"/>
            <w:gridSpan w:val="37"/>
            <w:vMerge w:val="restart"/>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Hope</w:t>
              </w:r>
            </w:hyperlink>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320" w:type="dxa"/>
            <w:vAlign w:val="bottom"/>
            <w:gridSpan w:val="3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4"/>
                <w:szCs w:val="14"/>
                <w:color w:val="auto"/>
              </w:rPr>
            </w:pPr>
          </w:p>
        </w:tc>
        <w:tc>
          <w:tcPr>
            <w:tcW w:w="532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Letter Agreement, dated April 10, 2018, by and between First Watch Restaurants, Inc. and</w:t>
            </w: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100" w:type="dxa"/>
            <w:vAlign w:val="bottom"/>
            <w:tcBorders>
              <w:top w:val="single" w:sz="8" w:color="0000FF"/>
            </w:tcBorders>
            <w:gridSpan w:val="32"/>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Jay Wolszczak</w:t>
            </w:r>
          </w:p>
        </w:tc>
        <w:tc>
          <w:tcPr>
            <w:tcW w:w="220" w:type="dxa"/>
            <w:vAlign w:val="bottom"/>
            <w:gridSpan w:val="5"/>
            <w:vMerge w:val="restart"/>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100" w:type="dxa"/>
            <w:vAlign w:val="bottom"/>
            <w:gridSpan w:val="3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4"/>
                <w:szCs w:val="14"/>
                <w:color w:val="auto"/>
              </w:rPr>
            </w:pPr>
          </w:p>
        </w:tc>
        <w:tc>
          <w:tcPr>
            <w:tcW w:w="5260" w:type="dxa"/>
            <w:vAlign w:val="bottom"/>
            <w:tcBorders>
              <w:bottom w:val="single" w:sz="8" w:color="0000FF"/>
            </w:tcBorders>
            <w:gridSpan w:val="35"/>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First Watch Restaurant Group, Inc. 2017 Omnibus Equity Incentive Plan (formerly known as</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320" w:type="dxa"/>
            <w:vAlign w:val="bottom"/>
            <w:gridSpan w:val="37"/>
            <w:vMerge w:val="restart"/>
          </w:tcPr>
          <w:p>
            <w:pPr>
              <w:spacing w:after="0" w:line="13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the AI Fresh Super Holdco, Inc. 2017 Omnibus Equity Incentive Plan)</w:t>
              </w:r>
            </w:hyperlink>
          </w:p>
        </w:tc>
        <w:tc>
          <w:tcPr>
            <w:tcW w:w="0" w:type="dxa"/>
            <w:vAlign w:val="bottom"/>
          </w:tcPr>
          <w:p>
            <w:pPr>
              <w:spacing w:after="0"/>
              <w:rPr>
                <w:sz w:val="1"/>
                <w:szCs w:val="1"/>
                <w:color w:val="auto"/>
              </w:rPr>
            </w:pPr>
          </w:p>
        </w:tc>
      </w:tr>
      <w:tr>
        <w:trPr>
          <w:trHeight w:val="43"/>
        </w:trPr>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5320" w:type="dxa"/>
            <w:vAlign w:val="bottom"/>
            <w:gridSpan w:val="3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3560" w:type="dxa"/>
            <w:vAlign w:val="bottom"/>
            <w:tcBorders>
              <w:top w:val="single" w:sz="8" w:color="0000FF"/>
              <w:bottom w:val="single" w:sz="8" w:color="0000FF"/>
            </w:tcBorders>
            <w:gridSpan w:val="2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First Watch Restaurant Group, Inc. 2021 Equity Incentive Plan</w:t>
              </w:r>
            </w:hyperlink>
          </w:p>
        </w:tc>
        <w:tc>
          <w:tcPr>
            <w:tcW w:w="420" w:type="dxa"/>
            <w:vAlign w:val="bottom"/>
            <w:tcBorders>
              <w:top w:val="single" w:sz="8" w:color="0000FF"/>
            </w:tcBorders>
            <w:gridSpan w:val="2"/>
          </w:tcPr>
          <w:p>
            <w:pPr>
              <w:spacing w:after="0"/>
              <w:rPr>
                <w:sz w:val="15"/>
                <w:szCs w:val="15"/>
                <w:color w:val="auto"/>
              </w:rPr>
            </w:pPr>
          </w:p>
        </w:tc>
        <w:tc>
          <w:tcPr>
            <w:tcW w:w="13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20" w:type="dxa"/>
            <w:vAlign w:val="bottom"/>
          </w:tcPr>
          <w:p>
            <w:pPr>
              <w:spacing w:after="0"/>
              <w:rPr>
                <w:sz w:val="15"/>
                <w:szCs w:val="15"/>
                <w:color w:val="auto"/>
              </w:rPr>
            </w:pPr>
          </w:p>
        </w:tc>
        <w:tc>
          <w:tcPr>
            <w:tcW w:w="26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168">
              <w:r>
                <w:rPr>
                  <w:rFonts w:ascii="Times New Roman" w:cs="Times New Roman" w:eastAsia="Times New Roman" w:hAnsi="Times New Roman"/>
                  <w:sz w:val="14"/>
                  <w:szCs w:val="14"/>
                  <w:color w:val="0000FF"/>
                  <w:w w:val="99"/>
                </w:rPr>
                <w:t>Form of 2022 Stock Option Award Agreement</w:t>
              </w:r>
            </w:hyperlink>
          </w:p>
        </w:tc>
        <w:tc>
          <w:tcPr>
            <w:tcW w:w="268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10.11*</w:t>
            </w:r>
          </w:p>
        </w:tc>
        <w:tc>
          <w:tcPr>
            <w:tcW w:w="20" w:type="dxa"/>
            <w:vAlign w:val="bottom"/>
          </w:tcPr>
          <w:p>
            <w:pPr>
              <w:spacing w:after="0"/>
              <w:rPr>
                <w:sz w:val="15"/>
                <w:szCs w:val="15"/>
                <w:color w:val="auto"/>
              </w:rPr>
            </w:pPr>
          </w:p>
        </w:tc>
        <w:tc>
          <w:tcPr>
            <w:tcW w:w="31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9"/>
              </w:rPr>
            </w:pPr>
            <w:hyperlink r:id="rId169">
              <w:r>
                <w:rPr>
                  <w:rFonts w:ascii="Times New Roman" w:cs="Times New Roman" w:eastAsia="Times New Roman" w:hAnsi="Times New Roman"/>
                  <w:sz w:val="14"/>
                  <w:szCs w:val="14"/>
                  <w:color w:val="0000FF"/>
                  <w:w w:val="99"/>
                </w:rPr>
                <w:t>Form of 2023 Restricted Stock Unit Award Agreement</w:t>
              </w:r>
            </w:hyperlink>
          </w:p>
        </w:tc>
        <w:tc>
          <w:tcPr>
            <w:tcW w:w="22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w:t>
            </w:r>
          </w:p>
        </w:tc>
        <w:tc>
          <w:tcPr>
            <w:tcW w:w="20" w:type="dxa"/>
            <w:vAlign w:val="bottom"/>
          </w:tcPr>
          <w:p>
            <w:pPr>
              <w:spacing w:after="0"/>
              <w:rPr>
                <w:sz w:val="15"/>
                <w:szCs w:val="15"/>
                <w:color w:val="auto"/>
              </w:rPr>
            </w:pPr>
          </w:p>
        </w:tc>
        <w:tc>
          <w:tcPr>
            <w:tcW w:w="31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9"/>
              </w:rPr>
            </w:pPr>
            <w:hyperlink r:id="rId170">
              <w:r>
                <w:rPr>
                  <w:rFonts w:ascii="Times New Roman" w:cs="Times New Roman" w:eastAsia="Times New Roman" w:hAnsi="Times New Roman"/>
                  <w:sz w:val="14"/>
                  <w:szCs w:val="14"/>
                  <w:color w:val="0000FF"/>
                  <w:w w:val="99"/>
                </w:rPr>
                <w:t>Form of 2024 Restricted Stock Unit Award Agreement</w:t>
              </w:r>
            </w:hyperlink>
          </w:p>
        </w:tc>
        <w:tc>
          <w:tcPr>
            <w:tcW w:w="22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10.13*</w:t>
            </w:r>
          </w:p>
        </w:tc>
        <w:tc>
          <w:tcPr>
            <w:tcW w:w="20" w:type="dxa"/>
            <w:vAlign w:val="bottom"/>
          </w:tcPr>
          <w:p>
            <w:pPr>
              <w:spacing w:after="0"/>
              <w:rPr>
                <w:sz w:val="14"/>
                <w:szCs w:val="14"/>
                <w:color w:val="auto"/>
              </w:rPr>
            </w:pPr>
          </w:p>
        </w:tc>
        <w:tc>
          <w:tcPr>
            <w:tcW w:w="5320" w:type="dxa"/>
            <w:vAlign w:val="bottom"/>
            <w:gridSpan w:val="37"/>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Form of 2024 Restricted Stock Unit Award Agreement (Special Recognition Grant)</w:t>
              </w:r>
            </w:hyperlink>
          </w:p>
        </w:tc>
        <w:tc>
          <w:tcPr>
            <w:tcW w:w="0" w:type="dxa"/>
            <w:vAlign w:val="bottom"/>
          </w:tcPr>
          <w:p>
            <w:pPr>
              <w:spacing w:after="0"/>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10.14*</w:t>
            </w:r>
          </w:p>
        </w:tc>
        <w:tc>
          <w:tcPr>
            <w:tcW w:w="2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Form of 2025 Restricted Stock Unit Award Agreement (Retention Grant)</w:t>
            </w:r>
          </w:p>
        </w:tc>
        <w:tc>
          <w:tcPr>
            <w:tcW w:w="580" w:type="dxa"/>
            <w:vAlign w:val="bottom"/>
            <w:tcBorders>
              <w:top w:val="single" w:sz="8" w:color="0000FF"/>
            </w:tcBorders>
          </w:tcPr>
          <w:p>
            <w:pPr>
              <w:spacing w:after="0"/>
              <w:rPr>
                <w:sz w:val="14"/>
                <w:szCs w:val="14"/>
                <w:color w:val="auto"/>
              </w:rPr>
            </w:pPr>
          </w:p>
        </w:tc>
        <w:tc>
          <w:tcPr>
            <w:tcW w:w="6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10.15*</w:t>
            </w:r>
          </w:p>
        </w:tc>
        <w:tc>
          <w:tcPr>
            <w:tcW w:w="20" w:type="dxa"/>
            <w:vAlign w:val="bottom"/>
          </w:tcPr>
          <w:p>
            <w:pPr>
              <w:spacing w:after="0"/>
              <w:rPr>
                <w:sz w:val="14"/>
                <w:szCs w:val="14"/>
                <w:color w:val="auto"/>
              </w:rPr>
            </w:pPr>
          </w:p>
        </w:tc>
        <w:tc>
          <w:tcPr>
            <w:tcW w:w="5320" w:type="dxa"/>
            <w:vAlign w:val="bottom"/>
            <w:gridSpan w:val="37"/>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Form of Director and Officer Indemnification Agreement</w:t>
              </w:r>
            </w:hyperlink>
          </w:p>
        </w:tc>
        <w:tc>
          <w:tcPr>
            <w:tcW w:w="0" w:type="dxa"/>
            <w:vAlign w:val="bottom"/>
          </w:tcPr>
          <w:p>
            <w:pPr>
              <w:spacing w:after="0"/>
              <w:rPr>
                <w:sz w:val="1"/>
                <w:szCs w:val="1"/>
                <w:color w:val="auto"/>
              </w:rPr>
            </w:pPr>
          </w:p>
        </w:tc>
      </w:tr>
      <w:tr>
        <w:trPr>
          <w:trHeight w:val="171"/>
        </w:trPr>
        <w:tc>
          <w:tcPr>
            <w:tcW w:w="100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10.16</w:t>
            </w:r>
          </w:p>
        </w:tc>
        <w:tc>
          <w:tcPr>
            <w:tcW w:w="20" w:type="dxa"/>
            <w:vAlign w:val="bottom"/>
          </w:tcPr>
          <w:p>
            <w:pPr>
              <w:spacing w:after="0"/>
              <w:rPr>
                <w:sz w:val="14"/>
                <w:szCs w:val="14"/>
                <w:color w:val="auto"/>
              </w:rPr>
            </w:pPr>
          </w:p>
        </w:tc>
        <w:tc>
          <w:tcPr>
            <w:tcW w:w="3240" w:type="dxa"/>
            <w:vAlign w:val="bottom"/>
            <w:tcBorders>
              <w:top w:val="single" w:sz="8" w:color="0000FF"/>
            </w:tcBorders>
            <w:gridSpan w:val="16"/>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of Restricted Unit Award Agreement for Directors</w:t>
              </w:r>
            </w:hyperlink>
          </w:p>
        </w:tc>
        <w:tc>
          <w:tcPr>
            <w:tcW w:w="20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20" w:type="dxa"/>
            <w:vAlign w:val="bottom"/>
          </w:tcPr>
          <w:p>
            <w:pPr>
              <w:spacing w:after="0"/>
              <w:rPr>
                <w:sz w:val="13"/>
                <w:szCs w:val="13"/>
                <w:color w:val="auto"/>
              </w:rPr>
            </w:pPr>
          </w:p>
        </w:tc>
        <w:tc>
          <w:tcPr>
            <w:tcW w:w="5220" w:type="dxa"/>
            <w:vAlign w:val="bottom"/>
            <w:tcBorders>
              <w:bottom w:val="single" w:sz="8" w:color="0000FF"/>
            </w:tcBorders>
            <w:gridSpan w:val="34"/>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Asset Purchase Agreement dated as of January 5, 2024, by and among VIM Holdings, LLC,</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320" w:type="dxa"/>
            <w:vAlign w:val="bottom"/>
            <w:gridSpan w:val="37"/>
            <w:vMerge w:val="restart"/>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its owners and affiliates, and First Watch Restaurants, Inc.</w:t>
              </w:r>
            </w:hyperlink>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320" w:type="dxa"/>
            <w:vAlign w:val="bottom"/>
            <w:gridSpan w:val="3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20" w:type="dxa"/>
            <w:vAlign w:val="bottom"/>
          </w:tcPr>
          <w:p>
            <w:pPr>
              <w:spacing w:after="0"/>
              <w:rPr>
                <w:sz w:val="14"/>
                <w:szCs w:val="14"/>
                <w:color w:val="auto"/>
              </w:rPr>
            </w:pPr>
          </w:p>
        </w:tc>
        <w:tc>
          <w:tcPr>
            <w:tcW w:w="5020" w:type="dxa"/>
            <w:vAlign w:val="bottom"/>
            <w:tcBorders>
              <w:bottom w:val="single" w:sz="8" w:color="0000FF"/>
            </w:tcBorders>
            <w:gridSpan w:val="29"/>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Asset Purchase Agreement dated as of November 8, 2024, by and among Good Morning</w:t>
              </w:r>
            </w:hyperlink>
          </w:p>
        </w:tc>
        <w:tc>
          <w:tcPr>
            <w:tcW w:w="3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0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320" w:type="dxa"/>
            <w:vAlign w:val="bottom"/>
            <w:gridSpan w:val="37"/>
            <w:vMerge w:val="restart"/>
          </w:tcPr>
          <w:p>
            <w:pPr>
              <w:spacing w:after="0" w:line="118"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Carolinas, LLC, its owners, and First Watch Restaurants, Inc.</w:t>
              </w:r>
            </w:hyperlink>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320" w:type="dxa"/>
            <w:vAlign w:val="bottom"/>
            <w:gridSpan w:val="3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10.19*</w:t>
            </w:r>
          </w:p>
        </w:tc>
        <w:tc>
          <w:tcPr>
            <w:tcW w:w="20" w:type="dxa"/>
            <w:vAlign w:val="bottom"/>
          </w:tcPr>
          <w:p>
            <w:pPr>
              <w:spacing w:after="0"/>
              <w:rPr>
                <w:sz w:val="14"/>
                <w:szCs w:val="14"/>
                <w:color w:val="auto"/>
              </w:rPr>
            </w:pPr>
          </w:p>
        </w:tc>
        <w:tc>
          <w:tcPr>
            <w:tcW w:w="3460" w:type="dxa"/>
            <w:vAlign w:val="bottom"/>
            <w:tcBorders>
              <w:top w:val="single" w:sz="8" w:color="0000FF"/>
            </w:tcBorders>
            <w:gridSpan w:val="20"/>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Executive Severance Plan</w:t>
              </w:r>
            </w:hyperlink>
          </w:p>
        </w:tc>
        <w:tc>
          <w:tcPr>
            <w:tcW w:w="18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10.20*</w:t>
            </w:r>
          </w:p>
        </w:tc>
        <w:tc>
          <w:tcPr>
            <w:tcW w:w="20" w:type="dxa"/>
            <w:vAlign w:val="bottom"/>
          </w:tcPr>
          <w:p>
            <w:pPr>
              <w:spacing w:after="0"/>
              <w:rPr>
                <w:sz w:val="13"/>
                <w:szCs w:val="13"/>
                <w:color w:val="auto"/>
              </w:rPr>
            </w:pPr>
          </w:p>
        </w:tc>
        <w:tc>
          <w:tcPr>
            <w:tcW w:w="532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First Watch Deferred Compensation Plan effective January 1, 2025</w:t>
            </w:r>
          </w:p>
        </w:tc>
        <w:tc>
          <w:tcPr>
            <w:tcW w:w="0" w:type="dxa"/>
            <w:vAlign w:val="bottom"/>
          </w:tcPr>
          <w:p>
            <w:pPr>
              <w:spacing w:after="0"/>
              <w:rPr>
                <w:sz w:val="1"/>
                <w:szCs w:val="1"/>
                <w:color w:val="auto"/>
              </w:rPr>
            </w:pPr>
          </w:p>
        </w:tc>
      </w:tr>
      <w:tr>
        <w:trPr>
          <w:trHeight w:val="160"/>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w w:val="99"/>
              </w:rPr>
            </w:pPr>
            <w:hyperlink r:id="rId177">
              <w:r>
                <w:rPr>
                  <w:rFonts w:ascii="Times New Roman" w:cs="Times New Roman" w:eastAsia="Times New Roman" w:hAnsi="Times New Roman"/>
                  <w:sz w:val="14"/>
                  <w:szCs w:val="14"/>
                  <w:color w:val="0000FF"/>
                  <w:w w:val="99"/>
                </w:rPr>
                <w:t>Insider Trading and Regulation FD Policy</w:t>
              </w:r>
            </w:hyperlink>
          </w:p>
        </w:tc>
        <w:tc>
          <w:tcPr>
            <w:tcW w:w="1400" w:type="dxa"/>
            <w:vAlign w:val="bottom"/>
            <w:tcBorders>
              <w:top w:val="single" w:sz="8" w:color="0000FF"/>
            </w:tcBorders>
            <w:gridSpan w:val="12"/>
          </w:tcPr>
          <w:p>
            <w:pPr>
              <w:spacing w:after="0"/>
              <w:rPr>
                <w:sz w:val="13"/>
                <w:szCs w:val="13"/>
                <w:color w:val="auto"/>
              </w:rPr>
            </w:pPr>
          </w:p>
        </w:tc>
        <w:tc>
          <w:tcPr>
            <w:tcW w:w="1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20" w:type="dxa"/>
            <w:vAlign w:val="bottom"/>
          </w:tcPr>
          <w:p>
            <w:pPr>
              <w:spacing w:after="0"/>
              <w:rPr>
                <w:sz w:val="13"/>
                <w:szCs w:val="13"/>
                <w:color w:val="auto"/>
              </w:rPr>
            </w:pPr>
          </w:p>
        </w:tc>
        <w:tc>
          <w:tcPr>
            <w:tcW w:w="1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4240" w:type="dxa"/>
            <w:vAlign w:val="bottom"/>
            <w:gridSpan w:val="3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3"/>
                <w:szCs w:val="13"/>
                <w:color w:val="auto"/>
              </w:rPr>
            </w:pPr>
          </w:p>
        </w:tc>
        <w:tc>
          <w:tcPr>
            <w:tcW w:w="532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18"/>
            <w:shd w:val="clear" w:color="auto" w:fill="0000FF"/>
          </w:tcPr>
          <w:p>
            <w:pPr>
              <w:spacing w:after="0" w:line="20" w:lineRule="exact"/>
              <w:rPr>
                <w:sz w:val="1"/>
                <w:szCs w:val="1"/>
                <w:color w:val="auto"/>
              </w:rPr>
            </w:pPr>
          </w:p>
        </w:tc>
        <w:tc>
          <w:tcPr>
            <w:tcW w:w="19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320" w:type="dxa"/>
            <w:vAlign w:val="bottom"/>
            <w:gridSpan w:val="37"/>
          </w:tcPr>
          <w:p>
            <w:pPr>
              <w:spacing w:after="0" w:line="98" w:lineRule="exact"/>
              <w:rPr>
                <w:sz w:val="20"/>
                <w:szCs w:val="20"/>
                <w:color w:val="auto"/>
              </w:rPr>
            </w:pPr>
            <w:r>
              <w:rPr>
                <w:rFonts w:ascii="Times New Roman" w:cs="Times New Roman" w:eastAsia="Times New Roman" w:hAnsi="Times New Roman"/>
                <w:sz w:val="11"/>
                <w:szCs w:val="11"/>
                <w:color w:val="0000FF"/>
              </w:rPr>
              <w:t>Certification of the Chief Executive Officer pursuant to Section 302 of the Sarbanes-Oxley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62"/>
        </w:trPr>
        <w:tc>
          <w:tcPr>
            <w:tcW w:w="68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w w:val="97"/>
              </w:rPr>
              <w:t>31.1</w:t>
            </w:r>
          </w:p>
        </w:tc>
        <w:tc>
          <w:tcPr>
            <w:tcW w:w="680" w:type="dxa"/>
            <w:vAlign w:val="bottom"/>
            <w:tcBorders>
              <w:bottom w:val="single" w:sz="8" w:color="0000FF"/>
            </w:tcBorders>
          </w:tcPr>
          <w:p>
            <w:pPr>
              <w:spacing w:after="0"/>
              <w:rPr>
                <w:sz w:val="5"/>
                <w:szCs w:val="5"/>
                <w:color w:val="auto"/>
              </w:rPr>
            </w:pPr>
          </w:p>
        </w:tc>
        <w:tc>
          <w:tcPr>
            <w:tcW w:w="20" w:type="dxa"/>
            <w:vAlign w:val="bottom"/>
            <w:tcBorders>
              <w:bottom w:val="single" w:sz="8" w:color="0000FF"/>
            </w:tcBorders>
          </w:tcPr>
          <w:p>
            <w:pPr>
              <w:spacing w:after="0"/>
              <w:rPr>
                <w:sz w:val="5"/>
                <w:szCs w:val="5"/>
                <w:color w:val="auto"/>
              </w:rPr>
            </w:pPr>
          </w:p>
        </w:tc>
        <w:tc>
          <w:tcPr>
            <w:tcW w:w="4400" w:type="dxa"/>
            <w:vAlign w:val="bottom"/>
            <w:tcBorders>
              <w:bottom w:val="single" w:sz="8" w:color="0000FF"/>
            </w:tcBorders>
          </w:tcPr>
          <w:p>
            <w:pPr>
              <w:spacing w:after="0"/>
              <w:rPr>
                <w:sz w:val="5"/>
                <w:szCs w:val="5"/>
                <w:color w:val="auto"/>
              </w:rPr>
            </w:pPr>
          </w:p>
        </w:tc>
        <w:tc>
          <w:tcPr>
            <w:tcW w:w="40" w:type="dxa"/>
            <w:vAlign w:val="bottom"/>
            <w:tcBorders>
              <w:bottom w:val="single" w:sz="8" w:color="0000FF"/>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680" w:type="dxa"/>
            <w:vAlign w:val="bottom"/>
            <w:vMerge w:val="continue"/>
          </w:tcPr>
          <w:p>
            <w:pPr>
              <w:spacing w:after="0"/>
              <w:rPr>
                <w:sz w:val="10"/>
                <w:szCs w:val="10"/>
                <w:color w:val="auto"/>
              </w:rPr>
            </w:pPr>
          </w:p>
        </w:tc>
        <w:tc>
          <w:tcPr>
            <w:tcW w:w="700" w:type="dxa"/>
            <w:vAlign w:val="bottom"/>
            <w:tcBorders>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4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w w:val="97"/>
              </w:rPr>
              <w:t>31.2</w:t>
            </w:r>
          </w:p>
        </w:tc>
        <w:tc>
          <w:tcPr>
            <w:tcW w:w="5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Section 302 of the Sarbanes-Oxley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68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p>
        </w:tc>
        <w:tc>
          <w:tcPr>
            <w:tcW w:w="446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2"/>
                <w:szCs w:val="2"/>
                <w:color w:val="auto"/>
              </w:rPr>
            </w:pPr>
          </w:p>
        </w:tc>
        <w:tc>
          <w:tcPr>
            <w:tcW w:w="680" w:type="dxa"/>
            <w:vAlign w:val="bottom"/>
            <w:tcBorders>
              <w:bottom w:val="single" w:sz="8" w:color="0000FF"/>
            </w:tcBorders>
            <w:vMerge w:val="continue"/>
          </w:tcPr>
          <w:p>
            <w:pPr>
              <w:spacing w:after="0"/>
              <w:rPr>
                <w:sz w:val="2"/>
                <w:szCs w:val="2"/>
                <w:color w:val="auto"/>
              </w:rPr>
            </w:pPr>
          </w:p>
        </w:tc>
        <w:tc>
          <w:tcPr>
            <w:tcW w:w="44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33"/>
        </w:trPr>
        <w:tc>
          <w:tcPr>
            <w:tcW w:w="680" w:type="dxa"/>
            <w:vAlign w:val="bottom"/>
          </w:tcPr>
          <w:p>
            <w:pPr>
              <w:spacing w:after="0"/>
              <w:rPr>
                <w:sz w:val="24"/>
                <w:szCs w:val="24"/>
                <w:color w:val="auto"/>
              </w:rPr>
            </w:pPr>
          </w:p>
        </w:tc>
        <w:tc>
          <w:tcPr>
            <w:tcW w:w="51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539"/>
        <w:spacing w:after="0" w:line="447" w:lineRule="auto"/>
        <w:rPr>
          <w:sz w:val="20"/>
          <w:szCs w:val="20"/>
          <w:color w:val="auto"/>
        </w:rPr>
      </w:pPr>
      <w:r>
        <w:rPr>
          <w:rFonts w:ascii="Times New Roman" w:cs="Times New Roman" w:eastAsia="Times New Roman" w:hAnsi="Times New Roman"/>
          <w:sz w:val="13"/>
          <w:szCs w:val="13"/>
          <w:color w:val="auto"/>
        </w:rPr>
        <w:t>March 23, 2022, Form 10-K, Exhibit 4.2 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October 6, 2021, Form 8-K, Exhibit 10.1</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7, 2023, Form 10-K, Exhibit 10.2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8, 2024, Form 8-K, Exhibit 10.1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11, 2022, Form 8-K, Exhibit 10.1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7, 2021, Form S-1, Exhibit 10.5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7, 2021, Form S-1, Exhibit 10.4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7, 2021, Form S-1, Exhibit 10.8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23, 2022, Form 10-K, Exhibit 10.7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7, 2021, Form S-1, Exhibit 10.3</w:t>
      </w:r>
    </w:p>
    <w:p>
      <w:pPr>
        <w:spacing w:after="0" w:line="126" w:lineRule="exact"/>
        <w:rPr>
          <w:sz w:val="20"/>
          <w:szCs w:val="20"/>
          <w:color w:val="auto"/>
        </w:rPr>
      </w:pPr>
    </w:p>
    <w:p>
      <w:pPr>
        <w:ind w:right="1399"/>
        <w:spacing w:after="0" w:line="315" w:lineRule="auto"/>
        <w:rPr>
          <w:sz w:val="20"/>
          <w:szCs w:val="20"/>
          <w:color w:val="auto"/>
        </w:rPr>
      </w:pPr>
      <w:r>
        <w:rPr>
          <w:rFonts w:ascii="Times New Roman" w:cs="Times New Roman" w:eastAsia="Times New Roman" w:hAnsi="Times New Roman"/>
          <w:sz w:val="13"/>
          <w:szCs w:val="13"/>
          <w:color w:val="auto"/>
        </w:rPr>
        <w:t>March 23, 2022, Form 10-K, Exhibit 10.9 March 23, 2022, Form 10-K, Exhibit 10.10 March 7, 2023, Form 10-K, Exhibit 10.11 March 5, 2024, Form 10-K, Exhibit 10.12 March 5, 2024, Form 10-K, Exhibit 10.13 Filed herewith</w:t>
      </w:r>
    </w:p>
    <w:p>
      <w:pPr>
        <w:ind w:right="1399"/>
        <w:spacing w:after="0" w:line="328" w:lineRule="auto"/>
        <w:rPr>
          <w:sz w:val="20"/>
          <w:szCs w:val="20"/>
          <w:color w:val="auto"/>
        </w:rPr>
      </w:pPr>
      <w:r>
        <w:rPr>
          <w:rFonts w:ascii="Times New Roman" w:cs="Times New Roman" w:eastAsia="Times New Roman" w:hAnsi="Times New Roman"/>
          <w:sz w:val="13"/>
          <w:szCs w:val="13"/>
          <w:color w:val="auto"/>
        </w:rPr>
        <w:t>September 7, 2021, Form S-1, Exhibit 10.7 March 7, 2023, Form 10-K, Exhibit 10.13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8, 2024, Form 8-K, Exhibit 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12, 2024, Form 8-K, Exhibit 2.1</w:t>
      </w:r>
    </w:p>
    <w:p>
      <w:pPr>
        <w:spacing w:after="0" w:line="105" w:lineRule="exact"/>
        <w:rPr>
          <w:sz w:val="20"/>
          <w:szCs w:val="20"/>
          <w:color w:val="auto"/>
        </w:rPr>
      </w:pPr>
    </w:p>
    <w:p>
      <w:pPr>
        <w:ind w:right="1399"/>
        <w:spacing w:after="0" w:line="289" w:lineRule="auto"/>
        <w:rPr>
          <w:sz w:val="20"/>
          <w:szCs w:val="20"/>
          <w:color w:val="auto"/>
        </w:rPr>
      </w:pPr>
      <w:r>
        <w:rPr>
          <w:rFonts w:ascii="Times New Roman" w:cs="Times New Roman" w:eastAsia="Times New Roman" w:hAnsi="Times New Roman"/>
          <w:sz w:val="13"/>
          <w:szCs w:val="13"/>
          <w:color w:val="auto"/>
        </w:rPr>
        <w:t>March 11, 2025, Form 10-K, Exhibit 10.16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11, 2025, Form 10-K, Exhibit 19.1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ectPr>
          <w:pgSz w:w="11900" w:h="16838" w:orient="portrait"/>
          <w:cols w:equalWidth="0" w:num="2">
            <w:col w:w="6340" w:space="100"/>
            <w:col w:w="3719"/>
          </w:cols>
          <w:pgMar w:left="300" w:top="116"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2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3"/>
        </w:trPr>
        <w:tc>
          <w:tcPr>
            <w:tcW w:w="1000" w:type="dxa"/>
            <w:vAlign w:val="bottom"/>
            <w:tcBorders>
              <w:top w:val="single" w:sz="8" w:color="0000FF"/>
            </w:tcBorders>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24"/>
                <w:szCs w:val="24"/>
                <w:color w:val="auto"/>
              </w:rPr>
            </w:pPr>
          </w:p>
        </w:tc>
        <w:tc>
          <w:tcPr>
            <w:tcW w:w="5100" w:type="dxa"/>
            <w:vAlign w:val="bottom"/>
            <w:gridSpan w:val="4"/>
          </w:tcPr>
          <w:p>
            <w:pPr>
              <w:spacing w:after="0"/>
              <w:rPr>
                <w:sz w:val="20"/>
                <w:szCs w:val="20"/>
                <w:color w:val="auto"/>
              </w:rPr>
            </w:pPr>
            <w:r>
              <w:rPr>
                <w:rFonts w:ascii="Times New Roman" w:cs="Times New Roman" w:eastAsia="Times New Roman" w:hAnsi="Times New Roman"/>
                <w:sz w:val="14"/>
                <w:szCs w:val="14"/>
                <w:u w:val="single" w:color="auto"/>
                <w:color w:val="0000FF"/>
              </w:rPr>
              <w:t>Certification of Chief Executive Officer and Chief Financial Officer pursuant to 18 U.S.C.</w:t>
            </w:r>
          </w:p>
        </w:tc>
        <w:tc>
          <w:tcPr>
            <w:tcW w:w="0" w:type="dxa"/>
            <w:vAlign w:val="bottom"/>
          </w:tcPr>
          <w:p>
            <w:pPr>
              <w:spacing w:after="0"/>
              <w:rPr>
                <w:sz w:val="1"/>
                <w:szCs w:val="1"/>
                <w:color w:val="auto"/>
              </w:rPr>
            </w:pPr>
          </w:p>
        </w:tc>
      </w:tr>
      <w:tr>
        <w:trPr>
          <w:trHeight w:val="53"/>
        </w:trPr>
        <w:tc>
          <w:tcPr>
            <w:tcW w:w="1000" w:type="dxa"/>
            <w:vAlign w:val="bottom"/>
            <w:tcBorders>
              <w:bottom w:val="single" w:sz="8" w:color="0000FF"/>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48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140" w:type="dxa"/>
            <w:vAlign w:val="bottom"/>
            <w:tcBorders>
              <w:bottom w:val="single" w:sz="8" w:color="0000FF"/>
            </w:tcBorders>
          </w:tcPr>
          <w:p>
            <w:pPr>
              <w:jc w:val="right"/>
              <w:spacing w:after="0" w:line="33" w:lineRule="exact"/>
              <w:rPr>
                <w:sz w:val="20"/>
                <w:szCs w:val="20"/>
                <w:color w:val="auto"/>
              </w:rPr>
            </w:pPr>
            <w:r>
              <w:rPr>
                <w:rFonts w:ascii="Times New Roman" w:cs="Times New Roman" w:eastAsia="Times New Roman" w:hAnsi="Times New Roman"/>
                <w:sz w:val="3"/>
                <w:szCs w:val="3"/>
                <w:color w:val="0000FF"/>
              </w:rPr>
              <w:t>(**)</w:t>
            </w:r>
          </w:p>
        </w:tc>
        <w:tc>
          <w:tcPr>
            <w:tcW w:w="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8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40" w:type="dxa"/>
            <w:vAlign w:val="bottom"/>
            <w:tcBorders>
              <w:bottom w:val="single" w:sz="8" w:color="0000FF"/>
            </w:tcBorders>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97.1</w:t>
            </w:r>
          </w:p>
        </w:tc>
        <w:tc>
          <w:tcPr>
            <w:tcW w:w="20" w:type="dxa"/>
            <w:vAlign w:val="bottom"/>
          </w:tcPr>
          <w:p>
            <w:pPr>
              <w:spacing w:after="0"/>
              <w:rPr>
                <w:sz w:val="14"/>
                <w:szCs w:val="14"/>
                <w:color w:val="auto"/>
              </w:rPr>
            </w:pPr>
          </w:p>
        </w:tc>
        <w:tc>
          <w:tcPr>
            <w:tcW w:w="4840" w:type="dxa"/>
            <w:vAlign w:val="bottom"/>
            <w:gridSpan w:val="2"/>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Incentive-Based Compensation Recovery Policy</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The financial information from First Watch Restaurant Group, Inc.’s Annual Report on Form</w:t>
      </w:r>
    </w:p>
    <w:p>
      <w:pPr>
        <w:spacing w:after="0" w:line="14" w:lineRule="exact"/>
        <w:rPr>
          <w:sz w:val="20"/>
          <w:szCs w:val="20"/>
          <w:color w:val="auto"/>
        </w:rPr>
      </w:pPr>
    </w:p>
    <w:p>
      <w:pPr>
        <w:ind w:left="1020" w:right="80" w:hanging="660"/>
        <w:spacing w:after="0" w:line="24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10-K for the fiscal year ended December 28, 2025, filed on February 24, 2026, formatted in Inline Extensible Business Reporting Language (“iXBRL”)</w:t>
      </w:r>
    </w:p>
    <w:p>
      <w:pPr>
        <w:spacing w:after="0" w:line="13" w:lineRule="exact"/>
        <w:rPr>
          <w:sz w:val="20"/>
          <w:szCs w:val="20"/>
          <w:color w:val="auto"/>
        </w:rPr>
      </w:pPr>
    </w:p>
    <w:p>
      <w:pPr>
        <w:ind w:left="1020" w:hanging="660"/>
        <w:spacing w:after="0"/>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Date File (formatted as iXBRL and contained in Exhibit 101)</w:t>
      </w:r>
    </w:p>
    <w:p>
      <w:pPr>
        <w:spacing w:after="0" w:line="29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4420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14420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Furnished herewith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5, 2024, Form 10-K, Exhibit 97.1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478" w:lineRule="exact"/>
        <w:rPr>
          <w:sz w:val="20"/>
          <w:szCs w:val="20"/>
          <w:color w:val="auto"/>
        </w:rPr>
      </w:pPr>
    </w:p>
    <w:p>
      <w:pPr>
        <w:sectPr>
          <w:pgSz w:w="11900" w:h="16838" w:orient="portrait"/>
          <w:cols w:equalWidth="0" w:num="2">
            <w:col w:w="6280" w:space="160"/>
            <w:col w:w="4840"/>
          </w:cols>
          <w:pgMar w:left="300" w:top="116" w:right="319" w:bottom="1440" w:gutter="0" w:footer="0" w:header="0"/>
        </w:sectPr>
      </w:pPr>
    </w:p>
    <w:p>
      <w:pPr>
        <w:ind w:firstLine="5"/>
        <w:spacing w:after="0" w:line="244" w:lineRule="auto"/>
        <w:tabs>
          <w:tab w:leader="none" w:pos="1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***Disclosure schedules omitted pursuant to Item 601(b)(2) of Regulation S-K. The Company will furnish supplementally a copy of any omitted schedule to the SEC upon request. The Company may request confidential treatment pursuant to Rule 24b-2 of the Securities Exchange Act of 1934, as amended, for any schedules so furnished.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FIRST WATCH RESTAURANT GROUP, INC.</w:t>
      </w:r>
    </w:p>
    <w:p>
      <w:pPr>
        <w:spacing w:after="0" w:line="223" w:lineRule="exact"/>
        <w:rPr>
          <w:sz w:val="20"/>
          <w:szCs w:val="20"/>
          <w:color w:val="auto"/>
        </w:rPr>
      </w:pPr>
    </w:p>
    <w:tbl>
      <w:tblPr>
        <w:tblLayout w:type="fixed"/>
        <w:tblInd w:w="590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Mel Hope</w:t>
            </w:r>
          </w:p>
        </w:tc>
      </w:tr>
      <w:tr>
        <w:trPr>
          <w:trHeight w:val="167"/>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Mel Hope</w:t>
            </w:r>
          </w:p>
        </w:tc>
      </w:tr>
      <w:tr>
        <w:trPr>
          <w:trHeight w:val="149"/>
        </w:trPr>
        <w:tc>
          <w:tcPr>
            <w:tcW w:w="7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 (Principal Financial Officer and Principal Accounting</w:t>
            </w:r>
          </w:p>
        </w:tc>
      </w:t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Officer)</w:t>
            </w: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00" w:type="dxa"/>
            <w:vAlign w:val="bottom"/>
          </w:tcPr>
          <w:p>
            <w:pPr>
              <w:spacing w:after="0"/>
              <w:rPr>
                <w:sz w:val="16"/>
                <w:szCs w:val="16"/>
                <w:color w:val="auto"/>
              </w:rPr>
            </w:pPr>
          </w:p>
        </w:tc>
        <w:tc>
          <w:tcPr>
            <w:tcW w:w="4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80" w:type="dxa"/>
            <w:vAlign w:val="bottom"/>
          </w:tcPr>
          <w:p>
            <w:pPr>
              <w:spacing w:after="0"/>
              <w:rPr>
                <w:sz w:val="16"/>
                <w:szCs w:val="16"/>
                <w:color w:val="auto"/>
              </w:rPr>
            </w:pPr>
          </w:p>
        </w:tc>
        <w:tc>
          <w:tcPr>
            <w:tcW w:w="19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0"/>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 (Principal Executive</w:t>
            </w:r>
          </w:p>
        </w:tc>
        <w:tc>
          <w:tcPr>
            <w:tcW w:w="1900" w:type="dxa"/>
            <w:vAlign w:val="bottom"/>
          </w:tcPr>
          <w:p>
            <w:pPr>
              <w:spacing w:after="0"/>
              <w:rPr>
                <w:sz w:val="24"/>
                <w:szCs w:val="24"/>
                <w:color w:val="auto"/>
              </w:rPr>
            </w:pPr>
          </w:p>
        </w:tc>
      </w:tr>
      <w:tr>
        <w:trPr>
          <w:trHeight w:val="19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Christopher A. Tomasso</w:t>
            </w:r>
          </w:p>
        </w:tc>
        <w:tc>
          <w:tcPr>
            <w:tcW w:w="400" w:type="dxa"/>
            <w:vAlign w:val="bottom"/>
          </w:tcPr>
          <w:p>
            <w:pPr>
              <w:spacing w:after="0"/>
              <w:rPr>
                <w:sz w:val="16"/>
                <w:szCs w:val="16"/>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A. Tomasso</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6"/>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w:t>
            </w:r>
          </w:p>
        </w:tc>
        <w:tc>
          <w:tcPr>
            <w:tcW w:w="1900" w:type="dxa"/>
            <w:vAlign w:val="bottom"/>
          </w:tcPr>
          <w:p>
            <w:pPr>
              <w:spacing w:after="0"/>
              <w:rPr>
                <w:sz w:val="24"/>
                <w:szCs w:val="24"/>
                <w:color w:val="auto"/>
              </w:rPr>
            </w:pPr>
          </w:p>
        </w:tc>
      </w:tr>
      <w:tr>
        <w:trPr>
          <w:trHeight w:val="19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Mel Hope</w:t>
            </w:r>
          </w:p>
        </w:tc>
        <w:tc>
          <w:tcPr>
            <w:tcW w:w="400" w:type="dxa"/>
            <w:vAlign w:val="bottom"/>
          </w:tcPr>
          <w:p>
            <w:pPr>
              <w:spacing w:after="0"/>
              <w:rPr>
                <w:sz w:val="16"/>
                <w:szCs w:val="16"/>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Accounting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Mel Hope</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Ralph Alvarez</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Ralph Alvarez</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Irene Chang Britt</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Irene Chang Britt</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Fleisher</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Fleisher</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Charles Jemley</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Charles Jemley</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William Kussell</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William Kussell</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Stephanie Lilak</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Stephanie Lilak</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Jostein Solheim</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Jostein Solheim</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8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Rachel Tipograph</w:t>
            </w:r>
          </w:p>
        </w:tc>
        <w:tc>
          <w:tcPr>
            <w:tcW w:w="400" w:type="dxa"/>
            <w:vAlign w:val="bottom"/>
          </w:tcPr>
          <w:p>
            <w:pPr>
              <w:spacing w:after="0"/>
              <w:rPr>
                <w:sz w:val="24"/>
                <w:szCs w:val="24"/>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24, 2026</w:t>
            </w:r>
          </w:p>
        </w:tc>
      </w:tr>
      <w:tr>
        <w:trPr>
          <w:trHeight w:val="175"/>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Rachel Tipograph</w:t>
            </w:r>
          </w:p>
        </w:tc>
        <w:tc>
          <w:tcPr>
            <w:tcW w:w="4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707"/>
        </w:trPr>
        <w:tc>
          <w:tcPr>
            <w:tcW w:w="3700" w:type="dxa"/>
            <w:vAlign w:val="bottom"/>
          </w:tcPr>
          <w:p>
            <w:pPr>
              <w:spacing w:after="0"/>
              <w:rPr>
                <w:sz w:val="24"/>
                <w:szCs w:val="24"/>
                <w:color w:val="auto"/>
              </w:rPr>
            </w:pPr>
          </w:p>
        </w:tc>
        <w:tc>
          <w:tcPr>
            <w:tcW w:w="4640" w:type="dxa"/>
            <w:vAlign w:val="bottom"/>
            <w:gridSpan w:val="2"/>
          </w:tcPr>
          <w:p>
            <w:pPr>
              <w:jc w:val="right"/>
              <w:ind w:right="2549"/>
              <w:spacing w:after="0"/>
              <w:rPr>
                <w:sz w:val="20"/>
                <w:szCs w:val="20"/>
                <w:color w:val="auto"/>
              </w:rPr>
            </w:pPr>
            <w:r>
              <w:rPr>
                <w:rFonts w:ascii="Times New Roman" w:cs="Times New Roman" w:eastAsia="Times New Roman" w:hAnsi="Times New Roman"/>
                <w:sz w:val="14"/>
                <w:szCs w:val="14"/>
                <w:color w:val="auto"/>
              </w:rPr>
              <w:t>96</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WATCH RESTAURANT GROUP,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May 22, 2024</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18181A"/>
        </w:rPr>
        <w:t>First Watch Restaurant Group, Inc. (the “Corporation</w:t>
      </w:r>
      <w:r>
        <w:rPr>
          <w:rFonts w:ascii="Times New Roman" w:cs="Times New Roman" w:eastAsia="Times New Roman" w:hAnsi="Times New Roman"/>
          <w:sz w:val="16"/>
          <w:szCs w:val="16"/>
          <w:color w:val="343836"/>
        </w:rPr>
        <w:t>”</w:t>
      </w:r>
      <w:r>
        <w:rPr>
          <w:rFonts w:ascii="Times New Roman" w:cs="Times New Roman" w:eastAsia="Times New Roman" w:hAnsi="Times New Roman"/>
          <w:sz w:val="16"/>
          <w:szCs w:val="16"/>
          <w:color w:val="18181A"/>
        </w:rPr>
        <w:t>)</w:t>
      </w:r>
      <w:r>
        <w:rPr>
          <w:rFonts w:ascii="Times New Roman" w:cs="Times New Roman" w:eastAsia="Times New Roman" w:hAnsi="Times New Roman"/>
          <w:sz w:val="16"/>
          <w:szCs w:val="16"/>
          <w:color w:val="343836"/>
        </w:rPr>
        <w:t>,</w:t>
      </w:r>
      <w:r>
        <w:rPr>
          <w:rFonts w:ascii="Times New Roman" w:cs="Times New Roman" w:eastAsia="Times New Roman" w:hAnsi="Times New Roman"/>
          <w:sz w:val="16"/>
          <w:szCs w:val="16"/>
          <w:color w:val="18181A"/>
        </w:rPr>
        <w:t xml:space="preserve"> a corporation organized and existing under the General Corporation Law of the State of Delaware, as amended (the “DGCL”), does hereby certify as follows:</w:t>
      </w:r>
    </w:p>
    <w:p>
      <w:pPr>
        <w:spacing w:after="0" w:line="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18181A"/>
        </w:rPr>
        <w:t>FIRST:</w:t>
      </w:r>
      <w:r>
        <w:rPr>
          <w:sz w:val="20"/>
          <w:szCs w:val="20"/>
          <w:color w:val="auto"/>
        </w:rPr>
        <w:tab/>
      </w:r>
      <w:r>
        <w:rPr>
          <w:rFonts w:ascii="Times New Roman" w:cs="Times New Roman" w:eastAsia="Times New Roman" w:hAnsi="Times New Roman"/>
          <w:sz w:val="16"/>
          <w:szCs w:val="16"/>
          <w:color w:val="18181A"/>
        </w:rPr>
        <w:t>The name of the Corporation is First Watch Restaurant Group, Inc.</w:t>
      </w:r>
    </w:p>
    <w:p>
      <w:pPr>
        <w:spacing w:after="0" w:line="124" w:lineRule="exact"/>
        <w:rPr>
          <w:sz w:val="20"/>
          <w:szCs w:val="20"/>
          <w:color w:val="auto"/>
        </w:rPr>
      </w:pPr>
    </w:p>
    <w:p>
      <w:pPr>
        <w:jc w:val="both"/>
        <w:ind w:left="900" w:hanging="1018"/>
        <w:spacing w:after="0" w:line="261" w:lineRule="auto"/>
        <w:tabs>
          <w:tab w:leader="none" w:pos="880" w:val="left"/>
        </w:tabs>
        <w:rPr>
          <w:sz w:val="20"/>
          <w:szCs w:val="20"/>
          <w:color w:val="auto"/>
        </w:rPr>
      </w:pPr>
      <w:r>
        <w:rPr>
          <w:rFonts w:ascii="Times New Roman" w:cs="Times New Roman" w:eastAsia="Times New Roman" w:hAnsi="Times New Roman"/>
          <w:sz w:val="16"/>
          <w:szCs w:val="16"/>
          <w:b w:val="1"/>
          <w:bCs w:val="1"/>
          <w:color w:val="18181A"/>
        </w:rPr>
        <w:t>SECOND</w:t>
      </w:r>
      <w:r>
        <w:rPr>
          <w:rFonts w:ascii="Times New Roman" w:cs="Times New Roman" w:eastAsia="Times New Roman" w:hAnsi="Times New Roman"/>
          <w:sz w:val="16"/>
          <w:szCs w:val="16"/>
          <w:b w:val="1"/>
          <w:bCs w:val="1"/>
          <w:color w:val="343836"/>
        </w:rPr>
        <w:t>:</w:t>
      </w:r>
      <w:r>
        <w:rPr>
          <w:sz w:val="20"/>
          <w:szCs w:val="20"/>
          <w:color w:val="auto"/>
        </w:rPr>
        <w:tab/>
      </w:r>
      <w:r>
        <w:rPr>
          <w:rFonts w:ascii="Times New Roman" w:cs="Times New Roman" w:eastAsia="Times New Roman" w:hAnsi="Times New Roman"/>
          <w:sz w:val="16"/>
          <w:szCs w:val="16"/>
          <w:color w:val="18181A"/>
        </w:rPr>
        <w:t>The Corporation filed its original Certificate of Incorporation with the Secretary of State of the State of Delaware on August 10, 2017 under the name AI Fresh Super Holdco, Inc., and the Corporation filed a Certificate of Amendment of Certificate of Incorporation to change its name to First Watch Restaurant Group, Inc. on December 20, 2019. The Corporation filed the Amended and Restated Certificate of Incorporation (the “Amended and Restated Certificate”) with the Secretary of State of the State of Delaware on October 5, 2021.</w:t>
      </w:r>
    </w:p>
    <w:p>
      <w:pPr>
        <w:spacing w:after="0" w:line="91" w:lineRule="exact"/>
        <w:rPr>
          <w:sz w:val="20"/>
          <w:szCs w:val="20"/>
          <w:color w:val="auto"/>
        </w:rPr>
      </w:pPr>
    </w:p>
    <w:p>
      <w:pPr>
        <w:jc w:val="both"/>
        <w:ind w:left="800" w:hanging="1018"/>
        <w:spacing w:after="0" w:line="273" w:lineRule="auto"/>
        <w:tabs>
          <w:tab w:leader="none" w:pos="780" w:val="left"/>
        </w:tabs>
        <w:rPr>
          <w:sz w:val="20"/>
          <w:szCs w:val="20"/>
          <w:color w:val="auto"/>
        </w:rPr>
      </w:pPr>
      <w:r>
        <w:rPr>
          <w:rFonts w:ascii="Times New Roman" w:cs="Times New Roman" w:eastAsia="Times New Roman" w:hAnsi="Times New Roman"/>
          <w:sz w:val="16"/>
          <w:szCs w:val="16"/>
          <w:b w:val="1"/>
          <w:bCs w:val="1"/>
          <w:color w:val="18181A"/>
        </w:rPr>
        <w:t>THIRD:</w:t>
      </w:r>
      <w:r>
        <w:rPr>
          <w:sz w:val="20"/>
          <w:szCs w:val="20"/>
          <w:color w:val="auto"/>
        </w:rPr>
        <w:tab/>
      </w:r>
      <w:r>
        <w:rPr>
          <w:rFonts w:ascii="Times New Roman" w:cs="Times New Roman" w:eastAsia="Times New Roman" w:hAnsi="Times New Roman"/>
          <w:sz w:val="16"/>
          <w:szCs w:val="16"/>
          <w:color w:val="18181A"/>
        </w:rPr>
        <w:t>This Amendment to the Amended and Restated Certificate was duly adopted by the Board of Directors of the Corporation and the stockholders of the Corporation in accordance with Section 242 of the DGCL.</w:t>
      </w:r>
    </w:p>
    <w:p>
      <w:pPr>
        <w:spacing w:after="0" w:line="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18181A"/>
        </w:rPr>
        <w:t>FOURTH:</w:t>
      </w:r>
      <w:r>
        <w:rPr>
          <w:sz w:val="20"/>
          <w:szCs w:val="20"/>
          <w:color w:val="auto"/>
        </w:rPr>
        <w:tab/>
      </w:r>
      <w:r>
        <w:rPr>
          <w:rFonts w:ascii="Times New Roman" w:cs="Times New Roman" w:eastAsia="Times New Roman" w:hAnsi="Times New Roman"/>
          <w:sz w:val="14"/>
          <w:szCs w:val="14"/>
          <w:color w:val="18181A"/>
        </w:rPr>
        <w:t>Section 7.1 of the Amended and Restated Certificate is hereby amended in its entirety to read as follows:</w:t>
      </w:r>
    </w:p>
    <w:p>
      <w:pPr>
        <w:spacing w:after="0" w:line="12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6"/>
          <w:szCs w:val="16"/>
          <w:color w:val="18181A"/>
        </w:rPr>
        <w:t xml:space="preserve">7.1 </w:t>
      </w:r>
      <w:r>
        <w:rPr>
          <w:rFonts w:ascii="Times New Roman" w:cs="Times New Roman" w:eastAsia="Times New Roman" w:hAnsi="Times New Roman"/>
          <w:sz w:val="16"/>
          <w:szCs w:val="16"/>
          <w:u w:val="single" w:color="auto"/>
          <w:color w:val="18181A"/>
        </w:rPr>
        <w:t>Limited Liability of Directors and Officers.</w:t>
      </w:r>
      <w:r>
        <w:rPr>
          <w:rFonts w:ascii="Times New Roman" w:cs="Times New Roman" w:eastAsia="Times New Roman" w:hAnsi="Times New Roman"/>
          <w:sz w:val="16"/>
          <w:szCs w:val="16"/>
          <w:color w:val="18181A"/>
        </w:rPr>
        <w:t xml:space="preserve"> To the fullest extent permitted by the DGCL, as the same exists or as may hereafter be amended, no director or officer of the Corporation shall have any personal liability to the Corporation or any of its stockholders for monetary damages for any breach of fiduciary duty as a director or officer, as applicable. If the DGCL is amended hereafter to permit the further elimination or limitation of the liability of directors or officers, then the liability of a director or officer of the Corporation shall be eliminated or limited to the fullest extent permitted by the DGCL, as so amended, without further action by the Corporation. Any alteration, amendment, addition to or repeal of this Section 7.1</w:t>
      </w:r>
      <w:r>
        <w:rPr>
          <w:rFonts w:ascii="Times New Roman" w:cs="Times New Roman" w:eastAsia="Times New Roman" w:hAnsi="Times New Roman"/>
          <w:sz w:val="16"/>
          <w:szCs w:val="16"/>
          <w:b w:val="1"/>
          <w:bCs w:val="1"/>
          <w:color w:val="18181A"/>
        </w:rPr>
        <w:t>,</w:t>
      </w:r>
      <w:r>
        <w:rPr>
          <w:rFonts w:ascii="Times New Roman" w:cs="Times New Roman" w:eastAsia="Times New Roman" w:hAnsi="Times New Roman"/>
          <w:sz w:val="16"/>
          <w:szCs w:val="16"/>
          <w:color w:val="18181A"/>
        </w:rPr>
        <w:t xml:space="preserve"> or adoption of any provision of this Certificate (including any certificate of designations relating to any series of Preferred Stock) inconsistent with this Section 7.1, shall not reduce, eliminate or adversely affect any right or protection of a director or officer of the Corporation existing at the time of such alteration, amendment, addition to, repeal or adoption with respect to acts or omissions occurring prior to such alteration, amendment</w:t>
      </w:r>
      <w:r>
        <w:rPr>
          <w:rFonts w:ascii="Times New Roman" w:cs="Times New Roman" w:eastAsia="Times New Roman" w:hAnsi="Times New Roman"/>
          <w:sz w:val="16"/>
          <w:szCs w:val="16"/>
          <w:color w:val="343836"/>
        </w:rPr>
        <w:t>,</w:t>
      </w:r>
      <w:r>
        <w:rPr>
          <w:rFonts w:ascii="Times New Roman" w:cs="Times New Roman" w:eastAsia="Times New Roman" w:hAnsi="Times New Roman"/>
          <w:sz w:val="16"/>
          <w:szCs w:val="16"/>
          <w:color w:val="18181A"/>
        </w:rPr>
        <w:t xml:space="preserve"> addition to, repeal or adoption. For purposes of this Article VII, "officer" shall have the meaning provided in Section 102(b)(7) of the DGCL as it presently exists or hereafter may be amended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18181A"/>
        </w:rPr>
        <w:t>[The remainder of this page is intentionally left blank.]</w:t>
      </w:r>
    </w:p>
    <w:p>
      <w:pPr>
        <w:sectPr>
          <w:pgSz w:w="11900" w:h="16838" w:orient="portrait"/>
          <w:cols w:equalWidth="0" w:num="1">
            <w:col w:w="11280"/>
          </w:cols>
          <w:pgMar w:left="300" w:top="126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181A1C"/>
        </w:rPr>
        <w:t>IN WITNESS WHEREOF, the Corporation has caused this Amendment to the Amended and Restated Certificate to be duly executed on its behalf as of the date first written above.</w:t>
      </w:r>
    </w:p>
    <w:p>
      <w:pPr>
        <w:sectPr>
          <w:pgSz w:w="11900" w:h="16838" w:orient="portrait"/>
          <w:cols w:equalWidth="0" w:num="1">
            <w:col w:w="11200"/>
          </w:cols>
          <w:pgMar w:left="300" w:top="1267" w:right="3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181A1C"/>
        </w:rPr>
        <w:t>FIRST WATCH RESTAURANT GROUP, INC.</w:t>
      </w:r>
    </w:p>
    <w:p>
      <w:pPr>
        <w:spacing w:after="0" w:line="11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181A1C"/>
        </w:rPr>
        <w:t xml:space="preserve">By: </w:t>
      </w:r>
      <w:r>
        <w:rPr>
          <w:rFonts w:ascii="Times New Roman" w:cs="Times New Roman" w:eastAsia="Times New Roman" w:hAnsi="Times New Roman"/>
          <w:sz w:val="16"/>
          <w:szCs w:val="16"/>
          <w:color w:val="181A1C"/>
        </w:rPr>
        <w:t>/s/ Jay Wolszczak</w:t>
      </w:r>
    </w:p>
    <w:p>
      <w:pPr>
        <w:spacing w:after="0" w:line="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 xml:space="preserve">Name: </w:t>
      </w:r>
      <w:r>
        <w:rPr>
          <w:rFonts w:ascii="Times New Roman" w:cs="Times New Roman" w:eastAsia="Times New Roman" w:hAnsi="Times New Roman"/>
          <w:sz w:val="16"/>
          <w:szCs w:val="16"/>
          <w:color w:val="auto"/>
        </w:rPr>
        <w:t>Jay Wolszczak</w:t>
      </w:r>
    </w:p>
    <w:p>
      <w:pPr>
        <w:spacing w:after="0" w:line="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 xml:space="preserve">Title: </w:t>
      </w:r>
      <w:r>
        <w:rPr>
          <w:rFonts w:ascii="Times New Roman" w:cs="Times New Roman" w:eastAsia="Times New Roman" w:hAnsi="Times New Roman"/>
          <w:sz w:val="16"/>
          <w:szCs w:val="16"/>
          <w:color w:val="auto"/>
        </w:rPr>
        <w:t>Chief Legal Officer,</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181A1C"/>
        </w:rPr>
        <w:t>[Signature of Certificate of Amendment to A&amp;R Certificate of Incorporation]</w:t>
      </w:r>
    </w:p>
    <w:p>
      <w:pPr>
        <w:sectPr>
          <w:pgSz w:w="11900" w:h="16838" w:orient="portrait"/>
          <w:cols w:equalWidth="0" w:num="1">
            <w:col w:w="11200"/>
          </w:cols>
          <w:pgMar w:left="300" w:top="1267" w:right="399" w:bottom="1440" w:gutter="0" w:footer="0" w:header="0"/>
          <w:type w:val="continuous"/>
        </w:sectPr>
      </w:pPr>
    </w:p>
    <w:bookmarkStart w:id="98" w:name="page99"/>
    <w:bookmarkEnd w:id="98"/>
    <w:p>
      <w:pPr>
        <w:ind w:left="10560"/>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DESCRIPTION OF REGISTRANT’S SECURITIES REGISTERED PURSUANT TO SECTION 12 OF THE SECURITIES EXCHANGE ACT OF 1934</w:t>
      </w:r>
    </w:p>
    <w:p>
      <w:pPr>
        <w:spacing w:after="0" w:line="136"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6"/>
          <w:szCs w:val="16"/>
          <w:color w:val="auto"/>
        </w:rPr>
        <w:t>The following is a brief description of the common stock, par value $0.01 per share (the “common stock”) of First Watch Restaurant Group, Inc. (the “Company”), which is the only security of the Company registered pursuant to Section 12 of the Securities Exchange Act of 1934, as amended (the “Exchange Act”).</w:t>
      </w:r>
    </w:p>
    <w:p>
      <w:pPr>
        <w:spacing w:after="0" w:line="6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6"/>
          <w:szCs w:val="16"/>
          <w:color w:val="auto"/>
        </w:rPr>
        <w:t>The following description does not purport to be complete and is qualified in its entirety by reference to the Company’s amended and restated certificate of incorporation (our “certificate of incorporation”), our amended and restated bylaws (our “bylaws”) and the General Corporation Law of the State of Delaware (the “DGCL”).</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References in this exhibit to “we,” “us” and “our” refer to the Company and not to any of its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authorized capital stock consists of 300,000,000 shares of common stock, par value $0.01 per share and 10,000,000 shares of preferred stock, par value $0.01 per share.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preferred stock have not been issued. Unless our board of directors (our “Board”) determines otherwise, we will issue all shares of our capital stock in uncertificated form.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Holders of our common stock are entitled to the rights set forth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4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At any meeting of stockholders at which directors are to be elected, directors will be elected by a plurality of the votes cast by the holders of shares present in person or represented by proxy at the meeting and entitled to vote on the election of directors. Our stockholders do not have cumulative voting rights. Except as otherwise provided in our certificate of incorporation, our bylaws or as required by law, all matters to be voted on by our stockholders other than matters relating to the election and removal of directors must be approved by a majority of the shares present in person or represented by proxy at the meeting and voting on the subject matter.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Rights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Holders of common stock share equally in any dividend declared by our Board, subject to the rights of the holders of any outstanding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 Rights</w:t>
      </w:r>
    </w:p>
    <w:p>
      <w:pPr>
        <w:spacing w:after="0" w:line="1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distribution of assets or winding up of our affairs, holders of our common stock would be entitled to share ratably in our assets that are legally available for distribution to stockholders after payment of liabilities. If we have any preferred stock outstanding at such time, holders of the preferred stock may be entitled to distribution</w:t>
      </w:r>
    </w:p>
    <w:p>
      <w:pPr>
        <w:sectPr>
          <w:pgSz w:w="11900" w:h="16838" w:orient="portrait"/>
          <w:cols w:equalWidth="0" w:num="1">
            <w:col w:w="11280"/>
          </w:cols>
          <w:pgMar w:left="300" w:top="1265" w:right="319" w:bottom="1440" w:gutter="0" w:footer="0" w:header="0"/>
        </w:sectPr>
      </w:pPr>
    </w:p>
    <w:bookmarkStart w:id="99" w:name="page100"/>
    <w:bookmarkEnd w:id="99"/>
    <w:p>
      <w:pPr>
        <w:jc w:val="both"/>
        <w:spacing w:after="0" w:line="287" w:lineRule="auto"/>
        <w:rPr>
          <w:sz w:val="20"/>
          <w:szCs w:val="20"/>
          <w:color w:val="auto"/>
        </w:rPr>
      </w:pPr>
      <w:r>
        <w:rPr>
          <w:rFonts w:ascii="Times New Roman" w:cs="Times New Roman" w:eastAsia="Times New Roman" w:hAnsi="Times New Roman"/>
          <w:sz w:val="16"/>
          <w:szCs w:val="16"/>
          <w:color w:val="auto"/>
        </w:rPr>
        <w:t>and/or liquidation preferences. In either such case, we must pay the applicable distribution to the holders of our preferred stock before we may pay distributions to the holders of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p>
    <w:p>
      <w:pPr>
        <w:spacing w:after="0" w:line="13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6"/>
          <w:szCs w:val="16"/>
          <w:color w:val="auto"/>
        </w:rPr>
        <w:t>Our stockholders have no preemptive or other rights to subscribe for additional shares. There are no redemption, conversion or sinking fund provisions applicable to our common stock. All holders of our common stock are entitled to share equally on a share-for-share basis in any assets available for distribution to common stockholders upon our liquidation, dissolution or winding up. All outstanding shares are validly issued, fully paid and non-assessable.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47"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6"/>
          <w:szCs w:val="16"/>
          <w:color w:val="auto"/>
        </w:rPr>
        <w:t>No shares of preferred stock have been issued. Our Board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47"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6"/>
          <w:szCs w:val="16"/>
          <w:color w:val="auto"/>
        </w:rPr>
        <w:t>Our certificate of incorporation and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Classified Board of Directors</w:t>
      </w:r>
    </w:p>
    <w:p>
      <w:pPr>
        <w:spacing w:after="0" w:line="136" w:lineRule="exact"/>
        <w:rPr>
          <w:sz w:val="20"/>
          <w:szCs w:val="20"/>
          <w:color w:val="auto"/>
        </w:rPr>
      </w:pPr>
    </w:p>
    <w:p>
      <w:pPr>
        <w:jc w:val="both"/>
        <w:ind w:firstLine="509"/>
        <w:spacing w:after="0" w:line="279" w:lineRule="auto"/>
        <w:rPr>
          <w:sz w:val="20"/>
          <w:szCs w:val="20"/>
          <w:color w:val="auto"/>
        </w:rPr>
      </w:pPr>
      <w:r>
        <w:rPr>
          <w:rFonts w:ascii="Times New Roman" w:cs="Times New Roman" w:eastAsia="Times New Roman" w:hAnsi="Times New Roman"/>
          <w:sz w:val="16"/>
          <w:szCs w:val="16"/>
          <w:color w:val="auto"/>
        </w:rPr>
        <w:t>Our Board is divided into three classes, Class I, Class II and Class III, with members of each class serving staggered three-year terms. Our certificate of incorporation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Our certificate of incorporation and our bylaws also provide that a director may be removed by the affirmative vote of the holders of a majority of the voting power of our outstanding shares of capital stock entitled to vote generally in the election of</w:t>
      </w:r>
    </w:p>
    <w:p>
      <w:pPr>
        <w:sectPr>
          <w:pgSz w:w="11900" w:h="16838" w:orient="portrait"/>
          <w:cols w:equalWidth="0" w:num="1">
            <w:col w:w="11280"/>
          </w:cols>
          <w:pgMar w:left="300" w:top="1267" w:right="31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6"/>
          <w:szCs w:val="16"/>
          <w:color w:val="auto"/>
        </w:rPr>
        <w:t>directors, voting together as a single class, and only for cause so long as our Board is classified. Any vacancy on our Board, including a vacancy resulting from an enlargement of our Board, may be filled only by vote of a majority of our directors then in office. Our classified Board could have the effect of delaying or discouraging an acquisition of us or a change in our management.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Meetings of Stockholders and Advance Notice Requirements for Stockholder Meetings, Nominations and Proposals</w:t>
      </w:r>
    </w:p>
    <w:p>
      <w:pPr>
        <w:spacing w:after="0" w:line="14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Our bylaws provide that special meetings of the stockholders may be called only upon the request of a majority of our Board, the Chairperson of our Board or the Chief Executive Officer. Our bylaws prohibit the conduct of any business at an annual or special meeting other than as specified in the notice for such meeting or otherwise brought before the meeting by or at the direction of the Board or a duly authorized committee or authorized officer to whom the Board or committee delegated such authority. These provisions may have the effect of deferring, delaying or discouraging hostile takeovers or changes in control or management of our company.</w:t>
      </w:r>
    </w:p>
    <w:p>
      <w:pPr>
        <w:spacing w:after="0" w:line="101"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6"/>
          <w:szCs w:val="16"/>
          <w:color w:val="auto"/>
        </w:rPr>
        <w:t>Our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Stockholder Action by Written Consent</w:t>
      </w:r>
    </w:p>
    <w:p>
      <w:pPr>
        <w:spacing w:after="0" w:line="1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Section 203 of the DGCL</w:t>
      </w:r>
    </w:p>
    <w:p>
      <w:pPr>
        <w:spacing w:after="0" w:line="136"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certificate of incorporation contains provisions that have the same effect as Section 203 of the DGCL. Although we have elected to opt out of the statute’s provisions, we could elect to be subject to Section 203 in the future.</w:t>
      </w:r>
    </w:p>
    <w:p>
      <w:pPr>
        <w:sectPr>
          <w:pgSz w:w="11900" w:h="16838" w:orient="portrait"/>
          <w:cols w:equalWidth="0" w:num="1">
            <w:col w:w="11280"/>
          </w:cols>
          <w:pgMar w:left="300" w:top="1267"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color w:val="auto"/>
        </w:rPr>
        <w:t>Amendment to Bylaws and Certificate of Incorporation</w:t>
      </w:r>
    </w:p>
    <w:p>
      <w:pPr>
        <w:spacing w:after="0" w:line="136"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6"/>
          <w:szCs w:val="16"/>
          <w:color w:val="auto"/>
        </w:rPr>
        <w:t>Any amendment to our certificate of incorporation must first be approved by a majority of our Board and if required by law, thereafter be approved by a majority of the outstanding shares entitled to vote on the amendment. Our bylaws may be amended (x) by the affirmative vote of a majority of the directors then in office, without further stockholder action or (y) by the affirmative vote of at least a majority of the voting power of the then outstanding shares entitled to vote generally in the election of directors, voting together as a single class, without further action by our Board.</w:t>
      </w:r>
    </w:p>
    <w:p>
      <w:pPr>
        <w:sectPr>
          <w:pgSz w:w="11900" w:h="16838" w:orient="portrait"/>
          <w:cols w:equalWidth="0" w:num="1">
            <w:col w:w="11280"/>
          </w:cols>
          <w:pgMar w:left="300" w:top="1265"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071245" cy="5657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10712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April 10, 2018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Jay Wolszczak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Dear Jay,</w:t>
      </w:r>
    </w:p>
    <w:p>
      <w:pPr>
        <w:spacing w:after="0" w:line="1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It is my pleasure to extend the following offer of employment to you to join First Watch Restaurants, Inc. (the “</w:t>
      </w:r>
      <w:r>
        <w:rPr>
          <w:rFonts w:ascii="Arial" w:cs="Arial" w:eastAsia="Arial" w:hAnsi="Arial"/>
          <w:sz w:val="16"/>
          <w:szCs w:val="16"/>
          <w:b w:val="1"/>
          <w:bCs w:val="1"/>
          <w:color w:val="auto"/>
        </w:rPr>
        <w:t>Company</w:t>
      </w:r>
      <w:r>
        <w:rPr>
          <w:rFonts w:ascii="Arial" w:cs="Arial" w:eastAsia="Arial" w:hAnsi="Arial"/>
          <w:sz w:val="16"/>
          <w:szCs w:val="16"/>
          <w:color w:val="auto"/>
        </w:rPr>
        <w:t>”), subject to the terms and conditions set forth in 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w:t>
      </w:r>
    </w:p>
    <w:p>
      <w:pPr>
        <w:spacing w:after="0" w:line="119" w:lineRule="exact"/>
        <w:rPr>
          <w:sz w:val="20"/>
          <w:szCs w:val="20"/>
          <w:color w:val="auto"/>
        </w:rPr>
      </w:pPr>
    </w:p>
    <w:p>
      <w:pPr>
        <w:ind w:left="360" w:hanging="253"/>
        <w:spacing w:after="0" w:line="339" w:lineRule="auto"/>
        <w:tabs>
          <w:tab w:leader="none" w:pos="351"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EMPLOYMENT</w:t>
      </w:r>
      <w:r>
        <w:rPr>
          <w:rFonts w:ascii="Arial" w:cs="Arial" w:eastAsia="Arial" w:hAnsi="Arial"/>
          <w:sz w:val="14"/>
          <w:szCs w:val="14"/>
          <w:color w:val="auto"/>
        </w:rPr>
        <w:t>: Your employment with the Company will be “at-will” at all times and you or the Company may terminate your employment at any time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any reason. Except as otherwise provided herein, upon and after such termination, all obligations of the Company under this Letter Agreement will cease.</w:t>
      </w:r>
    </w:p>
    <w:p>
      <w:pPr>
        <w:ind w:left="360" w:hanging="253"/>
        <w:spacing w:after="0" w:line="277" w:lineRule="auto"/>
        <w:tabs>
          <w:tab w:leader="none" w:pos="35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TITLE</w:t>
      </w:r>
      <w:r>
        <w:rPr>
          <w:rFonts w:ascii="Arial" w:cs="Arial" w:eastAsia="Arial" w:hAnsi="Arial"/>
          <w:sz w:val="16"/>
          <w:szCs w:val="16"/>
          <w:color w:val="auto"/>
        </w:rPr>
        <w:t>: Your official title will be General Counsel, Chief Legal Officer. In this role – which is based at our corporate office in University Park, FL -- you will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to Chris Tomasso, President.</w:t>
      </w:r>
    </w:p>
    <w:p>
      <w:pPr>
        <w:spacing w:after="0" w:line="30" w:lineRule="exact"/>
        <w:rPr>
          <w:rFonts w:ascii="Times New Roman" w:cs="Times New Roman" w:eastAsia="Times New Roman" w:hAnsi="Times New Roman"/>
          <w:sz w:val="16"/>
          <w:szCs w:val="16"/>
          <w:color w:val="auto"/>
        </w:rPr>
      </w:pPr>
    </w:p>
    <w:p>
      <w:pPr>
        <w:ind w:left="360" w:hanging="253"/>
        <w:spacing w:after="0" w:line="277" w:lineRule="auto"/>
        <w:tabs>
          <w:tab w:leader="none" w:pos="35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Your base salary will be paid in bi-weekly installments equal to a $301,600.00 annual salary less withholdings required by law,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in installments consistent with company payroll procedures/policies.</w:t>
      </w:r>
    </w:p>
    <w:p>
      <w:pPr>
        <w:spacing w:after="0" w:line="41" w:lineRule="exact"/>
        <w:rPr>
          <w:rFonts w:ascii="Times New Roman" w:cs="Times New Roman" w:eastAsia="Times New Roman" w:hAnsi="Times New Roman"/>
          <w:sz w:val="16"/>
          <w:szCs w:val="16"/>
          <w:color w:val="auto"/>
        </w:rPr>
      </w:pPr>
    </w:p>
    <w:p>
      <w:pPr>
        <w:jc w:val="both"/>
        <w:ind w:left="360" w:hanging="253"/>
        <w:spacing w:after="0" w:line="249" w:lineRule="auto"/>
        <w:tabs>
          <w:tab w:leader="none" w:pos="35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BONUS</w:t>
      </w:r>
      <w:r>
        <w:rPr>
          <w:rFonts w:ascii="Arial" w:cs="Arial" w:eastAsia="Arial" w:hAnsi="Arial"/>
          <w:sz w:val="16"/>
          <w:szCs w:val="16"/>
          <w:color w:val="auto"/>
        </w:rPr>
        <w:t>: Your bonus target will be 70% of your earned base salary, which will be prorated based upon your start date. The amount of your bonus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in its sole discretion and paid at the same time bonuses are paid to Company executives; provided, that you shall only be eligible to receive the bonus if you are actively employed by the Company through the completion of the full bonus period. The details of our bonus plan will be determined by the Board in its sole discretion and shared in a separate document.</w:t>
      </w:r>
    </w:p>
    <w:p>
      <w:pPr>
        <w:spacing w:after="0" w:line="63" w:lineRule="exact"/>
        <w:rPr>
          <w:rFonts w:ascii="Times New Roman" w:cs="Times New Roman" w:eastAsia="Times New Roman" w:hAnsi="Times New Roman"/>
          <w:sz w:val="16"/>
          <w:szCs w:val="16"/>
          <w:color w:val="auto"/>
        </w:rPr>
      </w:pPr>
    </w:p>
    <w:p>
      <w:pPr>
        <w:jc w:val="both"/>
        <w:ind w:left="360" w:hanging="253"/>
        <w:spacing w:after="0" w:line="249" w:lineRule="auto"/>
        <w:tabs>
          <w:tab w:leader="none" w:pos="35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EQUITY INCENTIVE PROGRAM: </w:t>
      </w:r>
      <w:r>
        <w:rPr>
          <w:rFonts w:ascii="Arial" w:cs="Arial" w:eastAsia="Arial" w:hAnsi="Arial"/>
          <w:sz w:val="16"/>
          <w:szCs w:val="16"/>
          <w:color w:val="auto"/>
        </w:rPr>
        <w:t>You will be entitled to participate in the Company’s equity incentive program. The Company will grant you the right and</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purchase, on the terms and conditions set forth in a separate plan and award agreement, 18,000 Shares (the “</w:t>
      </w:r>
      <w:r>
        <w:rPr>
          <w:rFonts w:ascii="Arial" w:cs="Arial" w:eastAsia="Arial" w:hAnsi="Arial"/>
          <w:sz w:val="16"/>
          <w:szCs w:val="16"/>
          <w:b w:val="1"/>
          <w:bCs w:val="1"/>
          <w:color w:val="auto"/>
        </w:rPr>
        <w:t>Option</w:t>
      </w:r>
      <w:r>
        <w:rPr>
          <w:rFonts w:ascii="Arial" w:cs="Arial" w:eastAsia="Arial" w:hAnsi="Arial"/>
          <w:sz w:val="16"/>
          <w:szCs w:val="16"/>
          <w:color w:val="auto"/>
        </w:rPr>
        <w:t>”), subject to adjustment as set forth in the plan, with an exercise price equal to the fair market value of a share of the Company’s common stock on the date of grant, as determined by the Company in good faith. Furthermore, on your first anniversary, you will have the opportunity to be granted the right and option to purchase 7,000 additional Shares for a total of 25,000 Shares. Full details of the plan will be provided under separate cover in your Nonqualified Stock Option Award Agreement, which shall be controlling in all respects in the event of any inconsistency between such agreement and this Letter Agreement.</w:t>
      </w:r>
    </w:p>
    <w:p>
      <w:pPr>
        <w:spacing w:after="0" w:line="63" w:lineRule="exact"/>
        <w:rPr>
          <w:rFonts w:ascii="Times New Roman" w:cs="Times New Roman" w:eastAsia="Times New Roman" w:hAnsi="Times New Roman"/>
          <w:sz w:val="16"/>
          <w:szCs w:val="16"/>
          <w:color w:val="auto"/>
        </w:rPr>
      </w:pPr>
    </w:p>
    <w:p>
      <w:pPr>
        <w:ind w:left="360" w:hanging="253"/>
        <w:spacing w:after="0" w:line="264" w:lineRule="auto"/>
        <w:tabs>
          <w:tab w:leader="none" w:pos="35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RELOCATION BONUS: </w:t>
      </w:r>
      <w:r>
        <w:rPr>
          <w:rFonts w:ascii="Arial" w:cs="Arial" w:eastAsia="Arial" w:hAnsi="Arial"/>
          <w:sz w:val="16"/>
          <w:szCs w:val="16"/>
          <w:color w:val="auto"/>
        </w:rPr>
        <w:t>You will receive a Relocation Bonus of $150,000 (the “</w:t>
      </w:r>
      <w:r>
        <w:rPr>
          <w:rFonts w:ascii="Arial" w:cs="Arial" w:eastAsia="Arial" w:hAnsi="Arial"/>
          <w:sz w:val="16"/>
          <w:szCs w:val="16"/>
          <w:b w:val="1"/>
          <w:bCs w:val="1"/>
          <w:color w:val="auto"/>
        </w:rPr>
        <w:t>Relocation Bonus</w:t>
      </w:r>
      <w:r>
        <w:rPr>
          <w:rFonts w:ascii="Arial" w:cs="Arial" w:eastAsia="Arial" w:hAnsi="Arial"/>
          <w:sz w:val="16"/>
          <w:szCs w:val="16"/>
          <w:color w:val="auto"/>
        </w:rPr>
        <w:t>”) to facilitate your transition and ultimate relocation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Orlando to Sarasota. Half of this bonus will be paid</w:t>
      </w:r>
    </w:p>
    <w:p>
      <w:pPr>
        <w:sectPr>
          <w:pgSz w:w="11900" w:h="16838" w:orient="portrait"/>
          <w:cols w:equalWidth="0" w:num="1">
            <w:col w:w="11280"/>
          </w:cols>
          <w:pgMar w:left="300" w:top="1052" w:right="319" w:bottom="1440" w:gutter="0" w:footer="0" w:header="0"/>
        </w:sectPr>
      </w:pPr>
    </w:p>
    <w:bookmarkStart w:id="103" w:name="page104"/>
    <w:bookmarkEnd w:id="103"/>
    <w:p>
      <w:pPr>
        <w:jc w:val="both"/>
        <w:ind w:left="253"/>
        <w:spacing w:after="0" w:line="252" w:lineRule="auto"/>
        <w:rPr>
          <w:sz w:val="20"/>
          <w:szCs w:val="20"/>
          <w:color w:val="auto"/>
        </w:rPr>
      </w:pPr>
      <w:r>
        <w:rPr>
          <w:rFonts w:ascii="Arial" w:cs="Arial" w:eastAsia="Arial" w:hAnsi="Arial"/>
          <w:sz w:val="16"/>
          <w:szCs w:val="16"/>
          <w:color w:val="auto"/>
        </w:rPr>
        <w:t>upon your start with the Company and the remainder will be paid upon completion of your relocation to Sarasota. This bonus is provided to cover move-related expenses such as realtor commissions, closing costs, moving company fees and other transition related expenses. If you terminate your employment with the Company within two years following your start date, you will be required to return to the Company a pro rata portion of the Relocation Bonus determined by multiplying the total amount of the Relocation Bonus by a fraction, the numerator of which is the number of days remaining between the date of your termination and the end of such two year period and the denominator of which is 730.</w:t>
      </w:r>
    </w:p>
    <w:p>
      <w:pPr>
        <w:spacing w:after="0" w:line="51" w:lineRule="exact"/>
        <w:rPr>
          <w:sz w:val="20"/>
          <w:szCs w:val="20"/>
          <w:color w:val="auto"/>
        </w:rPr>
      </w:pPr>
    </w:p>
    <w:p>
      <w:pPr>
        <w:jc w:val="both"/>
        <w:ind w:left="253" w:hanging="253"/>
        <w:spacing w:after="0" w:line="263"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START DATE</w:t>
      </w:r>
      <w:r>
        <w:rPr>
          <w:rFonts w:ascii="Arial" w:cs="Arial" w:eastAsia="Arial" w:hAnsi="Arial"/>
          <w:sz w:val="16"/>
          <w:szCs w:val="16"/>
          <w:color w:val="auto"/>
        </w:rPr>
        <w:t>: Your official start date is TBD but is anticipated to be May 7, 2018. As a condition of employment, you will be required to sign a non-compete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confidentiality agreement prior to your start date. If you do not commence employment with the Company prior to May 31, 2018, this Letter Agreement will automatically terminate and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41" w:lineRule="exact"/>
        <w:rPr>
          <w:rFonts w:ascii="Times New Roman" w:cs="Times New Roman" w:eastAsia="Times New Roman" w:hAnsi="Times New Roman"/>
          <w:sz w:val="16"/>
          <w:szCs w:val="16"/>
          <w:color w:val="auto"/>
        </w:rPr>
      </w:pPr>
    </w:p>
    <w:p>
      <w:pPr>
        <w:jc w:val="both"/>
        <w:ind w:left="253" w:hanging="253"/>
        <w:spacing w:after="0" w:line="232"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HEALTH CARE COVERAGE</w:t>
      </w:r>
      <w:r>
        <w:rPr>
          <w:rFonts w:ascii="Arial" w:cs="Arial" w:eastAsia="Arial" w:hAnsi="Arial"/>
          <w:sz w:val="16"/>
          <w:szCs w:val="16"/>
          <w:color w:val="auto"/>
        </w:rPr>
        <w:t>: You will be eligible for health care coverage beginning the 1</w:t>
      </w:r>
      <w:r>
        <w:rPr>
          <w:rFonts w:ascii="Arial" w:cs="Arial" w:eastAsia="Arial" w:hAnsi="Arial"/>
          <w:sz w:val="20"/>
          <w:szCs w:val="20"/>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month after 60 days of employment, inclusive of dental</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First Watch will cover the cost of the premiums applicable to the plan that you select upon completion of your first 60 days of employment. In the interim, First Watch will cover COBRA payments for the first two months gap until First Watch coverage begins.</w:t>
      </w:r>
    </w:p>
    <w:p>
      <w:pPr>
        <w:spacing w:after="0" w:line="69" w:lineRule="exact"/>
        <w:rPr>
          <w:rFonts w:ascii="Times New Roman" w:cs="Times New Roman" w:eastAsia="Times New Roman" w:hAnsi="Times New Roman"/>
          <w:sz w:val="16"/>
          <w:szCs w:val="16"/>
          <w:color w:val="auto"/>
        </w:rPr>
      </w:pPr>
    </w:p>
    <w:p>
      <w:pPr>
        <w:ind w:left="253" w:hanging="253"/>
        <w:spacing w:after="0" w:line="277"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ADDITIONAL HEALTH CARE</w:t>
      </w:r>
      <w:r>
        <w:rPr>
          <w:rFonts w:ascii="Arial" w:cs="Arial" w:eastAsia="Arial" w:hAnsi="Arial"/>
          <w:sz w:val="16"/>
          <w:szCs w:val="16"/>
          <w:color w:val="auto"/>
        </w:rPr>
        <w:t>: You will be included in the executive health program that includes a concierge doctor. You will be able to add family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at your own expense. The cost of the concierge coverage is paid by the Company but is considered taxable income to the employee.</w:t>
      </w:r>
    </w:p>
    <w:p>
      <w:pPr>
        <w:spacing w:after="0" w:line="30" w:lineRule="exact"/>
        <w:rPr>
          <w:rFonts w:ascii="Times New Roman" w:cs="Times New Roman" w:eastAsia="Times New Roman" w:hAnsi="Times New Roman"/>
          <w:sz w:val="16"/>
          <w:szCs w:val="16"/>
          <w:color w:val="auto"/>
        </w:rPr>
      </w:pPr>
    </w:p>
    <w:p>
      <w:pPr>
        <w:ind w:left="253" w:hanging="253"/>
        <w:spacing w:after="0" w:line="277"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SHORT TERM DISABILITY</w:t>
      </w:r>
      <w:r>
        <w:rPr>
          <w:rFonts w:ascii="Arial" w:cs="Arial" w:eastAsia="Arial" w:hAnsi="Arial"/>
          <w:sz w:val="16"/>
          <w:szCs w:val="16"/>
          <w:color w:val="auto"/>
        </w:rPr>
        <w:t>: Short Term Disability insurance will be provided as a Company-sponsored benefit to you at no cost and Long Term Disability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provided as offered by the Company. Please see our attached 2018 Employee Benefits Guide.</w:t>
      </w:r>
    </w:p>
    <w:p>
      <w:pPr>
        <w:spacing w:after="0" w:line="30" w:lineRule="exact"/>
        <w:rPr>
          <w:rFonts w:ascii="Times New Roman" w:cs="Times New Roman" w:eastAsia="Times New Roman" w:hAnsi="Times New Roman"/>
          <w:sz w:val="16"/>
          <w:szCs w:val="16"/>
          <w:color w:val="auto"/>
        </w:rPr>
      </w:pPr>
    </w:p>
    <w:p>
      <w:pPr>
        <w:ind w:left="253" w:hanging="253"/>
        <w:spacing w:after="0" w:line="277"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LIFE INSURANCE BENEFIT: </w:t>
      </w:r>
      <w:r>
        <w:rPr>
          <w:rFonts w:ascii="Arial" w:cs="Arial" w:eastAsia="Arial" w:hAnsi="Arial"/>
          <w:sz w:val="16"/>
          <w:szCs w:val="16"/>
          <w:color w:val="auto"/>
        </w:rPr>
        <w:t>You will be eligible to participate in the Company’s Life Insurance Plan as a member of the leadership team, with a total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of up to $500,000.</w:t>
      </w:r>
    </w:p>
    <w:p>
      <w:pPr>
        <w:spacing w:after="0" w:line="41" w:lineRule="exact"/>
        <w:rPr>
          <w:rFonts w:ascii="Times New Roman" w:cs="Times New Roman" w:eastAsia="Times New Roman" w:hAnsi="Times New Roman"/>
          <w:sz w:val="16"/>
          <w:szCs w:val="16"/>
          <w:color w:val="auto"/>
        </w:rPr>
      </w:pPr>
    </w:p>
    <w:p>
      <w:pPr>
        <w:ind w:left="253" w:hanging="253"/>
        <w:spacing w:after="0"/>
        <w:tabs>
          <w:tab w:leader="none" w:pos="25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PAID TIME OFF (PTO)</w:t>
      </w:r>
      <w:r>
        <w:rPr>
          <w:rFonts w:ascii="Arial" w:cs="Arial" w:eastAsia="Arial" w:hAnsi="Arial"/>
          <w:sz w:val="16"/>
          <w:szCs w:val="16"/>
          <w:color w:val="auto"/>
        </w:rPr>
        <w:t>: The Company will provide to you paid time off in the form of personal time off / PTO in the amount of 15 days annually.</w:t>
      </w:r>
    </w:p>
    <w:p>
      <w:pPr>
        <w:spacing w:after="0" w:line="80" w:lineRule="exact"/>
        <w:rPr>
          <w:rFonts w:ascii="Times New Roman" w:cs="Times New Roman" w:eastAsia="Times New Roman" w:hAnsi="Times New Roman"/>
          <w:sz w:val="16"/>
          <w:szCs w:val="16"/>
          <w:color w:val="auto"/>
        </w:rPr>
      </w:pPr>
    </w:p>
    <w:p>
      <w:pPr>
        <w:ind w:left="253" w:hanging="253"/>
        <w:spacing w:after="0" w:line="277" w:lineRule="auto"/>
        <w:tabs>
          <w:tab w:leader="none" w:pos="244"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401K </w:t>
      </w:r>
      <w:r>
        <w:rPr>
          <w:rFonts w:ascii="Arial" w:cs="Arial" w:eastAsia="Arial" w:hAnsi="Arial"/>
          <w:sz w:val="16"/>
          <w:szCs w:val="16"/>
          <w:color w:val="auto"/>
        </w:rPr>
        <w:t>– You will be eligible to participate in our 401k program after one year of service; this program includes a Company match, the details of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outlined in the 401k Summary Plan Document.</w:t>
      </w:r>
    </w:p>
    <w:p>
      <w:pPr>
        <w:spacing w:after="0" w:line="30" w:lineRule="exact"/>
        <w:rPr>
          <w:rFonts w:ascii="Times New Roman" w:cs="Times New Roman" w:eastAsia="Times New Roman" w:hAnsi="Times New Roman"/>
          <w:sz w:val="16"/>
          <w:szCs w:val="16"/>
          <w:color w:val="auto"/>
        </w:rPr>
      </w:pPr>
    </w:p>
    <w:p>
      <w:pPr>
        <w:ind w:left="253" w:hanging="253"/>
        <w:spacing w:after="0"/>
        <w:tabs>
          <w:tab w:leader="none" w:pos="253"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MISC:</w:t>
      </w:r>
    </w:p>
    <w:p>
      <w:pPr>
        <w:spacing w:after="0" w:line="93" w:lineRule="exact"/>
        <w:rPr>
          <w:rFonts w:ascii="Times New Roman" w:cs="Times New Roman" w:eastAsia="Times New Roman" w:hAnsi="Times New Roman"/>
          <w:sz w:val="16"/>
          <w:szCs w:val="16"/>
          <w:color w:val="auto"/>
        </w:rPr>
      </w:pPr>
    </w:p>
    <w:p>
      <w:pPr>
        <w:ind w:left="1033" w:hanging="269"/>
        <w:spacing w:after="0"/>
        <w:tabs>
          <w:tab w:leader="none" w:pos="1033" w:val="left"/>
        </w:tabs>
        <w:numPr>
          <w:ilvl w:val="1"/>
          <w:numId w:val="42"/>
        </w:numPr>
        <w:rPr>
          <w:rFonts w:ascii="Arial" w:cs="Arial" w:eastAsia="Arial" w:hAnsi="Arial"/>
          <w:sz w:val="16"/>
          <w:szCs w:val="16"/>
          <w:color w:val="auto"/>
        </w:rPr>
      </w:pPr>
      <w:r>
        <w:rPr>
          <w:rFonts w:ascii="Arial" w:cs="Arial" w:eastAsia="Arial" w:hAnsi="Arial"/>
          <w:sz w:val="16"/>
          <w:szCs w:val="16"/>
          <w:color w:val="auto"/>
        </w:rPr>
        <w:t>Cell phone reimbursement of lesser of actual cost or $150.00 per month</w:t>
      </w:r>
    </w:p>
    <w:p>
      <w:pPr>
        <w:spacing w:after="0" w:line="49" w:lineRule="exact"/>
        <w:rPr>
          <w:rFonts w:ascii="Arial" w:cs="Arial" w:eastAsia="Arial" w:hAnsi="Arial"/>
          <w:sz w:val="16"/>
          <w:szCs w:val="16"/>
          <w:color w:val="auto"/>
        </w:rPr>
      </w:pPr>
    </w:p>
    <w:p>
      <w:pPr>
        <w:ind w:left="1033" w:hanging="269"/>
        <w:spacing w:after="0"/>
        <w:tabs>
          <w:tab w:leader="none" w:pos="1033" w:val="left"/>
        </w:tabs>
        <w:numPr>
          <w:ilvl w:val="1"/>
          <w:numId w:val="42"/>
        </w:numPr>
        <w:rPr>
          <w:rFonts w:ascii="Arial" w:cs="Arial" w:eastAsia="Arial" w:hAnsi="Arial"/>
          <w:sz w:val="16"/>
          <w:szCs w:val="16"/>
          <w:color w:val="auto"/>
        </w:rPr>
      </w:pPr>
      <w:r>
        <w:rPr>
          <w:rFonts w:ascii="Arial" w:cs="Arial" w:eastAsia="Arial" w:hAnsi="Arial"/>
          <w:sz w:val="16"/>
          <w:szCs w:val="16"/>
          <w:color w:val="auto"/>
        </w:rPr>
        <w:t>You are eligible for complimentary meals at any First Watch restaurant</w:t>
      </w:r>
    </w:p>
    <w:p>
      <w:pPr>
        <w:spacing w:after="0" w:line="47" w:lineRule="exact"/>
        <w:rPr>
          <w:rFonts w:ascii="Arial" w:cs="Arial" w:eastAsia="Arial" w:hAnsi="Arial"/>
          <w:sz w:val="16"/>
          <w:szCs w:val="16"/>
          <w:color w:val="auto"/>
        </w:rPr>
      </w:pPr>
    </w:p>
    <w:p>
      <w:pPr>
        <w:jc w:val="both"/>
        <w:ind w:left="253" w:hanging="253"/>
        <w:spacing w:after="0" w:line="287" w:lineRule="auto"/>
        <w:tabs>
          <w:tab w:leader="none" w:pos="244"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SEVERANCE</w:t>
      </w:r>
      <w:r>
        <w:rPr>
          <w:rFonts w:ascii="Arial" w:cs="Arial" w:eastAsia="Arial" w:hAnsi="Arial"/>
          <w:sz w:val="14"/>
          <w:szCs w:val="14"/>
          <w:color w:val="auto"/>
        </w:rPr>
        <w:t>: Upon a termination of your employment by the Company without Cause, subject to your execution and non-revocation of a general release of</w:t>
      </w:r>
      <w:r>
        <w:rPr>
          <w:rFonts w:ascii="Arial" w:cs="Arial" w:eastAsia="Arial" w:hAnsi="Arial"/>
          <w:sz w:val="14"/>
          <w:szCs w:val="14"/>
          <w:b w:val="1"/>
          <w:bCs w:val="1"/>
          <w:color w:val="auto"/>
        </w:rPr>
        <w:t xml:space="preserve"> </w:t>
      </w:r>
      <w:r>
        <w:rPr>
          <w:rFonts w:ascii="Arial" w:cs="Arial" w:eastAsia="Arial" w:hAnsi="Arial"/>
          <w:sz w:val="14"/>
          <w:szCs w:val="14"/>
          <w:color w:val="auto"/>
        </w:rPr>
        <w:t>claims within 60 days following the date of such termination, you will be entitled to continued payment of your base salary for a period of 12 months, payable consistent with Company payroll procedures/policies (the “</w:t>
      </w:r>
      <w:r>
        <w:rPr>
          <w:rFonts w:ascii="Arial" w:cs="Arial" w:eastAsia="Arial" w:hAnsi="Arial"/>
          <w:sz w:val="14"/>
          <w:szCs w:val="14"/>
          <w:b w:val="1"/>
          <w:bCs w:val="1"/>
          <w:color w:val="auto"/>
        </w:rPr>
        <w:t>Severance Payments</w:t>
      </w:r>
      <w:r>
        <w:rPr>
          <w:rFonts w:ascii="Arial" w:cs="Arial" w:eastAsia="Arial" w:hAnsi="Arial"/>
          <w:sz w:val="14"/>
          <w:szCs w:val="14"/>
          <w:color w:val="auto"/>
        </w:rPr>
        <w:t>”). If such 60-day period spans two of your taxable years, the Severance Payments shall not commence until the second taxable year, with the first payment including any payments that would have been made had the 60-day delay period provided herein not applied. For purposes of this Letter Agreement, “Cause” means the occurrence of any of the following: (a) your indictment for any crime involving moral turpitude, fraud or misrepresentation or your pleading guilty or nolo contendere to, any felony or crime involving moral turpitude that is damaging to the reputation of the Company; (b) your commission of any act which is a felony; (c) your gross misconduct or fraud involving the operations of the Company; (d) your misappropriation or embezzlement of funds or property of the Company; (e) your willful conduct which is materially injurious to the reputation, business or business relationships of the Company; (f) your violation of any of the provisions of this Letter Agreement or any material Company policy or work rule (including, for example, the Company’s sexual harassment policy, drug policy, etc.); or (g) your failure to</w:t>
      </w:r>
    </w:p>
    <w:p>
      <w:pPr>
        <w:sectPr>
          <w:pgSz w:w="11900" w:h="16838" w:orient="portrait"/>
          <w:cols w:equalWidth="0" w:num="1">
            <w:col w:w="11173"/>
          </w:cols>
          <w:pgMar w:left="407" w:top="1046" w:right="319" w:bottom="1440" w:gutter="0" w:footer="0" w:header="0"/>
        </w:sectPr>
      </w:pPr>
    </w:p>
    <w:bookmarkStart w:id="104" w:name="page105"/>
    <w:bookmarkEnd w:id="104"/>
    <w:p>
      <w:pPr>
        <w:jc w:val="both"/>
        <w:ind w:left="253"/>
        <w:spacing w:after="0" w:line="249" w:lineRule="auto"/>
        <w:rPr>
          <w:sz w:val="20"/>
          <w:szCs w:val="20"/>
          <w:color w:val="auto"/>
        </w:rPr>
      </w:pPr>
      <w:r>
        <w:rPr>
          <w:rFonts w:ascii="Arial" w:cs="Arial" w:eastAsia="Arial" w:hAnsi="Arial"/>
          <w:sz w:val="16"/>
          <w:szCs w:val="16"/>
          <w:color w:val="auto"/>
        </w:rPr>
        <w:t>follow the reasonable directions or instructions issued to you by the Board, or the your refusal or failure to substantially perform your duties and responsibilities under this Letter Agreement to the reasonable satisfaction of the Board; provided however, that prior to any termination for Cause, the Company must give written notice to you stating the reasons triggering such termination and you shall thereafter have the right to remedy the condition, if such condition can be remedied in the good faith determination of the Board, within 30 days of the date your receiving such written notice. If you do not remedy the condition within the 30-day cure period to the reasonable satisfaction of the Board, then the Board may deliver a notice of termination for Cause at any time within 30 days following the expiration of such cure period, in which case termination will be effective upon delivery of such notice.</w:t>
      </w:r>
    </w:p>
    <w:p>
      <w:pPr>
        <w:spacing w:after="0" w:line="62" w:lineRule="exact"/>
        <w:rPr>
          <w:sz w:val="20"/>
          <w:szCs w:val="20"/>
          <w:color w:val="auto"/>
        </w:rPr>
      </w:pPr>
    </w:p>
    <w:p>
      <w:pPr>
        <w:ind w:left="253" w:hanging="253"/>
        <w:spacing w:after="0" w:line="277" w:lineRule="auto"/>
        <w:tabs>
          <w:tab w:leader="none" w:pos="244"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WITHHOLDING</w:t>
      </w:r>
      <w:r>
        <w:rPr>
          <w:rFonts w:ascii="Arial" w:cs="Arial" w:eastAsia="Arial" w:hAnsi="Arial"/>
          <w:sz w:val="16"/>
          <w:szCs w:val="16"/>
          <w:color w:val="auto"/>
        </w:rPr>
        <w:t>: The Company will be entitled to withhold from any amounts payable under this Letter Agreement, including any perquisites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any federal, state, local or foreign withholding or other taxes or charges which it is from time to time required to withhold.</w:t>
      </w:r>
    </w:p>
    <w:p>
      <w:pPr>
        <w:spacing w:after="0" w:line="30" w:lineRule="exact"/>
        <w:rPr>
          <w:rFonts w:ascii="Times New Roman" w:cs="Times New Roman" w:eastAsia="Times New Roman" w:hAnsi="Times New Roman"/>
          <w:sz w:val="16"/>
          <w:szCs w:val="16"/>
          <w:color w:val="auto"/>
        </w:rPr>
      </w:pPr>
    </w:p>
    <w:p>
      <w:pPr>
        <w:jc w:val="both"/>
        <w:ind w:left="253" w:hanging="253"/>
        <w:spacing w:after="0" w:line="252" w:lineRule="auto"/>
        <w:tabs>
          <w:tab w:leader="none" w:pos="244"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This Letter Agreement is intended to be exempt from or comply with the requirements of Section 409A of the Internal Revenue Code of 1986,</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(the “</w:t>
      </w:r>
      <w:r>
        <w:rPr>
          <w:rFonts w:ascii="Arial" w:cs="Arial" w:eastAsia="Arial" w:hAnsi="Arial"/>
          <w:sz w:val="16"/>
          <w:szCs w:val="16"/>
          <w:b w:val="1"/>
          <w:bCs w:val="1"/>
          <w:color w:val="auto"/>
        </w:rPr>
        <w:t>Code</w:t>
      </w:r>
      <w:r>
        <w:rPr>
          <w:rFonts w:ascii="Arial" w:cs="Arial" w:eastAsia="Arial" w:hAnsi="Arial"/>
          <w:sz w:val="16"/>
          <w:szCs w:val="16"/>
          <w:color w:val="auto"/>
        </w:rPr>
        <w:t>”), and the Treasury Regulations promulgated thereunder (the “</w:t>
      </w:r>
      <w:r>
        <w:rPr>
          <w:rFonts w:ascii="Arial" w:cs="Arial" w:eastAsia="Arial" w:hAnsi="Arial"/>
          <w:sz w:val="16"/>
          <w:szCs w:val="16"/>
          <w:b w:val="1"/>
          <w:bCs w:val="1"/>
          <w:color w:val="auto"/>
        </w:rPr>
        <w:t>Section 409A</w:t>
      </w:r>
      <w:r>
        <w:rPr>
          <w:rFonts w:ascii="Arial" w:cs="Arial" w:eastAsia="Arial" w:hAnsi="Arial"/>
          <w:sz w:val="16"/>
          <w:szCs w:val="16"/>
          <w:color w:val="auto"/>
        </w:rPr>
        <w:t>”), and shall be interpreted and construed consistently with such intent; provided, that in no event shall the Company be responsible to you for any taxes or penalties under Section 409A. You understand and agree that you bear the entire risk of any adverse federal, state or local tax consequences and penalty taxes which may result from payment on a basis contrary to the provisions of Section 409A or comparable provisions of any applicable state or local income tax laws.</w:t>
      </w:r>
    </w:p>
    <w:p>
      <w:pPr>
        <w:spacing w:after="0" w:line="53" w:lineRule="exact"/>
        <w:rPr>
          <w:rFonts w:ascii="Times New Roman" w:cs="Times New Roman" w:eastAsia="Times New Roman" w:hAnsi="Times New Roman"/>
          <w:sz w:val="16"/>
          <w:szCs w:val="16"/>
          <w:color w:val="auto"/>
        </w:rPr>
      </w:pPr>
    </w:p>
    <w:p>
      <w:pPr>
        <w:jc w:val="both"/>
        <w:ind w:left="253"/>
        <w:spacing w:after="0" w:line="246" w:lineRule="auto"/>
        <w:rPr>
          <w:rFonts w:ascii="Times New Roman" w:cs="Times New Roman" w:eastAsia="Times New Roman" w:hAnsi="Times New Roman"/>
          <w:sz w:val="16"/>
          <w:szCs w:val="16"/>
          <w:color w:val="auto"/>
        </w:rPr>
      </w:pPr>
      <w:r>
        <w:rPr>
          <w:rFonts w:ascii="Arial" w:cs="Arial" w:eastAsia="Arial" w:hAnsi="Arial"/>
          <w:sz w:val="16"/>
          <w:szCs w:val="16"/>
          <w:color w:val="auto"/>
        </w:rPr>
        <w:t>A termination of employment shall not be deemed to have occurred for purposes of any provision of this Letter Agreement providing for the payment of any amounts or benefits subject to Section 409A upon or following a termination of employment unless such termination is also a “separation from service” as defined in Section 409A, and for purposes of any such provision of this Letter Agreement, references to a “resignation,” “termination,” “terminate,” “termination of employment” or like terms shall mean “separation from service. If you are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be made or provided at the date which is the earlier of (i) the expiration of the six (6)-month period measured from the date of such “separation from service”, and (ii) the date of your death (the “Delay Period”). Upon the expiration of the Delay Period, all payments and benefits delayed pursuant to this Section 17 (whether they would have otherwise been payable in a single sum or in installments in the absence of such delay) shall be paid or reimbursed on the first business day following the expiration of the Delay Period to you in a lump sum with interest during the Delay Period at the prime rate, and any remaining payments and benefits due under this Letter Agreement shall be paid or provided in accordance with the normal payment dates specified for them herein.</w:t>
      </w:r>
    </w:p>
    <w:p>
      <w:pPr>
        <w:spacing w:after="0" w:line="68" w:lineRule="exact"/>
        <w:rPr>
          <w:rFonts w:ascii="Times New Roman" w:cs="Times New Roman" w:eastAsia="Times New Roman" w:hAnsi="Times New Roman"/>
          <w:sz w:val="16"/>
          <w:szCs w:val="16"/>
          <w:color w:val="auto"/>
        </w:rPr>
      </w:pPr>
    </w:p>
    <w:p>
      <w:pPr>
        <w:jc w:val="both"/>
        <w:ind w:left="253"/>
        <w:spacing w:after="0" w:line="287" w:lineRule="auto"/>
        <w:rPr>
          <w:rFonts w:ascii="Times New Roman" w:cs="Times New Roman" w:eastAsia="Times New Roman" w:hAnsi="Times New Roman"/>
          <w:sz w:val="16"/>
          <w:szCs w:val="16"/>
          <w:color w:val="auto"/>
        </w:rPr>
      </w:pPr>
      <w:r>
        <w:rPr>
          <w:rFonts w:ascii="Arial" w:cs="Arial" w:eastAsia="Arial" w:hAnsi="Arial"/>
          <w:sz w:val="14"/>
          <w:szCs w:val="14"/>
          <w:color w:val="auto"/>
        </w:rPr>
        <w:t>For purposes of Section 409A, your right to receive any installment payments pursuant to this Letter Agreement shall be treated as a right to receive a series of separate and distinct payments.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this clause (ii) shall not be violated with regard to expenses reimbursed under any arrangement covered by Internal Revenue Code Section 105(b) solely because such expenses are subject to a limit related to the period the arrangement is in effect and (iii) such payments shall be made on or before the last day of Executive’s taxable year following the taxable year in which the expense occurred.</w:t>
      </w:r>
    </w:p>
    <w:p>
      <w:pPr>
        <w:sectPr>
          <w:pgSz w:w="11900" w:h="16838" w:orient="portrait"/>
          <w:cols w:equalWidth="0" w:num="1">
            <w:col w:w="11173"/>
          </w:cols>
          <w:pgMar w:left="407" w:top="1046" w:right="319" w:bottom="1440" w:gutter="0" w:footer="0" w:header="0"/>
        </w:sectPr>
      </w:pPr>
    </w:p>
    <w:bookmarkStart w:id="105" w:name="page106"/>
    <w:bookmarkEnd w:id="105"/>
    <w:p>
      <w:pPr>
        <w:jc w:val="both"/>
        <w:ind w:left="360" w:hanging="253"/>
        <w:spacing w:after="0" w:line="249" w:lineRule="auto"/>
        <w:tabs>
          <w:tab w:leader="none" w:pos="351"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COMPLETE AGREEMENT</w:t>
      </w:r>
      <w:r>
        <w:rPr>
          <w:rFonts w:ascii="Arial" w:cs="Arial" w:eastAsia="Arial" w:hAnsi="Arial"/>
          <w:sz w:val="16"/>
          <w:szCs w:val="16"/>
          <w:color w:val="auto"/>
        </w:rPr>
        <w:t>: This Letter Agreement, the AI Fresh Super Holdco, Inc. 2017 Omnibus Equity Incentive Plan, your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thereunder and your non-compete and confidentiality agreement constitute the entire and complete understanding and agreement between the parties with respect to the subject matter hereof, and supersedes all prior and contemporaneous oral and written agreements, representations and understandings between you and the Company, or its subsidiaries and affiliates, relating to the subject matter herein. Other than expressly set forth herein, you and the Company acknowledge and represent that there are no other promises, terms, conditions or representations (oral or written) regarding any matter relevant hereto.</w:t>
      </w:r>
    </w:p>
    <w:p>
      <w:pPr>
        <w:spacing w:after="0" w:line="63" w:lineRule="exact"/>
        <w:rPr>
          <w:rFonts w:ascii="Times New Roman" w:cs="Times New Roman" w:eastAsia="Times New Roman" w:hAnsi="Times New Roman"/>
          <w:sz w:val="16"/>
          <w:szCs w:val="16"/>
          <w:color w:val="auto"/>
        </w:rPr>
      </w:pPr>
    </w:p>
    <w:p>
      <w:pPr>
        <w:ind w:left="360" w:hanging="253"/>
        <w:spacing w:after="0" w:line="348" w:lineRule="auto"/>
        <w:tabs>
          <w:tab w:leader="none" w:pos="351"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 This Letter Agreement and the rights and obligations hereunder shall be governed by and construed in accordance with the laws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State of Florida without reference to principles of conflicts of law of Florida or any other jurisdiction, and, where applicable, the laws of the United States.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Letter Agreement may be executed in separate counterparts, any one of which need not contain signatures of more than one party, but all of which taken together will constitute one and the same agreement.</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Letter Agreement and your employment with First Watch are conditional upon satisfactory results from a number of pre-employment inquiries which can include, but may not be limited to, a leadership assessment, a criminal background check, credit check, social security check, references and at minimum a phone interview or in-person interview with at least one board member.</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Once you review this offer, if you have any questions, please do not hesitate to contact me, Ken or our Chief People Officer, Laura Sorensen at 941-907-9800, ext.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210.</w:t>
      </w:r>
    </w:p>
    <w:p>
      <w:pPr>
        <w:spacing w:after="0"/>
        <w:rPr>
          <w:sz w:val="20"/>
          <w:szCs w:val="20"/>
          <w:color w:val="auto"/>
        </w:rPr>
      </w:pPr>
      <w:r>
        <w:rPr>
          <w:rFonts w:ascii="Arial" w:cs="Arial" w:eastAsia="Arial" w:hAnsi="Arial"/>
          <w:sz w:val="16"/>
          <w:szCs w:val="16"/>
          <w:color w:val="auto"/>
        </w:rPr>
        <w:t>On behalf of the entire First Watch team, congratulations Jay! We are excited to have someone with your talents join our Company.</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Chris Tomasso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Chris Tomasso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President</w:t>
      </w:r>
    </w:p>
    <w:p>
      <w:pPr>
        <w:spacing w:after="0"/>
        <w:rPr>
          <w:sz w:val="20"/>
          <w:szCs w:val="20"/>
          <w:color w:val="auto"/>
        </w:rPr>
      </w:pPr>
      <w:r>
        <w:rPr>
          <w:rFonts w:ascii="Arial" w:cs="Arial" w:eastAsia="Arial" w:hAnsi="Arial"/>
          <w:sz w:val="16"/>
          <w:szCs w:val="16"/>
          <w:color w:val="auto"/>
        </w:rPr>
        <w:t>First Watch Restaurants</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1"/>
          <w:szCs w:val="11"/>
          <w:i w:val="1"/>
          <w:iCs w:val="1"/>
          <w:color w:val="auto"/>
        </w:rPr>
        <w:t>*Employment at First Watch is “at will” and nothing in this offer letter should be construed to guarantee or contract employment for any length of time. Employment at First Watch may be terminated at any time by the Company with or without notice, and with or without cause. In accordance with the at-will philosophy, compensation plans, bonus and commission programs, benefits, benefit features, employer contributions, policies, and all other terms and conditions of employment are subject to change at any time, or may be discontinued at any time, with or without notice, as deemed appropriate by, and at the sole discretion of the President and/or CEO. The benefit information in this letter is meant as a source of general information and is not all-inclusive. Please review the policies and plan documents for more details. In the event of a conflict between the summaries noted in this letter and benefit plan documents, official plan documents will prevail.</w:t>
      </w:r>
    </w:p>
    <w:p>
      <w:pPr>
        <w:sectPr>
          <w:pgSz w:w="11900" w:h="16838" w:orient="portrait"/>
          <w:cols w:equalWidth="0" w:num="1">
            <w:col w:w="11280"/>
          </w:cols>
          <w:pgMar w:left="300" w:top="1044"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Agreed and Accepted: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/s/ Jay Wolszczak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Name: Jay Wolszczak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Date: 4/12/2018</w:t>
      </w:r>
    </w:p>
    <w:p>
      <w:pPr>
        <w:sectPr>
          <w:pgSz w:w="11900" w:h="16838" w:orient="portrait"/>
          <w:cols w:equalWidth="0" w:num="1">
            <w:col w:w="10159"/>
          </w:cols>
          <w:pgMar w:left="300" w:top="1056"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10.12</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WATCH RESTAURANT GROUP,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Agreement</w:t>
      </w:r>
    </w:p>
    <w:p>
      <w:pPr>
        <w:spacing w:after="0" w:line="137"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This Restricted Stock Unit Award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by and between First Watch Restaurant Group,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effective as of April 10, 2025 (the “</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197" w:lineRule="exact"/>
        <w:rPr>
          <w:sz w:val="20"/>
          <w:szCs w:val="20"/>
          <w:color w:val="auto"/>
        </w:rPr>
      </w:pPr>
    </w:p>
    <w:p>
      <w:pPr>
        <w:jc w:val="both"/>
        <w:ind w:firstLine="101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adopted the First Watch Restaurant Group, Inc., 2021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which is incorporated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reference and made a part of this Agreement. Capitalized terms not otherwise defined in this Agreement shall have the meanings ascribed to those terms in the Plan; and</w:t>
      </w:r>
    </w:p>
    <w:p>
      <w:pPr>
        <w:spacing w:after="0" w:line="80" w:lineRule="exact"/>
        <w:rPr>
          <w:sz w:val="20"/>
          <w:szCs w:val="20"/>
          <w:color w:val="auto"/>
        </w:rPr>
      </w:pPr>
    </w:p>
    <w:p>
      <w:pPr>
        <w:jc w:val="both"/>
        <w:ind w:firstLine="1019"/>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Committee has authorized and approved the grant of an Award to the Participant that will provide the Participant the opportunity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 shares of Common Stock upon the settlement of stock units on the terms and conditions set forth in the Plan and this Agreement (“</w:t>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mutual covenants set forth in this Agreement, the parties agree as follows:</w:t>
      </w:r>
    </w:p>
    <w:p>
      <w:pPr>
        <w:spacing w:after="0" w:line="137" w:lineRule="exact"/>
        <w:rPr>
          <w:sz w:val="20"/>
          <w:szCs w:val="20"/>
          <w:color w:val="auto"/>
        </w:rPr>
      </w:pPr>
    </w:p>
    <w:p>
      <w:pPr>
        <w:ind w:left="520" w:hanging="515"/>
        <w:spacing w:after="0" w:line="230"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Award</w:t>
      </w:r>
      <w:r>
        <w:rPr>
          <w:rFonts w:ascii="Times New Roman" w:cs="Times New Roman" w:eastAsia="Times New Roman" w:hAnsi="Times New Roman"/>
          <w:sz w:val="17"/>
          <w:szCs w:val="17"/>
          <w:color w:val="auto"/>
        </w:rPr>
        <w:t>. The Company hereby grants to the Participant, effective as of the Date of Grant,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Restricted Stock Units, on the terms and conditions set forth in the Plan and this Agreement.</w:t>
      </w:r>
    </w:p>
    <w:p>
      <w:pPr>
        <w:spacing w:after="0" w:line="174"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Forfeiture</w:t>
      </w:r>
      <w:r>
        <w:rPr>
          <w:rFonts w:ascii="Times New Roman" w:cs="Times New Roman" w:eastAsia="Times New Roman" w:hAnsi="Times New Roman"/>
          <w:sz w:val="17"/>
          <w:szCs w:val="17"/>
          <w:color w:val="auto"/>
        </w:rPr>
        <w:t>. Subject to the terms and conditions set forth in the Plan and this Agreement, the Restricted Stock Units shall vest as follows:</w:t>
      </w:r>
    </w:p>
    <w:p>
      <w:pPr>
        <w:spacing w:after="0" w:line="197" w:lineRule="exact"/>
        <w:rPr>
          <w:rFonts w:ascii="Times New Roman" w:cs="Times New Roman" w:eastAsia="Times New Roman" w:hAnsi="Times New Roman"/>
          <w:sz w:val="17"/>
          <w:szCs w:val="17"/>
          <w:color w:val="auto"/>
        </w:rPr>
      </w:pPr>
    </w:p>
    <w:p>
      <w:pPr>
        <w:ind w:left="1020" w:hanging="506"/>
        <w:spacing w:after="0" w:line="276" w:lineRule="auto"/>
        <w:tabs>
          <w:tab w:leader="none" w:pos="101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One hundred percent (100%) of the Restricted Stock Units shall vest on the fourth anniversary of the Date of Grant, subject to the Participant’s continued Service through the vesting date.</w:t>
      </w:r>
    </w:p>
    <w:p>
      <w:pPr>
        <w:spacing w:after="0" w:line="123" w:lineRule="exact"/>
        <w:rPr>
          <w:rFonts w:ascii="Times New Roman" w:cs="Times New Roman" w:eastAsia="Times New Roman" w:hAnsi="Times New Roman"/>
          <w:sz w:val="17"/>
          <w:szCs w:val="17"/>
          <w:color w:val="auto"/>
        </w:rPr>
      </w:pPr>
    </w:p>
    <w:p>
      <w:pPr>
        <w:ind w:left="1020" w:hanging="506"/>
        <w:spacing w:after="0" w:line="289" w:lineRule="auto"/>
        <w:tabs>
          <w:tab w:leader="none" w:pos="1016"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Participant’s Service for any reason or no reason, any then unvested Restricted Stock Units will be forfeited immediately, automatically and without consideration.</w:t>
      </w:r>
    </w:p>
    <w:p>
      <w:pPr>
        <w:spacing w:after="0" w:line="112"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p>
    <w:p>
      <w:pPr>
        <w:spacing w:after="0" w:line="197" w:lineRule="exact"/>
        <w:rPr>
          <w:rFonts w:ascii="Times New Roman" w:cs="Times New Roman" w:eastAsia="Times New Roman" w:hAnsi="Times New Roman"/>
          <w:sz w:val="17"/>
          <w:szCs w:val="17"/>
          <w:color w:val="auto"/>
        </w:rPr>
      </w:pPr>
    </w:p>
    <w:p>
      <w:pPr>
        <w:ind w:left="1020" w:hanging="506"/>
        <w:spacing w:after="0" w:line="276" w:lineRule="auto"/>
        <w:tabs>
          <w:tab w:leader="none" w:pos="101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The Company shall deliver to the Participant within sixty (60) days following the vesting date of the Restricted Stock Units, a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12934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56" w:lineRule="exact"/>
        <w:rPr>
          <w:sz w:val="20"/>
          <w:szCs w:val="20"/>
          <w:color w:val="auto"/>
        </w:rPr>
      </w:pPr>
    </w:p>
    <w:p>
      <w:pPr>
        <w:ind w:right="180" w:firstLine="5"/>
        <w:spacing w:after="0" w:line="225" w:lineRule="auto"/>
        <w:tabs>
          <w:tab w:leader="none" w:pos="98"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NTD: Determined by dividing target award grant value by the closing price of FWRG common stock on the date of grant and rounding down to the nearest whole share.</w:t>
      </w:r>
    </w:p>
    <w:p>
      <w:pPr>
        <w:sectPr>
          <w:pgSz w:w="11900" w:h="16838" w:orient="portrait"/>
          <w:cols w:equalWidth="0" w:num="1">
            <w:col w:w="11280"/>
          </w:cols>
          <w:pgMar w:left="300" w:top="1186" w:right="319" w:bottom="1440" w:gutter="0" w:footer="0" w:header="0"/>
        </w:sectPr>
      </w:pPr>
    </w:p>
    <w:bookmarkStart w:id="108" w:name="page109"/>
    <w:bookmarkEnd w:id="108"/>
    <w:p>
      <w:pPr>
        <w:jc w:val="both"/>
        <w:ind w:left="1020"/>
        <w:spacing w:after="0" w:line="255" w:lineRule="auto"/>
        <w:rPr>
          <w:sz w:val="20"/>
          <w:szCs w:val="20"/>
          <w:color w:val="auto"/>
        </w:rPr>
      </w:pPr>
      <w:r>
        <w:rPr>
          <w:rFonts w:ascii="Times New Roman" w:cs="Times New Roman" w:eastAsia="Times New Roman" w:hAnsi="Times New Roman"/>
          <w:sz w:val="17"/>
          <w:szCs w:val="17"/>
          <w:color w:val="auto"/>
        </w:rPr>
        <w:t xml:space="preserve">Common Stock equal to the aggregate number of Restricted Stock Units that have vested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165" w:lineRule="exact"/>
        <w:rPr>
          <w:sz w:val="20"/>
          <w:szCs w:val="20"/>
          <w:color w:val="auto"/>
        </w:rPr>
      </w:pPr>
    </w:p>
    <w:p>
      <w:pPr>
        <w:jc w:val="both"/>
        <w:ind w:left="1020" w:hanging="506"/>
        <w:spacing w:after="0" w:line="252" w:lineRule="auto"/>
        <w:tabs>
          <w:tab w:leader="none" w:pos="1016"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Requirements</w:t>
      </w:r>
      <w:r>
        <w:rPr>
          <w:rFonts w:ascii="Times New Roman" w:cs="Times New Roman" w:eastAsia="Times New Roman" w:hAnsi="Times New Roman"/>
          <w:sz w:val="17"/>
          <w:szCs w:val="17"/>
          <w:color w:val="auto"/>
        </w:rPr>
        <w:t>. As a condition to receipt of the Restricted Stock Units, to the fullest extent permitted under the Plan and applicable law and until further action by the Committee to elect a different method, withholding taxes and other tax related items shall be satisfied through the sale of only such number of the shares of Common Stock subject to the Restricted Stock Units as are necessary to satisfy tax withholding obligations arising exclusively from the vesting or settlement of the Restricted Stock Units through a broker of the Company’s choosing and the remittance of the cash proceeds to the Company. The Company is authorized and directed by the Participant to make payment(s) from the cash proceeds of this sale directly to the appropriate taxing authorities. The mandatory sale of shares of Common Stock to cover withholding taxes and tax related items is imposed by the Company on the Participant in connection with the receipt of the Restricted Stock Units, and it is intended by the Participant to (i) comply with the requirements of Rule 10b5-1(c)(1)(i)(B) of the Exchange Act, (ii) constitute a sell-to-cover transaction within the meaning of Rule 10b5-1(c)(1)(ii)(D)(3) of the Exchange Act and (iii) be interpreted to meet the requirements of Rule 10b5-1(c) of the Exchange Act. The Participant hereby represents and certifies to the Company that the Participant is not aware of any material nonpublic information about the Restricted Stock Units, shares of Common Stock underlying the Restricted Stock Units or the Company, and the Participant is executing this Agreement in good faith and not as part of a plan or scheme to evade the prohibitions of Rule 10b5-1(c) of the Exchange Act.</w:t>
      </w:r>
    </w:p>
    <w:p>
      <w:pPr>
        <w:spacing w:after="0" w:line="146" w:lineRule="exact"/>
        <w:rPr>
          <w:rFonts w:ascii="Times New Roman" w:cs="Times New Roman" w:eastAsia="Times New Roman" w:hAnsi="Times New Roman"/>
          <w:sz w:val="17"/>
          <w:szCs w:val="17"/>
          <w:color w:val="auto"/>
        </w:rPr>
      </w:pPr>
    </w:p>
    <w:p>
      <w:pPr>
        <w:jc w:val="both"/>
        <w:ind w:left="520" w:hanging="515"/>
        <w:spacing w:after="0" w:line="255" w:lineRule="auto"/>
        <w:tabs>
          <w:tab w:leader="none" w:pos="5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280G</w:t>
      </w:r>
      <w:r>
        <w:rPr>
          <w:rFonts w:ascii="Times New Roman" w:cs="Times New Roman" w:eastAsia="Times New Roman" w:hAnsi="Times New Roman"/>
          <w:sz w:val="17"/>
          <w:szCs w:val="17"/>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48" w:right="319" w:bottom="1440" w:gutter="0" w:footer="0" w:header="0"/>
        </w:sectPr>
      </w:pPr>
    </w:p>
    <w:bookmarkStart w:id="109" w:name="page110"/>
    <w:bookmarkEnd w:id="109"/>
    <w:p>
      <w:pPr>
        <w:jc w:val="both"/>
        <w:ind w:left="520"/>
        <w:spacing w:after="0" w:line="253" w:lineRule="auto"/>
        <w:rPr>
          <w:sz w:val="20"/>
          <w:szCs w:val="20"/>
          <w:color w:val="auto"/>
        </w:rPr>
      </w:pPr>
      <w:r>
        <w:rPr>
          <w:rFonts w:ascii="Times New Roman" w:cs="Times New Roman" w:eastAsia="Times New Roman" w:hAnsi="Times New Roman"/>
          <w:sz w:val="17"/>
          <w:szCs w:val="17"/>
          <w:color w:val="auto"/>
        </w:rPr>
        <w:t xml:space="preserve">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made in a manner that results in the greatest economic benefit for the Participant and is consistent with the requirements of Section 409A of the Code. Any determination required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520" w:hanging="515"/>
        <w:spacing w:after="0"/>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 Provisions</w:t>
      </w:r>
    </w:p>
    <w:p>
      <w:pPr>
        <w:spacing w:after="0" w:line="197" w:lineRule="exact"/>
        <w:rPr>
          <w:rFonts w:ascii="Times New Roman" w:cs="Times New Roman" w:eastAsia="Times New Roman" w:hAnsi="Times New Roman"/>
          <w:sz w:val="17"/>
          <w:szCs w:val="17"/>
          <w:color w:val="auto"/>
        </w:rPr>
      </w:pPr>
    </w:p>
    <w:p>
      <w:pPr>
        <w:jc w:val="both"/>
        <w:ind w:left="1020" w:hanging="506"/>
        <w:spacing w:after="0" w:line="255" w:lineRule="auto"/>
        <w:tabs>
          <w:tab w:leader="none" w:pos="101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of a Shareholder; Dividend Equivalents</w:t>
      </w:r>
      <w:r>
        <w:rPr>
          <w:rFonts w:ascii="Times New Roman" w:cs="Times New Roman" w:eastAsia="Times New Roman" w:hAnsi="Times New Roman"/>
          <w:sz w:val="17"/>
          <w:szCs w:val="17"/>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of Common Stock shall accumulate and be paid with respect to each unvested Restricted Stock Unit at time of settlement; provided that any dividend equivalent rights granted shall be subject to the same vesting terms as the related Restricted Stock Units.</w:t>
      </w:r>
    </w:p>
    <w:p>
      <w:pPr>
        <w:spacing w:after="0" w:line="164" w:lineRule="exact"/>
        <w:rPr>
          <w:rFonts w:ascii="Times New Roman" w:cs="Times New Roman" w:eastAsia="Times New Roman" w:hAnsi="Times New Roman"/>
          <w:sz w:val="17"/>
          <w:szCs w:val="17"/>
          <w:color w:val="auto"/>
        </w:rPr>
      </w:pPr>
    </w:p>
    <w:p>
      <w:pPr>
        <w:jc w:val="both"/>
        <w:ind w:left="1020" w:hanging="506"/>
        <w:spacing w:after="0" w:line="258" w:lineRule="auto"/>
        <w:tabs>
          <w:tab w:leader="none" w:pos="101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58" w:lineRule="exact"/>
        <w:rPr>
          <w:rFonts w:ascii="Times New Roman" w:cs="Times New Roman" w:eastAsia="Times New Roman" w:hAnsi="Times New Roman"/>
          <w:sz w:val="17"/>
          <w:szCs w:val="17"/>
          <w:color w:val="auto"/>
        </w:rPr>
      </w:pPr>
    </w:p>
    <w:p>
      <w:pPr>
        <w:jc w:val="both"/>
        <w:ind w:left="1020" w:hanging="506"/>
        <w:spacing w:after="0" w:line="257" w:lineRule="auto"/>
        <w:tabs>
          <w:tab w:leader="none" w:pos="101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Restrictions Applicable to Shares</w:t>
      </w:r>
      <w:r>
        <w:rPr>
          <w:rFonts w:ascii="Times New Roman" w:cs="Times New Roman" w:eastAsia="Times New Roman" w:hAnsi="Times New Roman"/>
          <w:sz w:val="17"/>
          <w:szCs w:val="17"/>
          <w:color w:val="auto"/>
        </w:rPr>
        <w:t xml:space="preserve">. Except with respect to such sales executed pursuant to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or otherwise pre-approved in writing by the Committee, any shares of Common Stock delivered pursuant to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shall be subject to restrictions that prohibit the sale, exchange, transfer, assignment, pledge, hypothecation, fractionalization, hedge or other disposal (including through the use of any cash-settled instrument), whether voluntary or involuntary or directly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48" w:right="319" w:bottom="1440" w:gutter="0" w:footer="0" w:header="0"/>
        </w:sectPr>
      </w:pPr>
    </w:p>
    <w:bookmarkStart w:id="110" w:name="page111"/>
    <w:bookmarkEnd w:id="110"/>
    <w:p>
      <w:pPr>
        <w:jc w:val="both"/>
        <w:ind w:left="1020"/>
        <w:spacing w:after="0" w:line="269" w:lineRule="auto"/>
        <w:rPr>
          <w:sz w:val="20"/>
          <w:szCs w:val="20"/>
          <w:color w:val="auto"/>
        </w:rPr>
      </w:pPr>
      <w:r>
        <w:rPr>
          <w:rFonts w:ascii="Times New Roman" w:cs="Times New Roman" w:eastAsia="Times New Roman" w:hAnsi="Times New Roman"/>
          <w:sz w:val="17"/>
          <w:szCs w:val="17"/>
          <w:color w:val="auto"/>
        </w:rPr>
        <w:t xml:space="preserve">or indirectly by Participant until the one-year anniversary of the date on which the Restricted Stock Units have vested pursuant to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Any purported sale, exchange, transfer, assignment, pledge, hypothecation, fractionalization, hedge or other disposition in violation of this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will be void.]</w:t>
      </w:r>
      <w:r>
        <w:rPr>
          <w:rFonts w:ascii="Times New Roman" w:cs="Times New Roman" w:eastAsia="Times New Roman" w:hAnsi="Times New Roman"/>
          <w:sz w:val="22"/>
          <w:szCs w:val="22"/>
          <w:color w:val="auto"/>
          <w:vertAlign w:val="superscript"/>
        </w:rPr>
        <w:t>2</w:t>
      </w:r>
    </w:p>
    <w:p>
      <w:pPr>
        <w:spacing w:after="0" w:line="85" w:lineRule="exact"/>
        <w:rPr>
          <w:sz w:val="20"/>
          <w:szCs w:val="20"/>
          <w:color w:val="auto"/>
        </w:rPr>
      </w:pPr>
    </w:p>
    <w:p>
      <w:pPr>
        <w:jc w:val="both"/>
        <w:ind w:left="1020" w:hanging="506"/>
        <w:spacing w:after="0" w:line="262" w:lineRule="auto"/>
        <w:tabs>
          <w:tab w:leader="none" w:pos="10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xml:space="preserve">. For the avoidance of doubt, </w:t>
      </w:r>
      <w:r>
        <w:rPr>
          <w:rFonts w:ascii="Times New Roman" w:cs="Times New Roman" w:eastAsia="Times New Roman" w:hAnsi="Times New Roman"/>
          <w:sz w:val="17"/>
          <w:szCs w:val="17"/>
          <w:u w:val="single" w:color="auto"/>
          <w:color w:val="auto"/>
        </w:rPr>
        <w:t>Section 4.2(f)</w:t>
      </w:r>
      <w:r>
        <w:rPr>
          <w:rFonts w:ascii="Times New Roman" w:cs="Times New Roman" w:eastAsia="Times New Roman" w:hAnsi="Times New Roman"/>
          <w:sz w:val="17"/>
          <w:szCs w:val="17"/>
          <w:color w:val="auto"/>
        </w:rPr>
        <w:t xml:space="preserve"> of the Company’s Executive Severance Plan shall apply to the Restricted Stock Units and this Agreement shall be interpreted consistent therewith. In the event of a Change in Control,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of this Agreement, shall no longer apply.</w:t>
      </w:r>
    </w:p>
    <w:p>
      <w:pPr>
        <w:spacing w:after="0" w:line="155" w:lineRule="exact"/>
        <w:rPr>
          <w:rFonts w:ascii="Times New Roman" w:cs="Times New Roman" w:eastAsia="Times New Roman" w:hAnsi="Times New Roman"/>
          <w:sz w:val="17"/>
          <w:szCs w:val="17"/>
          <w:color w:val="auto"/>
        </w:rPr>
      </w:pPr>
    </w:p>
    <w:p>
      <w:pPr>
        <w:jc w:val="both"/>
        <w:ind w:left="1020" w:hanging="506"/>
        <w:spacing w:after="0" w:line="258" w:lineRule="auto"/>
        <w:tabs>
          <w:tab w:leader="none" w:pos="10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The Participant acknowledges that the Participant is subject to the provisions of Section 12 (Forfeiture Events) and Section 14.6 (Trading Policy and Other Restrictions) of the Plan, the First Watch Restaurant Group, Inc. Incentive-Based Compensation Recovery Policy and any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58" w:lineRule="exact"/>
        <w:rPr>
          <w:rFonts w:ascii="Times New Roman" w:cs="Times New Roman" w:eastAsia="Times New Roman" w:hAnsi="Times New Roman"/>
          <w:sz w:val="17"/>
          <w:szCs w:val="17"/>
          <w:color w:val="auto"/>
        </w:rPr>
      </w:pPr>
    </w:p>
    <w:p>
      <w:pPr>
        <w:ind w:left="1020" w:hanging="506"/>
        <w:spacing w:after="0" w:line="276"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of any change with respect to the outstanding shares of Common Stock contemplated by Section 4.5 of the Plan, the Restricted Stock Units may be adjusted in accordance with Section 4.5 of the Plan.</w:t>
      </w:r>
    </w:p>
    <w:p>
      <w:pPr>
        <w:spacing w:after="0" w:line="144" w:lineRule="exact"/>
        <w:rPr>
          <w:rFonts w:ascii="Times New Roman" w:cs="Times New Roman" w:eastAsia="Times New Roman" w:hAnsi="Times New Roman"/>
          <w:sz w:val="17"/>
          <w:szCs w:val="17"/>
          <w:color w:val="auto"/>
        </w:rPr>
      </w:pPr>
    </w:p>
    <w:p>
      <w:pPr>
        <w:jc w:val="both"/>
        <w:ind w:left="1020" w:hanging="506"/>
        <w:spacing w:after="0" w:line="268" w:lineRule="auto"/>
        <w:tabs>
          <w:tab w:leader="none" w:pos="10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Continued Service</w:t>
      </w:r>
      <w:r>
        <w:rPr>
          <w:rFonts w:ascii="Times New Roman" w:cs="Times New Roman" w:eastAsia="Times New Roman" w:hAnsi="Times New Roman"/>
          <w:sz w:val="17"/>
          <w:szCs w:val="17"/>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51" w:lineRule="exact"/>
        <w:rPr>
          <w:rFonts w:ascii="Times New Roman" w:cs="Times New Roman" w:eastAsia="Times New Roman" w:hAnsi="Times New Roman"/>
          <w:sz w:val="17"/>
          <w:szCs w:val="17"/>
          <w:color w:val="auto"/>
        </w:rPr>
      </w:pPr>
    </w:p>
    <w:p>
      <w:pPr>
        <w:jc w:val="both"/>
        <w:ind w:left="1020" w:hanging="506"/>
        <w:spacing w:after="0" w:line="261" w:lineRule="auto"/>
        <w:tabs>
          <w:tab w:leader="none" w:pos="10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36" w:lineRule="exact"/>
        <w:rPr>
          <w:rFonts w:ascii="Times New Roman" w:cs="Times New Roman" w:eastAsia="Times New Roman" w:hAnsi="Times New Roman"/>
          <w:sz w:val="17"/>
          <w:szCs w:val="17"/>
          <w:color w:val="auto"/>
        </w:rPr>
      </w:pPr>
    </w:p>
    <w:p>
      <w:pPr>
        <w:ind w:left="1020" w:hanging="506"/>
        <w:spacing w:after="0" w:line="276" w:lineRule="auto"/>
        <w:tabs>
          <w:tab w:leader="none" w:pos="101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12934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54" w:lineRule="exact"/>
        <w:rPr>
          <w:sz w:val="20"/>
          <w:szCs w:val="20"/>
          <w:color w:val="auto"/>
        </w:rPr>
      </w:pPr>
    </w:p>
    <w:p>
      <w:pPr>
        <w:ind w:left="100" w:hanging="95"/>
        <w:spacing w:after="0"/>
        <w:tabs>
          <w:tab w:leader="none" w:pos="1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NTD: Applicable to CEO only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8" w:right="319" w:bottom="1440" w:gutter="0" w:footer="0" w:header="0"/>
        </w:sectPr>
      </w:pPr>
    </w:p>
    <w:bookmarkStart w:id="111" w:name="page112"/>
    <w:bookmarkEnd w:id="111"/>
    <w:p>
      <w:pPr>
        <w:ind w:left="506" w:hanging="506"/>
        <w:spacing w:after="0" w:line="276" w:lineRule="auto"/>
        <w:tabs>
          <w:tab w:leader="none" w:pos="4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Except as otherwise provided in the Plan, this Agreement will not be amended unless the amendment is agreed to in writing by both the Participant and the Company.</w:t>
      </w:r>
    </w:p>
    <w:p>
      <w:pPr>
        <w:spacing w:after="0" w:line="123" w:lineRule="exact"/>
        <w:rPr>
          <w:rFonts w:ascii="Times New Roman" w:cs="Times New Roman" w:eastAsia="Times New Roman" w:hAnsi="Times New Roman"/>
          <w:sz w:val="17"/>
          <w:szCs w:val="17"/>
          <w:color w:val="auto"/>
        </w:rPr>
      </w:pPr>
    </w:p>
    <w:p>
      <w:pPr>
        <w:jc w:val="both"/>
        <w:ind w:left="506" w:hanging="506"/>
        <w:spacing w:after="0" w:line="261" w:lineRule="auto"/>
        <w:tabs>
          <w:tab w:leader="none" w:pos="50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 Jurisdiction</w:t>
      </w:r>
      <w:r>
        <w:rPr>
          <w:rFonts w:ascii="Times New Roman" w:cs="Times New Roman" w:eastAsia="Times New Roman" w:hAnsi="Times New Roman"/>
          <w:sz w:val="17"/>
          <w:szCs w:val="17"/>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36" w:lineRule="exact"/>
        <w:rPr>
          <w:rFonts w:ascii="Times New Roman" w:cs="Times New Roman" w:eastAsia="Times New Roman" w:hAnsi="Times New Roman"/>
          <w:sz w:val="17"/>
          <w:szCs w:val="17"/>
          <w:color w:val="auto"/>
        </w:rPr>
      </w:pPr>
    </w:p>
    <w:p>
      <w:pPr>
        <w:ind w:left="506" w:hanging="506"/>
        <w:spacing w:after="0" w:line="276" w:lineRule="auto"/>
        <w:tabs>
          <w:tab w:leader="none" w:pos="4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Signature in Counterparts</w:t>
      </w:r>
      <w:r>
        <w:rPr>
          <w:rFonts w:ascii="Times New Roman" w:cs="Times New Roman" w:eastAsia="Times New Roman" w:hAnsi="Times New Roman"/>
          <w:sz w:val="17"/>
          <w:szCs w:val="17"/>
          <w:color w:val="auto"/>
        </w:rPr>
        <w:t>. This Agreement may be signed in counterparts, manually or electronically, each of which will be an original, with the same effect as if the signatures to each were upon the same instrument.</w:t>
      </w:r>
    </w:p>
    <w:p>
      <w:pPr>
        <w:spacing w:after="0" w:line="133" w:lineRule="exact"/>
        <w:rPr>
          <w:rFonts w:ascii="Times New Roman" w:cs="Times New Roman" w:eastAsia="Times New Roman" w:hAnsi="Times New Roman"/>
          <w:sz w:val="17"/>
          <w:szCs w:val="17"/>
          <w:color w:val="auto"/>
        </w:rPr>
      </w:pPr>
    </w:p>
    <w:p>
      <w:pPr>
        <w:jc w:val="both"/>
        <w:ind w:left="506" w:hanging="506"/>
        <w:spacing w:after="0" w:line="257" w:lineRule="auto"/>
        <w:tabs>
          <w:tab w:leader="none" w:pos="4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49" w:lineRule="exact"/>
        <w:rPr>
          <w:rFonts w:ascii="Times New Roman" w:cs="Times New Roman" w:eastAsia="Times New Roman" w:hAnsi="Times New Roman"/>
          <w:sz w:val="17"/>
          <w:szCs w:val="17"/>
          <w:color w:val="auto"/>
        </w:rPr>
      </w:pPr>
    </w:p>
    <w:p>
      <w:pPr>
        <w:jc w:val="both"/>
        <w:ind w:left="506" w:hanging="506"/>
        <w:spacing w:after="0" w:line="254" w:lineRule="auto"/>
        <w:tabs>
          <w:tab w:leader="none" w:pos="50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0" w:lineRule="exact"/>
        <w:rPr>
          <w:sz w:val="20"/>
          <w:szCs w:val="20"/>
          <w:color w:val="auto"/>
        </w:rPr>
      </w:pPr>
    </w:p>
    <w:p>
      <w:pPr>
        <w:ind w:left="4266"/>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766"/>
          </w:cols>
          <w:pgMar w:left="814" w:top="1148" w:right="319" w:bottom="1440" w:gutter="0" w:footer="0" w:header="0"/>
        </w:sectPr>
      </w:pPr>
    </w:p>
    <w:bookmarkStart w:id="112" w:name="page113"/>
    <w:bookmarkEnd w:id="112"/>
    <w:p>
      <w:pPr>
        <w:ind w:left="160"/>
        <w:spacing w:after="0"/>
        <w:rPr>
          <w:sz w:val="20"/>
          <w:szCs w:val="20"/>
          <w:color w:val="auto"/>
        </w:rPr>
      </w:pPr>
      <w:r>
        <w:rPr>
          <w:rFonts w:ascii="Times New Roman" w:cs="Times New Roman" w:eastAsia="Times New Roman" w:hAnsi="Times New Roman"/>
          <w:sz w:val="16"/>
          <w:szCs w:val="16"/>
          <w:color w:val="auto"/>
        </w:rPr>
        <w:t>IN WITNESS WHEREOF, the Company and the Participant have executed this Restricted Stock Unit Award Agreement as of the dates set forth below.</w:t>
      </w:r>
    </w:p>
    <w:p>
      <w:pPr>
        <w:sectPr>
          <w:pgSz w:w="11900" w:h="16838" w:orient="portrait"/>
          <w:cols w:equalWidth="0" w:num="1">
            <w:col w:w="10460"/>
          </w:cols>
          <w:pgMar w:left="320" w:top="1148" w:right="11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WATCH RESTAURANT GROUP, INC.</w:t>
      </w:r>
    </w:p>
    <w:p>
      <w:pPr>
        <w:spacing w:after="0" w:line="200" w:lineRule="exact"/>
        <w:rPr>
          <w:sz w:val="20"/>
          <w:szCs w:val="20"/>
          <w:color w:val="auto"/>
        </w:rPr>
      </w:pPr>
    </w:p>
    <w:p>
      <w:pPr>
        <w:sectPr>
          <w:pgSz w:w="11900" w:h="16838" w:orient="portrait"/>
          <w:cols w:equalWidth="0" w:num="2">
            <w:col w:w="4080" w:space="720"/>
            <w:col w:w="5660"/>
          </w:cols>
          <w:pgMar w:left="320" w:top="1148" w:right="11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ectPr>
          <w:pgSz w:w="11900" w:h="16838" w:orient="portrait"/>
          <w:cols w:equalWidth="0" w:num="2">
            <w:col w:w="4080" w:space="720"/>
            <w:col w:w="5660"/>
          </w:cols>
          <w:pgMar w:left="320" w:top="1148" w:right="1119"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Watch Restaurant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Severance Plan</w:t>
      </w:r>
    </w:p>
    <w:p>
      <w:pPr>
        <w:spacing w:after="0" w:line="174"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I.</w:t>
      </w:r>
      <w:r>
        <w:rPr>
          <w:sz w:val="20"/>
          <w:szCs w:val="20"/>
          <w:color w:val="auto"/>
        </w:rPr>
        <w:tab/>
      </w:r>
      <w:r>
        <w:rPr>
          <w:rFonts w:ascii="Times New Roman" w:cs="Times New Roman" w:eastAsia="Times New Roman" w:hAnsi="Times New Roman"/>
          <w:sz w:val="14"/>
          <w:szCs w:val="14"/>
          <w:b w:val="1"/>
          <w:bCs w:val="1"/>
          <w:color w:val="auto"/>
        </w:rPr>
        <w:t>PURPOSE</w:t>
      </w:r>
    </w:p>
    <w:p>
      <w:pPr>
        <w:spacing w:after="0" w:line="177"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The purpose of this First Watch Restaurant Group, Inc. Executive Severance Plan (this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is to retain certain officers and other key employees of the Company by providing appropriate severance benefits to such individuals and to ensure their continued dedication to their duties, including in the event of a Change of Control.</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II. Eligible Participants</w:t>
      </w:r>
    </w:p>
    <w:p>
      <w:pPr>
        <w:spacing w:after="0" w:line="17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Participants in the Plan will include the Executive Officers of the Company and any other individuals selected by the Committee in its sole discretion, in each case, who executes a Participation Agreement (each, an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520" w:hanging="260"/>
        <w:spacing w:after="0"/>
        <w:tabs>
          <w:tab w:leader="none" w:pos="52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 AND CONSTRUCTION</w:t>
      </w:r>
    </w:p>
    <w:p>
      <w:pPr>
        <w:spacing w:after="0" w:line="176" w:lineRule="exact"/>
        <w:rPr>
          <w:rFonts w:ascii="Times New Roman" w:cs="Times New Roman" w:eastAsia="Times New Roman" w:hAnsi="Times New Roman"/>
          <w:sz w:val="16"/>
          <w:szCs w:val="16"/>
          <w:b w:val="1"/>
          <w:bCs w:val="1"/>
          <w:color w:val="auto"/>
        </w:rPr>
      </w:pPr>
    </w:p>
    <w:p>
      <w:pPr>
        <w:ind w:left="5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3.1</w:t>
      </w:r>
      <w:r>
        <w:rPr>
          <w:rFonts w:ascii="Times New Roman" w:cs="Times New Roman" w:eastAsia="Times New Roman" w:hAnsi="Times New Roman"/>
          <w:sz w:val="14"/>
          <w:szCs w:val="14"/>
          <w:b w:val="1"/>
          <w:bCs w:val="1"/>
          <w:u w:val="single" w:color="auto"/>
          <w:color w:val="auto"/>
        </w:rPr>
        <w:t>Definitions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Where the following capitalized words and phrases appear in this Plan, they shall have the respective meanings set forth below:</w:t>
      </w:r>
    </w:p>
    <w:p>
      <w:pPr>
        <w:spacing w:after="0" w:line="176" w:lineRule="exact"/>
        <w:rPr>
          <w:rFonts w:ascii="Times New Roman" w:cs="Times New Roman" w:eastAsia="Times New Roman" w:hAnsi="Times New Roman"/>
          <w:sz w:val="16"/>
          <w:szCs w:val="16"/>
          <w:b w:val="1"/>
          <w:bCs w:val="1"/>
          <w:color w:val="auto"/>
        </w:rPr>
      </w:pPr>
    </w:p>
    <w:p>
      <w:pPr>
        <w:ind w:left="1020" w:hanging="251"/>
        <w:spacing w:after="0" w:line="289" w:lineRule="auto"/>
        <w:tabs>
          <w:tab w:leader="none" w:pos="101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“Applicable Factor” </w:t>
      </w:r>
      <w:r>
        <w:rPr>
          <w:rFonts w:ascii="Times New Roman" w:cs="Times New Roman" w:eastAsia="Times New Roman" w:hAnsi="Times New Roman"/>
          <w:sz w:val="16"/>
          <w:szCs w:val="16"/>
          <w:color w:val="auto"/>
        </w:rPr>
        <w:t>shall mean the relevant factor specified as applicable to the Executive, as set forth on the attached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opposite such Executive’s job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level in the column titled “Applicable Factor”.</w:t>
      </w:r>
    </w:p>
    <w:p>
      <w:pPr>
        <w:spacing w:after="0" w:line="119" w:lineRule="exact"/>
        <w:rPr>
          <w:rFonts w:ascii="Times New Roman" w:cs="Times New Roman" w:eastAsia="Times New Roman" w:hAnsi="Times New Roman"/>
          <w:sz w:val="16"/>
          <w:szCs w:val="16"/>
          <w:color w:val="auto"/>
        </w:rPr>
      </w:pPr>
    </w:p>
    <w:p>
      <w:pPr>
        <w:ind w:left="1020" w:hanging="251"/>
        <w:spacing w:after="0" w:line="275" w:lineRule="auto"/>
        <w:tabs>
          <w:tab w:leader="none" w:pos="101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“Applicable CIC Factor” </w:t>
      </w:r>
      <w:r>
        <w:rPr>
          <w:rFonts w:ascii="Times New Roman" w:cs="Times New Roman" w:eastAsia="Times New Roman" w:hAnsi="Times New Roman"/>
          <w:sz w:val="16"/>
          <w:szCs w:val="16"/>
          <w:color w:val="auto"/>
        </w:rPr>
        <w:t>shall mean the relevant factor specified as applicable to the Executive, as set forth on the attached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opposite such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job level in the column titled “Applicable CIC Factor”.</w:t>
      </w:r>
    </w:p>
    <w:p>
      <w:pPr>
        <w:spacing w:after="0" w:line="140"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“Board” </w:t>
      </w:r>
      <w:r>
        <w:rPr>
          <w:rFonts w:ascii="Times New Roman" w:cs="Times New Roman" w:eastAsia="Times New Roman" w:hAnsi="Times New Roman"/>
          <w:sz w:val="16"/>
          <w:szCs w:val="16"/>
          <w:color w:val="auto"/>
        </w:rPr>
        <w:t>shall mean the Board of Directors of the Company.</w:t>
      </w:r>
    </w:p>
    <w:p>
      <w:pPr>
        <w:spacing w:after="0" w:line="176" w:lineRule="exact"/>
        <w:rPr>
          <w:rFonts w:ascii="Times New Roman" w:cs="Times New Roman" w:eastAsia="Times New Roman" w:hAnsi="Times New Roman"/>
          <w:sz w:val="16"/>
          <w:szCs w:val="16"/>
          <w:color w:val="auto"/>
        </w:rPr>
      </w:pPr>
    </w:p>
    <w:p>
      <w:pPr>
        <w:jc w:val="both"/>
        <w:ind w:left="1020" w:hanging="251"/>
        <w:spacing w:after="0" w:line="298" w:lineRule="auto"/>
        <w:tabs>
          <w:tab w:leader="none" w:pos="101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“Cause” </w:t>
      </w:r>
      <w:r>
        <w:rPr>
          <w:rFonts w:ascii="Times New Roman" w:cs="Times New Roman" w:eastAsia="Times New Roman" w:hAnsi="Times New Roman"/>
          <w:sz w:val="14"/>
          <w:szCs w:val="14"/>
          <w:color w:val="auto"/>
        </w:rPr>
        <w:t>shall mean with respect to an Executive’s termination of service, the following: (i) in the case where there is no employment agreement or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in effect between the Company and the Executive (or where there is such an agreement but it does not define “cause” (or words of like import, which shall include, but not be limited to “gross misconduct”)), termination due to the Executive’s (A) failure to substantially perform the Executive’s duties or obey lawful directives that continues after receipt of written notice from the Company and a ten (10)-day opportunity to cure; (B) gross misconduct or gross negligence in the performance of Participant’s duties; (C) fraud, embezzlement, theft, or any other act of material dishonesty or misconduct; (D) conviction of, indictment for, or plea of guilty or nolo contendere to, a felony or any crime involving moral turpitude, (E) (x) material breach or violation of any agreement with the Company or its affiliates, including any restrictive covenant agreement applicable to the Executive, or (y) significant violation of the code of conduct or similar written policy, including, without limitation, any sexual harassment policy, of the Company or its affiliates; or (F) other conduct, acts, or omissions that, in the good faith judgment of the Company, are likely to significantly injure the reputation, business, or a business relationship of the Company or any of its affiliates; or (ii) in the case where</w:t>
      </w:r>
    </w:p>
    <w:p>
      <w:pPr>
        <w:sectPr>
          <w:pgSz w:w="11900" w:h="16838" w:orient="portrait"/>
          <w:cols w:equalWidth="0" w:num="1">
            <w:col w:w="11280"/>
          </w:cols>
          <w:pgMar w:left="300" w:top="125" w:right="319" w:bottom="1440" w:gutter="0" w:footer="0" w:header="0"/>
        </w:sectPr>
      </w:pPr>
    </w:p>
    <w:bookmarkStart w:id="114" w:name="page115"/>
    <w:bookmarkEnd w:id="114"/>
    <w:p>
      <w:pPr>
        <w:ind w:left="251"/>
        <w:spacing w:after="0" w:line="273" w:lineRule="auto"/>
        <w:rPr>
          <w:sz w:val="20"/>
          <w:szCs w:val="20"/>
          <w:color w:val="auto"/>
        </w:rPr>
      </w:pPr>
      <w:r>
        <w:rPr>
          <w:rFonts w:ascii="Times New Roman" w:cs="Times New Roman" w:eastAsia="Times New Roman" w:hAnsi="Times New Roman"/>
          <w:sz w:val="16"/>
          <w:szCs w:val="16"/>
          <w:color w:val="auto"/>
        </w:rPr>
        <w:t>there is an employment agreement, change in control agreement, or similar agreement in effect between the Company and the Executive that defines “cause” (or words of like import, which shall include but not be limited to “gross misconduct”), “cause” as defined under such agreement.</w:t>
      </w:r>
    </w:p>
    <w:p>
      <w:pPr>
        <w:spacing w:after="0" w:line="142" w:lineRule="exact"/>
        <w:rPr>
          <w:sz w:val="20"/>
          <w:szCs w:val="20"/>
          <w:color w:val="auto"/>
        </w:rPr>
      </w:pPr>
    </w:p>
    <w:p>
      <w:pPr>
        <w:ind w:left="251" w:hanging="251"/>
        <w:spacing w:after="0"/>
        <w:tabs>
          <w:tab w:leader="none" w:pos="25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“Change of Control” </w:t>
      </w:r>
      <w:r>
        <w:rPr>
          <w:rFonts w:ascii="Times New Roman" w:cs="Times New Roman" w:eastAsia="Times New Roman" w:hAnsi="Times New Roman"/>
          <w:sz w:val="16"/>
          <w:szCs w:val="16"/>
          <w:color w:val="auto"/>
        </w:rPr>
        <w:t>shall mean the first to occur of any of the following:</w:t>
      </w:r>
    </w:p>
    <w:p>
      <w:pPr>
        <w:spacing w:after="0" w:line="178" w:lineRule="exact"/>
        <w:rPr>
          <w:rFonts w:ascii="Times New Roman" w:cs="Times New Roman" w:eastAsia="Times New Roman" w:hAnsi="Times New Roman"/>
          <w:sz w:val="16"/>
          <w:szCs w:val="16"/>
          <w:color w:val="auto"/>
        </w:rPr>
      </w:pPr>
    </w:p>
    <w:p>
      <w:pPr>
        <w:jc w:val="both"/>
        <w:ind w:left="771" w:hanging="198"/>
        <w:spacing w:after="0" w:line="261" w:lineRule="auto"/>
        <w:tabs>
          <w:tab w:leader="none" w:pos="768"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becomes the “beneficial owner” (as defined in Rule 13d-3 under the Exchange Act), directly or indirectly, of securities of the Company representing more than 50% of the combined voting power of the Company’s then outstanding securities;</w:t>
      </w:r>
    </w:p>
    <w:p>
      <w:pPr>
        <w:spacing w:after="0" w:line="141" w:lineRule="exact"/>
        <w:rPr>
          <w:rFonts w:ascii="Times New Roman" w:cs="Times New Roman" w:eastAsia="Times New Roman" w:hAnsi="Times New Roman"/>
          <w:sz w:val="16"/>
          <w:szCs w:val="16"/>
          <w:color w:val="auto"/>
        </w:rPr>
      </w:pPr>
    </w:p>
    <w:p>
      <w:pPr>
        <w:jc w:val="both"/>
        <w:ind w:left="771" w:hanging="198"/>
        <w:spacing w:after="0" w:line="258" w:lineRule="auto"/>
        <w:tabs>
          <w:tab w:leader="none" w:pos="76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of two consecutive years (the “</w:t>
      </w:r>
      <w:r>
        <w:rPr>
          <w:rFonts w:ascii="Times New Roman" w:cs="Times New Roman" w:eastAsia="Times New Roman" w:hAnsi="Times New Roman"/>
          <w:sz w:val="16"/>
          <w:szCs w:val="16"/>
          <w:b w:val="1"/>
          <w:bCs w:val="1"/>
          <w:color w:val="auto"/>
        </w:rPr>
        <w:t>Board Measurement Period</w:t>
      </w:r>
      <w:r>
        <w:rPr>
          <w:rFonts w:ascii="Times New Roman" w:cs="Times New Roman" w:eastAsia="Times New Roman" w:hAnsi="Times New Roman"/>
          <w:sz w:val="16"/>
          <w:szCs w:val="16"/>
          <w:color w:val="auto"/>
        </w:rPr>
        <w:t>”) individuals who at the beginning of such period constitute the Board and any new director (other than a director designated by a Person who has entered into an agreement with the Company to effect a transaction described in paragraph (i), (iii), or (iv)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55" w:lineRule="exact"/>
        <w:rPr>
          <w:rFonts w:ascii="Times New Roman" w:cs="Times New Roman" w:eastAsia="Times New Roman" w:hAnsi="Times New Roman"/>
          <w:sz w:val="16"/>
          <w:szCs w:val="16"/>
          <w:color w:val="auto"/>
        </w:rPr>
      </w:pPr>
    </w:p>
    <w:p>
      <w:pPr>
        <w:jc w:val="both"/>
        <w:ind w:left="771" w:hanging="198"/>
        <w:spacing w:after="0" w:line="256" w:lineRule="auto"/>
        <w:tabs>
          <w:tab w:leader="none" w:pos="77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of Control of the Company; or</w:t>
      </w:r>
    </w:p>
    <w:p>
      <w:pPr>
        <w:spacing w:after="0" w:line="159" w:lineRule="exact"/>
        <w:rPr>
          <w:rFonts w:ascii="Times New Roman" w:cs="Times New Roman" w:eastAsia="Times New Roman" w:hAnsi="Times New Roman"/>
          <w:sz w:val="16"/>
          <w:szCs w:val="16"/>
          <w:color w:val="auto"/>
        </w:rPr>
      </w:pPr>
    </w:p>
    <w:p>
      <w:pPr>
        <w:jc w:val="both"/>
        <w:ind w:left="771" w:hanging="198"/>
        <w:spacing w:after="0" w:line="261" w:lineRule="auto"/>
        <w:tabs>
          <w:tab w:leader="none" w:pos="751"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sale or disposition by the Company of all or substantially all of the Company’s assets other than (A) the sale or disposition of all or substantially all of the assets of the Company to a Person or Persons who beneficially own, directly or indirectly, more than 50% of the combined voting power of the outstanding voting securities of the Company at the time of the sale</w:t>
      </w:r>
    </w:p>
    <w:p>
      <w:pPr>
        <w:sectPr>
          <w:pgSz w:w="11900" w:h="16838" w:orient="portrait"/>
          <w:cols w:equalWidth="0" w:num="1">
            <w:col w:w="10511"/>
          </w:cols>
          <w:pgMar w:left="1069" w:top="1320" w:right="319" w:bottom="1440" w:gutter="0" w:footer="0" w:header="0"/>
        </w:sectPr>
      </w:pPr>
    </w:p>
    <w:bookmarkStart w:id="115" w:name="page116"/>
    <w:bookmarkEnd w:id="115"/>
    <w:p>
      <w:pPr>
        <w:ind w:left="771"/>
        <w:spacing w:after="0"/>
        <w:rPr>
          <w:sz w:val="20"/>
          <w:szCs w:val="20"/>
          <w:color w:val="auto"/>
        </w:rPr>
      </w:pPr>
      <w:r>
        <w:rPr>
          <w:rFonts w:ascii="Times New Roman" w:cs="Times New Roman" w:eastAsia="Times New Roman" w:hAnsi="Times New Roman"/>
          <w:sz w:val="16"/>
          <w:szCs w:val="16"/>
          <w:color w:val="auto"/>
        </w:rPr>
        <w:t>or disposition or (B) pursuant to a spinoff type transaction, directly or indirectly, of such assets to the stockholders of the Company.</w:t>
      </w:r>
    </w:p>
    <w:p>
      <w:pPr>
        <w:spacing w:after="0" w:line="177" w:lineRule="exact"/>
        <w:rPr>
          <w:sz w:val="20"/>
          <w:szCs w:val="20"/>
          <w:color w:val="auto"/>
        </w:rPr>
      </w:pPr>
    </w:p>
    <w:p>
      <w:pPr>
        <w:jc w:val="both"/>
        <w:ind w:left="251"/>
        <w:spacing w:after="0" w:line="261" w:lineRule="auto"/>
        <w:rPr>
          <w:sz w:val="20"/>
          <w:szCs w:val="20"/>
          <w:color w:val="auto"/>
        </w:rPr>
      </w:pPr>
      <w:r>
        <w:rPr>
          <w:rFonts w:ascii="Times New Roman" w:cs="Times New Roman" w:eastAsia="Times New Roman" w:hAnsi="Times New Roman"/>
          <w:sz w:val="16"/>
          <w:szCs w:val="16"/>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 For purposes of this definition of Change of Control,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shall mean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53" w:lineRule="exact"/>
        <w:rPr>
          <w:sz w:val="20"/>
          <w:szCs w:val="20"/>
          <w:color w:val="auto"/>
        </w:rPr>
      </w:pPr>
    </w:p>
    <w:p>
      <w:pPr>
        <w:ind w:left="251" w:hanging="251"/>
        <w:spacing w:after="0"/>
        <w:tabs>
          <w:tab w:leader="none" w:pos="25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“COBRA” </w:t>
      </w:r>
      <w:r>
        <w:rPr>
          <w:rFonts w:ascii="Times New Roman" w:cs="Times New Roman" w:eastAsia="Times New Roman" w:hAnsi="Times New Roman"/>
          <w:sz w:val="16"/>
          <w:szCs w:val="16"/>
          <w:color w:val="auto"/>
        </w:rPr>
        <w:t>means the Consolidated Omnibus Budget Reconciliation Act of 1985, as amended.</w:t>
      </w:r>
    </w:p>
    <w:p>
      <w:pPr>
        <w:spacing w:after="0" w:line="176" w:lineRule="exact"/>
        <w:rPr>
          <w:rFonts w:ascii="Times New Roman" w:cs="Times New Roman" w:eastAsia="Times New Roman" w:hAnsi="Times New Roman"/>
          <w:sz w:val="16"/>
          <w:szCs w:val="16"/>
          <w:color w:val="auto"/>
        </w:rPr>
      </w:pPr>
    </w:p>
    <w:p>
      <w:pPr>
        <w:ind w:left="251" w:hanging="251"/>
        <w:spacing w:after="0" w:line="275" w:lineRule="auto"/>
        <w:tabs>
          <w:tab w:leader="none" w:pos="24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“Code” </w:t>
      </w:r>
      <w:r>
        <w:rPr>
          <w:rFonts w:ascii="Times New Roman" w:cs="Times New Roman" w:eastAsia="Times New Roman" w:hAnsi="Times New Roman"/>
          <w:sz w:val="16"/>
          <w:szCs w:val="16"/>
          <w:color w:val="auto"/>
        </w:rPr>
        <w:t>shall mean the Internal Revenue Code of 1986, as amended from time to time, or any successor thereto, and the applicable rulings and regulations issued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thereunder.</w:t>
      </w:r>
    </w:p>
    <w:p>
      <w:pPr>
        <w:spacing w:after="0" w:line="140" w:lineRule="exact"/>
        <w:rPr>
          <w:rFonts w:ascii="Times New Roman" w:cs="Times New Roman" w:eastAsia="Times New Roman" w:hAnsi="Times New Roman"/>
          <w:sz w:val="16"/>
          <w:szCs w:val="16"/>
          <w:color w:val="auto"/>
        </w:rPr>
      </w:pPr>
    </w:p>
    <w:p>
      <w:pPr>
        <w:ind w:left="251" w:hanging="251"/>
        <w:spacing w:after="0" w:line="275" w:lineRule="auto"/>
        <w:tabs>
          <w:tab w:leader="none" w:pos="24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“Committee” </w:t>
      </w:r>
      <w:r>
        <w:rPr>
          <w:rFonts w:ascii="Times New Roman" w:cs="Times New Roman" w:eastAsia="Times New Roman" w:hAnsi="Times New Roman"/>
          <w:sz w:val="16"/>
          <w:szCs w:val="16"/>
          <w:color w:val="auto"/>
        </w:rPr>
        <w:t>means (i) the Compensation Committee of the Board, (ii) such other committee of no fewer than two members of the Board who are appointed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to administer the Plan, or (iii) the Board, as determined by the Board.</w:t>
      </w:r>
    </w:p>
    <w:p>
      <w:pPr>
        <w:spacing w:after="0" w:line="130" w:lineRule="exact"/>
        <w:rPr>
          <w:rFonts w:ascii="Times New Roman" w:cs="Times New Roman" w:eastAsia="Times New Roman" w:hAnsi="Times New Roman"/>
          <w:sz w:val="16"/>
          <w:szCs w:val="16"/>
          <w:color w:val="auto"/>
        </w:rPr>
      </w:pPr>
    </w:p>
    <w:p>
      <w:pPr>
        <w:ind w:left="251" w:hanging="251"/>
        <w:spacing w:after="0"/>
        <w:tabs>
          <w:tab w:leader="none" w:pos="25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shall mean First Watch Restaurant Group, Inc., a Delaware corporation, together with its direct and indirect subsidiaries.</w:t>
      </w:r>
    </w:p>
    <w:p>
      <w:pPr>
        <w:spacing w:after="0" w:line="187" w:lineRule="exact"/>
        <w:rPr>
          <w:rFonts w:ascii="Times New Roman" w:cs="Times New Roman" w:eastAsia="Times New Roman" w:hAnsi="Times New Roman"/>
          <w:sz w:val="16"/>
          <w:szCs w:val="16"/>
          <w:color w:val="auto"/>
        </w:rPr>
      </w:pPr>
    </w:p>
    <w:p>
      <w:pPr>
        <w:ind w:left="251" w:hanging="251"/>
        <w:spacing w:after="0" w:line="275" w:lineRule="auto"/>
        <w:tabs>
          <w:tab w:leader="none" w:pos="24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“Equity Plan” </w:t>
      </w:r>
      <w:r>
        <w:rPr>
          <w:rFonts w:ascii="Times New Roman" w:cs="Times New Roman" w:eastAsia="Times New Roman" w:hAnsi="Times New Roman"/>
          <w:sz w:val="16"/>
          <w:szCs w:val="16"/>
          <w:color w:val="auto"/>
        </w:rPr>
        <w:t>means the Company’s 2021 Equity Incentive Plan, as such may be amended from time to time, and any successor plan thereto and any award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evidencing awards granted thereunder.</w:t>
      </w:r>
    </w:p>
    <w:p>
      <w:pPr>
        <w:spacing w:after="0" w:line="130" w:lineRule="exact"/>
        <w:rPr>
          <w:rFonts w:ascii="Times New Roman" w:cs="Times New Roman" w:eastAsia="Times New Roman" w:hAnsi="Times New Roman"/>
          <w:sz w:val="16"/>
          <w:szCs w:val="16"/>
          <w:color w:val="auto"/>
        </w:rPr>
      </w:pPr>
    </w:p>
    <w:p>
      <w:pPr>
        <w:ind w:left="251" w:hanging="251"/>
        <w:spacing w:after="0" w:line="289" w:lineRule="auto"/>
        <w:tabs>
          <w:tab w:leader="none" w:pos="24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“Exchange Act” </w:t>
      </w:r>
      <w:r>
        <w:rPr>
          <w:rFonts w:ascii="Times New Roman" w:cs="Times New Roman" w:eastAsia="Times New Roman" w:hAnsi="Times New Roman"/>
          <w:sz w:val="16"/>
          <w:szCs w:val="16"/>
          <w:color w:val="auto"/>
        </w:rPr>
        <w:t>means the Securities Exchange Act of 1934, as amended, and the rules and regulations promulgated thereunder, as the same may be amended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 to time.</w:t>
      </w:r>
    </w:p>
    <w:p>
      <w:pPr>
        <w:spacing w:after="0" w:line="119" w:lineRule="exact"/>
        <w:rPr>
          <w:rFonts w:ascii="Times New Roman" w:cs="Times New Roman" w:eastAsia="Times New Roman" w:hAnsi="Times New Roman"/>
          <w:sz w:val="16"/>
          <w:szCs w:val="16"/>
          <w:color w:val="auto"/>
        </w:rPr>
      </w:pPr>
    </w:p>
    <w:p>
      <w:pPr>
        <w:ind w:left="251" w:hanging="251"/>
        <w:spacing w:after="0"/>
        <w:tabs>
          <w:tab w:leader="none" w:pos="25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“Executive Officer” </w:t>
      </w:r>
      <w:r>
        <w:rPr>
          <w:rFonts w:ascii="Times New Roman" w:cs="Times New Roman" w:eastAsia="Times New Roman" w:hAnsi="Times New Roman"/>
          <w:sz w:val="16"/>
          <w:szCs w:val="16"/>
          <w:color w:val="auto"/>
        </w:rPr>
        <w:t>shall have the definition set forth in Rule 3(b)(7) of the Exchange Act.</w:t>
      </w:r>
    </w:p>
    <w:p>
      <w:pPr>
        <w:spacing w:after="0" w:line="176" w:lineRule="exact"/>
        <w:rPr>
          <w:rFonts w:ascii="Times New Roman" w:cs="Times New Roman" w:eastAsia="Times New Roman" w:hAnsi="Times New Roman"/>
          <w:sz w:val="16"/>
          <w:szCs w:val="16"/>
          <w:color w:val="auto"/>
        </w:rPr>
      </w:pPr>
    </w:p>
    <w:p>
      <w:pPr>
        <w:jc w:val="both"/>
        <w:ind w:left="251" w:hanging="251"/>
        <w:spacing w:after="0" w:line="258" w:lineRule="auto"/>
        <w:tabs>
          <w:tab w:leader="none" w:pos="24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“Good Reason” </w:t>
      </w:r>
      <w:r>
        <w:rPr>
          <w:rFonts w:ascii="Times New Roman" w:cs="Times New Roman" w:eastAsia="Times New Roman" w:hAnsi="Times New Roman"/>
          <w:sz w:val="16"/>
          <w:szCs w:val="16"/>
          <w:color w:val="auto"/>
        </w:rPr>
        <w:t>shall mean the occurrence of any of the following events without the consent of the Executive: (i) the Company materially reduces the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annual base salary (other than as part of an across-the-board reduction applicable to all similarly situated employees unrelated to a Change of Control) or annual bonus opportunity percentage; (ii) a material diminution in the Executive’s responsibilities or (iii) the Company relocates the Executive’s principal place of employment more than twenty-five (25) miles from the existing location (unless such relocation results in a reduction in the Executive’s one-way commute). Notwithstanding the foregoing, the events described in clauses (i), (ii), or (iii) shall not constitute Good Reason unless (A) the Executive has given the Company written notice of the Executive’s resignation for Good Reason, setting forth the conduct of the Company that is alleged to constitute Good Reason, within thirty (30) days following the date on which such conduct occurred, and (B) the</w:t>
      </w:r>
    </w:p>
    <w:p>
      <w:pPr>
        <w:sectPr>
          <w:pgSz w:w="11900" w:h="16838" w:orient="portrait"/>
          <w:cols w:equalWidth="0" w:num="1">
            <w:col w:w="10511"/>
          </w:cols>
          <w:pgMar w:left="1069" w:top="1320" w:right="319" w:bottom="1440" w:gutter="0" w:footer="0" w:header="0"/>
        </w:sectPr>
      </w:pPr>
    </w:p>
    <w:bookmarkStart w:id="116" w:name="page117"/>
    <w:bookmarkEnd w:id="116"/>
    <w:p>
      <w:pPr>
        <w:ind w:left="1020"/>
        <w:spacing w:after="0" w:line="273" w:lineRule="auto"/>
        <w:rPr>
          <w:sz w:val="20"/>
          <w:szCs w:val="20"/>
          <w:color w:val="auto"/>
        </w:rPr>
      </w:pPr>
      <w:r>
        <w:rPr>
          <w:rFonts w:ascii="Times New Roman" w:cs="Times New Roman" w:eastAsia="Times New Roman" w:hAnsi="Times New Roman"/>
          <w:sz w:val="16"/>
          <w:szCs w:val="16"/>
          <w:color w:val="auto"/>
        </w:rPr>
        <w:t>Executive has provided the Company at least thirty (30) days following the date on which notice is provided to cure such conduct and the Company has failed to do so.</w:t>
      </w:r>
    </w:p>
    <w:p>
      <w:pPr>
        <w:spacing w:after="0" w:line="142" w:lineRule="exact"/>
        <w:rPr>
          <w:sz w:val="20"/>
          <w:szCs w:val="20"/>
          <w:color w:val="auto"/>
        </w:rPr>
      </w:pPr>
    </w:p>
    <w:p>
      <w:pPr>
        <w:ind w:left="1020" w:hanging="251"/>
        <w:spacing w:after="0" w:line="275" w:lineRule="auto"/>
        <w:tabs>
          <w:tab w:leader="none" w:pos="101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“Outplacement Period” </w:t>
      </w:r>
      <w:r>
        <w:rPr>
          <w:rFonts w:ascii="Times New Roman" w:cs="Times New Roman" w:eastAsia="Times New Roman" w:hAnsi="Times New Roman"/>
          <w:sz w:val="16"/>
          <w:szCs w:val="16"/>
          <w:color w:val="auto"/>
        </w:rPr>
        <w:t>shall mean the relevant number of months specified as applicable to the Executive, as set forth on the attached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opposite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job level in the column titled “Outplacement Period”.</w:t>
      </w:r>
    </w:p>
    <w:p>
      <w:pPr>
        <w:spacing w:after="0" w:line="130" w:lineRule="exact"/>
        <w:rPr>
          <w:rFonts w:ascii="Times New Roman" w:cs="Times New Roman" w:eastAsia="Times New Roman" w:hAnsi="Times New Roman"/>
          <w:sz w:val="16"/>
          <w:szCs w:val="16"/>
          <w:color w:val="auto"/>
        </w:rPr>
      </w:pPr>
    </w:p>
    <w:p>
      <w:pPr>
        <w:ind w:left="1020" w:hanging="251"/>
        <w:spacing w:after="0" w:line="289" w:lineRule="auto"/>
        <w:tabs>
          <w:tab w:leader="none" w:pos="101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“Participation Agreement” </w:t>
      </w:r>
      <w:r>
        <w:rPr>
          <w:rFonts w:ascii="Times New Roman" w:cs="Times New Roman" w:eastAsia="Times New Roman" w:hAnsi="Times New Roman"/>
          <w:sz w:val="16"/>
          <w:szCs w:val="16"/>
          <w:color w:val="auto"/>
        </w:rPr>
        <w:t>shall mean an agreement between the Company and an Executive in the form attached hereto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which shall be incorporated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and made part of this Plan.</w:t>
      </w:r>
    </w:p>
    <w:p>
      <w:pPr>
        <w:spacing w:after="0" w:line="119"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“Payment Date” </w:t>
      </w:r>
      <w:r>
        <w:rPr>
          <w:rFonts w:ascii="Times New Roman" w:cs="Times New Roman" w:eastAsia="Times New Roman" w:hAnsi="Times New Roman"/>
          <w:sz w:val="16"/>
          <w:szCs w:val="16"/>
          <w:color w:val="auto"/>
        </w:rPr>
        <w:t>shall mean the first regularly scheduled payroll date that is at least sixty (60) days following the effective date of the Qualifying Termination.</w:t>
      </w:r>
    </w:p>
    <w:p>
      <w:pPr>
        <w:spacing w:after="0" w:line="176" w:lineRule="exact"/>
        <w:rPr>
          <w:rFonts w:ascii="Times New Roman" w:cs="Times New Roman" w:eastAsia="Times New Roman" w:hAnsi="Times New Roman"/>
          <w:sz w:val="16"/>
          <w:szCs w:val="16"/>
          <w:color w:val="auto"/>
        </w:rPr>
      </w:pPr>
    </w:p>
    <w:p>
      <w:pPr>
        <w:ind w:left="1020" w:hanging="251"/>
        <w:spacing w:after="0" w:line="289" w:lineRule="auto"/>
        <w:tabs>
          <w:tab w:leader="none" w:pos="101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“Protection Period” </w:t>
      </w:r>
      <w:r>
        <w:rPr>
          <w:rFonts w:ascii="Times New Roman" w:cs="Times New Roman" w:eastAsia="Times New Roman" w:hAnsi="Times New Roman"/>
          <w:sz w:val="16"/>
          <w:szCs w:val="16"/>
          <w:color w:val="auto"/>
        </w:rPr>
        <w:t>shall mean the period commencing on the consummation of a Change of Control and ending on the second anniversary of such Change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w:t>
      </w:r>
    </w:p>
    <w:p>
      <w:pPr>
        <w:spacing w:after="0" w:line="119" w:lineRule="exact"/>
        <w:rPr>
          <w:rFonts w:ascii="Times New Roman" w:cs="Times New Roman" w:eastAsia="Times New Roman" w:hAnsi="Times New Roman"/>
          <w:sz w:val="16"/>
          <w:szCs w:val="16"/>
          <w:color w:val="auto"/>
        </w:rPr>
      </w:pPr>
    </w:p>
    <w:p>
      <w:pPr>
        <w:ind w:left="1020" w:hanging="251"/>
        <w:spacing w:after="0" w:line="275" w:lineRule="auto"/>
        <w:tabs>
          <w:tab w:leader="none" w:pos="101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“Qualifying Termination” </w:t>
      </w:r>
      <w:r>
        <w:rPr>
          <w:rFonts w:ascii="Times New Roman" w:cs="Times New Roman" w:eastAsia="Times New Roman" w:hAnsi="Times New Roman"/>
          <w:sz w:val="16"/>
          <w:szCs w:val="16"/>
          <w:color w:val="auto"/>
        </w:rPr>
        <w:t>shall mean a termination of the Executive’s employment by the Company without Cause or a resignation by the Executive for Good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w:t>
      </w:r>
    </w:p>
    <w:p>
      <w:pPr>
        <w:spacing w:after="0" w:line="140" w:lineRule="exact"/>
        <w:rPr>
          <w:rFonts w:ascii="Times New Roman" w:cs="Times New Roman" w:eastAsia="Times New Roman" w:hAnsi="Times New Roman"/>
          <w:sz w:val="16"/>
          <w:szCs w:val="16"/>
          <w:color w:val="auto"/>
        </w:rPr>
      </w:pPr>
    </w:p>
    <w:p>
      <w:pPr>
        <w:ind w:left="1020" w:hanging="251"/>
        <w:spacing w:after="0" w:line="275" w:lineRule="auto"/>
        <w:tabs>
          <w:tab w:leader="none" w:pos="101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“Restricted Period” </w:t>
      </w:r>
      <w:r>
        <w:rPr>
          <w:rFonts w:ascii="Times New Roman" w:cs="Times New Roman" w:eastAsia="Times New Roman" w:hAnsi="Times New Roman"/>
          <w:sz w:val="16"/>
          <w:szCs w:val="16"/>
          <w:color w:val="auto"/>
        </w:rPr>
        <w:t>shall mean the period of the Executive’s employment with the Company and a period of twelve (12) consecutive months immediately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the termination of the Executive’s employment with the Company for any reason.</w:t>
      </w:r>
    </w:p>
    <w:p>
      <w:pPr>
        <w:spacing w:after="0" w:line="130"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“Section 409A” </w:t>
      </w:r>
      <w:r>
        <w:rPr>
          <w:rFonts w:ascii="Times New Roman" w:cs="Times New Roman" w:eastAsia="Times New Roman" w:hAnsi="Times New Roman"/>
          <w:sz w:val="16"/>
          <w:szCs w:val="16"/>
          <w:color w:val="auto"/>
        </w:rPr>
        <w:t>shall mean Section 409A of the Code.</w:t>
      </w:r>
    </w:p>
    <w:p>
      <w:pPr>
        <w:spacing w:after="0" w:line="187" w:lineRule="exact"/>
        <w:rPr>
          <w:rFonts w:ascii="Times New Roman" w:cs="Times New Roman" w:eastAsia="Times New Roman" w:hAnsi="Times New Roman"/>
          <w:sz w:val="16"/>
          <w:szCs w:val="16"/>
          <w:color w:val="auto"/>
        </w:rPr>
      </w:pPr>
    </w:p>
    <w:p>
      <w:pPr>
        <w:ind w:left="1020" w:hanging="251"/>
        <w:spacing w:after="0" w:line="275" w:lineRule="auto"/>
        <w:tabs>
          <w:tab w:leader="none" w:pos="101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“Specified Employee” </w:t>
      </w:r>
      <w:r>
        <w:rPr>
          <w:rFonts w:ascii="Times New Roman" w:cs="Times New Roman" w:eastAsia="Times New Roman" w:hAnsi="Times New Roman"/>
          <w:sz w:val="16"/>
          <w:szCs w:val="16"/>
          <w:color w:val="auto"/>
        </w:rPr>
        <w:t>shall mean a person who is, as of the date of the person’s termination of employment, a “specified employee” within the meaning of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409A, taking into account the elections made and procedures established by the Company.</w:t>
      </w:r>
    </w:p>
    <w:p>
      <w:pPr>
        <w:spacing w:after="0" w:line="130"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b w:val="1"/>
          <w:bCs w:val="1"/>
          <w:u w:val="single" w:color="auto"/>
          <w:color w:val="auto"/>
        </w:rPr>
        <w:t>Number and Gender</w:t>
      </w:r>
      <w:r>
        <w:rPr>
          <w:rFonts w:ascii="Times New Roman" w:cs="Times New Roman" w:eastAsia="Times New Roman" w:hAnsi="Times New Roman"/>
          <w:sz w:val="16"/>
          <w:szCs w:val="16"/>
          <w:color w:val="auto"/>
        </w:rPr>
        <w:t>. Wherever appropriate herein, a word used in the singular shall be considered to include the plural and the plural to include the singular.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masculine gender, where appearing in this Plan, shall be deemed to include the feminine gender.</w:t>
      </w:r>
    </w:p>
    <w:p>
      <w:pPr>
        <w:spacing w:after="0" w:line="119" w:lineRule="exact"/>
        <w:rPr>
          <w:sz w:val="20"/>
          <w:szCs w:val="20"/>
          <w:color w:val="auto"/>
        </w:rPr>
      </w:pPr>
    </w:p>
    <w:p>
      <w:pPr>
        <w:ind w:right="180"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3.3 </w:t>
      </w:r>
      <w:r>
        <w:rPr>
          <w:rFonts w:ascii="Times New Roman" w:cs="Times New Roman" w:eastAsia="Times New Roman" w:hAnsi="Times New Roman"/>
          <w:sz w:val="16"/>
          <w:szCs w:val="16"/>
          <w:b w:val="1"/>
          <w:bCs w:val="1"/>
          <w:u w:val="single" w:color="auto"/>
          <w:color w:val="auto"/>
        </w:rPr>
        <w:t>Headings</w:t>
      </w:r>
      <w:r>
        <w:rPr>
          <w:rFonts w:ascii="Times New Roman" w:cs="Times New Roman" w:eastAsia="Times New Roman" w:hAnsi="Times New Roman"/>
          <w:sz w:val="16"/>
          <w:szCs w:val="16"/>
          <w:color w:val="auto"/>
        </w:rPr>
        <w:t>. The headings of Articles and Sections herein are included solely for convenience and if there is any conflict between such headings and the text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the text shall control.</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IV. SEVERANCE BENEFITS</w:t>
      </w:r>
    </w:p>
    <w:p>
      <w:pPr>
        <w:spacing w:after="0" w:line="17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4.1</w:t>
      </w:r>
      <w:r>
        <w:rPr>
          <w:sz w:val="20"/>
          <w:szCs w:val="20"/>
          <w:color w:val="auto"/>
        </w:rPr>
        <w:tab/>
      </w:r>
      <w:r>
        <w:rPr>
          <w:rFonts w:ascii="Times New Roman" w:cs="Times New Roman" w:eastAsia="Times New Roman" w:hAnsi="Times New Roman"/>
          <w:sz w:val="16"/>
          <w:szCs w:val="16"/>
          <w:b w:val="1"/>
          <w:bCs w:val="1"/>
          <w:u w:val="single" w:color="auto"/>
          <w:color w:val="auto"/>
        </w:rPr>
        <w:t>Payments and Benefits upon a Qualifying Termination (Unrelated to a Change of Control)</w:t>
      </w:r>
      <w:r>
        <w:rPr>
          <w:rFonts w:ascii="Times New Roman" w:cs="Times New Roman" w:eastAsia="Times New Roman" w:hAnsi="Times New Roman"/>
          <w:sz w:val="16"/>
          <w:szCs w:val="16"/>
          <w:color w:val="auto"/>
        </w:rPr>
        <w:t>. Subject to the further provisions of this</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Executive’s continued compliance with the obligations under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hereof, upon an Executive’s Qualifying Termination that does not occur within the Protection Period:</w:t>
      </w:r>
    </w:p>
    <w:p>
      <w:pPr>
        <w:spacing w:after="0" w:line="176" w:lineRule="exact"/>
        <w:rPr>
          <w:sz w:val="20"/>
          <w:szCs w:val="20"/>
          <w:color w:val="auto"/>
        </w:rPr>
      </w:pPr>
    </w:p>
    <w:p>
      <w:pPr>
        <w:jc w:val="both"/>
        <w:ind w:left="1020" w:hanging="251"/>
        <w:spacing w:after="0" w:line="261" w:lineRule="auto"/>
        <w:tabs>
          <w:tab w:leader="none" w:pos="101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or provide to the Executive the Executive’s unpaid base salary through the date of termination, any unreimbursed business expenses, and any amount arising from the Executive’s participation in, or benefits under, any employee benefit plans, programs, or arrangements, which amounts shall be payable in accordance with the</w:t>
      </w:r>
    </w:p>
    <w:p>
      <w:pPr>
        <w:sectPr>
          <w:pgSz w:w="11900" w:h="16838" w:orient="portrait"/>
          <w:cols w:equalWidth="0" w:num="1">
            <w:col w:w="11280"/>
          </w:cols>
          <w:pgMar w:left="300" w:top="1320" w:right="319" w:bottom="1440" w:gutter="0" w:footer="0" w:header="0"/>
        </w:sectPr>
      </w:pPr>
    </w:p>
    <w:bookmarkStart w:id="117" w:name="page118"/>
    <w:bookmarkEnd w:id="117"/>
    <w:p>
      <w:pPr>
        <w:ind w:left="1020"/>
        <w:spacing w:after="0"/>
        <w:rPr>
          <w:sz w:val="20"/>
          <w:szCs w:val="20"/>
          <w:color w:val="auto"/>
        </w:rPr>
      </w:pPr>
      <w:r>
        <w:rPr>
          <w:rFonts w:ascii="Times New Roman" w:cs="Times New Roman" w:eastAsia="Times New Roman" w:hAnsi="Times New Roman"/>
          <w:sz w:val="16"/>
          <w:szCs w:val="16"/>
          <w:color w:val="auto"/>
        </w:rPr>
        <w:t>requirements of applicable law and the terms and conditions of such employee benefit plans, programs or arrangements;</w:t>
      </w:r>
    </w:p>
    <w:p>
      <w:pPr>
        <w:spacing w:after="0" w:line="177" w:lineRule="exact"/>
        <w:rPr>
          <w:sz w:val="20"/>
          <w:szCs w:val="20"/>
          <w:color w:val="auto"/>
        </w:rPr>
      </w:pPr>
    </w:p>
    <w:p>
      <w:pPr>
        <w:jc w:val="both"/>
        <w:ind w:left="1020" w:hanging="251"/>
        <w:spacing w:after="0" w:line="268" w:lineRule="auto"/>
        <w:tabs>
          <w:tab w:leader="none" w:pos="101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pay to the Executive, in a single lump sum payment on the Payment Date, an amount in cash equal to (x) the Executive’s annualized base salary, as in effect immediately prior to the Qualifying Termination (or immediately prior to any event constituting Good Reason, if applicable),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(y) the Applicable Factor that applies to the Executive.</w:t>
      </w:r>
    </w:p>
    <w:p>
      <w:pPr>
        <w:spacing w:after="0" w:line="136" w:lineRule="exact"/>
        <w:rPr>
          <w:rFonts w:ascii="Times New Roman" w:cs="Times New Roman" w:eastAsia="Times New Roman" w:hAnsi="Times New Roman"/>
          <w:sz w:val="16"/>
          <w:szCs w:val="16"/>
          <w:color w:val="auto"/>
        </w:rPr>
      </w:pPr>
    </w:p>
    <w:p>
      <w:pPr>
        <w:jc w:val="both"/>
        <w:ind w:left="1020" w:hanging="251"/>
        <w:spacing w:after="0" w:line="268" w:lineRule="auto"/>
        <w:tabs>
          <w:tab w:leader="none" w:pos="101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to the Executive, in a single lump sum payment on the Payment Date, an amount in cash equal to the Executive’s target annual bonus for the year that includes the date of termination, as in effect immediately prior to the Qualifying Termination (or immediately prior to any event constituting Good Reason, if applicable), pro-rated to reflect the number of days that the Executive was employed by the Company during such calendar year;</w:t>
      </w:r>
    </w:p>
    <w:p>
      <w:pPr>
        <w:spacing w:after="0" w:line="136" w:lineRule="exact"/>
        <w:rPr>
          <w:rFonts w:ascii="Times New Roman" w:cs="Times New Roman" w:eastAsia="Times New Roman" w:hAnsi="Times New Roman"/>
          <w:sz w:val="16"/>
          <w:szCs w:val="16"/>
          <w:color w:val="auto"/>
        </w:rPr>
      </w:pPr>
    </w:p>
    <w:p>
      <w:pPr>
        <w:jc w:val="both"/>
        <w:ind w:left="1020" w:hanging="251"/>
        <w:spacing w:after="0" w:line="261" w:lineRule="auto"/>
        <w:tabs>
          <w:tab w:leader="none" w:pos="101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is covered by the Company’s medical insurance plan on the date upon which the Qualifying Termination occurs, the Company shall pay to the Executive, in a single lump sum payment on the Payment Date, an amount in cash equal to the product of (x) the full annual premium that the Executive would have to pay for continued healthcare coverage for the Executive and, as applicable, the Executive’s dependents, in the Company’s medical insurance plan under COBRA at the rate as in effect immediately prior to the Qualifying Termination and (y) the Applicable Factor that applies to the Executive; and</w:t>
      </w:r>
    </w:p>
    <w:p>
      <w:pPr>
        <w:spacing w:after="0" w:line="154"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make available to the Executive outplacement services as provided by Company-approved vendor for the duration of the Outplacement Period.</w:t>
      </w:r>
    </w:p>
    <w:p>
      <w:pPr>
        <w:spacing w:after="0" w:line="198"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b w:val="1"/>
          <w:bCs w:val="1"/>
          <w:u w:val="single" w:color="auto"/>
          <w:color w:val="auto"/>
        </w:rPr>
        <w:t>Severance Benefits upon a Qualifying Termination (Related to a Change of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further provisions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and the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continued compliance with the obligations under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hereof, upon an Executive’s Qualifying Termination that occurs within the Protection Period:</w:t>
      </w:r>
    </w:p>
    <w:p>
      <w:pPr>
        <w:spacing w:after="0" w:line="143" w:lineRule="exact"/>
        <w:rPr>
          <w:sz w:val="20"/>
          <w:szCs w:val="20"/>
          <w:color w:val="auto"/>
        </w:rPr>
      </w:pPr>
    </w:p>
    <w:p>
      <w:pPr>
        <w:jc w:val="both"/>
        <w:ind w:left="1020" w:hanging="251"/>
        <w:spacing w:after="0" w:line="261" w:lineRule="auto"/>
        <w:tabs>
          <w:tab w:leader="none" w:pos="101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or provide to the Executive the Executive’s unpaid base salary through the date of termination, any unreimbursed business expenses, and any amount arising from the Executive’s participation in, or benefits under, any employee benefit plans, programs, or arrangements, which amounts shall be payable in accordance with the requirements of applicable law and the terms and conditions of such employee benefit plans, programs or arrangements;</w:t>
      </w:r>
    </w:p>
    <w:p>
      <w:pPr>
        <w:spacing w:after="0" w:line="153" w:lineRule="exact"/>
        <w:rPr>
          <w:rFonts w:ascii="Times New Roman" w:cs="Times New Roman" w:eastAsia="Times New Roman" w:hAnsi="Times New Roman"/>
          <w:sz w:val="16"/>
          <w:szCs w:val="16"/>
          <w:color w:val="auto"/>
        </w:rPr>
      </w:pPr>
    </w:p>
    <w:p>
      <w:pPr>
        <w:jc w:val="both"/>
        <w:ind w:left="1020" w:hanging="251"/>
        <w:spacing w:after="0" w:line="261" w:lineRule="auto"/>
        <w:tabs>
          <w:tab w:leader="none" w:pos="101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pay to the Executive, in a single lump sum payment on the Payment Date, an amount in cash equal to (x) the Executive’s annualized base salary as in effect immediately prior to the Qualifying Termination (or immediately prior to any event constituting Good Reason, if applicable),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(y) the Applicable CIC Factor that applies to the Executive;</w:t>
      </w:r>
    </w:p>
    <w:p>
      <w:pPr>
        <w:spacing w:after="0" w:line="153" w:lineRule="exact"/>
        <w:rPr>
          <w:rFonts w:ascii="Times New Roman" w:cs="Times New Roman" w:eastAsia="Times New Roman" w:hAnsi="Times New Roman"/>
          <w:sz w:val="16"/>
          <w:szCs w:val="16"/>
          <w:color w:val="auto"/>
        </w:rPr>
      </w:pPr>
    </w:p>
    <w:p>
      <w:pPr>
        <w:ind w:left="1020" w:hanging="251"/>
        <w:spacing w:after="0" w:line="273" w:lineRule="auto"/>
        <w:tabs>
          <w:tab w:leader="none" w:pos="101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to the Executive, in a single lump sum payment on the Payment Date, an amount in cash equal to (x) the Executive’s target annual bonus for the year that</w:t>
      </w:r>
    </w:p>
    <w:p>
      <w:pPr>
        <w:sectPr>
          <w:pgSz w:w="11900" w:h="16838" w:orient="portrait"/>
          <w:cols w:equalWidth="0" w:num="1">
            <w:col w:w="11280"/>
          </w:cols>
          <w:pgMar w:left="300" w:top="1320" w:right="319" w:bottom="1440" w:gutter="0" w:footer="0" w:header="0"/>
        </w:sectPr>
      </w:pPr>
    </w:p>
    <w:bookmarkStart w:id="118" w:name="page119"/>
    <w:bookmarkEnd w:id="118"/>
    <w:p>
      <w:pPr>
        <w:ind w:left="1020"/>
        <w:spacing w:after="0" w:line="273" w:lineRule="auto"/>
        <w:rPr>
          <w:sz w:val="20"/>
          <w:szCs w:val="20"/>
          <w:color w:val="auto"/>
        </w:rPr>
      </w:pPr>
      <w:r>
        <w:rPr>
          <w:rFonts w:ascii="Times New Roman" w:cs="Times New Roman" w:eastAsia="Times New Roman" w:hAnsi="Times New Roman"/>
          <w:sz w:val="16"/>
          <w:szCs w:val="16"/>
          <w:color w:val="auto"/>
        </w:rPr>
        <w:t xml:space="preserve">includes the date of termination as in effect immediately prior to the Qualifying Termination (or immediately prior to any event constituting Good Reason, if applicable),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(y) the Applicable CIC Factor that applies to the Executive;</w:t>
      </w:r>
    </w:p>
    <w:p>
      <w:pPr>
        <w:spacing w:after="0" w:line="144" w:lineRule="exact"/>
        <w:rPr>
          <w:sz w:val="20"/>
          <w:szCs w:val="20"/>
          <w:color w:val="auto"/>
        </w:rPr>
      </w:pPr>
    </w:p>
    <w:p>
      <w:pPr>
        <w:jc w:val="both"/>
        <w:ind w:left="1020" w:hanging="251"/>
        <w:spacing w:after="0" w:line="261" w:lineRule="auto"/>
        <w:tabs>
          <w:tab w:leader="none" w:pos="101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is covered by the Company’s medical insurance plan on the date upon which the Qualifying Termination occurs, the Company shall pay to the Executive, in a single lump sum payment on the Payment Date, an amount in cash equal to the product of (x) the full annual premium that the Executive would have to pay for continued healthcare coverage for Executive and, as applicable, Executive’s dependents, in the Company’s medical insurance plan under COBRA at the rate as in effect immediately prior to the Qualifying Termination and (y) the Applicable CIC Factor that applies to the Executive;</w:t>
      </w:r>
    </w:p>
    <w:p>
      <w:pPr>
        <w:spacing w:after="0" w:line="143" w:lineRule="exact"/>
        <w:rPr>
          <w:rFonts w:ascii="Times New Roman" w:cs="Times New Roman" w:eastAsia="Times New Roman" w:hAnsi="Times New Roman"/>
          <w:sz w:val="16"/>
          <w:szCs w:val="16"/>
          <w:color w:val="auto"/>
        </w:rPr>
      </w:pPr>
    </w:p>
    <w:p>
      <w:pPr>
        <w:ind w:left="1020" w:hanging="251"/>
        <w:spacing w:after="0" w:line="273" w:lineRule="auto"/>
        <w:tabs>
          <w:tab w:leader="none" w:pos="101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make available to the Executive outplacement services as provided by Company-approved vendor for the duration of the Outplacement Period; and</w:t>
      </w:r>
    </w:p>
    <w:p>
      <w:pPr>
        <w:spacing w:after="0" w:line="14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outstanding unvested award under the Equity Plan and held by the Executive shall vest in full as of the date of termination.</w:t>
      </w:r>
    </w:p>
    <w:p>
      <w:pPr>
        <w:spacing w:after="0" w:line="175"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4.3 </w:t>
      </w:r>
      <w:r>
        <w:rPr>
          <w:rFonts w:ascii="Times New Roman" w:cs="Times New Roman" w:eastAsia="Times New Roman" w:hAnsi="Times New Roman"/>
          <w:sz w:val="14"/>
          <w:szCs w:val="14"/>
          <w:b w:val="1"/>
          <w:bCs w:val="1"/>
          <w:u w:val="single" w:color="auto"/>
          <w:color w:val="auto"/>
        </w:rPr>
        <w:t>Release and Full Settlement; Payment Delay; Repayment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provision of this Plan to the contrary notwithstanding, the payment of any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provision of any benefits under Sections 4.1(b) through 4.1(e) and Sections 4.2(b) through 4.2(e) shall be subject to the Executive’s execution, within forty five (45) days following receipt (or such shorter period as set forth in such release), of a waiver and general release of claims in substantially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xml:space="preserve">”), and such Release becoming effective and irrevocable in accordance with its terms within sixty (60) days following the date of termination. Except as set forth in the following sentence, any payments pursuant to Sections 4.1(b) through 4.1(d) and Sections 4.2(b) through 4.2(d) hereof that would otherwise be payable in the first sixty (60) days following the date of termination shall be withheld and become payable in a lump sum on the date that is sixty (60) days following the date of termination. However, if the Executive is a Specified Employee, any payments hereunder that constitute a “deferral of compensation” within the meaning of Section 409A and to which the Executive would otherwise be entitled during the first six months following the date of such Executive’s termination shall be accumulated and paid to the Executive on the date that is six months following the date of termination. Furthermore, the payment of any amounts or provisions of any benefits under Sections 4.1(b) through 4.1(e) and Sections 4.2(b) through 4.2(e) shall be subject to the Executive’s continued compliance with the Executive’s obligations under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hereof, and, if the event of any breach of such obligations by the Executive, the Executive agrees to promptly repay the Company the gross amount or value of any payments or benefits provided under the applicable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3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b w:val="1"/>
          <w:bCs w:val="1"/>
          <w:u w:val="single" w:color="auto"/>
          <w:color w:val="auto"/>
        </w:rPr>
        <w:t>Parachute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that the Company determines that any payment or distribution to an Executive by the Company in connection with a Change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 whether paid or payable under this Plan or by reason of any other agreement, policy, plan, program or arrangement (the “</w:t>
      </w:r>
      <w:r>
        <w:rPr>
          <w:rFonts w:ascii="Times New Roman" w:cs="Times New Roman" w:eastAsia="Times New Roman" w:hAnsi="Times New Roman"/>
          <w:sz w:val="16"/>
          <w:szCs w:val="16"/>
          <w:b w:val="1"/>
          <w:bCs w:val="1"/>
          <w:color w:val="auto"/>
        </w:rPr>
        <w:t>Parachute Payments</w:t>
      </w:r>
      <w:r>
        <w:rPr>
          <w:rFonts w:ascii="Times New Roman" w:cs="Times New Roman" w:eastAsia="Times New Roman" w:hAnsi="Times New Roman"/>
          <w:sz w:val="16"/>
          <w:szCs w:val="16"/>
          <w:color w:val="auto"/>
        </w:rPr>
        <w:t>”), including without limitation, any outstanding award or right under the Equity Plan, would be subject to the excise tax imposed by Section 4999 of the Code (or any successor provision thereto) or to any similar tax imposed by state or local law, or any interest or penalties with respect to such tax (such tax or taxes, together with any such interest and penalties, being hereafter collectively referred to as the “</w:t>
      </w:r>
      <w:r>
        <w:rPr>
          <w:rFonts w:ascii="Times New Roman" w:cs="Times New Roman" w:eastAsia="Times New Roman" w:hAnsi="Times New Roman"/>
          <w:sz w:val="16"/>
          <w:szCs w:val="16"/>
          <w:b w:val="1"/>
          <w:bCs w:val="1"/>
          <w:color w:val="auto"/>
        </w:rPr>
        <w:t>Excise Tax</w:t>
      </w:r>
      <w:r>
        <w:rPr>
          <w:rFonts w:ascii="Times New Roman" w:cs="Times New Roman" w:eastAsia="Times New Roman" w:hAnsi="Times New Roman"/>
          <w:sz w:val="16"/>
          <w:szCs w:val="16"/>
          <w:color w:val="auto"/>
        </w:rPr>
        <w:t>”), and the Executive would receive a greater net after-tax amount (taking into account all applicable taxes payable by the Executive, including any excise tax under Section 4999 of</w:t>
      </w:r>
    </w:p>
    <w:p>
      <w:pPr>
        <w:sectPr>
          <w:pgSz w:w="11900" w:h="16838" w:orient="portrait"/>
          <w:cols w:equalWidth="0" w:num="1">
            <w:col w:w="11280"/>
          </w:cols>
          <w:pgMar w:left="300" w:top="1320" w:right="319" w:bottom="1440" w:gutter="0" w:footer="0" w:header="0"/>
        </w:sectPr>
      </w:pPr>
    </w:p>
    <w:bookmarkStart w:id="119" w:name="page120"/>
    <w:bookmarkEnd w:id="119"/>
    <w:p>
      <w:pPr>
        <w:jc w:val="both"/>
        <w:spacing w:after="0" w:line="255" w:lineRule="auto"/>
        <w:rPr>
          <w:sz w:val="20"/>
          <w:szCs w:val="20"/>
          <w:color w:val="auto"/>
        </w:rPr>
      </w:pPr>
      <w:r>
        <w:rPr>
          <w:rFonts w:ascii="Times New Roman" w:cs="Times New Roman" w:eastAsia="Times New Roman" w:hAnsi="Times New Roman"/>
          <w:sz w:val="16"/>
          <w:szCs w:val="16"/>
          <w:color w:val="auto"/>
        </w:rPr>
        <w:t>the Code) by applying the reduction contained in this Section 4.4, then the payments and benefits provided to the Executive under this Plan shall be reduced (but not below zero) to the maximum amount which may be paid without the Executive becoming subject to such an excise tax under Section 4999 of the Code (such reduced payments to be referred to as the “</w:t>
      </w:r>
      <w:r>
        <w:rPr>
          <w:rFonts w:ascii="Times New Roman" w:cs="Times New Roman" w:eastAsia="Times New Roman" w:hAnsi="Times New Roman"/>
          <w:sz w:val="16"/>
          <w:szCs w:val="16"/>
          <w:b w:val="1"/>
          <w:bCs w:val="1"/>
          <w:color w:val="auto"/>
        </w:rPr>
        <w:t>Payment Cap</w:t>
      </w:r>
      <w:r>
        <w:rPr>
          <w:rFonts w:ascii="Times New Roman" w:cs="Times New Roman" w:eastAsia="Times New Roman" w:hAnsi="Times New Roman"/>
          <w:sz w:val="16"/>
          <w:szCs w:val="16"/>
          <w:color w:val="auto"/>
        </w:rPr>
        <w:t>”). In the event that an Executive is subject to the Payment Cap, the Company shall reduce payments to the Executive under this Plan in reverse chronological order such that the last payments to be made to the Executive will be reduced first until the Payment Cap is reached. The tax and benefit calculations contemplated by this paragraph shall be performed by a public accounting firm or other qualified independent tax counsel that is selected by the Company as of the date immediately prior to the Change of Control (the “</w:t>
      </w:r>
      <w:r>
        <w:rPr>
          <w:rFonts w:ascii="Times New Roman" w:cs="Times New Roman" w:eastAsia="Times New Roman" w:hAnsi="Times New Roman"/>
          <w:sz w:val="16"/>
          <w:szCs w:val="16"/>
          <w:b w:val="1"/>
          <w:bCs w:val="1"/>
          <w:color w:val="auto"/>
        </w:rPr>
        <w:t>Determining Party</w:t>
      </w:r>
      <w:r>
        <w:rPr>
          <w:rFonts w:ascii="Times New Roman" w:cs="Times New Roman" w:eastAsia="Times New Roman" w:hAnsi="Times New Roman"/>
          <w:sz w:val="16"/>
          <w:szCs w:val="16"/>
          <w:color w:val="auto"/>
        </w:rPr>
        <w:t>”) and reasonably acceptable to the Executive. The Determining Party shall provide detailed supporting calculations both to the Company and the Executive within fifteen (15) business days of the receipt of notice from the Company or the Executive that there has been a Payment, or such earlier time as is requested by the Company (collectively, the “</w:t>
      </w:r>
      <w:r>
        <w:rPr>
          <w:rFonts w:ascii="Times New Roman" w:cs="Times New Roman" w:eastAsia="Times New Roman" w:hAnsi="Times New Roman"/>
          <w:sz w:val="16"/>
          <w:szCs w:val="16"/>
          <w:b w:val="1"/>
          <w:bCs w:val="1"/>
          <w:color w:val="auto"/>
        </w:rPr>
        <w:t>Determination</w:t>
      </w:r>
      <w:r>
        <w:rPr>
          <w:rFonts w:ascii="Times New Roman" w:cs="Times New Roman" w:eastAsia="Times New Roman" w:hAnsi="Times New Roman"/>
          <w:sz w:val="16"/>
          <w:szCs w:val="16"/>
          <w:color w:val="auto"/>
        </w:rPr>
        <w:t>”). In the event that the Determining Party is serving as accountant or auditor for the individual, entity or group effecting the Change of Control, an independent accounting firm selected by the Company may be appointed to make the determinations required hereunder (which accounting firm shall then be referred to as the Determining Party hereunder). All fees and expenses of the Determining Party shall be borne solely by the Company. The Determination by the Determining Party shall be final, binding and conclusive upon the Company and the Executive.</w:t>
      </w:r>
    </w:p>
    <w:p>
      <w:pPr>
        <w:spacing w:after="0" w:line="1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b w:val="1"/>
          <w:bCs w:val="1"/>
          <w:u w:val="single" w:color="auto"/>
          <w:color w:val="auto"/>
        </w:rPr>
        <w:t>Coordination with Certain Other Agreements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benefits under and participation in this Plan are intended to supersede and replace the severance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separation benefits to which an Executive may be entitled under any other plan, policy, agreement, or arrangement. By executing a Participation Agreement with the Company to participate in this Plan, an Executive shall waive any right to severance or separation benefits under any other plan, policy, agreement or arrangement of the Company. Furthermore, notwithstanding any provisions of the Equity Plan, with respect to any equity awards that have been issued or may hereafter be issued to an Executive under the Equity Plan, in the event of a Qualifying Termination that occurs within the Protection Period, Section 4.2(f) of this Plan shall supersede and replace any provisions in the Equity Plan that provide for less than full vesting of outstanding awards in connection with such termination.</w:t>
      </w:r>
    </w:p>
    <w:p>
      <w:pPr>
        <w:spacing w:after="0" w:line="15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b w:val="1"/>
          <w:bCs w:val="1"/>
          <w:u w:val="single" w:color="auto"/>
          <w:color w:val="auto"/>
        </w:rPr>
        <w:t>No Mitigation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Executive shall not be required to mitigate the amount of any payment or benefit provided for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seeking other employment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otherwise, nor shall the amount of any payment or benefit provided for in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be reduced by any compensation or benefit earned by the Executive as the result of employment by another employer.</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V. RESTRICTIVE COVENANTS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b w:val="1"/>
          <w:bCs w:val="1"/>
          <w:u w:val="single" w:color="auto"/>
          <w:color w:val="auto"/>
        </w:rPr>
        <w:t>Non-Competition, Non-Solicitation, Confidentiality and Non-Disparagement Obligations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executing a Participation Agreement, each Executive recognizes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the Company has employed the Executive, in large part, to create, promote, and expand the goodwill of the Company by, among other things, building enduring personal relationships with the Company’s customers, learning the personal preferences of the Company’s customers, and positioning Company to maximize business through said relationships and acquired knowledge. In consideration of the payments and benefits that may be paid or provided to the Executive hereunder and to protect the trade secrets and confidential information of the Company that have been and will in the future be disclosed or entrusted to the Executive, the business goodwill of the Company or its affiliates, and the business opportunities that have</w:t>
      </w:r>
    </w:p>
    <w:p>
      <w:pPr>
        <w:sectPr>
          <w:pgSz w:w="11900" w:h="16838" w:orient="portrait"/>
          <w:cols w:equalWidth="0" w:num="1">
            <w:col w:w="11280"/>
          </w:cols>
          <w:pgMar w:left="300" w:top="1320" w:right="319" w:bottom="1440" w:gutter="0" w:footer="0" w:header="0"/>
        </w:sectPr>
      </w:pPr>
    </w:p>
    <w:bookmarkStart w:id="120" w:name="page121"/>
    <w:bookmarkEnd w:id="120"/>
    <w:p>
      <w:pPr>
        <w:spacing w:after="0" w:line="273" w:lineRule="auto"/>
        <w:rPr>
          <w:sz w:val="20"/>
          <w:szCs w:val="20"/>
          <w:color w:val="auto"/>
        </w:rPr>
      </w:pPr>
      <w:r>
        <w:rPr>
          <w:rFonts w:ascii="Times New Roman" w:cs="Times New Roman" w:eastAsia="Times New Roman" w:hAnsi="Times New Roman"/>
          <w:sz w:val="16"/>
          <w:szCs w:val="16"/>
          <w:color w:val="auto"/>
        </w:rPr>
        <w:t xml:space="preserve">and will in the future be disclosed or entrusted to the Executive by the Company or its affiliates, by executing a Participation Agreement, the Company and the Executive agree to 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left="760" w:firstLine="518"/>
        <w:spacing w:after="0" w:line="256" w:lineRule="auto"/>
        <w:tabs>
          <w:tab w:leader="none" w:pos="1516"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Non-Competition</w:t>
      </w:r>
      <w:r>
        <w:rPr>
          <w:rFonts w:ascii="Times New Roman" w:cs="Times New Roman" w:eastAsia="Times New Roman" w:hAnsi="Times New Roman"/>
          <w:sz w:val="16"/>
          <w:szCs w:val="16"/>
          <w:color w:val="auto"/>
        </w:rPr>
        <w:t>. During the Restricted Period, the Executive shall not, without the prior written consent of the Company, either for the Executive or on behalf of any person, firm, corporation or any other operation or entity, directly or indirectly: own, control, or participate in the ownership or control of, be employed by, or render services to or on behalf of, any business that: (i) is a similar daytime-only restaurant concept offering breakfast, brunch, and lunch; and (ii) operates in any city, county, or state where the Company has restaurant locations as of the date the Executive’s employment with the Company terminates (a “</w:t>
      </w:r>
      <w:r>
        <w:rPr>
          <w:rFonts w:ascii="Times New Roman" w:cs="Times New Roman" w:eastAsia="Times New Roman" w:hAnsi="Times New Roman"/>
          <w:sz w:val="16"/>
          <w:szCs w:val="16"/>
          <w:u w:val="single" w:color="auto"/>
          <w:color w:val="auto"/>
        </w:rPr>
        <w:t>Competing Business</w:t>
      </w:r>
      <w:r>
        <w:rPr>
          <w:rFonts w:ascii="Times New Roman" w:cs="Times New Roman" w:eastAsia="Times New Roman" w:hAnsi="Times New Roman"/>
          <w:sz w:val="16"/>
          <w:szCs w:val="16"/>
          <w:color w:val="auto"/>
        </w:rPr>
        <w:t>”); provided that, (x) Executive may be employed by or render services to a Competing Business as long as Executive’s services do not involve (a) the types of services that Executive provided to the Company or (b) services that would involve the use or disclosure of Confidential Information and (y) Executive may own, directly or indirectly, solely as an investment, less than two percent (2%) of the publicly traded securities of any corporation, provided that such ownership is passive in nature and that Executive is not a controlling person of, or a member of a group which controls, such corporation.</w:t>
      </w:r>
    </w:p>
    <w:p>
      <w:pPr>
        <w:spacing w:after="0" w:line="148" w:lineRule="exact"/>
        <w:rPr>
          <w:rFonts w:ascii="Times New Roman" w:cs="Times New Roman" w:eastAsia="Times New Roman" w:hAnsi="Times New Roman"/>
          <w:sz w:val="16"/>
          <w:szCs w:val="16"/>
          <w:color w:val="auto"/>
        </w:rPr>
      </w:pPr>
    </w:p>
    <w:p>
      <w:pPr>
        <w:jc w:val="both"/>
        <w:ind w:left="760" w:firstLine="518"/>
        <w:spacing w:after="0" w:line="295" w:lineRule="auto"/>
        <w:tabs>
          <w:tab w:leader="none" w:pos="1514"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w:t>
      </w:r>
      <w:r>
        <w:rPr>
          <w:rFonts w:ascii="Times New Roman" w:cs="Times New Roman" w:eastAsia="Times New Roman" w:hAnsi="Times New Roman"/>
          <w:sz w:val="14"/>
          <w:szCs w:val="14"/>
          <w:color w:val="auto"/>
        </w:rPr>
        <w:t>. During the Restricted Period, the Executive shall not (i) use Confidential Information to solicit, divert, or take away, or attempt to solicit, divert, or take away, from the Company, or otherwise interfere with the Company’s business relationship with, any person or entity: (x) who is, or was within the last twelve (12) months of the Executive’s employment with the Company, a customer, supplier, or other party having material business relations with the Company and</w:t>
      </w:r>
    </w:p>
    <w:p>
      <w:pPr>
        <w:spacing w:after="0" w:line="1" w:lineRule="exact"/>
        <w:rPr>
          <w:rFonts w:ascii="Times New Roman" w:cs="Times New Roman" w:eastAsia="Times New Roman" w:hAnsi="Times New Roman"/>
          <w:sz w:val="14"/>
          <w:szCs w:val="14"/>
          <w:color w:val="auto"/>
        </w:rPr>
      </w:pPr>
    </w:p>
    <w:p>
      <w:pPr>
        <w:jc w:val="both"/>
        <w:ind w:left="760" w:firstLine="9"/>
        <w:spacing w:after="0" w:line="256" w:lineRule="auto"/>
        <w:tabs>
          <w:tab w:leader="none" w:pos="98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the Executive had business contact with or obtained Confidential Information pertaining to as a result of the Executive’s association with the Company during the last twelve (12) months of the Executive’s employment with the Company or (ii) solicit, divert, or take away from, or attempt to solicit, divert, or take away from, the Company, or otherwise interfere with the Company’s employment or consulting relationship with, any person who is, or was within the last twelve (12) months of the Executive’s employment with the Company, employed by or engaged as a consultant to the Company.</w:t>
      </w:r>
    </w:p>
    <w:p>
      <w:pPr>
        <w:spacing w:after="0" w:line="158" w:lineRule="exact"/>
        <w:rPr>
          <w:rFonts w:ascii="Times New Roman" w:cs="Times New Roman" w:eastAsia="Times New Roman" w:hAnsi="Times New Roman"/>
          <w:sz w:val="16"/>
          <w:szCs w:val="16"/>
          <w:color w:val="auto"/>
        </w:rPr>
      </w:pPr>
    </w:p>
    <w:p>
      <w:pPr>
        <w:jc w:val="both"/>
        <w:ind w:left="760" w:firstLine="518"/>
        <w:spacing w:after="0" w:line="256" w:lineRule="auto"/>
        <w:tabs>
          <w:tab w:leader="none" w:pos="1516"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Non-Disclosure of Confidential Information</w:t>
      </w:r>
      <w:r>
        <w:rPr>
          <w:rFonts w:ascii="Times New Roman" w:cs="Times New Roman" w:eastAsia="Times New Roman" w:hAnsi="Times New Roman"/>
          <w:sz w:val="16"/>
          <w:szCs w:val="16"/>
          <w:color w:val="auto"/>
        </w:rPr>
        <w:t>. The Executive acknowledges that during the course of employment with the Company, the Executive will have access to information of a proprietary, confidential, and/or trade secret nature which has great value to the Company and which constitutes a substantial basis and foundation upon which the business of the Company is based. “</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means any information, written or unwritten, relating to the Company’s business, which is not generally known, and which gives it a competitive advantage over others, and includes, but is not limited to, business methods, pricing, supplier lists, customer lists, customer service strategies, and all other customer information, as well as information about processes, developments, ingredients, recipes, research and marketing. Confidential Information does not include information that is generally available to and known by the public at the time of disclosure to the Executive, provided that such disclosure is through no direct or indirect fault of the Executive or persons acting on the Executive’s behalf. The Executive shall treat all Confidential Information received, directly or indirectly, from the Company as strictly</w:t>
      </w:r>
    </w:p>
    <w:p>
      <w:pPr>
        <w:sectPr>
          <w:pgSz w:w="11900" w:h="16838" w:orient="portrait"/>
          <w:cols w:equalWidth="0" w:num="1">
            <w:col w:w="11280"/>
          </w:cols>
          <w:pgMar w:left="300" w:top="1320" w:right="319" w:bottom="1440" w:gutter="0" w:footer="0" w:header="0"/>
        </w:sectPr>
      </w:pPr>
    </w:p>
    <w:bookmarkStart w:id="121" w:name="page122"/>
    <w:bookmarkEnd w:id="121"/>
    <w:p>
      <w:pPr>
        <w:jc w:val="both"/>
        <w:ind w:left="760"/>
        <w:spacing w:after="0" w:line="303" w:lineRule="auto"/>
        <w:rPr>
          <w:sz w:val="20"/>
          <w:szCs w:val="20"/>
          <w:color w:val="auto"/>
        </w:rPr>
      </w:pPr>
      <w:r>
        <w:rPr>
          <w:rFonts w:ascii="Times New Roman" w:cs="Times New Roman" w:eastAsia="Times New Roman" w:hAnsi="Times New Roman"/>
          <w:sz w:val="14"/>
          <w:szCs w:val="14"/>
          <w:color w:val="auto"/>
        </w:rPr>
        <w:t>confidential. The Executive shall not, without the prior written consent of the President or CEO of the Company, whether during the Executive’s employment or after the Executive’s employment with the Company, use, disclose, or make use of any of Confidential Information of any type to anyone, except as required by the Executive’s duties to the Company and for the benefit of the Company. On ceasing employment by or with the Company, the Executive agrees to promptly return to the Company all Company property including, without limitation, all things and documents containing Confidential Information, including all copies thereof in the Executive’s possession, whether being made by the Executive or others. The Executive recognizes and acknowledges that all Confidential Information shall remain the property of the Company and that the Executive shall not acquire any right, title or interest in or over the use of Confidential Information in any manner whatsoever.</w:t>
      </w:r>
    </w:p>
    <w:p>
      <w:pPr>
        <w:spacing w:after="0" w:line="117" w:lineRule="exact"/>
        <w:rPr>
          <w:sz w:val="20"/>
          <w:szCs w:val="20"/>
          <w:color w:val="auto"/>
        </w:rPr>
      </w:pPr>
    </w:p>
    <w:p>
      <w:pPr>
        <w:ind w:left="760" w:firstLine="518"/>
        <w:spacing w:after="0" w:line="273" w:lineRule="auto"/>
        <w:tabs>
          <w:tab w:leader="none" w:pos="151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Non-Disparagement</w:t>
      </w:r>
      <w:r>
        <w:rPr>
          <w:rFonts w:ascii="Times New Roman" w:cs="Times New Roman" w:eastAsia="Times New Roman" w:hAnsi="Times New Roman"/>
          <w:sz w:val="16"/>
          <w:szCs w:val="16"/>
          <w:color w:val="auto"/>
        </w:rPr>
        <w:t>. During and at all times following the Executive’s employment with the Company, the Executive shall not make any statements, orally or in writing, criticizing or disparaging the Company, its operations or its reputation.</w:t>
      </w:r>
    </w:p>
    <w:p>
      <w:pPr>
        <w:spacing w:after="0" w:line="142"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5.2 </w:t>
      </w:r>
      <w:r>
        <w:rPr>
          <w:rFonts w:ascii="Times New Roman" w:cs="Times New Roman" w:eastAsia="Times New Roman" w:hAnsi="Times New Roman"/>
          <w:sz w:val="14"/>
          <w:szCs w:val="14"/>
          <w:b w:val="1"/>
          <w:bCs w:val="1"/>
          <w:u w:val="single" w:color="auto"/>
          <w:color w:val="auto"/>
        </w:rPr>
        <w:t>Permitted Disclosures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Nothing in this Plan shall be construed to prohibit, prevent, or otherwise restrict the Executive from reporting any good faith allegation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unlawful employment practices to any appropriate federal, state, or local government agency enforcing discrimination laws; reporting any good faith allegation of criminal conduct to any appropriate federal, state, or local official; participating in a proceeding with any appropriate federal, state, or local government agency enforcing discrimination laws; making any truthful statements or disclosures required by law, regulation, or legal process; or requesting or receiving confidential legal advice. Nothing in this Plan shall be construed to prevent disclosure of information pursuant to the valid order of a court of competent jurisdiction or an authorized government agency, provided that the disclosure does not exceed the extent of disclosure required by such law, regulation, or order. The Executive shall, to the extent legally permitted, promptly provide written notice of any such order to the Company. Pursuant to the Defend Trade Secrets Act of 2016, no individual will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If the Executive files a lawsuit for retaliation for reporting a suspected violation of law, the Executive may disclose certain trade secrets to the Executive’s attorney and use the trade secret information in the court proceeding if the Executive: (a) files any document containing the trade secret under seal; and (b) does not disclose the trade secret, except pursuant to court order.</w:t>
      </w:r>
    </w:p>
    <w:p>
      <w:pPr>
        <w:spacing w:after="0" w:line="3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b w:val="1"/>
          <w:bCs w:val="1"/>
          <w:u w:val="single" w:color="auto"/>
          <w:color w:val="auto"/>
        </w:rPr>
        <w:t>Reasonableness of Covenants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executing a Participation Agreement, each Executive acknowledges that the covenants set forth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reasonably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necessary to protect the Company’s customer relationships and other valuable business interests. Section 5.1 shall supersede and replace any covenants concerning non-competition, non-solicitation, non-disclosure of confidential information and non-disparagement applicable to an Executive (as of immediately prior to such Executive’s execution of a Participation Agreement) pursuant to any other plan, agreement, or arrangement with the Company, including, but not limited to, any such restrictive covenants contained in any employment agreement, offer letter, the Equity Plan, or the First Watch Confidentiality, Non-Competition, and Non-Solicitation Agreement.</w:t>
      </w:r>
    </w:p>
    <w:p>
      <w:pPr>
        <w:sectPr>
          <w:pgSz w:w="11900" w:h="16838" w:orient="portrait"/>
          <w:cols w:equalWidth="0" w:num="1">
            <w:col w:w="11280"/>
          </w:cols>
          <w:pgMar w:left="300" w:top="1320" w:right="319" w:bottom="1440" w:gutter="0" w:footer="0" w:header="0"/>
        </w:sectPr>
      </w:pPr>
    </w:p>
    <w:bookmarkStart w:id="122" w:name="page123"/>
    <w:bookmarkEnd w:id="122"/>
    <w:p>
      <w:pPr>
        <w:jc w:val="both"/>
        <w:ind w:firstLine="509"/>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b w:val="1"/>
          <w:bCs w:val="1"/>
          <w:u w:val="single" w:color="auto"/>
          <w:color w:val="auto"/>
        </w:rPr>
        <w:t>Remedies</w:t>
      </w:r>
      <w:r>
        <w:rPr>
          <w:rFonts w:ascii="Times New Roman" w:cs="Times New Roman" w:eastAsia="Times New Roman" w:hAnsi="Times New Roman"/>
          <w:sz w:val="16"/>
          <w:szCs w:val="16"/>
          <w:color w:val="auto"/>
        </w:rPr>
        <w:t>. By executing a Participation Agreement, each Executive acknowledges that the services he or she is to render for the Company and its customers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unique in character, and the Executive’s obligations if breached will result in irreparable harm to the Company that cannot be reasonably or adequately compensated for in money damages. In the event of any breach of threatened breach of Section 5.1, the Company will be entitled to an injunction or other equitable relief to restrain such breach or threatened breach by the Executive and any persons acting in concert with the Executive. In addition, by executing a Participation Agreement, each Executive agrees that if an action is successfully brought to enforce Section 5.1 or to seek damages for its breach or threatened breach, the Executive will pay to the Company all reasonable costs and expenses incurred in seeking such relief, including attorneys’ fees and the Executive further agrees that any period of restriction or covenant herein stated shall not include any period of violation or a period of time required for litigation to enforce the restriction or covenant.</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VI. GENERAL PROVISIONS</w:t>
      </w:r>
    </w:p>
    <w:p>
      <w:pPr>
        <w:spacing w:after="0" w:line="18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b w:val="1"/>
          <w:bCs w:val="1"/>
          <w:u w:val="single" w:color="auto"/>
          <w:color w:val="auto"/>
        </w:rPr>
        <w:t>Termination and Amendment.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Prior to the occurrence of a Change of Control, this Plan may be amended or terminated by a majority of the Board of Directors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Following the occurrence of a Change of Control, this Plan may not be amended in any respect that adversely affects the rights of any Executive and may not be terminated until all obligations under this Plan have been satisfied.</w:t>
      </w:r>
    </w:p>
    <w:p>
      <w:pPr>
        <w:spacing w:after="0" w:line="15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b w:val="1"/>
          <w:bCs w:val="1"/>
          <w:u w:val="single" w:color="auto"/>
          <w:color w:val="auto"/>
        </w:rPr>
        <w:t>Funding; Cost of Plan</w:t>
      </w:r>
      <w:r>
        <w:rPr>
          <w:rFonts w:ascii="Times New Roman" w:cs="Times New Roman" w:eastAsia="Times New Roman" w:hAnsi="Times New Roman"/>
          <w:sz w:val="16"/>
          <w:szCs w:val="16"/>
          <w:color w:val="auto"/>
        </w:rPr>
        <w:t>. The benefits provided herein shall be unfunded and shall be provided from the Company’s general assets. No Executive shall have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to, or interest in, any assets of the Company that may be applied by the Company to the payment of amounts due hereunder.</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6.3 </w:t>
      </w:r>
      <w:r>
        <w:rPr>
          <w:rFonts w:ascii="Times New Roman" w:cs="Times New Roman" w:eastAsia="Times New Roman" w:hAnsi="Times New Roman"/>
          <w:sz w:val="16"/>
          <w:szCs w:val="16"/>
          <w:b w:val="1"/>
          <w:bCs w:val="1"/>
          <w:u w:val="single" w:color="auto"/>
          <w:color w:val="auto"/>
        </w:rPr>
        <w:t>Nonalienation; Successors.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Plan shall be binding upon any successor of the Company by merger, consolidation, acquisition, or similar transaction and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inure to the benefit of any be enforceable by the Executives of the Company. Executives shall not have any right to pledge, hypothecate, anticipate, or assign benefits or rights under this Plan, except by will or the laws of descent and distribution. An Executive’s rights and interests hereunder shall inure to the benefit of and be enforceable by the Executive’s personal representative.</w:t>
      </w:r>
    </w:p>
    <w:p>
      <w:pPr>
        <w:spacing w:after="0" w:line="151" w:lineRule="exact"/>
        <w:rPr>
          <w:sz w:val="20"/>
          <w:szCs w:val="20"/>
          <w:color w:val="auto"/>
        </w:rPr>
      </w:pPr>
    </w:p>
    <w:p>
      <w:pPr>
        <w:jc w:val="both"/>
        <w:ind w:firstLine="509"/>
        <w:spacing w:after="0" w:line="291" w:lineRule="auto"/>
        <w:rPr>
          <w:sz w:val="20"/>
          <w:szCs w:val="20"/>
          <w:color w:val="auto"/>
        </w:rPr>
      </w:pPr>
      <w:r>
        <w:rPr>
          <w:rFonts w:ascii="Times New Roman" w:cs="Times New Roman" w:eastAsia="Times New Roman" w:hAnsi="Times New Roman"/>
          <w:sz w:val="14"/>
          <w:szCs w:val="14"/>
          <w:b w:val="1"/>
          <w:bCs w:val="1"/>
          <w:color w:val="auto"/>
        </w:rPr>
        <w:t xml:space="preserve">6.4 </w:t>
      </w:r>
      <w:r>
        <w:rPr>
          <w:rFonts w:ascii="Times New Roman" w:cs="Times New Roman" w:eastAsia="Times New Roman" w:hAnsi="Times New Roman"/>
          <w:sz w:val="14"/>
          <w:szCs w:val="14"/>
          <w:b w:val="1"/>
          <w:bCs w:val="1"/>
          <w:u w:val="single" w:color="auto"/>
          <w:color w:val="auto"/>
        </w:rPr>
        <w:t>No Contract of Employment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adoption and maintenance of this Plan shall not be deemed to be a contract of employment between the Company and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person or to be consideration for the employment of any person. Nothing herein contained shall be deemed to (a) give any person the right to be retained in the employ of the Company, (b) restrict the right of the Company to discharge any person at any time, (c) give the Company the right to require any person to remain in the employ of the Company,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restrict any person’s right to terminate the Executive’s employment at any time.</w:t>
      </w:r>
    </w:p>
    <w:p>
      <w:pPr>
        <w:spacing w:after="0" w:line="174"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6.5 </w:t>
      </w:r>
      <w:r>
        <w:rPr>
          <w:rFonts w:ascii="Times New Roman" w:cs="Times New Roman" w:eastAsia="Times New Roman" w:hAnsi="Times New Roman"/>
          <w:sz w:val="14"/>
          <w:szCs w:val="14"/>
          <w:b w:val="1"/>
          <w:bCs w:val="1"/>
          <w:u w:val="single" w:color="auto"/>
          <w:color w:val="auto"/>
        </w:rPr>
        <w:t>Indemnification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an Executive shall obtain any money judgment relating to this Plan or otherwise prevails with respect to any litigation brought by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to enforce or interpret any provision contained herein, the Company, to the fullest extent permitted by applicable law, hereby indemnifies such Executive for Executive’s reasonable attorneys’ fees and disbursements incurred in such litigation and hereby agrees to pay in full all such fees and disbursements. Such payments shall be made within ten</w:t>
      </w:r>
    </w:p>
    <w:p>
      <w:pPr>
        <w:spacing w:after="0" w:line="2" w:lineRule="exact"/>
        <w:rPr>
          <w:sz w:val="20"/>
          <w:szCs w:val="20"/>
          <w:color w:val="auto"/>
        </w:rPr>
      </w:pPr>
    </w:p>
    <w:p>
      <w:pPr>
        <w:jc w:val="both"/>
        <w:ind w:firstLine="5"/>
        <w:spacing w:after="0" w:line="260" w:lineRule="auto"/>
        <w:tabs>
          <w:tab w:leader="none" w:pos="30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after the delivery of the Executive’s written request for the payment (on or following the date on which Executive obtains a money judgment related to this Plan or otherwise prevails with respect to litigation brought by him to enforce or interpret any provision contained herein) accompanied by evidence of such fees and expenses incurred as the Company may reasonably request. In</w:t>
      </w:r>
    </w:p>
    <w:p>
      <w:pPr>
        <w:sectPr>
          <w:pgSz w:w="11900" w:h="16838" w:orient="portrait"/>
          <w:cols w:equalWidth="0" w:num="1">
            <w:col w:w="11280"/>
          </w:cols>
          <w:pgMar w:left="300" w:top="1318" w:right="31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16"/>
          <w:szCs w:val="16"/>
          <w:color w:val="auto"/>
        </w:rPr>
        <w:t>any event, the Company shall pay the Executive such legal fees and expenses by the last day of the Executive’s taxable year following the taxable year in which the Executive incurred such legal fees and expenses. The legal fees or expenses that are subject to reimbursement pursuant to this Section 6.5 shall not be limited as a result of when the fees or expenses are incurred. The amount of legal fees or expenses that are eligible for reimbursement pursuant to this Section 6.5 during a given taxable year of the Executive shall not affect the amount of expenses eligible for reimbursement in any other taxable year of the Executive. The right to reimbursement pursuant to this Section 6.5 is not subject to liquidation or exchange for another benefit.</w:t>
      </w:r>
    </w:p>
    <w:p>
      <w:pPr>
        <w:spacing w:after="0" w:line="15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6.6 </w:t>
      </w:r>
      <w:r>
        <w:rPr>
          <w:rFonts w:ascii="Times New Roman" w:cs="Times New Roman" w:eastAsia="Times New Roman" w:hAnsi="Times New Roman"/>
          <w:sz w:val="16"/>
          <w:szCs w:val="16"/>
          <w:b w:val="1"/>
          <w:bCs w:val="1"/>
          <w:u w:val="single" w:color="auto"/>
          <w:color w:val="auto"/>
        </w:rPr>
        <w:t>Payment Obligations Absolute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Company’s obligation to pay an Executive the amounts provided herein shall be absolute and unconditional and shall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affected by any circumstances, including, without limitation, any set-off, counterclaim, recoupment, defense or other right which the Company or any of its subsidiaries may have against such Executive or anyone else. All amounts payable by the Company shall be paid without notice or demand.</w:t>
      </w:r>
    </w:p>
    <w:p>
      <w:pPr>
        <w:spacing w:after="0" w:line="151"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6.7</w:t>
      </w:r>
      <w:r>
        <w:rPr>
          <w:sz w:val="20"/>
          <w:szCs w:val="20"/>
          <w:color w:val="auto"/>
        </w:rPr>
        <w:tab/>
      </w:r>
      <w:r>
        <w:rPr>
          <w:rFonts w:ascii="Times New Roman" w:cs="Times New Roman" w:eastAsia="Times New Roman" w:hAnsi="Times New Roman"/>
          <w:sz w:val="14"/>
          <w:szCs w:val="14"/>
          <w:b w:val="1"/>
          <w:bCs w:val="1"/>
          <w:u w:val="single" w:color="auto"/>
          <w:color w:val="auto"/>
        </w:rPr>
        <w:t>Withholding</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 xml:space="preserve"> </w:t>
      </w:r>
      <w:r>
        <w:rPr>
          <w:rFonts w:ascii="Times New Roman" w:cs="Times New Roman" w:eastAsia="Times New Roman" w:hAnsi="Times New Roman"/>
          <w:sz w:val="14"/>
          <w:szCs w:val="14"/>
          <w:color w:val="auto"/>
        </w:rPr>
        <w:t>Any benefits or amounts paid or provided pursuant to this Plan shall be subject to all applicable taxes and withholdings.</w:t>
      </w:r>
    </w:p>
    <w:p>
      <w:pPr>
        <w:spacing w:after="0" w:line="177"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6.8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provision of this Plan that is prohibited or unenforceable in any jurisdiction by reason of applicable law shall, as to such jurisdiction,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3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6.9 </w:t>
      </w:r>
      <w:r>
        <w:rPr>
          <w:rFonts w:ascii="Times New Roman" w:cs="Times New Roman" w:eastAsia="Times New Roman" w:hAnsi="Times New Roman"/>
          <w:sz w:val="16"/>
          <w:szCs w:val="16"/>
          <w:b w:val="1"/>
          <w:bCs w:val="1"/>
          <w:u w:val="single" w:color="auto"/>
          <w:color w:val="auto"/>
        </w:rPr>
        <w:t>Compliance With Section 409A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maximum extent permitted by applicable law, amounts payable under this Plan are intended to be exempt from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409A or in compliance with the requirements of Section 409A and this Plan shall be administered accordingly. No amounts payable under this Plan that constitute a “deferral of compensation” within the meaning of Section 409A shall be payable unless the Executive’s termination of employment constitutes a “separation from service” within the meaning of Treas. Reg. § 1.409A-1(h). Each payment under this Plan is intended to be a “separate payment” and not a series of payments for purposes of Section 409A. Any payments or reimbursements of any expenses provided for under this Plan shall be made in accordance with Treas. Reg. § 1.409A-3(i)(l)(iv).</w:t>
      </w:r>
    </w:p>
    <w:p>
      <w:pPr>
        <w:spacing w:after="0" w:line="15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6.10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Plan shall be construed and enforced under and be governed in all respects by the laws of the State of Florida, without regard to the conflict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laws principles thereof.</w:t>
      </w:r>
    </w:p>
    <w:p>
      <w:pPr>
        <w:sectPr>
          <w:pgSz w:w="11900" w:h="16838" w:orient="portrait"/>
          <w:cols w:equalWidth="0" w:num="1">
            <w:col w:w="11280"/>
          </w:cols>
          <w:pgMar w:left="300" w:top="1320" w:right="319" w:bottom="1440" w:gutter="0" w:footer="0" w:header="0"/>
        </w:sectPr>
      </w:pPr>
    </w:p>
    <w:bookmarkStart w:id="124" w:name="page125"/>
    <w:bookmarkEnd w:id="124"/>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4"/>
              </w:rPr>
              <w:t>Schedule I</w:t>
            </w:r>
          </w:p>
        </w:tc>
        <w:tc>
          <w:tcPr>
            <w:tcW w:w="1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2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Applicable Factor</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4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Job Level</w:t>
            </w:r>
          </w:p>
        </w:tc>
        <w:tc>
          <w:tcPr>
            <w:tcW w:w="2420" w:type="dxa"/>
            <w:vAlign w:val="bottom"/>
            <w:tcBorders>
              <w:right w:val="single" w:sz="8" w:color="auto"/>
            </w:tcBorders>
            <w:shd w:val="clear" w:color="auto" w:fill="DEEBF6"/>
          </w:tcPr>
          <w:p>
            <w:pPr>
              <w:ind w:left="600"/>
              <w:spacing w:after="0"/>
              <w:rPr>
                <w:sz w:val="20"/>
                <w:szCs w:val="20"/>
                <w:color w:val="auto"/>
              </w:rPr>
            </w:pPr>
            <w:r>
              <w:rPr>
                <w:rFonts w:ascii="Times New Roman" w:cs="Times New Roman" w:eastAsia="Times New Roman" w:hAnsi="Times New Roman"/>
                <w:sz w:val="16"/>
                <w:szCs w:val="16"/>
                <w:b w:val="1"/>
                <w:bCs w:val="1"/>
                <w:color w:val="auto"/>
              </w:rPr>
              <w:t>Applicable Factor</w:t>
            </w:r>
          </w:p>
        </w:tc>
        <w:tc>
          <w:tcPr>
            <w:tcW w:w="2420" w:type="dxa"/>
            <w:vAlign w:val="bottom"/>
            <w:tcBorders>
              <w:right w:val="single" w:sz="8" w:color="auto"/>
            </w:tcBorders>
            <w:gridSpan w:val="3"/>
            <w:shd w:val="clear" w:color="auto" w:fill="DEEBF6"/>
          </w:tcPr>
          <w:p>
            <w:pPr>
              <w:ind w:left="440"/>
              <w:spacing w:after="0"/>
              <w:rPr>
                <w:sz w:val="20"/>
                <w:szCs w:val="20"/>
                <w:color w:val="auto"/>
              </w:rPr>
            </w:pPr>
            <w:r>
              <w:rPr>
                <w:rFonts w:ascii="Times New Roman" w:cs="Times New Roman" w:eastAsia="Times New Roman" w:hAnsi="Times New Roman"/>
                <w:sz w:val="16"/>
                <w:szCs w:val="16"/>
                <w:b w:val="1"/>
                <w:bCs w:val="1"/>
                <w:color w:val="auto"/>
              </w:rPr>
              <w:t>Applicable CIC Factor</w:t>
            </w:r>
          </w:p>
        </w:tc>
        <w:tc>
          <w:tcPr>
            <w:tcW w:w="2320" w:type="dxa"/>
            <w:vAlign w:val="bottom"/>
            <w:tcBorders>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Outplacement Period</w:t>
            </w:r>
          </w:p>
        </w:tc>
        <w:tc>
          <w:tcPr>
            <w:tcW w:w="0" w:type="dxa"/>
            <w:vAlign w:val="bottom"/>
          </w:tcPr>
          <w:p>
            <w:pPr>
              <w:spacing w:after="0"/>
              <w:rPr>
                <w:sz w:val="1"/>
                <w:szCs w:val="1"/>
                <w:color w:val="auto"/>
              </w:rPr>
            </w:pPr>
          </w:p>
        </w:tc>
      </w:tr>
      <w:tr>
        <w:trPr>
          <w:trHeight w:val="134"/>
        </w:trPr>
        <w:tc>
          <w:tcPr>
            <w:tcW w:w="2440" w:type="dxa"/>
            <w:vAlign w:val="bottom"/>
            <w:tcBorders>
              <w:left w:val="single" w:sz="8" w:color="auto"/>
              <w:bottom w:val="single" w:sz="8" w:color="auto"/>
              <w:right w:val="single" w:sz="8" w:color="auto"/>
            </w:tcBorders>
            <w:shd w:val="clear" w:color="auto" w:fill="DEEBF6"/>
          </w:tcPr>
          <w:p>
            <w:pPr>
              <w:spacing w:after="0"/>
              <w:rPr>
                <w:sz w:val="11"/>
                <w:szCs w:val="11"/>
                <w:color w:val="auto"/>
              </w:rPr>
            </w:pPr>
          </w:p>
        </w:tc>
        <w:tc>
          <w:tcPr>
            <w:tcW w:w="2420" w:type="dxa"/>
            <w:vAlign w:val="bottom"/>
            <w:tcBorders>
              <w:bottom w:val="single" w:sz="8" w:color="auto"/>
              <w:right w:val="single" w:sz="8" w:color="auto"/>
            </w:tcBorders>
            <w:shd w:val="clear" w:color="auto" w:fill="DEEBF6"/>
          </w:tcPr>
          <w:p>
            <w:pPr>
              <w:spacing w:after="0"/>
              <w:rPr>
                <w:sz w:val="11"/>
                <w:szCs w:val="11"/>
                <w:color w:val="auto"/>
              </w:rPr>
            </w:pPr>
          </w:p>
        </w:tc>
        <w:tc>
          <w:tcPr>
            <w:tcW w:w="2420" w:type="dxa"/>
            <w:vAlign w:val="bottom"/>
            <w:tcBorders>
              <w:bottom w:val="single" w:sz="8" w:color="auto"/>
              <w:right w:val="single" w:sz="8" w:color="auto"/>
            </w:tcBorders>
            <w:gridSpan w:val="3"/>
            <w:shd w:val="clear" w:color="auto" w:fill="DEEBF6"/>
          </w:tcPr>
          <w:p>
            <w:pPr>
              <w:spacing w:after="0"/>
              <w:rPr>
                <w:sz w:val="11"/>
                <w:szCs w:val="11"/>
                <w:color w:val="auto"/>
              </w:rPr>
            </w:pPr>
          </w:p>
        </w:tc>
        <w:tc>
          <w:tcPr>
            <w:tcW w:w="2320" w:type="dxa"/>
            <w:vAlign w:val="bottom"/>
            <w:tcBorders>
              <w:bottom w:val="single" w:sz="8" w:color="auto"/>
              <w:right w:val="single" w:sz="8" w:color="auto"/>
            </w:tcBorders>
            <w:shd w:val="clear" w:color="auto" w:fill="DEEBF6"/>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Chief Executive Officer (CEO)</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89"/>
              </w:rPr>
              <w:t>2.5</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18 months</w:t>
            </w:r>
          </w:p>
        </w:tc>
        <w:tc>
          <w:tcPr>
            <w:tcW w:w="0" w:type="dxa"/>
            <w:vAlign w:val="bottom"/>
          </w:tcPr>
          <w:p>
            <w:pPr>
              <w:spacing w:after="0"/>
              <w:rPr>
                <w:sz w:val="1"/>
                <w:szCs w:val="1"/>
                <w:color w:val="auto"/>
              </w:rPr>
            </w:pPr>
          </w:p>
        </w:tc>
      </w:tr>
      <w:tr>
        <w:trPr>
          <w:trHeight w:val="134"/>
        </w:trPr>
        <w:tc>
          <w:tcPr>
            <w:tcW w:w="2440" w:type="dxa"/>
            <w:vAlign w:val="bottom"/>
            <w:tcBorders>
              <w:left w:val="single" w:sz="8" w:color="auto"/>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gridSpan w:val="3"/>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Executive Officer (</w:t>
            </w:r>
            <w:r>
              <w:rPr>
                <w:rFonts w:ascii="Times New Roman" w:cs="Times New Roman" w:eastAsia="Times New Roman" w:hAnsi="Times New Roman"/>
                <w:sz w:val="16"/>
                <w:szCs w:val="16"/>
                <w:i w:val="1"/>
                <w:iCs w:val="1"/>
                <w:color w:val="auto"/>
                <w:w w:val="96"/>
              </w:rPr>
              <w:t>excluding CEO</w:t>
            </w:r>
            <w:r>
              <w:rPr>
                <w:rFonts w:ascii="Times New Roman" w:cs="Times New Roman" w:eastAsia="Times New Roman" w:hAnsi="Times New Roman"/>
                <w:sz w:val="16"/>
                <w:szCs w:val="16"/>
                <w:color w:val="auto"/>
                <w:w w:val="96"/>
              </w:rPr>
              <w:t>)</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1.5</w:t>
            </w:r>
          </w:p>
        </w:tc>
        <w:tc>
          <w:tcPr>
            <w:tcW w:w="2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2</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18 months</w:t>
            </w:r>
          </w:p>
        </w:tc>
        <w:tc>
          <w:tcPr>
            <w:tcW w:w="0" w:type="dxa"/>
            <w:vAlign w:val="bottom"/>
          </w:tcPr>
          <w:p>
            <w:pPr>
              <w:spacing w:after="0"/>
              <w:rPr>
                <w:sz w:val="1"/>
                <w:szCs w:val="1"/>
                <w:color w:val="auto"/>
              </w:rPr>
            </w:pPr>
          </w:p>
        </w:tc>
      </w:tr>
      <w:tr>
        <w:trPr>
          <w:trHeight w:val="74"/>
        </w:trPr>
        <w:tc>
          <w:tcPr>
            <w:tcW w:w="244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440" w:type="dxa"/>
            <w:vAlign w:val="bottom"/>
            <w:tcBorders>
              <w:left w:val="single" w:sz="8" w:color="auto"/>
              <w:bottom w:val="single" w:sz="8" w:color="auto"/>
              <w:right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c>
          <w:tcPr>
            <w:tcW w:w="2420" w:type="dxa"/>
            <w:vAlign w:val="bottom"/>
            <w:tcBorders>
              <w:bottom w:val="single" w:sz="8" w:color="auto"/>
              <w:right w:val="single" w:sz="8" w:color="auto"/>
            </w:tcBorders>
            <w:gridSpan w:val="3"/>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Home Office SVP</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89"/>
              </w:rPr>
              <w:t>1.5</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 months</w:t>
            </w:r>
          </w:p>
        </w:tc>
        <w:tc>
          <w:tcPr>
            <w:tcW w:w="0" w:type="dxa"/>
            <w:vAlign w:val="bottom"/>
          </w:tcPr>
          <w:p>
            <w:pPr>
              <w:spacing w:after="0"/>
              <w:rPr>
                <w:sz w:val="1"/>
                <w:szCs w:val="1"/>
                <w:color w:val="auto"/>
              </w:rPr>
            </w:pPr>
          </w:p>
        </w:tc>
      </w:tr>
      <w:tr>
        <w:trPr>
          <w:trHeight w:val="134"/>
        </w:trPr>
        <w:tc>
          <w:tcPr>
            <w:tcW w:w="2440" w:type="dxa"/>
            <w:vAlign w:val="bottom"/>
            <w:tcBorders>
              <w:left w:val="single" w:sz="8" w:color="auto"/>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gridSpan w:val="3"/>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SVP, Operations</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2"/>
              </w:rPr>
              <w:t>0.75</w:t>
            </w:r>
          </w:p>
        </w:tc>
        <w:tc>
          <w:tcPr>
            <w:tcW w:w="2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92"/>
              </w:rPr>
              <w:t>0.75</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9 months</w:t>
            </w:r>
          </w:p>
        </w:tc>
        <w:tc>
          <w:tcPr>
            <w:tcW w:w="0" w:type="dxa"/>
            <w:vAlign w:val="bottom"/>
          </w:tcPr>
          <w:p>
            <w:pPr>
              <w:spacing w:after="0"/>
              <w:rPr>
                <w:sz w:val="1"/>
                <w:szCs w:val="1"/>
                <w:color w:val="auto"/>
              </w:rPr>
            </w:pPr>
          </w:p>
        </w:tc>
      </w:tr>
      <w:tr>
        <w:trPr>
          <w:trHeight w:val="134"/>
        </w:trPr>
        <w:tc>
          <w:tcPr>
            <w:tcW w:w="2440" w:type="dxa"/>
            <w:vAlign w:val="bottom"/>
            <w:tcBorders>
              <w:left w:val="single" w:sz="8" w:color="auto"/>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gridSpan w:val="3"/>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Other Participants</w:t>
            </w:r>
          </w:p>
        </w:tc>
        <w:tc>
          <w:tcPr>
            <w:tcW w:w="2420" w:type="dxa"/>
            <w:vAlign w:val="bottom"/>
          </w:tcPr>
          <w:p>
            <w:pPr>
              <w:spacing w:after="0"/>
              <w:rPr>
                <w:sz w:val="17"/>
                <w:szCs w:val="17"/>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As determined by the Committee</w:t>
            </w:r>
          </w:p>
        </w:tc>
        <w:tc>
          <w:tcPr>
            <w:tcW w:w="2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440" w:type="dxa"/>
            <w:vAlign w:val="bottom"/>
            <w:tcBorders>
              <w:left w:val="single" w:sz="8" w:color="auto"/>
              <w:bottom w:val="single" w:sz="8" w:color="auto"/>
              <w:right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440" w:right="1440" w:bottom="1440" w:gutter="0" w:footer="0" w:header="0"/>
        </w:sectPr>
      </w:pPr>
    </w:p>
    <w:bookmarkStart w:id="125" w:name="page126"/>
    <w:bookmarkEnd w:id="125"/>
    <w:p>
      <w:pPr>
        <w:spacing w:after="0" w:line="1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PARTICIPATION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Watch Restaurant Group,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Severance Plan</w:t>
      </w:r>
    </w:p>
    <w:p>
      <w:pPr>
        <w:spacing w:after="0" w:line="195"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This Participation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by and between [EXECUTIVE NAME] (the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 and First Watch Restaurant Group,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effective as of [DATE]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The Company maintains the First Watch Restaurant Group, Inc. Executive Severance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to provide for specified severance benefits in connection with certain Qualifying Terminations (as defined in the Plan). The Executive hereby acknowledges that the Executive has read and understands the terms of the Plan and agrees to participate in the Plan. Capitalized terms used but not defined in this Agreement shall have the meaning set forth in the Plan.</w:t>
      </w:r>
    </w:p>
    <w:p>
      <w:pPr>
        <w:spacing w:after="0" w:line="1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6"/>
          <w:szCs w:val="16"/>
          <w:color w:val="auto"/>
        </w:rPr>
        <w:t xml:space="preserve">Upon executing this Agreement, the Executive shall be an “Executive” as defined in the Plan. The Executive expressly acknowledges and agrees that other than as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of Plan, the Executive shall have no other rights or entitlement to severance payments or benefits from the Company or any of its subsidiaries, including any severance payments or benefits (i) set forth in any offer letter or employment agreement between the Executive and the Company or (ii) offered to other Company employees pursuant to any other Company plan or policy. Furthermore, the Executive and the Company agree that in the event the Executive experiences a Qualifying Termination within the Protection Period, Section 4.2(f) shall govern the treatment of any equity awards that have been issued or may hereafter be issued to the Executive under the Equity Plan. The Executive hereby expressly acknowledges and agrees that the covenants set forth in Section 5.1 of the Plan are reasonably necessary to protect the Company’s customer relationships and other valuable business interests and, furthermore, that such covenants shall replace and supersede any covenants concerning non-competition, non-solicitation, non-disclosure of confidential information and non-disparagement applicable to an Executive that the Executive may be subject to pursuant to an arrangement with the Company as of immediately prior to Effective Date.</w:t>
      </w:r>
    </w:p>
    <w:p>
      <w:pPr>
        <w:spacing w:after="0" w:line="3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 WITNESS WHEREOF, each of the parties has executed this Agreement, in the case of the Company by its duly authorized officer,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954780" cy="821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954780" cy="82169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26" w:name="page127"/>
    <w:bookmarkEnd w:id="126"/>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ectPr>
          <w:pgSz w:w="11900" w:h="16838" w:orient="portrait"/>
          <w:cols w:equalWidth="0" w:num="1">
            <w:col w:w="9019"/>
          </w:cols>
          <w:pgMar w:left="1440" w:top="1440" w:right="1440"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Release</w:t>
      </w:r>
    </w:p>
    <w:p>
      <w:pPr>
        <w:sectPr>
          <w:pgSz w:w="11900" w:h="16838" w:orient="portrait"/>
          <w:cols w:equalWidth="0" w:num="1">
            <w:col w:w="9019"/>
          </w:cols>
          <w:pgMar w:left="1440" w:top="1440" w:right="1440" w:bottom="1440" w:gutter="0" w:footer="0" w:header="0"/>
          <w:type w:val="continuous"/>
        </w:sectPr>
      </w:pPr>
    </w:p>
    <w:bookmarkStart w:id="127" w:name="page128"/>
    <w:bookmarkEnd w:id="127"/>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GENERAL RELEASE AND WAIVER OF CLAIMS</w:t>
      </w:r>
    </w:p>
    <w:p>
      <w:pPr>
        <w:spacing w:after="0" w:line="177"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color w:val="auto"/>
        </w:rPr>
        <w:t>GENERAL RELEASE AND WAIVER OF CLAIMS (this “</w:t>
      </w:r>
      <w:r>
        <w:rPr>
          <w:rFonts w:ascii="Times New Roman" w:cs="Times New Roman" w:eastAsia="Times New Roman" w:hAnsi="Times New Roman"/>
          <w:sz w:val="16"/>
          <w:szCs w:val="16"/>
          <w:b w:val="1"/>
          <w:bCs w:val="1"/>
          <w:color w:val="auto"/>
        </w:rPr>
        <w:t>Release</w:t>
      </w:r>
      <w:r>
        <w:rPr>
          <w:rFonts w:ascii="Times New Roman" w:cs="Times New Roman" w:eastAsia="Times New Roman" w:hAnsi="Times New Roman"/>
          <w:sz w:val="16"/>
          <w:szCs w:val="16"/>
          <w:color w:val="auto"/>
        </w:rPr>
        <w:t>”) by [</w:t>
      </w:r>
      <w:r>
        <w:rPr>
          <w:rFonts w:ascii="Times New Roman" w:cs="Times New Roman" w:eastAsia="Times New Roman" w:hAnsi="Times New Roman"/>
          <w:sz w:val="16"/>
          <w:szCs w:val="16"/>
          <w:i w:val="1"/>
          <w:iCs w:val="1"/>
          <w:color w:val="auto"/>
        </w:rPr>
        <w:t>Executive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 in favor of First Watch Restaurant Group, Inc. and its subsidiaries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affiliates, stockholders, beneficial owners of its stock, its current or former officers, directors, employees, members, attorneys and agents, and their predecessors, successors and assigns, individual and in their official capacities (together, the “</w:t>
      </w:r>
      <w:r>
        <w:rPr>
          <w:rFonts w:ascii="Times New Roman" w:cs="Times New Roman" w:eastAsia="Times New Roman" w:hAnsi="Times New Roman"/>
          <w:sz w:val="16"/>
          <w:szCs w:val="16"/>
          <w:b w:val="1"/>
          <w:bCs w:val="1"/>
          <w:color w:val="auto"/>
        </w:rPr>
        <w:t>Released Parties</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WHEREAS, the Executive has been employed as [</w:t>
      </w:r>
      <w:r>
        <w:rPr>
          <w:rFonts w:ascii="Times New Roman" w:cs="Times New Roman" w:eastAsia="Times New Roman" w:hAnsi="Times New Roman"/>
          <w:sz w:val="16"/>
          <w:szCs w:val="16"/>
          <w:i w:val="1"/>
          <w:iCs w:val="1"/>
          <w:color w:val="auto"/>
        </w:rPr>
        <w:t>title</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WHEREAS, the Executive’s employment with the Company was terminated, effective as of [</w:t>
      </w:r>
      <w:r>
        <w:rPr>
          <w:rFonts w:ascii="Times New Roman" w:cs="Times New Roman" w:eastAsia="Times New Roman" w:hAnsi="Times New Roman"/>
          <w:sz w:val="16"/>
          <w:szCs w:val="16"/>
          <w:i w:val="1"/>
          <w:iCs w:val="1"/>
          <w:color w:val="auto"/>
        </w:rPr>
        <w:t>date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Termination Date</w:t>
      </w:r>
      <w:r>
        <w:rPr>
          <w:rFonts w:ascii="Times New Roman" w:cs="Times New Roman" w:eastAsia="Times New Roman" w:hAnsi="Times New Roman"/>
          <w:sz w:val="16"/>
          <w:szCs w:val="16"/>
          <w:color w:val="auto"/>
        </w:rPr>
        <w:t>”); and</w:t>
      </w:r>
    </w:p>
    <w:p>
      <w:pPr>
        <w:spacing w:after="0" w:line="18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color w:val="auto"/>
        </w:rPr>
        <w:t>WHEREAS, the Executive is seeking certain payments under Section [4.1][4.2] of the Company’s Executive Severance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that are conditioned on Executive’s timely execution and non-revocation of this Release.</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NOW, THEREFORE, in consideration of the covenants and agreements set forth in this Release and the Plan, the Executive and the Company agree as follows:</w:t>
      </w:r>
    </w:p>
    <w:p>
      <w:pPr>
        <w:spacing w:after="0" w:line="175" w:lineRule="exact"/>
        <w:rPr>
          <w:sz w:val="20"/>
          <w:szCs w:val="20"/>
          <w:color w:val="auto"/>
        </w:rPr>
      </w:pPr>
    </w:p>
    <w:p>
      <w:pPr>
        <w:jc w:val="both"/>
        <w:ind w:firstLine="514"/>
        <w:spacing w:after="0" w:line="246" w:lineRule="auto"/>
        <w:tabs>
          <w:tab w:leader="none" w:pos="101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General Release and Covenant Not to Sue</w:t>
      </w:r>
      <w:r>
        <w:rPr>
          <w:rFonts w:ascii="Times New Roman" w:cs="Times New Roman" w:eastAsia="Times New Roman" w:hAnsi="Times New Roman"/>
          <w:sz w:val="16"/>
          <w:szCs w:val="16"/>
          <w:color w:val="auto"/>
        </w:rPr>
        <w:t>. Executive knowingly and voluntarily waives, terminates, cancels and fully and forever discharges and releases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Released Parties from any and all suits, actions, causes of action, claims, allegations, rights, obligations, liabilities, demands, entitlements or charges (collectively, “</w:t>
      </w:r>
      <w:r>
        <w:rPr>
          <w:rFonts w:ascii="Times New Roman" w:cs="Times New Roman" w:eastAsia="Times New Roman" w:hAnsi="Times New Roman"/>
          <w:sz w:val="16"/>
          <w:szCs w:val="16"/>
          <w:b w:val="1"/>
          <w:bCs w:val="1"/>
          <w:color w:val="auto"/>
        </w:rPr>
        <w:t>Claims</w:t>
      </w:r>
      <w:r>
        <w:rPr>
          <w:rFonts w:ascii="Times New Roman" w:cs="Times New Roman" w:eastAsia="Times New Roman" w:hAnsi="Times New Roman"/>
          <w:sz w:val="16"/>
          <w:szCs w:val="16"/>
          <w:color w:val="auto"/>
        </w:rPr>
        <w:t>”) that the Executive (or the Executive’s heirs, executors, administrators, successors and assigns) has or may have, whether known, unknown or unforeseen, vested or contingent, by reason of any matter, cause or thing occurring at any time before and including the date of Executive’s execution of this Release, including all claims arising under or in connection with Executive’s employment or termination of employment with the Company, including, without limitation: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age, national origin, religion, disability, sexual orientation, or any other unlawful criterion or circumstance, including rights or Claims under the Age Discrimination in Employment Act (“</w:t>
      </w:r>
      <w:r>
        <w:rPr>
          <w:rFonts w:ascii="Times New Roman" w:cs="Times New Roman" w:eastAsia="Times New Roman" w:hAnsi="Times New Roman"/>
          <w:sz w:val="16"/>
          <w:szCs w:val="16"/>
          <w:b w:val="1"/>
          <w:bCs w:val="1"/>
          <w:color w:val="auto"/>
        </w:rPr>
        <w:t>ADEA</w:t>
      </w:r>
      <w:r>
        <w:rPr>
          <w:rFonts w:ascii="Times New Roman" w:cs="Times New Roman" w:eastAsia="Times New Roman" w:hAnsi="Times New Roman"/>
          <w:sz w:val="16"/>
          <w:szCs w:val="16"/>
          <w:color w:val="auto"/>
        </w:rPr>
        <w:t>”), the Older Workers Benefit Protection Act (“</w:t>
      </w:r>
      <w:r>
        <w:rPr>
          <w:rFonts w:ascii="Times New Roman" w:cs="Times New Roman" w:eastAsia="Times New Roman" w:hAnsi="Times New Roman"/>
          <w:sz w:val="16"/>
          <w:szCs w:val="16"/>
          <w:b w:val="1"/>
          <w:bCs w:val="1"/>
          <w:color w:val="auto"/>
        </w:rPr>
        <w:t>OWBPA</w:t>
      </w:r>
      <w:r>
        <w:rPr>
          <w:rFonts w:ascii="Times New Roman" w:cs="Times New Roman" w:eastAsia="Times New Roman" w:hAnsi="Times New Roman"/>
          <w:sz w:val="16"/>
          <w:szCs w:val="16"/>
          <w:color w:val="auto"/>
        </w:rPr>
        <w:t>”), Title VII of the Civil Rights Act of 1964, as amended, 42 U.S.C. § 1981, the Americans With Disabilities Act (“</w:t>
      </w:r>
      <w:r>
        <w:rPr>
          <w:rFonts w:ascii="Times New Roman" w:cs="Times New Roman" w:eastAsia="Times New Roman" w:hAnsi="Times New Roman"/>
          <w:sz w:val="16"/>
          <w:szCs w:val="16"/>
          <w:b w:val="1"/>
          <w:bCs w:val="1"/>
          <w:color w:val="auto"/>
        </w:rPr>
        <w:t>ADA</w:t>
      </w:r>
      <w:r>
        <w:rPr>
          <w:rFonts w:ascii="Times New Roman" w:cs="Times New Roman" w:eastAsia="Times New Roman" w:hAnsi="Times New Roman"/>
          <w:sz w:val="16"/>
          <w:szCs w:val="16"/>
          <w:color w:val="auto"/>
        </w:rPr>
        <w:t>”), the Family and Medical Leave Act (“</w:t>
      </w:r>
      <w:r>
        <w:rPr>
          <w:rFonts w:ascii="Times New Roman" w:cs="Times New Roman" w:eastAsia="Times New Roman" w:hAnsi="Times New Roman"/>
          <w:sz w:val="16"/>
          <w:szCs w:val="16"/>
          <w:b w:val="1"/>
          <w:bCs w:val="1"/>
          <w:color w:val="auto"/>
        </w:rPr>
        <w:t>FMLA</w:t>
      </w:r>
      <w:r>
        <w:rPr>
          <w:rFonts w:ascii="Times New Roman" w:cs="Times New Roman" w:eastAsia="Times New Roman" w:hAnsi="Times New Roman"/>
          <w:sz w:val="16"/>
          <w:szCs w:val="16"/>
          <w:color w:val="auto"/>
        </w:rPr>
        <w:t>”), the Employee Retirement Income Security Act (“</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the Equal Pay Act (“</w:t>
      </w:r>
      <w:r>
        <w:rPr>
          <w:rFonts w:ascii="Times New Roman" w:cs="Times New Roman" w:eastAsia="Times New Roman" w:hAnsi="Times New Roman"/>
          <w:sz w:val="16"/>
          <w:szCs w:val="16"/>
          <w:b w:val="1"/>
          <w:bCs w:val="1"/>
          <w:color w:val="auto"/>
        </w:rPr>
        <w:t>EPA</w:t>
      </w:r>
      <w:r>
        <w:rPr>
          <w:rFonts w:ascii="Times New Roman" w:cs="Times New Roman" w:eastAsia="Times New Roman" w:hAnsi="Times New Roman"/>
          <w:sz w:val="16"/>
          <w:szCs w:val="16"/>
          <w:color w:val="auto"/>
        </w:rPr>
        <w:t>”), the Occupational Safety and Health Act (“</w:t>
      </w:r>
      <w:r>
        <w:rPr>
          <w:rFonts w:ascii="Times New Roman" w:cs="Times New Roman" w:eastAsia="Times New Roman" w:hAnsi="Times New Roman"/>
          <w:sz w:val="16"/>
          <w:szCs w:val="16"/>
          <w:b w:val="1"/>
          <w:bCs w:val="1"/>
          <w:color w:val="auto"/>
        </w:rPr>
        <w:t>OSHA</w:t>
      </w:r>
      <w:r>
        <w:rPr>
          <w:rFonts w:ascii="Times New Roman" w:cs="Times New Roman" w:eastAsia="Times New Roman" w:hAnsi="Times New Roman"/>
          <w:sz w:val="16"/>
          <w:szCs w:val="16"/>
          <w:color w:val="auto"/>
        </w:rPr>
        <w:t>”), the Florida Civil Rights Act, the Florida Whistleblower Protection Act, the Florida Workers’ Compensation Retaliation provision, the Florida Minimum Wage Act, and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 (the “</w:t>
      </w:r>
      <w:r>
        <w:rPr>
          <w:rFonts w:ascii="Times New Roman" w:cs="Times New Roman" w:eastAsia="Times New Roman" w:hAnsi="Times New Roman"/>
          <w:sz w:val="16"/>
          <w:szCs w:val="16"/>
          <w:b w:val="1"/>
          <w:bCs w:val="1"/>
          <w:color w:val="auto"/>
        </w:rPr>
        <w:t>Released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129349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32" w:lineRule="exact"/>
        <w:rPr>
          <w:sz w:val="20"/>
          <w:szCs w:val="20"/>
          <w:color w:val="auto"/>
        </w:rPr>
      </w:pPr>
    </w:p>
    <w:p>
      <w:pPr>
        <w:ind w:left="80" w:hanging="75"/>
        <w:spacing w:after="0"/>
        <w:tabs>
          <w:tab w:leader="none" w:pos="8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Form of Release to be updated / customized for applicable state-specific law based on Executive’s state of residence.</w:t>
      </w:r>
    </w:p>
    <w:p>
      <w:pPr>
        <w:sectPr>
          <w:pgSz w:w="11900" w:h="16838" w:orient="portrait"/>
          <w:cols w:equalWidth="0" w:num="1">
            <w:col w:w="11280"/>
          </w:cols>
          <w:pgMar w:left="300" w:top="1440" w:right="319" w:bottom="1440" w:gutter="0" w:footer="0" w:header="0"/>
        </w:sectPr>
      </w:pPr>
    </w:p>
    <w:bookmarkStart w:id="128" w:name="page129"/>
    <w:bookmarkEnd w:id="128"/>
    <w:p>
      <w:pPr>
        <w:jc w:val="both"/>
        <w:ind w:firstLine="514"/>
        <w:spacing w:after="0" w:line="247" w:lineRule="auto"/>
        <w:tabs>
          <w:tab w:leader="none" w:pos="101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Surviving Claims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understands that nothing contained in this Release will release, impair, waive or otherwise adversely affect Executive’s rights (a)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 the terms of this Release or the Plan, (b) to any defense, indemnification, contribution and/or coverage under the Company’s director’s and officer’s liability insurance policy or the charter or bylaws of the Company or any indemnification agreement with the Company to which Executive is a party, in each case, in accordance with its respective terms by reason of services Executive rendered for the Company or any of its subsidiaries as a director, an officer and/or an employee thereof, (c) to vested benefits under any applicable employee benefit plans of the Company, (d) to elect to receive COBRA continuation coverage in accordance with applicable law, (e) to receive an award from a government agency under its whistleblower program (including any right Executive may have to receive a monetary award from the SEC as an SEC Whistleblower, pursuant to the bounty provision under Section 922(a)-(g) of the Dodd Frank Act, 7 U.S.C. Sec. 26(a)-(g), as may be amended from time to time) for reporting in good faith a possible violation of law, (f) any recovery to which Executive may be entitled pursuant to state workers’ compensation and unemployment insurance laws, (g) to challenge the validity of this Agreement under the ADEA, and/or (h) to claims that cannot be waived under applicable law by signing this Release.</w:t>
      </w:r>
    </w:p>
    <w:p>
      <w:pPr>
        <w:spacing w:after="0" w:line="141" w:lineRule="exact"/>
        <w:rPr>
          <w:rFonts w:ascii="Times New Roman" w:cs="Times New Roman" w:eastAsia="Times New Roman" w:hAnsi="Times New Roman"/>
          <w:sz w:val="16"/>
          <w:szCs w:val="16"/>
          <w:color w:val="auto"/>
        </w:rPr>
      </w:pPr>
    </w:p>
    <w:p>
      <w:pPr>
        <w:jc w:val="both"/>
        <w:ind w:firstLine="514"/>
        <w:spacing w:after="0" w:line="245" w:lineRule="auto"/>
        <w:tabs>
          <w:tab w:leader="none" w:pos="101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Protected Activities</w:t>
      </w:r>
      <w:r>
        <w:rPr>
          <w:rFonts w:ascii="Times New Roman" w:cs="Times New Roman" w:eastAsia="Times New Roman" w:hAnsi="Times New Roman"/>
          <w:sz w:val="16"/>
          <w:szCs w:val="16"/>
          <w:color w:val="auto"/>
        </w:rPr>
        <w:t>. Executive and the Company acknowledge and agree that this Release shall not be construed or applied in a manner that limits or interferes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 Executive’s right, without notice to or authorization of the Company, to make truthful statements or disclosures regarding unlawful employment practices, or to communicate and cooperate in good faith with a government agency for the purpose of (a) reporting a possible violation of any U.S. federal, state, or local law or regulation, or (b) filing a charge or complaint with, cooperating with, or participating in any investigation or proceeding that may be conducted or managed by any government agency (such as the Equal Employment Opportunity Commission or a state fair employment practices agency), including by providing documents or other information </w:t>
      </w:r>
      <w:r>
        <w:rPr>
          <w:rFonts w:ascii="Times New Roman" w:cs="Times New Roman" w:eastAsia="Times New Roman" w:hAnsi="Times New Roman"/>
          <w:sz w:val="16"/>
          <w:szCs w:val="16"/>
          <w:i w:val="1"/>
          <w:iCs w:val="1"/>
          <w:color w:val="auto"/>
        </w:rPr>
        <w:t>(except that Executive acknowledges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solely to the maximum extent permitted by law, Executive may not recover any monetary benefits in connection with any such charge, investigation, or proceeding, and Executive further waives any rights or claims to any payment, benefit, attorneys’ fees or other remedial relief in connection with any such charge, investigation or proceeding)</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Additionally, Executive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(ii) in a complaint or other document filed in a lawsuit or other proceeding, if such filing is made under seal; or (iii) in court proceedings if Executive files a lawsuit for retaliation by an employer for reporting a suspected violation of law, or to Executive’s attorney in such lawsuit, provided that Executive must file any document containing the trade secret under seal, and Executive may not disclose the trade secret, except pursuant to court order. Notwithstanding the foregoing, under no circumstance will Executive be authorized to make any disclosures as to which the Company may assert protections from disclosure under the attorney-client privilege or the attorney work product doctrine, without prior written consent of a duly authorized officer of the Company, except to the extent disclosure of such information is permitted under any applicable law, rule or regulation. Provided further, nothing in this Release prevents Executive from discussing or disclosing information about unlawful acts in the workplace, such as harassment or discrimination or any other conduct which Executive has reason to believe is unlawful.</w:t>
      </w:r>
    </w:p>
    <w:p>
      <w:pPr>
        <w:spacing w:after="0" w:line="156" w:lineRule="exact"/>
        <w:rPr>
          <w:rFonts w:ascii="Times New Roman" w:cs="Times New Roman" w:eastAsia="Times New Roman" w:hAnsi="Times New Roman"/>
          <w:sz w:val="16"/>
          <w:szCs w:val="16"/>
          <w:color w:val="auto"/>
        </w:rPr>
      </w:pPr>
    </w:p>
    <w:p>
      <w:pPr>
        <w:jc w:val="both"/>
        <w:ind w:firstLine="514"/>
        <w:spacing w:after="0" w:line="255" w:lineRule="auto"/>
        <w:tabs>
          <w:tab w:leader="none" w:pos="101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Representations</w:t>
      </w:r>
      <w:r>
        <w:rPr>
          <w:rFonts w:ascii="Times New Roman" w:cs="Times New Roman" w:eastAsia="Times New Roman" w:hAnsi="Times New Roman"/>
          <w:sz w:val="16"/>
          <w:szCs w:val="16"/>
          <w:color w:val="auto"/>
        </w:rPr>
        <w:t>. Executive further represents and warrants that Executive has not filed any civil action, suit, arbitration, administrative charge, or 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proceeding against any Released Party nor, has Executive assigned, pledged, or hypothecated as of the Effective Date any Claim to any person and no other person has an interest in the Claims that he is releasing.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307" w:right="319" w:bottom="1440" w:gutter="0" w:footer="0" w:header="0"/>
        </w:sectPr>
      </w:pPr>
    </w:p>
    <w:bookmarkStart w:id="129" w:name="page130"/>
    <w:bookmarkEnd w:id="129"/>
    <w:p>
      <w:pPr>
        <w:jc w:val="both"/>
        <w:ind w:firstLine="514"/>
        <w:spacing w:after="0" w:line="248" w:lineRule="auto"/>
        <w:tabs>
          <w:tab w:leader="none" w:pos="101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Acknowledgements by Executive</w:t>
      </w:r>
      <w:r>
        <w:rPr>
          <w:rFonts w:ascii="Times New Roman" w:cs="Times New Roman" w:eastAsia="Times New Roman" w:hAnsi="Times New Roman"/>
          <w:sz w:val="16"/>
          <w:szCs w:val="16"/>
          <w:color w:val="auto"/>
        </w:rPr>
        <w:t>. Executive acknowledges and agrees that Executive has read this Release in its entirety and that this Release is a general release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all known and unknown Claims. Executive acknowledges that Executive may discover facts or law different from, or in addition to, the facts or law that Executive knows or believes to be true with respect to the claims released in this Agreement and agrees, nonetheless, that this Agreement and the release contained in it shall be and remain effective in all respects notwithstanding such different or additional facts or the discovery of them. Executive acknowledges and agrees that no portion of the severance payments is allocable to any claim of sexual harassment under federal, state or local law. Executive understands and agrees that by entering into this Release, Executive is waiving any and all rights or claims Executive might have under the ADEA, as amended by the Older Workers Benefit Protection Act.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Executive further acknowledges and agrees that:</w:t>
      </w:r>
    </w:p>
    <w:p>
      <w:pPr>
        <w:spacing w:after="0" w:line="177" w:lineRule="exact"/>
        <w:rPr>
          <w:sz w:val="20"/>
          <w:szCs w:val="20"/>
          <w:color w:val="auto"/>
        </w:rPr>
      </w:pPr>
    </w:p>
    <w:p>
      <w:pPr>
        <w:ind w:left="520" w:firstLine="503"/>
        <w:spacing w:after="0" w:line="330" w:lineRule="auto"/>
        <w:tabs>
          <w:tab w:leader="none" w:pos="153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Release does not release, waive or discharge any rights or Claims that may arise for actions or omissions after the Effective Date of this Release and Executive acknowledges that [he][she] is not releasing, waiving or discharging any ADEA Claims that may arise after the date on which Executive signs this Release;</w:t>
      </w:r>
    </w:p>
    <w:p>
      <w:pPr>
        <w:spacing w:after="0" w:line="98" w:lineRule="exact"/>
        <w:rPr>
          <w:rFonts w:ascii="Times New Roman" w:cs="Times New Roman" w:eastAsia="Times New Roman" w:hAnsi="Times New Roman"/>
          <w:sz w:val="14"/>
          <w:szCs w:val="14"/>
          <w:color w:val="auto"/>
        </w:rPr>
      </w:pPr>
    </w:p>
    <w:p>
      <w:pPr>
        <w:jc w:val="both"/>
        <w:ind w:left="520" w:firstLine="503"/>
        <w:spacing w:after="0" w:line="254" w:lineRule="auto"/>
        <w:tabs>
          <w:tab w:leader="none" w:pos="153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has entered into this Release of Executive’s own free will, and that no promises or representations have been made to Executive by any person to induce Executive to enter into this Release other than the express terms set forth herein. Executive further acknowledges that Executive has read this Release and understands all of its terms, including the waiver of the Released Matters;</w:t>
      </w:r>
    </w:p>
    <w:p>
      <w:pPr>
        <w:spacing w:after="0" w:line="147" w:lineRule="exact"/>
        <w:rPr>
          <w:rFonts w:ascii="Times New Roman" w:cs="Times New Roman" w:eastAsia="Times New Roman" w:hAnsi="Times New Roman"/>
          <w:sz w:val="16"/>
          <w:szCs w:val="16"/>
          <w:color w:val="auto"/>
        </w:rPr>
      </w:pPr>
    </w:p>
    <w:p>
      <w:pPr>
        <w:ind w:left="520" w:firstLine="503"/>
        <w:spacing w:after="0" w:line="259" w:lineRule="auto"/>
        <w:tabs>
          <w:tab w:leader="none" w:pos="15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is entering into this Release and releasing, waiving and discharging rights or Claims only in exchange for consideration which he is not already entitled to receive;</w:t>
      </w:r>
    </w:p>
    <w:p>
      <w:pPr>
        <w:spacing w:after="0" w:line="143" w:lineRule="exact"/>
        <w:rPr>
          <w:rFonts w:ascii="Times New Roman" w:cs="Times New Roman" w:eastAsia="Times New Roman" w:hAnsi="Times New Roman"/>
          <w:sz w:val="16"/>
          <w:szCs w:val="16"/>
          <w:color w:val="auto"/>
        </w:rPr>
      </w:pPr>
    </w:p>
    <w:p>
      <w:pPr>
        <w:ind w:left="520" w:firstLine="503"/>
        <w:spacing w:after="0" w:line="259" w:lineRule="auto"/>
        <w:tabs>
          <w:tab w:leader="none" w:pos="153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has been advised, and is hereby being advised by the Release, to consult with an attorney before executing this Release; [Executive acknowledges that [he][she] has consulted with counsel of [his][her] choice concerning the terms and conditions of this Release;]</w:t>
      </w:r>
    </w:p>
    <w:p>
      <w:pPr>
        <w:spacing w:after="0" w:line="143" w:lineRule="exact"/>
        <w:rPr>
          <w:rFonts w:ascii="Times New Roman" w:cs="Times New Roman" w:eastAsia="Times New Roman" w:hAnsi="Times New Roman"/>
          <w:sz w:val="16"/>
          <w:szCs w:val="16"/>
          <w:color w:val="auto"/>
        </w:rPr>
      </w:pPr>
    </w:p>
    <w:p>
      <w:pPr>
        <w:ind w:left="520" w:firstLine="503"/>
        <w:spacing w:after="0" w:line="259" w:lineRule="auto"/>
        <w:tabs>
          <w:tab w:leader="none" w:pos="15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has been advised, and is being advised by this Release, that [he][she] has been given at least [twenty-one (21)] [forty-five (45)] days within which to consider the Release, but Executive can execute this Release at any time prior to the expiration of such review period; [and]</w:t>
      </w:r>
    </w:p>
    <w:p>
      <w:pPr>
        <w:spacing w:after="0" w:line="143" w:lineRule="exact"/>
        <w:rPr>
          <w:rFonts w:ascii="Times New Roman" w:cs="Times New Roman" w:eastAsia="Times New Roman" w:hAnsi="Times New Roman"/>
          <w:sz w:val="16"/>
          <w:szCs w:val="16"/>
          <w:color w:val="auto"/>
        </w:rPr>
      </w:pPr>
    </w:p>
    <w:p>
      <w:pPr>
        <w:ind w:left="520" w:firstLine="503"/>
        <w:spacing w:after="0" w:line="273" w:lineRule="auto"/>
        <w:tabs>
          <w:tab w:leader="none" w:pos="153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this Release includes a release of claims under ADEA, Executive is being provided with the information contained in Schedule 2 hereto in accordance with the OWBPA]; and</w:t>
      </w:r>
    </w:p>
    <w:p>
      <w:pPr>
        <w:spacing w:after="0" w:line="122" w:lineRule="exact"/>
        <w:rPr>
          <w:rFonts w:ascii="Times New Roman" w:cs="Times New Roman" w:eastAsia="Times New Roman" w:hAnsi="Times New Roman"/>
          <w:sz w:val="16"/>
          <w:szCs w:val="16"/>
          <w:color w:val="auto"/>
        </w:rPr>
      </w:pPr>
    </w:p>
    <w:p>
      <w:pPr>
        <w:jc w:val="both"/>
        <w:ind w:left="520" w:firstLine="503"/>
        <w:spacing w:after="0" w:line="300" w:lineRule="auto"/>
        <w:tabs>
          <w:tab w:leader="none" w:pos="153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is aware that this Release shall become null and void if [he][she] revokes [his][her] agreement to this Release within seven (7) days following the date of execution of this Release. Executive may revoke this Release at any time during such seven-day period by delivering (or causing to be delivered) to the Company written notice of his revocation of this Release no later than 5:00 p.m. Eastern time on the seventh (7th) full day following the date of execution of this Release (the "Effective Date"). Executive agrees and acknowledges that a letter of revocation that is not received by such date and time will be invalid and will not revoke this Release.]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254" w:right="319" w:bottom="1440" w:gutter="0" w:footer="0" w:header="0"/>
        </w:sectPr>
      </w:pPr>
    </w:p>
    <w:bookmarkStart w:id="130" w:name="page131"/>
    <w:bookmarkEnd w:id="130"/>
    <w:p>
      <w:pPr>
        <w:ind w:firstLine="514"/>
        <w:spacing w:after="0" w:line="275" w:lineRule="auto"/>
        <w:tabs>
          <w:tab w:leader="none" w:pos="10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Continuing Obligations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acknowledges and agrees that the ongoing obligations set forth in Section 5.1 of the Plan (collectively, the “</w:t>
      </w:r>
      <w:r>
        <w:rPr>
          <w:rFonts w:ascii="Times New Roman" w:cs="Times New Roman" w:eastAsia="Times New Roman" w:hAnsi="Times New Roman"/>
          <w:sz w:val="16"/>
          <w:szCs w:val="16"/>
          <w:b w:val="1"/>
          <w:bCs w:val="1"/>
          <w:color w:val="auto"/>
        </w:rPr>
        <w:t>Restrictive Covenants</w:t>
      </w:r>
      <w:r>
        <w:rPr>
          <w:rFonts w:ascii="Times New Roman" w:cs="Times New Roman" w:eastAsia="Times New Roman" w:hAnsi="Times New Roman"/>
          <w:sz w:val="16"/>
          <w:szCs w:val="16"/>
          <w:color w:val="auto"/>
        </w:rPr>
        <w:t>”), shall continue to apply in accordance with their terms.</w:t>
      </w:r>
    </w:p>
    <w:p>
      <w:pPr>
        <w:spacing w:after="0" w:line="119" w:lineRule="exact"/>
        <w:rPr>
          <w:rFonts w:ascii="Times New Roman" w:cs="Times New Roman" w:eastAsia="Times New Roman" w:hAnsi="Times New Roman"/>
          <w:sz w:val="16"/>
          <w:szCs w:val="16"/>
          <w:color w:val="auto"/>
        </w:rPr>
      </w:pPr>
    </w:p>
    <w:p>
      <w:pPr>
        <w:ind w:firstLine="514"/>
        <w:spacing w:after="0" w:line="275" w:lineRule="auto"/>
        <w:tabs>
          <w:tab w:leader="none" w:pos="10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Admission of Liability</w:t>
      </w:r>
      <w:r>
        <w:rPr>
          <w:rFonts w:ascii="Times New Roman" w:cs="Times New Roman" w:eastAsia="Times New Roman" w:hAnsi="Times New Roman"/>
          <w:sz w:val="16"/>
          <w:szCs w:val="16"/>
          <w:color w:val="auto"/>
        </w:rPr>
        <w:t>. Neither by offering to make nor by making this Release does either the Company or the Executive admit any failure of performance,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wrongdoing or violation of law.</w:t>
      </w:r>
    </w:p>
    <w:p>
      <w:pPr>
        <w:spacing w:after="0" w:line="119" w:lineRule="exact"/>
        <w:rPr>
          <w:rFonts w:ascii="Times New Roman" w:cs="Times New Roman" w:eastAsia="Times New Roman" w:hAnsi="Times New Roman"/>
          <w:sz w:val="16"/>
          <w:szCs w:val="16"/>
          <w:color w:val="auto"/>
        </w:rPr>
      </w:pPr>
    </w:p>
    <w:p>
      <w:pPr>
        <w:jc w:val="both"/>
        <w:ind w:firstLine="514"/>
        <w:spacing w:after="0" w:line="248" w:lineRule="auto"/>
        <w:tabs>
          <w:tab w:leader="none" w:pos="10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Cooperation with Investigations/Litigation</w:t>
      </w:r>
      <w:r>
        <w:rPr>
          <w:rFonts w:ascii="Times New Roman" w:cs="Times New Roman" w:eastAsia="Times New Roman" w:hAnsi="Times New Roman"/>
          <w:sz w:val="16"/>
          <w:szCs w:val="16"/>
          <w:color w:val="auto"/>
        </w:rPr>
        <w:t>. Executive agrees, at the Company’s request, to reasonably cooperate, by providing truthful information, documents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testimony, in any Company investigation, litigation, arbitration, or regulatory proceeding regarding events that occurred during Executive’s employment with the Company. Executive’s requested cooperation may include, for example, making Executive reasonably available to consult with the Company’s counsel, providing truthful information and documents, and appearing to give truthful testimony. The Company will, to the extent permitted by applicable law and court rules, reimburse Executive for reasonable out-of-pocket expenses that Executive incurs in providing any requested cooperation, so long as such expenses are pre-approved by the Company and Executive provides documentation satisfactory to the Company of the expenses.</w:t>
      </w:r>
    </w:p>
    <w:p>
      <w:pPr>
        <w:spacing w:after="0" w:line="153" w:lineRule="exact"/>
        <w:rPr>
          <w:rFonts w:ascii="Times New Roman" w:cs="Times New Roman" w:eastAsia="Times New Roman" w:hAnsi="Times New Roman"/>
          <w:sz w:val="16"/>
          <w:szCs w:val="16"/>
          <w:color w:val="auto"/>
        </w:rPr>
      </w:pPr>
    </w:p>
    <w:p>
      <w:pPr>
        <w:jc w:val="both"/>
        <w:ind w:firstLine="514"/>
        <w:spacing w:after="0" w:line="248" w:lineRule="auto"/>
        <w:tabs>
          <w:tab w:leader="none" w:pos="10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Return of Property</w:t>
      </w:r>
      <w:r>
        <w:rPr>
          <w:rFonts w:ascii="Times New Roman" w:cs="Times New Roman" w:eastAsia="Times New Roman" w:hAnsi="Times New Roman"/>
          <w:sz w:val="16"/>
          <w:szCs w:val="16"/>
          <w:color w:val="auto"/>
        </w:rPr>
        <w:t>. The Executive agrees that [he][she] has seven (7) days after the Termination Date to return to [_________, __________], all outstanding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documents and items in his possession, including but not limited to, Company business records and property, including as applicable electronic data and originals and hard copies of all notes, computer, key fobs, keys, access cards, contracts, employee records, files, correspondence, thumb drives, financial data, or the like containing information which was provided by the Company or obtained as a result of Executive’s employment relationship with the Company, or which enabled Executive to access the Company’s property and computer systems and programs.</w:t>
      </w:r>
    </w:p>
    <w:p>
      <w:pPr>
        <w:spacing w:after="0" w:line="152" w:lineRule="exact"/>
        <w:rPr>
          <w:rFonts w:ascii="Times New Roman" w:cs="Times New Roman" w:eastAsia="Times New Roman" w:hAnsi="Times New Roman"/>
          <w:sz w:val="16"/>
          <w:szCs w:val="16"/>
          <w:color w:val="auto"/>
        </w:rPr>
      </w:pPr>
    </w:p>
    <w:p>
      <w:pPr>
        <w:jc w:val="both"/>
        <w:ind w:firstLine="514"/>
        <w:spacing w:after="0" w:line="253" w:lineRule="auto"/>
        <w:tabs>
          <w:tab w:leader="none" w:pos="101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Arbitration</w:t>
      </w:r>
      <w:r>
        <w:rPr>
          <w:rFonts w:ascii="Times New Roman" w:cs="Times New Roman" w:eastAsia="Times New Roman" w:hAnsi="Times New Roman"/>
          <w:sz w:val="16"/>
          <w:szCs w:val="16"/>
          <w:color w:val="auto"/>
        </w:rPr>
        <w:t>. This Release incorporates by reference (and acknowledges the enforceability of) the [Employment Arbitration Agreement-Managers] as executed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Executive on [</w:t>
      </w:r>
      <w:r>
        <w:rPr>
          <w:rFonts w:ascii="Times New Roman" w:cs="Times New Roman" w:eastAsia="Times New Roman" w:hAnsi="Times New Roman"/>
          <w:sz w:val="16"/>
          <w:szCs w:val="16"/>
          <w:i w:val="1"/>
          <w:iCs w:val="1"/>
          <w:color w:val="auto"/>
        </w:rPr>
        <w:t>date</w:t>
      </w:r>
      <w:r>
        <w:rPr>
          <w:rFonts w:ascii="Times New Roman" w:cs="Times New Roman" w:eastAsia="Times New Roman" w:hAnsi="Times New Roman"/>
          <w:sz w:val="16"/>
          <w:szCs w:val="16"/>
          <w:color w:val="auto"/>
        </w:rPr>
        <w:t>] and which obligates both the Executive and the Company to submit, except as prohibited by applicable law, any and all claims (including those involving this Release and the Plan) arising out of or related to the Executive’s employment with the Company to binding arbitration, with the exception of the Company’s right to seek injunctive relief in court to enforce the Restrictive Covenants.</w:t>
      </w:r>
    </w:p>
    <w:p>
      <w:pPr>
        <w:spacing w:after="0" w:line="136" w:lineRule="exact"/>
        <w:rPr>
          <w:rFonts w:ascii="Times New Roman" w:cs="Times New Roman" w:eastAsia="Times New Roman" w:hAnsi="Times New Roman"/>
          <w:sz w:val="16"/>
          <w:szCs w:val="16"/>
          <w:color w:val="auto"/>
        </w:rPr>
      </w:pPr>
    </w:p>
    <w:p>
      <w:pPr>
        <w:ind w:firstLine="514"/>
        <w:spacing w:after="0" w:line="275" w:lineRule="auto"/>
        <w:tabs>
          <w:tab w:leader="none" w:pos="100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color w:val="auto"/>
        </w:rPr>
        <w:t>. To the extent not subject to federal law, this Release will be governed by and construed in accordance with the law of the State of Florida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to contracts made and to be performed entirely within that state.</w:t>
      </w:r>
    </w:p>
    <w:p>
      <w:pPr>
        <w:spacing w:after="0" w:line="119" w:lineRule="exact"/>
        <w:rPr>
          <w:rFonts w:ascii="Times New Roman" w:cs="Times New Roman" w:eastAsia="Times New Roman" w:hAnsi="Times New Roman"/>
          <w:sz w:val="16"/>
          <w:szCs w:val="16"/>
          <w:color w:val="auto"/>
        </w:rPr>
      </w:pPr>
    </w:p>
    <w:p>
      <w:pPr>
        <w:ind w:firstLine="514"/>
        <w:spacing w:after="0" w:line="275" w:lineRule="auto"/>
        <w:tabs>
          <w:tab w:leader="none" w:pos="101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If any provision of this Release should be declared to be unenforceable by any administrative agency or court of law, then remainder of the Release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remain in full force and effect.</w:t>
      </w:r>
    </w:p>
    <w:p>
      <w:pPr>
        <w:spacing w:after="0" w:line="13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Captions; Section Headings</w:t>
      </w:r>
      <w:r>
        <w:rPr>
          <w:rFonts w:ascii="Times New Roman" w:cs="Times New Roman" w:eastAsia="Times New Roman" w:hAnsi="Times New Roman"/>
          <w:sz w:val="16"/>
          <w:szCs w:val="16"/>
          <w:color w:val="auto"/>
        </w:rPr>
        <w:t>. Captions and section headings used herein are for convenience only and are not a part of this Release and shall not be used in</w:t>
      </w:r>
    </w:p>
    <w:p>
      <w:pPr>
        <w:spacing w:after="0" w:line="1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construing it.</w:t>
      </w:r>
    </w:p>
    <w:p>
      <w:pPr>
        <w:spacing w:after="0" w:line="156" w:lineRule="exact"/>
        <w:rPr>
          <w:rFonts w:ascii="Times New Roman" w:cs="Times New Roman" w:eastAsia="Times New Roman" w:hAnsi="Times New Roman"/>
          <w:sz w:val="16"/>
          <w:szCs w:val="16"/>
          <w:color w:val="auto"/>
        </w:rPr>
      </w:pPr>
    </w:p>
    <w:p>
      <w:pPr>
        <w:jc w:val="both"/>
        <w:ind w:firstLine="514"/>
        <w:spacing w:after="0" w:line="255" w:lineRule="auto"/>
        <w:tabs>
          <w:tab w:leader="none" w:pos="101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Counterparts; Facsimile Signatures</w:t>
      </w:r>
      <w:r>
        <w:rPr>
          <w:rFonts w:ascii="Times New Roman" w:cs="Times New Roman" w:eastAsia="Times New Roman" w:hAnsi="Times New Roman"/>
          <w:sz w:val="16"/>
          <w:szCs w:val="16"/>
          <w:color w:val="auto"/>
        </w:rPr>
        <w:t>. This Release may be executed in any number of counterparts, each of which when so executed and delivered shall be deemed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original instrument without the production of any other counterpart. Any signature on this Release, delivered by either party by photographic, facsimile or PDF shall be deemed to be an original signature thereto.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07" w:right="319" w:bottom="1440" w:gutter="0" w:footer="0" w:header="0"/>
        </w:sectPr>
      </w:pPr>
    </w:p>
    <w:bookmarkStart w:id="131" w:name="page132"/>
    <w:bookmarkEnd w:id="131"/>
    <w:p>
      <w:pPr>
        <w:spacing w:after="0" w:line="275" w:lineRule="auto"/>
        <w:rPr>
          <w:sz w:val="20"/>
          <w:szCs w:val="20"/>
          <w:color w:val="auto"/>
        </w:rPr>
      </w:pPr>
      <w:r>
        <w:rPr>
          <w:rFonts w:ascii="Times New Roman" w:cs="Times New Roman" w:eastAsia="Times New Roman" w:hAnsi="Times New Roman"/>
          <w:sz w:val="16"/>
          <w:szCs w:val="16"/>
          <w:b w:val="1"/>
          <w:bCs w:val="1"/>
          <w:color w:val="auto"/>
        </w:rPr>
        <w:t>THE EXECUTIVE ACKNOWLEDGES THAT [HE][SHE] VOLUNTARILY ENTERS INTO THIS AGREEMENT WITH A FULL AND COMPLETE UNDERSTANDING OF ITS TERMS AND LEGAL EFFECT.</w:t>
      </w:r>
    </w:p>
    <w:p>
      <w:pPr>
        <w:spacing w:after="0" w:line="1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 * * *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the day and year indicated below.</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WATCH RESTAURANT GROUP, INC.</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318" w:right="319" w:bottom="1440"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First Watch Restaurant Group, Inc.</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Insider Trading and Regulation FD Policy</w:t>
      </w:r>
    </w:p>
    <w:p>
      <w:pPr>
        <w:spacing w:after="0" w:line="201"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149" w:lineRule="exact"/>
        <w:rPr>
          <w:rFonts w:ascii="Times New Roman" w:cs="Times New Roman" w:eastAsia="Times New Roman" w:hAnsi="Times New Roman"/>
          <w:sz w:val="16"/>
          <w:szCs w:val="16"/>
          <w:b w:val="1"/>
          <w:bCs w:val="1"/>
          <w:color w:val="auto"/>
        </w:rPr>
      </w:pPr>
    </w:p>
    <w:p>
      <w:pPr>
        <w:ind w:left="5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4"/>
          <w:szCs w:val="14"/>
          <w:b w:val="1"/>
          <w:bCs w:val="1"/>
          <w:color w:val="auto"/>
        </w:rPr>
        <w:t>Purpose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purpose of this Insider Trading and Regulation FD Policy (this “</w:t>
      </w:r>
      <w:r>
        <w:rPr>
          <w:rFonts w:ascii="Times New Roman" w:cs="Times New Roman" w:eastAsia="Times New Roman" w:hAnsi="Times New Roman"/>
          <w:sz w:val="15"/>
          <w:szCs w:val="15"/>
          <w:u w:val="single" w:color="auto"/>
          <w:color w:val="auto"/>
        </w:rPr>
        <w:t>Policy</w:t>
      </w:r>
      <w:r>
        <w:rPr>
          <w:rFonts w:ascii="Times New Roman" w:cs="Times New Roman" w:eastAsia="Times New Roman" w:hAnsi="Times New Roman"/>
          <w:sz w:val="15"/>
          <w:szCs w:val="15"/>
          <w:color w:val="auto"/>
        </w:rPr>
        <w:t>”) is to help First Watch Restaurant Group, Inc. and its subsidiaries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comply with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and state securities laws, as well as similar laws in other countries where the Company does business, and to preserve the reputation and integrity of the Company.</w:t>
      </w:r>
    </w:p>
    <w:p>
      <w:pPr>
        <w:spacing w:after="0" w:line="157" w:lineRule="exact"/>
        <w:rPr>
          <w:sz w:val="20"/>
          <w:szCs w:val="20"/>
          <w:color w:val="auto"/>
        </w:rPr>
      </w:pPr>
    </w:p>
    <w:p>
      <w:pPr>
        <w:ind w:left="1020" w:hanging="506"/>
        <w:spacing w:after="0"/>
        <w:tabs>
          <w:tab w:leader="none" w:pos="102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Insider Trading?</w:t>
      </w:r>
    </w:p>
    <w:p>
      <w:pPr>
        <w:spacing w:after="0" w:line="15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Insider trading occurs when a person who is aware of material non-public information about a company buys or sells that company’s securities or provides material non-public information to another person who may trade on the basis of that information. Insider trading is illegal and strictly prohibited.</w:t>
      </w:r>
    </w:p>
    <w:p>
      <w:pPr>
        <w:spacing w:after="0" w:line="142" w:lineRule="exact"/>
        <w:rPr>
          <w:sz w:val="20"/>
          <w:szCs w:val="20"/>
          <w:color w:val="auto"/>
        </w:rPr>
      </w:pPr>
    </w:p>
    <w:p>
      <w:pPr>
        <w:ind w:left="1020" w:hanging="506"/>
        <w:spacing w:after="0"/>
        <w:tabs>
          <w:tab w:leader="none" w:pos="1020"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Securities are Subject to this Policy?</w:t>
      </w:r>
    </w:p>
    <w:p>
      <w:pPr>
        <w:spacing w:after="0" w:line="147"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4"/>
          <w:szCs w:val="14"/>
          <w:color w:val="auto"/>
        </w:rPr>
        <w:t>This Policy applies to purchases or sales of the Company’s securities (e.g., common stock, as well as options, puts, calls or other derivatives, whether or not issued by the Company) or any other type of securities that the Company may issue, such as preferred stock, debt, convertible debentures and warrants (collectively, “</w:t>
      </w:r>
      <w:r>
        <w:rPr>
          <w:rFonts w:ascii="Times New Roman" w:cs="Times New Roman" w:eastAsia="Times New Roman" w:hAnsi="Times New Roman"/>
          <w:sz w:val="14"/>
          <w:szCs w:val="14"/>
          <w:u w:val="single" w:color="auto"/>
          <w:color w:val="auto"/>
        </w:rPr>
        <w:t>Company Securities</w:t>
      </w:r>
      <w:r>
        <w:rPr>
          <w:rFonts w:ascii="Times New Roman" w:cs="Times New Roman" w:eastAsia="Times New Roman" w:hAnsi="Times New Roman"/>
          <w:sz w:val="14"/>
          <w:szCs w:val="14"/>
          <w:color w:val="auto"/>
        </w:rPr>
        <w:t>”). This Policy also prohibits trading in the securities of another company if you become aware of material non-public information about that company in the course of your position with the Company.</w:t>
      </w:r>
    </w:p>
    <w:p>
      <w:pPr>
        <w:spacing w:after="0" w:line="96" w:lineRule="exact"/>
        <w:rPr>
          <w:sz w:val="20"/>
          <w:szCs w:val="20"/>
          <w:color w:val="auto"/>
        </w:rPr>
      </w:pPr>
    </w:p>
    <w:p>
      <w:pPr>
        <w:ind w:left="1020" w:hanging="506"/>
        <w:spacing w:after="0"/>
        <w:tabs>
          <w:tab w:leader="none" w:pos="1020" w:val="left"/>
        </w:tabs>
        <w:numPr>
          <w:ilvl w:val="1"/>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subject to this Policy?</w:t>
      </w:r>
    </w:p>
    <w:p>
      <w:pPr>
        <w:spacing w:after="0" w:line="155" w:lineRule="exact"/>
        <w:rPr>
          <w:rFonts w:ascii="Times New Roman" w:cs="Times New Roman" w:eastAsia="Times New Roman" w:hAnsi="Times New Roman"/>
          <w:sz w:val="16"/>
          <w:szCs w:val="16"/>
          <w:b w:val="1"/>
          <w:bCs w:val="1"/>
          <w:color w:val="auto"/>
        </w:rPr>
      </w:pPr>
    </w:p>
    <w:p>
      <w:pPr>
        <w:ind w:left="340" w:hanging="335"/>
        <w:spacing w:after="0"/>
        <w:tabs>
          <w:tab w:leader="none" w:pos="340" w:val="left"/>
        </w:tabs>
        <w:numPr>
          <w:ilvl w:val="0"/>
          <w:numId w:val="7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Company Personnel</w:t>
      </w:r>
    </w:p>
    <w:p>
      <w:pPr>
        <w:spacing w:after="0" w:line="16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6"/>
          <w:szCs w:val="16"/>
          <w:color w:val="auto"/>
        </w:rPr>
        <w:t>This Policy applies to all directors, officers, employees and team members of the Company and its subsidiaries and consultants (collectively, “</w:t>
      </w:r>
      <w:r>
        <w:rPr>
          <w:rFonts w:ascii="Times New Roman" w:cs="Times New Roman" w:eastAsia="Times New Roman" w:hAnsi="Times New Roman"/>
          <w:sz w:val="16"/>
          <w:szCs w:val="16"/>
          <w:u w:val="single" w:color="auto"/>
          <w:color w:val="auto"/>
        </w:rPr>
        <w:t>Company Personnel</w:t>
      </w:r>
      <w:r>
        <w:rPr>
          <w:rFonts w:ascii="Times New Roman" w:cs="Times New Roman" w:eastAsia="Times New Roman" w:hAnsi="Times New Roman"/>
          <w:sz w:val="16"/>
          <w:szCs w:val="16"/>
          <w:color w:val="auto"/>
        </w:rPr>
        <w:t>”). The use of “you” throughout this Policy speaks directly to Company Personnel.</w:t>
      </w:r>
    </w:p>
    <w:p>
      <w:pPr>
        <w:spacing w:after="0" w:line="13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(2)</w:t>
      </w:r>
      <w:r>
        <w:rPr>
          <w:sz w:val="20"/>
          <w:szCs w:val="20"/>
          <w:color w:val="auto"/>
        </w:rPr>
        <w:tab/>
      </w:r>
      <w:r>
        <w:rPr>
          <w:rFonts w:ascii="Times New Roman" w:cs="Times New Roman" w:eastAsia="Times New Roman" w:hAnsi="Times New Roman"/>
          <w:sz w:val="14"/>
          <w:szCs w:val="14"/>
          <w:i w:val="1"/>
          <w:iCs w:val="1"/>
          <w:color w:val="auto"/>
        </w:rPr>
        <w:t>Family Members and Others Living in Your Household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Policy also applies to (i) anyone who lives in the household of Company Personnel (whether or not family members) and (ii) any child, stepchild, grandchild, parent,</w:t>
      </w:r>
    </w:p>
    <w:p>
      <w:pPr>
        <w:spacing w:after="0" w:line="19" w:lineRule="exact"/>
        <w:rPr>
          <w:sz w:val="20"/>
          <w:szCs w:val="20"/>
          <w:color w:val="auto"/>
        </w:rPr>
      </w:pPr>
    </w:p>
    <w:p>
      <w:pPr>
        <w:jc w:val="both"/>
        <w:ind w:right="440"/>
        <w:spacing w:after="0" w:line="253" w:lineRule="auto"/>
        <w:rPr>
          <w:sz w:val="20"/>
          <w:szCs w:val="20"/>
          <w:color w:val="auto"/>
        </w:rPr>
      </w:pPr>
      <w:r>
        <w:rPr>
          <w:rFonts w:ascii="Times New Roman" w:cs="Times New Roman" w:eastAsia="Times New Roman" w:hAnsi="Times New Roman"/>
          <w:sz w:val="16"/>
          <w:szCs w:val="16"/>
          <w:color w:val="auto"/>
        </w:rPr>
        <w:t>stepparent, grandparent, spouse, sibling, mother-in-law, father-in-law, son-in-law, daughter-in-law, brother-in-law, or sister-in-law, and includes adoptive relationships, whose transactions are subject to your influence or control (collectively referred to as “</w:t>
      </w:r>
      <w:r>
        <w:rPr>
          <w:rFonts w:ascii="Times New Roman" w:cs="Times New Roman" w:eastAsia="Times New Roman" w:hAnsi="Times New Roman"/>
          <w:sz w:val="16"/>
          <w:szCs w:val="16"/>
          <w:u w:val="single" w:color="auto"/>
          <w:color w:val="auto"/>
        </w:rPr>
        <w:t>Family Members</w:t>
      </w:r>
      <w:r>
        <w:rPr>
          <w:rFonts w:ascii="Times New Roman" w:cs="Times New Roman" w:eastAsia="Times New Roman" w:hAnsi="Times New Roman"/>
          <w:sz w:val="16"/>
          <w:szCs w:val="16"/>
          <w:color w:val="auto"/>
        </w:rPr>
        <w:t>”). You are responsible for the transactions of Family Members and therefore should inform your Family Members of the need to confer with you before they trade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23" w:right="319" w:bottom="1440" w:gutter="0" w:footer="0" w:header="0"/>
        </w:sectPr>
      </w:pPr>
    </w:p>
    <w:bookmarkStart w:id="178" w:name="page179"/>
    <w:bookmarkEnd w:id="178"/>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(3)</w:t>
      </w:r>
      <w:r>
        <w:rPr>
          <w:sz w:val="20"/>
          <w:szCs w:val="20"/>
          <w:color w:val="auto"/>
        </w:rPr>
        <w:tab/>
      </w:r>
      <w:r>
        <w:rPr>
          <w:rFonts w:ascii="Times New Roman" w:cs="Times New Roman" w:eastAsia="Times New Roman" w:hAnsi="Times New Roman"/>
          <w:sz w:val="14"/>
          <w:szCs w:val="14"/>
          <w:i w:val="1"/>
          <w:iCs w:val="1"/>
          <w:color w:val="auto"/>
        </w:rPr>
        <w:t>Controlled Entities</w:t>
      </w:r>
    </w:p>
    <w:p>
      <w:pPr>
        <w:spacing w:after="0" w:line="1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This Policy also applies to any entities or accounts that are under the influence or control or are a beneficiary of, including corporations, partnerships or trusts, of Company Personnel or their Family Members (collectively, “</w:t>
      </w:r>
      <w:r>
        <w:rPr>
          <w:rFonts w:ascii="Times New Roman" w:cs="Times New Roman" w:eastAsia="Times New Roman" w:hAnsi="Times New Roman"/>
          <w:sz w:val="16"/>
          <w:szCs w:val="16"/>
          <w:u w:val="single" w:color="auto"/>
          <w:color w:val="auto"/>
        </w:rPr>
        <w:t>Controlled Entities</w:t>
      </w:r>
      <w:r>
        <w:rPr>
          <w:rFonts w:ascii="Times New Roman" w:cs="Times New Roman" w:eastAsia="Times New Roman" w:hAnsi="Times New Roman"/>
          <w:sz w:val="16"/>
          <w:szCs w:val="16"/>
          <w:color w:val="auto"/>
        </w:rPr>
        <w:t>”), and transactions by such Controlled Entities should be treated for the purposes of this Policy and applicable securities laws as if they were for the account of the Company Personnel or Family Member.</w:t>
      </w:r>
    </w:p>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(4)</w:t>
      </w:r>
      <w:r>
        <w:rPr>
          <w:sz w:val="20"/>
          <w:szCs w:val="20"/>
          <w:color w:val="auto"/>
        </w:rPr>
        <w:tab/>
      </w:r>
      <w:r>
        <w:rPr>
          <w:rFonts w:ascii="Times New Roman" w:cs="Times New Roman" w:eastAsia="Times New Roman" w:hAnsi="Times New Roman"/>
          <w:sz w:val="14"/>
          <w:szCs w:val="14"/>
          <w:i w:val="1"/>
          <w:iCs w:val="1"/>
          <w:color w:val="auto"/>
        </w:rPr>
        <w:t>Designated Persons</w:t>
      </w:r>
    </w:p>
    <w:p>
      <w:pPr>
        <w:spacing w:after="0" w:line="17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In addition, as specified in Section III of this Policy, Designated Persons (as defined below) are subject to additional restrictions relating to the prohibition of purchases and sales of Company Securities.</w:t>
      </w:r>
    </w:p>
    <w:p>
      <w:pPr>
        <w:spacing w:after="0" w:line="121" w:lineRule="exact"/>
        <w:rPr>
          <w:sz w:val="20"/>
          <w:szCs w:val="20"/>
          <w:color w:val="auto"/>
        </w:rPr>
      </w:pPr>
    </w:p>
    <w:p>
      <w:pPr>
        <w:ind w:left="1020" w:hanging="506"/>
        <w:spacing w:after="0"/>
        <w:tabs>
          <w:tab w:leader="none" w:pos="102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Questions about this Policy or any proposed transaction or communication should be directed to the Legal Department.</w:t>
      </w:r>
    </w:p>
    <w:p>
      <w:pPr>
        <w:spacing w:after="0" w:line="164" w:lineRule="exact"/>
        <w:rPr>
          <w:sz w:val="20"/>
          <w:szCs w:val="20"/>
          <w:color w:val="auto"/>
        </w:rPr>
      </w:pPr>
    </w:p>
    <w:p>
      <w:pPr>
        <w:ind w:left="1000" w:hanging="486"/>
        <w:spacing w:after="0"/>
        <w:tabs>
          <w:tab w:leader="none" w:pos="100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Individual Responsibility</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You are responsible for complying with this Policy, including for determining whether you are aware of material non-public information. Any action on the part of the Company, the Legal Department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w:t>
      </w:r>
    </w:p>
    <w:p>
      <w:pPr>
        <w:spacing w:after="0" w:line="138" w:lineRule="exact"/>
        <w:rPr>
          <w:sz w:val="20"/>
          <w:szCs w:val="20"/>
          <w:color w:val="auto"/>
        </w:rPr>
      </w:pPr>
    </w:p>
    <w:p>
      <w:pPr>
        <w:ind w:left="520" w:hanging="515"/>
        <w:spacing w:after="0"/>
        <w:tabs>
          <w:tab w:leader="none" w:pos="52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INSIDER TRADING</w:t>
      </w:r>
    </w:p>
    <w:p>
      <w:pPr>
        <w:spacing w:after="0" w:line="149" w:lineRule="exact"/>
        <w:rPr>
          <w:rFonts w:ascii="Times New Roman" w:cs="Times New Roman" w:eastAsia="Times New Roman" w:hAnsi="Times New Roman"/>
          <w:sz w:val="16"/>
          <w:szCs w:val="16"/>
          <w:b w:val="1"/>
          <w:bCs w:val="1"/>
          <w:color w:val="auto"/>
        </w:rPr>
      </w:pPr>
    </w:p>
    <w:p>
      <w:pPr>
        <w:ind w:left="5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4"/>
          <w:szCs w:val="14"/>
          <w:b w:val="1"/>
          <w:bCs w:val="1"/>
          <w:color w:val="auto"/>
        </w:rPr>
        <w:t>Policy Prohibiting Insider Trading</w:t>
      </w:r>
    </w:p>
    <w:p>
      <w:pPr>
        <w:spacing w:after="0" w:line="162" w:lineRule="exact"/>
        <w:rPr>
          <w:sz w:val="20"/>
          <w:szCs w:val="20"/>
          <w:color w:val="auto"/>
        </w:rPr>
      </w:pPr>
    </w:p>
    <w:p>
      <w:pPr>
        <w:ind w:left="760" w:right="60" w:hanging="246"/>
        <w:spacing w:after="0" w:line="262" w:lineRule="auto"/>
        <w:tabs>
          <w:tab w:leader="none" w:pos="75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Trading on Material Non-Public Information. </w:t>
      </w:r>
      <w:r>
        <w:rPr>
          <w:rFonts w:ascii="Times New Roman" w:cs="Times New Roman" w:eastAsia="Times New Roman" w:hAnsi="Times New Roman"/>
          <w:sz w:val="16"/>
          <w:szCs w:val="16"/>
          <w:color w:val="auto"/>
        </w:rPr>
        <w:t>If you are aware of material non-public information about the Company, you may not, directly or indirectly, buy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sell Company Securities.</w:t>
      </w:r>
    </w:p>
    <w:p>
      <w:pPr>
        <w:spacing w:after="0" w:line="139" w:lineRule="exact"/>
        <w:rPr>
          <w:rFonts w:ascii="Times New Roman" w:cs="Times New Roman" w:eastAsia="Times New Roman" w:hAnsi="Times New Roman"/>
          <w:sz w:val="16"/>
          <w:szCs w:val="16"/>
          <w:color w:val="auto"/>
        </w:rPr>
      </w:pPr>
    </w:p>
    <w:p>
      <w:pPr>
        <w:ind w:left="760" w:right="20" w:hanging="246"/>
        <w:spacing w:after="0" w:line="253" w:lineRule="auto"/>
        <w:tabs>
          <w:tab w:leader="none" w:pos="75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Tipping. </w:t>
      </w:r>
      <w:r>
        <w:rPr>
          <w:rFonts w:ascii="Times New Roman" w:cs="Times New Roman" w:eastAsia="Times New Roman" w:hAnsi="Times New Roman"/>
          <w:sz w:val="16"/>
          <w:szCs w:val="16"/>
          <w:color w:val="auto"/>
        </w:rPr>
        <w:t>If you are aware of material non-public information about the Company, you may not communicate or pass (“</w:t>
      </w:r>
      <w:r>
        <w:rPr>
          <w:rFonts w:ascii="Times New Roman" w:cs="Times New Roman" w:eastAsia="Times New Roman" w:hAnsi="Times New Roman"/>
          <w:sz w:val="16"/>
          <w:szCs w:val="16"/>
          <w:u w:val="single" w:color="auto"/>
          <w:color w:val="auto"/>
        </w:rPr>
        <w:t>tip</w:t>
      </w:r>
      <w:r>
        <w:rPr>
          <w:rFonts w:ascii="Times New Roman" w:cs="Times New Roman" w:eastAsia="Times New Roman" w:hAnsi="Times New Roman"/>
          <w:sz w:val="16"/>
          <w:szCs w:val="16"/>
          <w:color w:val="auto"/>
        </w:rPr>
        <w:t>”) that information on to others outside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Family Members and friends. The federal securities laws impose liability on any person who “tips” or communicates material non-public information (the “</w:t>
      </w:r>
      <w:r>
        <w:rPr>
          <w:rFonts w:ascii="Times New Roman" w:cs="Times New Roman" w:eastAsia="Times New Roman" w:hAnsi="Times New Roman"/>
          <w:sz w:val="16"/>
          <w:szCs w:val="16"/>
          <w:u w:val="single" w:color="auto"/>
          <w:color w:val="auto"/>
        </w:rPr>
        <w:t>tipper</w:t>
      </w:r>
      <w:r>
        <w:rPr>
          <w:rFonts w:ascii="Times New Roman" w:cs="Times New Roman" w:eastAsia="Times New Roman" w:hAnsi="Times New Roman"/>
          <w:sz w:val="16"/>
          <w:szCs w:val="16"/>
          <w:color w:val="auto"/>
        </w:rPr>
        <w:t>”) to another person or entity (the “</w:t>
      </w:r>
      <w:r>
        <w:rPr>
          <w:rFonts w:ascii="Times New Roman" w:cs="Times New Roman" w:eastAsia="Times New Roman" w:hAnsi="Times New Roman"/>
          <w:sz w:val="16"/>
          <w:szCs w:val="16"/>
          <w:u w:val="single" w:color="auto"/>
          <w:color w:val="auto"/>
        </w:rPr>
        <w:t>tippee</w:t>
      </w:r>
      <w:r>
        <w:rPr>
          <w:rFonts w:ascii="Times New Roman" w:cs="Times New Roman" w:eastAsia="Times New Roman" w:hAnsi="Times New Roman"/>
          <w:sz w:val="16"/>
          <w:szCs w:val="16"/>
          <w:color w:val="auto"/>
        </w:rPr>
        <w:t>”), who then trades on the basis of the information. Penalties may apply regardless of whether the tipper derives any benefits from the tippee’s trading activities.</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Moreover, if you, in the course of working for the Company, learn of material non-public information about a company with which the Company does business, including a customer or supplier of the Company, you may not trade in, take advantage of, or share information about that company’s securities until the information becomes public or is no longer material.</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00" w:top="1137" w:right="339" w:bottom="1440" w:gutter="0" w:footer="0" w:header="0"/>
        </w:sectPr>
      </w:pPr>
    </w:p>
    <w:bookmarkStart w:id="179" w:name="page180"/>
    <w:bookmarkEnd w:id="179"/>
    <w:p>
      <w:pPr>
        <w:ind w:left="1020" w:hanging="506"/>
        <w:spacing w:after="0"/>
        <w:tabs>
          <w:tab w:leader="none" w:pos="1020" w:val="left"/>
        </w:tabs>
        <w:numPr>
          <w:ilvl w:val="1"/>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Material, Non-Public Information?</w:t>
      </w:r>
    </w:p>
    <w:p>
      <w:pPr>
        <w:spacing w:after="0" w:line="155" w:lineRule="exact"/>
        <w:rPr>
          <w:rFonts w:ascii="Times New Roman" w:cs="Times New Roman" w:eastAsia="Times New Roman" w:hAnsi="Times New Roman"/>
          <w:sz w:val="16"/>
          <w:szCs w:val="16"/>
          <w:b w:val="1"/>
          <w:bCs w:val="1"/>
          <w:color w:val="auto"/>
        </w:rPr>
      </w:pPr>
    </w:p>
    <w:p>
      <w:pPr>
        <w:ind w:left="340" w:hanging="335"/>
        <w:spacing w:after="0"/>
        <w:tabs>
          <w:tab w:leader="none" w:pos="340" w:val="left"/>
        </w:tabs>
        <w:numPr>
          <w:ilvl w:val="0"/>
          <w:numId w:val="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Identifying Material Information</w:t>
      </w:r>
    </w:p>
    <w:p>
      <w:pPr>
        <w:spacing w:after="0" w:line="16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As a general rule, you should consider material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While it is not possible to define all categories of material information, some examples of information that ordinarily would be regarded as material are:</w:t>
      </w:r>
    </w:p>
    <w:p>
      <w:pPr>
        <w:spacing w:after="0" w:line="141" w:lineRule="exact"/>
        <w:rPr>
          <w:sz w:val="20"/>
          <w:szCs w:val="20"/>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proposed acquisition, sale, joint venture, merger or tender offer;</w:t>
      </w:r>
    </w:p>
    <w:p>
      <w:pPr>
        <w:spacing w:after="0" w:line="18"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Large contracts, renewals and terminations;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Projected future earnings or losses or other earnings guidance;</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earnings guidance or projections, if any;</w:t>
      </w:r>
    </w:p>
    <w:p>
      <w:pPr>
        <w:spacing w:after="0" w:line="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expansion or cutback of operations, including related to restaurants opening or closing;</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changes to vendor or supplier pricing;</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Extraordinary management or business developments;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executive management;</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threatened major lawsuits or legal settlements;</w:t>
      </w:r>
    </w:p>
    <w:p>
      <w:pPr>
        <w:spacing w:after="0" w:line="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cybersecurity incidents or privacy breaches;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Extraordinary customer quality claims;</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or results of regulatory proceedings;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or loss of a major supplier or key vendor;</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restructuring;</w:t>
      </w:r>
    </w:p>
    <w:p>
      <w:pPr>
        <w:spacing w:after="0" w:line="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activities, including contemplated financings and refinancings (other than in the ordinary course);</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dividend policy, the declaration of a stock split, or an offering of additional securities;</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actual purchases, or the anticipated timing of purchases of a repurchase program for Company Securities;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pricing or cost structure;</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marketing changes;</w:t>
      </w:r>
    </w:p>
    <w:p>
      <w:pPr>
        <w:spacing w:after="0" w:line="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auditors or notification that the auditor’s reports may no longer be relied upon;</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Commercialization of a significant new product, process, or service;</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product from the market, including any recall;</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a ban on trading in Company Securities or the securities of another company;</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transactions in Company Securities;</w:t>
      </w:r>
    </w:p>
    <w:p>
      <w:pPr>
        <w:spacing w:after="0" w:line="2"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weakness in internal controls of financial reporting; or</w:t>
      </w:r>
    </w:p>
    <w:p>
      <w:pPr>
        <w:ind w:left="760" w:hanging="246"/>
        <w:spacing w:after="0"/>
        <w:tabs>
          <w:tab w:leader="none" w:pos="7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Impending bankruptcy or the existence of severe liquidity problems.</w:t>
      </w:r>
    </w:p>
    <w:p>
      <w:pPr>
        <w:spacing w:after="0" w:line="152" w:lineRule="exact"/>
        <w:rPr>
          <w:rFonts w:ascii="Times New Roman" w:cs="Times New Roman" w:eastAsia="Times New Roman" w:hAnsi="Times New Roman"/>
          <w:sz w:val="16"/>
          <w:szCs w:val="16"/>
          <w:color w:val="auto"/>
        </w:rPr>
      </w:pPr>
    </w:p>
    <w:p>
      <w:pPr>
        <w:ind w:left="340" w:hanging="335"/>
        <w:spacing w:after="0"/>
        <w:tabs>
          <w:tab w:leader="none" w:pos="340" w:val="left"/>
        </w:tabs>
        <w:numPr>
          <w:ilvl w:val="0"/>
          <w:numId w:val="8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When Is Information Considered “Public”?</w:t>
      </w:r>
    </w:p>
    <w:p>
      <w:pPr>
        <w:spacing w:after="0" w:line="14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color w:val="auto"/>
        </w:rPr>
        <w:t>Information that has not been disclosed to the public is generally considered to be non-public information. In order to establish that the information has been disclosed to the public, it may be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00" w:top="113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color w:val="auto"/>
        </w:rPr>
        <w:t>necessary to demonstrate that the information has been widely disseminated. The following are considered methods of public dissemination:</w:t>
      </w:r>
    </w:p>
    <w:p>
      <w:pPr>
        <w:spacing w:after="0" w:line="177" w:lineRule="exact"/>
        <w:rPr>
          <w:sz w:val="20"/>
          <w:szCs w:val="20"/>
          <w:color w:val="auto"/>
        </w:rPr>
      </w:pPr>
    </w:p>
    <w:p>
      <w:pPr>
        <w:ind w:left="500" w:hanging="240"/>
        <w:spacing w:after="0"/>
        <w:tabs>
          <w:tab w:leader="none" w:pos="5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8-K or other document filed with, or submitted to, the U.S. Securities and Exchange Commission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press release; or</w:t>
      </w:r>
    </w:p>
    <w:p>
      <w:pPr>
        <w:ind w:left="520" w:right="120" w:hanging="260"/>
        <w:spacing w:after="0" w:line="244" w:lineRule="auto"/>
        <w:tabs>
          <w:tab w:leader="none" w:pos="51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conference call or webcast of such a call that is open to the public at large, and has been the subject of adequate advance notice within the meaning of Regulation FD, as promulgated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contrast, material non-public information is generally not considered to be publicly disseminated if it is:</w:t>
      </w:r>
    </w:p>
    <w:p>
      <w:pPr>
        <w:spacing w:after="0" w:line="177" w:lineRule="exact"/>
        <w:rPr>
          <w:sz w:val="20"/>
          <w:szCs w:val="20"/>
          <w:color w:val="auto"/>
        </w:rPr>
      </w:pPr>
    </w:p>
    <w:p>
      <w:pPr>
        <w:ind w:left="500" w:hanging="240"/>
        <w:spacing w:after="0"/>
        <w:tabs>
          <w:tab w:leader="none" w:pos="5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provided to the Company’s employees, or if it is only available to a select group of analysts, brokers, and institutional investors; or</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communicated through internet forums, blogs or social media (e.g., Twitter, Facebook or LinkedIn) or the Company’s website.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Once information is widely disseminated, it is still necessary to afford the investing public with sufficient time to absorb the information. As a general rule, information should not be considered fully absorbed by the marketplace until after one full trading day has elapsed since the day on which the information is released. Depending on the particular circumstances, the Company may determine that a longer or shorter period should apply to the release of specific material non-public information.</w:t>
      </w:r>
    </w:p>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(3)</w:t>
      </w:r>
      <w:r>
        <w:rPr>
          <w:sz w:val="20"/>
          <w:szCs w:val="20"/>
          <w:color w:val="auto"/>
        </w:rPr>
        <w:tab/>
      </w:r>
      <w:r>
        <w:rPr>
          <w:rFonts w:ascii="Times New Roman" w:cs="Times New Roman" w:eastAsia="Times New Roman" w:hAnsi="Times New Roman"/>
          <w:sz w:val="14"/>
          <w:szCs w:val="14"/>
          <w:i w:val="1"/>
          <w:iCs w:val="1"/>
          <w:color w:val="auto"/>
        </w:rPr>
        <w:t>Confidentiality of Material, Non-Public Information</w:t>
      </w:r>
    </w:p>
    <w:p>
      <w:pPr>
        <w:spacing w:after="0" w:line="14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Company Personnel who have access to material, non-public information must take special precautions to keep it confidential, including by storing and communicating all files and documents containing the material, non-public information using the Company’s information systems, and may only disclose material, non-public information to authorized parties for business purposes. Any disclosure of material, non-public information may only be made by Authorized Spokespersons (as defined below) and must be made at the time and in the manner required to meet legal requirements, which may impact the timing or format of planned internal or external communications. Teams working on confidential projects may be required to take additional confidentiality precautions, such as properly labelling material, non-public information to indicate how it should be handled, distributed and destroyed or maintaining a list of individuals to whom sensitive information has been disclosed.</w:t>
      </w:r>
    </w:p>
    <w:p>
      <w:pPr>
        <w:spacing w:after="0" w:line="154" w:lineRule="exact"/>
        <w:rPr>
          <w:sz w:val="20"/>
          <w:szCs w:val="20"/>
          <w:color w:val="auto"/>
        </w:rPr>
      </w:pPr>
    </w:p>
    <w:p>
      <w:pPr>
        <w:jc w:val="both"/>
        <w:ind w:right="660"/>
        <w:spacing w:after="0" w:line="254" w:lineRule="auto"/>
        <w:rPr>
          <w:sz w:val="20"/>
          <w:szCs w:val="20"/>
          <w:color w:val="auto"/>
        </w:rPr>
      </w:pPr>
      <w:r>
        <w:rPr>
          <w:rFonts w:ascii="Times New Roman" w:cs="Times New Roman" w:eastAsia="Times New Roman" w:hAnsi="Times New Roman"/>
          <w:sz w:val="16"/>
          <w:szCs w:val="16"/>
          <w:color w:val="auto"/>
        </w:rPr>
        <w:t>Even though Company Personnel must generally keep material, non-public information confidential, this does not limit or interfere with their ability, without notice to or authorization of the Company, to communicate in good faith with any government agency for the purpose of reporting a possible violation of law, or to participate in any investigation or proceeding that may be conducted by any government agency, including by providing documents 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74865" cy="262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74865" cy="262890"/>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If you have any question as to whether information is material or is publicly available, please err on the side of caution and direct an inquiry to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00" w:top="1139" w:right="399" w:bottom="1440" w:gutter="0" w:footer="0" w:header="0"/>
        </w:sectPr>
      </w:pPr>
    </w:p>
    <w:bookmarkStart w:id="181" w:name="page182"/>
    <w:bookmarkEnd w:id="181"/>
    <w:p>
      <w:pPr>
        <w:ind w:left="520" w:hanging="515"/>
        <w:spacing w:after="0"/>
        <w:tabs>
          <w:tab w:leader="none" w:pos="52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ADDITIONAL RESTRICTIONS</w:t>
      </w:r>
    </w:p>
    <w:p>
      <w:pPr>
        <w:spacing w:after="0" w:line="156" w:lineRule="exact"/>
        <w:rPr>
          <w:sz w:val="20"/>
          <w:szCs w:val="20"/>
          <w:color w:val="auto"/>
        </w:rPr>
      </w:pPr>
    </w:p>
    <w:p>
      <w:pPr>
        <w:ind w:left="1020" w:hanging="506"/>
        <w:spacing w:after="0"/>
        <w:tabs>
          <w:tab w:leader="none" w:pos="102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Designated Persons</w:t>
      </w:r>
    </w:p>
    <w:p>
      <w:pPr>
        <w:spacing w:after="0" w:line="14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All Designated Persons are subject to the Blackout Periods restrictions described in this Section III. Designated Persons may not give trading advice of any kind about the Company, whether or not such Designated Person is aware of material non-public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“Designated Persons”:</w:t>
      </w:r>
    </w:p>
    <w:p>
      <w:pPr>
        <w:spacing w:after="0" w:line="166" w:lineRule="exact"/>
        <w:rPr>
          <w:sz w:val="20"/>
          <w:szCs w:val="20"/>
          <w:color w:val="auto"/>
        </w:rPr>
      </w:pPr>
    </w:p>
    <w:p>
      <w:pPr>
        <w:ind w:left="760" w:hanging="246"/>
        <w:spacing w:after="0"/>
        <w:tabs>
          <w:tab w:leader="none" w:pos="7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directors and officers (as defined in Rule 16a-1(f) of the Exchange Act) of the Company;</w:t>
      </w:r>
    </w:p>
    <w:p>
      <w:pPr>
        <w:spacing w:after="0" w:line="17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Family Members and Controlled Entities of directors and officers of the Company; and</w:t>
      </w:r>
    </w:p>
    <w:p>
      <w:pPr>
        <w:spacing w:after="0" w:line="166" w:lineRule="exact"/>
        <w:rPr>
          <w:rFonts w:ascii="Times New Roman" w:cs="Times New Roman" w:eastAsia="Times New Roman" w:hAnsi="Times New Roman"/>
          <w:sz w:val="16"/>
          <w:szCs w:val="16"/>
          <w:color w:val="auto"/>
        </w:rPr>
      </w:pPr>
    </w:p>
    <w:p>
      <w:pPr>
        <w:ind w:left="760" w:right="200" w:hanging="246"/>
        <w:spacing w:after="0" w:line="273" w:lineRule="auto"/>
        <w:tabs>
          <w:tab w:leader="none" w:pos="75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in key financial reporting or communication roles and such other persons, in each case, as may be designated from time to time by the General Counsel, or his or her designee in the Legal Department (designated individuals will be identified and contacted through a separate memorandum).</w:t>
      </w:r>
    </w:p>
    <w:p>
      <w:pPr>
        <w:spacing w:after="0" w:line="121" w:lineRule="exact"/>
        <w:rPr>
          <w:sz w:val="20"/>
          <w:szCs w:val="20"/>
          <w:color w:val="auto"/>
        </w:rPr>
      </w:pPr>
    </w:p>
    <w:p>
      <w:pPr>
        <w:ind w:left="1020" w:hanging="506"/>
        <w:spacing w:after="0"/>
        <w:tabs>
          <w:tab w:leader="none" w:pos="102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Blackout Periods</w:t>
      </w:r>
    </w:p>
    <w:p>
      <w:pPr>
        <w:spacing w:after="0" w:line="15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6"/>
          <w:szCs w:val="16"/>
          <w:color w:val="auto"/>
        </w:rPr>
        <w:t>Subject to Section III.F below, Designated Persons may not conduct transactions (for their own or related accounts) involving Company Securities during the following periods (the “</w:t>
      </w:r>
      <w:r>
        <w:rPr>
          <w:rFonts w:ascii="Times New Roman" w:cs="Times New Roman" w:eastAsia="Times New Roman" w:hAnsi="Times New Roman"/>
          <w:sz w:val="16"/>
          <w:szCs w:val="16"/>
          <w:u w:val="single" w:color="auto"/>
          <w:color w:val="auto"/>
        </w:rPr>
        <w:t>Blackout Periods</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ind w:left="760" w:hanging="246"/>
        <w:spacing w:after="0" w:line="257" w:lineRule="auto"/>
        <w:tabs>
          <w:tab w:leader="none" w:pos="75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period in any fiscal quarter commencing 15 calendar days prior to the end of that quarter, and in each case ending after the first full trading day after the public disclosure of the financial results for such fiscal quarter or year. If public disclosure of the financial results occurs on a trading day after the markets open, then such date of disclosure shall not be considered the first trading day with respect to such public disclosure. For example, trading would be permissible on a Tuesday following a Monday release before trading hours and on a Wednesday following a Monday release during or after trading hours.</w:t>
      </w:r>
    </w:p>
    <w:p>
      <w:pPr>
        <w:spacing w:after="0" w:line="145"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period designated in writing by the General Counsel, or his or her designee in the Legal Department.</w:t>
      </w:r>
    </w:p>
    <w:p>
      <w:pPr>
        <w:spacing w:after="0" w:line="2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The Chief Financial Officer, the General Counsel, or the General Counsel’s designee in the Legal Department will send out a notice at least annually setting forth the specific dates for the quarterly Blackout Periods. If you are made aware of the existence of an event-specific Blackout Period, you should not disclose the existence of such Blackout Period to any other person.</w:t>
      </w:r>
    </w:p>
    <w:p>
      <w:pPr>
        <w:spacing w:after="0" w:line="146" w:lineRule="exact"/>
        <w:rPr>
          <w:sz w:val="20"/>
          <w:szCs w:val="20"/>
          <w:color w:val="auto"/>
        </w:rPr>
      </w:pPr>
    </w:p>
    <w:p>
      <w:pPr>
        <w:ind w:left="1020" w:hanging="506"/>
        <w:spacing w:after="0"/>
        <w:tabs>
          <w:tab w:leader="none" w:pos="102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Pre-Clearance</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 xml:space="preserve">All directors and officers (as defined in Rule 16a-1(f) of the Exchange Act) of the Company must clear purchases or sales in Company Securities with the General Counsel, or his or her designee in the Legal Department, </w:t>
      </w:r>
      <w:r>
        <w:rPr>
          <w:rFonts w:ascii="Times New Roman" w:cs="Times New Roman" w:eastAsia="Times New Roman" w:hAnsi="Times New Roman"/>
          <w:sz w:val="16"/>
          <w:szCs w:val="16"/>
          <w:b w:val="1"/>
          <w:bCs w:val="1"/>
          <w:u w:val="single" w:color="auto"/>
          <w:color w:val="auto"/>
        </w:rPr>
        <w:t>before</w:t>
      </w:r>
      <w:r>
        <w:rPr>
          <w:rFonts w:ascii="Times New Roman" w:cs="Times New Roman" w:eastAsia="Times New Roman" w:hAnsi="Times New Roman"/>
          <w:sz w:val="16"/>
          <w:szCs w:val="16"/>
          <w:color w:val="auto"/>
        </w:rPr>
        <w:t xml:space="preserve"> the trade may occur. The General Counsel, or his or her designee in the Legal Department, must clear purchases or sales in Company Securities with the Chief Financial Officer, before the trade may occur. The General Counsel, or his or her designee in the Legal</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37"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color w:val="auto"/>
        </w:rPr>
        <w:t>Department, may designate and provide notice to other key employees who may, from time to time, be subject to the pre-clearance procedures under this Policy.</w:t>
      </w:r>
    </w:p>
    <w:p>
      <w:pPr>
        <w:spacing w:after="0" w:line="17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 xml:space="preserve">Directors and officers seeking to pre-clear a trade in Company Securities must notify the General Counsel, or his or her designee in the Legal Department, in writing of the desire to conduct a trade at least three (3) business days before the date of the proposed transaction. Directors and officers should be prepared to provide the dates on which the proposed transactions are expected to occur and to identify the broker-dealer or any other investment professional responsible for executing the trade. The General Counsel, or his or her designee in the Legal Department, will inform the requesting individual of a decision with respect to the request as soon as possible after considering all the circumstances relevant to his/her determination. The General Counsel, or his or her designee in the Legal Department, is under no obligation to approve a transaction submitted for pre-clearance, and may determine not to permit the transaction. If the General Counsel, or his or her designee in the Legal Department, has not responded to a request for pre-clearance, </w:t>
      </w:r>
      <w:r>
        <w:rPr>
          <w:rFonts w:ascii="Times New Roman" w:cs="Times New Roman" w:eastAsia="Times New Roman" w:hAnsi="Times New Roman"/>
          <w:sz w:val="16"/>
          <w:szCs w:val="16"/>
          <w:b w:val="1"/>
          <w:bCs w:val="1"/>
          <w:u w:val="single" w:color="auto"/>
          <w:color w:val="auto"/>
        </w:rPr>
        <w:t>do not</w:t>
      </w:r>
      <w:r>
        <w:rPr>
          <w:rFonts w:ascii="Times New Roman" w:cs="Times New Roman" w:eastAsia="Times New Roman" w:hAnsi="Times New Roman"/>
          <w:sz w:val="16"/>
          <w:szCs w:val="16"/>
          <w:color w:val="auto"/>
        </w:rPr>
        <w:t xml:space="preserve"> trade in the Company Securities. If approved, the transaction must occur within three (3) business days after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w:t>
      </w:r>
    </w:p>
    <w:p>
      <w:pPr>
        <w:spacing w:after="0" w:line="1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Designated Persons must also clear gifts and other transfers of Company Securities with the General Counsel, or his or her designee in the Legal Department, before the gift or other transfer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74865" cy="5187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74865" cy="518795"/>
                    </a:xfrm>
                    <a:prstGeom prst="rect">
                      <a:avLst/>
                    </a:prstGeom>
                    <a:noFill/>
                  </pic:spPr>
                </pic:pic>
              </a:graphicData>
            </a:graphic>
          </wp:anchor>
        </w:drawing>
      </w:r>
    </w:p>
    <w:p>
      <w:pPr>
        <w:spacing w:after="0" w:line="249" w:lineRule="exact"/>
        <w:rPr>
          <w:sz w:val="20"/>
          <w:szCs w:val="20"/>
          <w:color w:val="auto"/>
        </w:rPr>
      </w:pPr>
    </w:p>
    <w:p>
      <w:pPr>
        <w:ind w:left="60" w:right="140"/>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Even if approval to trade pursuant to the pre-clearance process is obtained in writing, or pre-clearance is not required for a particular transaction, Designated Persons may </w:t>
      </w:r>
      <w:r>
        <w:rPr>
          <w:rFonts w:ascii="Times New Roman" w:cs="Times New Roman" w:eastAsia="Times New Roman" w:hAnsi="Times New Roman"/>
          <w:sz w:val="14"/>
          <w:szCs w:val="14"/>
          <w:b w:val="1"/>
          <w:bCs w:val="1"/>
          <w:u w:val="single" w:color="auto"/>
          <w:color w:val="auto"/>
        </w:rPr>
        <w:t>not</w:t>
      </w:r>
      <w:r>
        <w:rPr>
          <w:rFonts w:ascii="Times New Roman" w:cs="Times New Roman" w:eastAsia="Times New Roman" w:hAnsi="Times New Roman"/>
          <w:sz w:val="14"/>
          <w:szCs w:val="14"/>
          <w:b w:val="1"/>
          <w:bCs w:val="1"/>
          <w:color w:val="auto"/>
        </w:rPr>
        <w:t xml:space="preserve"> trade in the Company Securities if he or she is aware of material, non-public information about the Company. This Policy does not require pre-clearance of transactions in any other company’s securities unless otherwise indicated in writing by the General Counsel, or his or her designee in the Legal Department.</w:t>
      </w:r>
    </w:p>
    <w:p>
      <w:pPr>
        <w:spacing w:after="0" w:line="333" w:lineRule="exact"/>
        <w:rPr>
          <w:sz w:val="20"/>
          <w:szCs w:val="20"/>
          <w:color w:val="auto"/>
        </w:rPr>
      </w:pPr>
    </w:p>
    <w:p>
      <w:pPr>
        <w:ind w:left="1020" w:hanging="506"/>
        <w:spacing w:after="0"/>
        <w:tabs>
          <w:tab w:leader="none" w:pos="102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Prohibited and Special Transactions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addition to the other restrictions and prohibitions contained in this Policy, Designated Persons </w:t>
      </w:r>
      <w:r>
        <w:rPr>
          <w:rFonts w:ascii="Times New Roman" w:cs="Times New Roman" w:eastAsia="Times New Roman" w:hAnsi="Times New Roman"/>
          <w:sz w:val="16"/>
          <w:szCs w:val="16"/>
          <w:b w:val="1"/>
          <w:bCs w:val="1"/>
          <w:u w:val="single" w:color="auto"/>
          <w:color w:val="auto"/>
        </w:rPr>
        <w:t>may not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760" w:hanging="246"/>
        <w:spacing w:after="0" w:line="275" w:lineRule="auto"/>
        <w:tabs>
          <w:tab w:leader="none" w:pos="75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Short-Term Trading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Sell any Company Securities of the same class during the six months following a purchase of any Company Securities of that class (or vice versa).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Shares purchased through the Company’s equity plans and transactions with the Company are not subject to this restriction</w:t>
      </w:r>
      <w:r>
        <w:rPr>
          <w:rFonts w:ascii="Times New Roman" w:cs="Times New Roman" w:eastAsia="Times New Roman" w:hAnsi="Times New Roman"/>
          <w:sz w:val="16"/>
          <w:szCs w:val="16"/>
          <w:b w:val="1"/>
          <w:bCs w:val="1"/>
          <w:i w:val="1"/>
          <w:iCs w:val="1"/>
          <w:color w:val="auto"/>
        </w:rPr>
        <w:t>.</w:t>
      </w:r>
    </w:p>
    <w:p>
      <w:pPr>
        <w:spacing w:after="0" w:line="119" w:lineRule="exact"/>
        <w:rPr>
          <w:rFonts w:ascii="Times New Roman" w:cs="Times New Roman" w:eastAsia="Times New Roman" w:hAnsi="Times New Roman"/>
          <w:sz w:val="16"/>
          <w:szCs w:val="16"/>
          <w:color w:val="auto"/>
        </w:rPr>
      </w:pPr>
    </w:p>
    <w:p>
      <w:pPr>
        <w:ind w:left="760" w:right="620" w:hanging="246"/>
        <w:spacing w:after="0" w:line="275" w:lineRule="auto"/>
        <w:tabs>
          <w:tab w:leader="none" w:pos="75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Short Sales</w:t>
      </w:r>
      <w:r>
        <w:rPr>
          <w:rFonts w:ascii="Times New Roman" w:cs="Times New Roman" w:eastAsia="Times New Roman" w:hAnsi="Times New Roman"/>
          <w:sz w:val="16"/>
          <w:szCs w:val="16"/>
          <w:color w:val="auto"/>
        </w:rPr>
        <w:t>: Engage in short sales (selling securities that you do not own, with the intention of buying the securities at a lower price in the future) of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In addition, Section 16(c) of the Exchange Act prohibits directors and officers from engaging in short sales.</w:t>
      </w:r>
    </w:p>
    <w:p>
      <w:pPr>
        <w:spacing w:after="0" w:line="119"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Publicly Traded Options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Engage in Company Securities in the form of puts, calls, or other derivative securities, on an exchange or in any other organized market.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60"/>
          </w:cols>
          <w:pgMar w:left="300" w:top="1139" w:right="339" w:bottom="1440" w:gutter="0" w:footer="0" w:header="0"/>
        </w:sectPr>
      </w:pPr>
    </w:p>
    <w:bookmarkStart w:id="183" w:name="page184"/>
    <w:bookmarkEnd w:id="183"/>
    <w:p>
      <w:pPr>
        <w:ind w:left="760" w:right="140" w:hanging="246"/>
        <w:spacing w:after="0" w:line="255" w:lineRule="auto"/>
        <w:tabs>
          <w:tab w:leader="none" w:pos="7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Pledging: </w:t>
      </w:r>
      <w:r>
        <w:rPr>
          <w:rFonts w:ascii="Times New Roman" w:cs="Times New Roman" w:eastAsia="Times New Roman" w:hAnsi="Times New Roman"/>
          <w:sz w:val="16"/>
          <w:szCs w:val="16"/>
          <w:color w:val="auto"/>
        </w:rPr>
        <w:t>Pledge, hypothecate, or otherwise encumber shares of Company Securities as collateral for indebtedness. This includes but is not limited to holding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shares in a margin account or any other account that could cause Company Securities to be subject to a margin call or otherwise be available as collateral for a margin loan.</w:t>
      </w:r>
    </w:p>
    <w:p>
      <w:pPr>
        <w:spacing w:after="0" w:line="145" w:lineRule="exact"/>
        <w:rPr>
          <w:rFonts w:ascii="Times New Roman" w:cs="Times New Roman" w:eastAsia="Times New Roman" w:hAnsi="Times New Roman"/>
          <w:sz w:val="16"/>
          <w:szCs w:val="16"/>
          <w:color w:val="auto"/>
        </w:rPr>
      </w:pPr>
    </w:p>
    <w:p>
      <w:pPr>
        <w:jc w:val="both"/>
        <w:ind w:left="760" w:right="120" w:hanging="246"/>
        <w:spacing w:after="0" w:line="309" w:lineRule="auto"/>
        <w:tabs>
          <w:tab w:leader="none" w:pos="75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Hedging</w:t>
      </w:r>
      <w:r>
        <w:rPr>
          <w:rFonts w:ascii="Times New Roman" w:cs="Times New Roman" w:eastAsia="Times New Roman" w:hAnsi="Times New Roman"/>
          <w:sz w:val="14"/>
          <w:szCs w:val="14"/>
          <w:color w:val="auto"/>
        </w:rPr>
        <w:t>: Purchase a financial instrument or entering into any transaction that is designed to hedge, establish downside price protection or otherwise offset declines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market value of Company Securities, including puts, calls, prepaid variable forward contracts, equity swaps, collars, exchange funds (excluding broad-based index funds) and other financial instruments that are designed to or have the effect of hedging or offsetting any decrease in the market value of Company Securities.</w:t>
      </w:r>
    </w:p>
    <w:p>
      <w:pPr>
        <w:spacing w:after="0" w:line="110" w:lineRule="exact"/>
        <w:rPr>
          <w:rFonts w:ascii="Times New Roman" w:cs="Times New Roman" w:eastAsia="Times New Roman" w:hAnsi="Times New Roman"/>
          <w:sz w:val="14"/>
          <w:szCs w:val="14"/>
          <w:color w:val="auto"/>
        </w:rPr>
      </w:pPr>
    </w:p>
    <w:p>
      <w:pPr>
        <w:ind w:left="760" w:right="200" w:hanging="246"/>
        <w:spacing w:after="0" w:line="262" w:lineRule="auto"/>
        <w:tabs>
          <w:tab w:leader="none" w:pos="7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Standing and Limit Orders</w:t>
      </w:r>
      <w:r>
        <w:rPr>
          <w:rFonts w:ascii="Times New Roman" w:cs="Times New Roman" w:eastAsia="Times New Roman" w:hAnsi="Times New Roman"/>
          <w:sz w:val="16"/>
          <w:szCs w:val="16"/>
          <w:color w:val="auto"/>
        </w:rPr>
        <w:t>: Place standing or limit orders on Company Securities outside of a properly established Rule 10b5-1 Plan or outside of the three business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day period following pre-clearance approval.</w:t>
      </w:r>
    </w:p>
    <w:p>
      <w:pPr>
        <w:spacing w:after="0" w:line="139" w:lineRule="exact"/>
        <w:rPr>
          <w:sz w:val="20"/>
          <w:szCs w:val="20"/>
          <w:color w:val="auto"/>
        </w:rPr>
      </w:pPr>
    </w:p>
    <w:p>
      <w:pPr>
        <w:ind w:left="1020" w:hanging="506"/>
        <w:spacing w:after="0"/>
        <w:tabs>
          <w:tab w:leader="none" w:pos="102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Transactions under Company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limitations of this Policy do not apply to the following, except as specifically noted:</w:t>
      </w:r>
    </w:p>
    <w:p>
      <w:pPr>
        <w:spacing w:after="0" w:line="175" w:lineRule="exact"/>
        <w:rPr>
          <w:sz w:val="20"/>
          <w:szCs w:val="20"/>
          <w:color w:val="auto"/>
        </w:rPr>
      </w:pPr>
    </w:p>
    <w:p>
      <w:pPr>
        <w:ind w:left="760" w:hanging="246"/>
        <w:spacing w:after="0" w:line="309" w:lineRule="auto"/>
        <w:tabs>
          <w:tab w:leader="none" w:pos="75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Stock Option Exercises</w:t>
      </w:r>
      <w:r>
        <w:rPr>
          <w:rFonts w:ascii="Times New Roman" w:cs="Times New Roman" w:eastAsia="Times New Roman" w:hAnsi="Times New Roman"/>
          <w:sz w:val="14"/>
          <w:szCs w:val="14"/>
          <w:color w:val="auto"/>
        </w:rPr>
        <w:t>: Exercise of an employee stock option acquired pursuant to the Company’s plans, or to the exercise of a tax withholding right pursuant to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 person has elected to have the Company withhold shares subject to an option to satisfy tax withholding requirements. This Policy does apply, however, to any sale of the underlying stock or to a cashless exercise of the option through a broker, as this entails selling a portion of the underlying stock to cover the cost of exercise.</w:t>
      </w:r>
    </w:p>
    <w:p>
      <w:pPr>
        <w:spacing w:after="0" w:line="110" w:lineRule="exact"/>
        <w:rPr>
          <w:rFonts w:ascii="Times New Roman" w:cs="Times New Roman" w:eastAsia="Times New Roman" w:hAnsi="Times New Roman"/>
          <w:sz w:val="14"/>
          <w:szCs w:val="14"/>
          <w:color w:val="auto"/>
        </w:rPr>
      </w:pPr>
    </w:p>
    <w:p>
      <w:pPr>
        <w:ind w:left="760" w:right="40" w:hanging="246"/>
        <w:spacing w:after="0" w:line="333" w:lineRule="auto"/>
        <w:tabs>
          <w:tab w:leader="none" w:pos="75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Restricted Stock Awards</w:t>
      </w:r>
      <w:r>
        <w:rPr>
          <w:rFonts w:ascii="Times New Roman" w:cs="Times New Roman" w:eastAsia="Times New Roman" w:hAnsi="Times New Roman"/>
          <w:sz w:val="14"/>
          <w:szCs w:val="14"/>
          <w:color w:val="auto"/>
        </w:rPr>
        <w:t>: Vesting of restricted stock, or the exercise of a tax withholding right pursuant to which a person elected to have the Company withhold shares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stock to satisfy tax withholding requirements upon the vesting of any restricted stock. The Policy does apply, however, to any market sale of restricted stock.</w:t>
      </w:r>
    </w:p>
    <w:p>
      <w:pPr>
        <w:spacing w:after="0" w:line="94" w:lineRule="exact"/>
        <w:rPr>
          <w:rFonts w:ascii="Times New Roman" w:cs="Times New Roman" w:eastAsia="Times New Roman" w:hAnsi="Times New Roman"/>
          <w:sz w:val="14"/>
          <w:szCs w:val="14"/>
          <w:color w:val="auto"/>
        </w:rPr>
      </w:pPr>
    </w:p>
    <w:p>
      <w:pPr>
        <w:ind w:left="760" w:right="280" w:hanging="246"/>
        <w:spacing w:after="0" w:line="275" w:lineRule="auto"/>
        <w:tabs>
          <w:tab w:leader="none" w:pos="7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401(k) 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Purchases of Company Securities in the Company’s 401(k) plan resulting from periodic contribution of money to the plan pursuant to standard payroll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deduction elections.</w:t>
      </w:r>
    </w:p>
    <w:p>
      <w:pPr>
        <w:spacing w:after="0" w:line="119" w:lineRule="exact"/>
        <w:rPr>
          <w:rFonts w:ascii="Times New Roman" w:cs="Times New Roman" w:eastAsia="Times New Roman" w:hAnsi="Times New Roman"/>
          <w:sz w:val="16"/>
          <w:szCs w:val="16"/>
          <w:color w:val="auto"/>
        </w:rPr>
      </w:pPr>
    </w:p>
    <w:p>
      <w:pPr>
        <w:ind w:left="760" w:right="80" w:hanging="246"/>
        <w:spacing w:after="0" w:line="253" w:lineRule="auto"/>
        <w:tabs>
          <w:tab w:leader="none" w:pos="7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Employee Stock Purchase Plan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Purchases of Company Securities in any employee stock purchase plan resulting from periodic contribution of money to the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pursuant to the election made at the time of enrollment in the plan. This Policy also does not apply to purchases of Company Securities resulting from lump sum contributions to the plan, provided that elections to participate by lump sum payment were made at the beginning of the applicable enrollment period. This Policy does apply, however, to elections to participate in the plan for any enrollment period, and to sales of Company Securities purchased pursuant to the plan.</w:t>
      </w:r>
    </w:p>
    <w:p>
      <w:pPr>
        <w:spacing w:after="0" w:line="147" w:lineRule="exact"/>
        <w:rPr>
          <w:rFonts w:ascii="Times New Roman" w:cs="Times New Roman" w:eastAsia="Times New Roman" w:hAnsi="Times New Roman"/>
          <w:sz w:val="16"/>
          <w:szCs w:val="16"/>
          <w:color w:val="auto"/>
        </w:rPr>
      </w:pPr>
    </w:p>
    <w:p>
      <w:pPr>
        <w:ind w:left="760" w:right="160" w:hanging="246"/>
        <w:spacing w:after="0" w:line="262" w:lineRule="auto"/>
        <w:tabs>
          <w:tab w:leader="none" w:pos="75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Other Similar Transactions: </w:t>
      </w:r>
      <w:r>
        <w:rPr>
          <w:rFonts w:ascii="Times New Roman" w:cs="Times New Roman" w:eastAsia="Times New Roman" w:hAnsi="Times New Roman"/>
          <w:sz w:val="16"/>
          <w:szCs w:val="16"/>
          <w:color w:val="auto"/>
        </w:rPr>
        <w:t>Any other similar purchase of Company Securities from the Company or sales of Company Securities to the Company are not subject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this Policy.</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00" w:top="1137" w:right="359" w:bottom="1440" w:gutter="0" w:footer="0" w:header="0"/>
        </w:sectPr>
      </w:pPr>
    </w:p>
    <w:bookmarkStart w:id="184" w:name="page185"/>
    <w:bookmarkEnd w:id="184"/>
    <w:p>
      <w:pPr>
        <w:ind w:left="1000" w:hanging="486"/>
        <w:spacing w:after="0"/>
        <w:tabs>
          <w:tab w:leader="none" w:pos="100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Planned Trading Programs</w:t>
      </w:r>
    </w:p>
    <w:p>
      <w:pPr>
        <w:spacing w:after="0" w:line="15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Rule 10b5-1 under the Exchange Act provides an affirmative defense, under certain conditions, against allegations that an insider traded in the Company Securities while aware of material non-public information. In order to be eligible to rely on this defense, a person subject to this Policy must enter into a trading plan for transactions in Company Securities that meets certain conditions specified in Rule 10b5-1 (a “</w:t>
      </w:r>
      <w:r>
        <w:rPr>
          <w:rFonts w:ascii="Times New Roman" w:cs="Times New Roman" w:eastAsia="Times New Roman" w:hAnsi="Times New Roman"/>
          <w:sz w:val="16"/>
          <w:szCs w:val="16"/>
          <w:u w:val="single" w:color="auto"/>
          <w:color w:val="auto"/>
        </w:rPr>
        <w:t>Rule 10b5-1 Plan</w:t>
      </w:r>
      <w:r>
        <w:rPr>
          <w:rFonts w:ascii="Times New Roman" w:cs="Times New Roman" w:eastAsia="Times New Roman" w:hAnsi="Times New Roman"/>
          <w:sz w:val="16"/>
          <w:szCs w:val="16"/>
          <w:color w:val="auto"/>
        </w:rPr>
        <w:t>”). If the plan meets the requirements of Rule 10b5-1, Company Securities may be purchased or sold without regard to certain insider trading restrictions, including blackout and pre-clearance requirements.</w:t>
      </w:r>
    </w:p>
    <w:p>
      <w:pPr>
        <w:spacing w:after="0" w:line="17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To comply with this Policy, Rule 10b5-1 Plans must be approved by the General Counsel, or his or her designee in the Legal Department, and meet the requirements of Rule 10b5-1. In general, a Rule 10b5-1 Plan must be entered into at a time when the person entering into the plan is not aware of material non-public information and not during a Blackout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Any Rule 10b5-1 Plan must be submitted for approval at least two weeks prior to the entry into the Rule 10b5-1 Plan.</w:t>
      </w:r>
    </w:p>
    <w:p>
      <w:pPr>
        <w:spacing w:after="0" w:line="172" w:lineRule="exact"/>
        <w:rPr>
          <w:sz w:val="20"/>
          <w:szCs w:val="20"/>
          <w:color w:val="auto"/>
        </w:rPr>
      </w:pPr>
    </w:p>
    <w:p>
      <w:pPr>
        <w:ind w:left="1020" w:hanging="506"/>
        <w:spacing w:after="0"/>
        <w:tabs>
          <w:tab w:leader="none" w:pos="102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Post-Termination Transactions</w:t>
      </w:r>
    </w:p>
    <w:p>
      <w:pPr>
        <w:spacing w:after="0" w:line="158"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auto"/>
        </w:rPr>
        <w:t>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purchase or sell Company Securities until that information has become public or is no longer material.</w:t>
      </w:r>
    </w:p>
    <w:p>
      <w:pPr>
        <w:spacing w:after="0" w:line="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IV.</w:t>
      </w:r>
      <w:r>
        <w:rPr>
          <w:sz w:val="20"/>
          <w:szCs w:val="20"/>
          <w:color w:val="auto"/>
        </w:rPr>
        <w:tab/>
      </w:r>
      <w:r>
        <w:rPr>
          <w:rFonts w:ascii="Times New Roman" w:cs="Times New Roman" w:eastAsia="Times New Roman" w:hAnsi="Times New Roman"/>
          <w:sz w:val="16"/>
          <w:szCs w:val="16"/>
          <w:b w:val="1"/>
          <w:bCs w:val="1"/>
          <w:color w:val="auto"/>
        </w:rPr>
        <w:t>REGULATION FD AND COMMUNICATION WITH THE PUBLIC</w:t>
      </w:r>
    </w:p>
    <w:p>
      <w:pPr>
        <w:spacing w:after="0" w:line="164"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6"/>
          <w:szCs w:val="16"/>
          <w:color w:val="auto"/>
        </w:rPr>
        <w:t>The Company engages in communications from time to time with investors, securities analysts, and the financial press. It is against the law – specifically Regulation FD (Fair Disclosure) promulgated by the SEC – as well as this Policy, for any person acting on behalf of the Company to selectively disclose material non-public information to Market Participants (as defined herein) where it is reasonably foreseeable that the recipient may be likely to trade on the basis of such information, unless the information has first or simultaneously been disclosed to the public.</w:t>
      </w:r>
    </w:p>
    <w:p>
      <w:pPr>
        <w:spacing w:after="0" w:line="14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For purposes of this Policy, “Market Participants” include: (a) research analysts, brokers, dealers, investment advisers and certain institutional investment managers (and their associated persons, including analysts) and investment companies and hedge funds (and their affiliated persons); and (b) retail (non-institutional) holders or potential holders of Company Securities.</w:t>
      </w:r>
    </w:p>
    <w:p>
      <w:pPr>
        <w:spacing w:after="0" w:line="132" w:lineRule="exact"/>
        <w:rPr>
          <w:sz w:val="20"/>
          <w:szCs w:val="20"/>
          <w:color w:val="auto"/>
        </w:rPr>
      </w:pPr>
    </w:p>
    <w:p>
      <w:pPr>
        <w:jc w:val="both"/>
        <w:ind w:right="640"/>
        <w:spacing w:after="0" w:line="254" w:lineRule="auto"/>
        <w:rPr>
          <w:sz w:val="20"/>
          <w:szCs w:val="20"/>
          <w:color w:val="auto"/>
        </w:rPr>
      </w:pPr>
      <w:r>
        <w:rPr>
          <w:rFonts w:ascii="Times New Roman" w:cs="Times New Roman" w:eastAsia="Times New Roman" w:hAnsi="Times New Roman"/>
          <w:sz w:val="16"/>
          <w:szCs w:val="16"/>
          <w:color w:val="auto"/>
        </w:rPr>
        <w:t>In addition, this Policy prohibits Company Personnel from disclosing any Company material, non-public information to anyone outside the Company, including analysts, stockholders, journalists or any media outlet, Family Members and friends, other than in accordance with this Policy. Company Personnel also may not discuss non-public information regarding the Company or its business on any online or internet-based forum, including social media.</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60"/>
          </w:cols>
          <w:pgMar w:left="300" w:top="1137" w:right="339" w:bottom="1440" w:gutter="0" w:footer="0" w:header="0"/>
        </w:sectPr>
      </w:pPr>
    </w:p>
    <w:bookmarkStart w:id="185" w:name="page186"/>
    <w:bookmarkEnd w:id="185"/>
    <w:p>
      <w:pPr>
        <w:ind w:right="600"/>
        <w:spacing w:after="0" w:line="273" w:lineRule="auto"/>
        <w:rPr>
          <w:sz w:val="20"/>
          <w:szCs w:val="20"/>
          <w:color w:val="auto"/>
        </w:rPr>
      </w:pPr>
      <w:r>
        <w:rPr>
          <w:rFonts w:ascii="Times New Roman" w:cs="Times New Roman" w:eastAsia="Times New Roman" w:hAnsi="Times New Roman"/>
          <w:sz w:val="16"/>
          <w:szCs w:val="16"/>
          <w:color w:val="auto"/>
        </w:rPr>
        <w:t>Any disclosure by the Company of material non-public information must be made first or simultaneously to the public in a manner that is designed to achieve broad public dissemination and must be made in accordance with the Company’s policies and procedures for releasing material information.</w:t>
      </w:r>
    </w:p>
    <w:p>
      <w:pPr>
        <w:spacing w:after="0" w:line="1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Company has established procedures for releasing material information in a manner that is designed to achieve broad public dissemination of the information immediately upon its release.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Authorized Spokespersons</w:t>
      </w:r>
    </w:p>
    <w:p>
      <w:pPr>
        <w:spacing w:after="0" w:line="17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Company limits the number of spokespersons authorized to communicate with Market Participants on behalf of the Company with any person or entity outside the Company – both to ensure compliance with Regulation FD and otherwise to protect the confidentiality of sensitive business or financial information regarding the Company. Accordingly, the Company has designated the Chief Executive Officer, Chief Financial Officer, and any other specifically designated person as the sole Authorized Spokespersons for the Company. Unless you have been designated in writing as an Authorized Spokesperson, you may not publicly respond to any inquiries.</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All inquiries regarding the Company or its securities made by any person or entity outside the Company, including but not limited to securities analysts, members of the media, existing stockholders and/or debtholders and potential investors (except in the context of planned and authorized presentations) with regard to the Company’s business operations or prospects as well as the Company’s financial condition, results of operations, share price or any development or plan affecting the Company, should be referred immediately and exclusively to an Authorized Spokesperson.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 Procedures for Communicating with Market Participants</w:t>
      </w:r>
    </w:p>
    <w:p>
      <w:pPr>
        <w:spacing w:after="0" w:line="168" w:lineRule="exact"/>
        <w:rPr>
          <w:sz w:val="20"/>
          <w:szCs w:val="20"/>
          <w:color w:val="auto"/>
        </w:rPr>
      </w:pPr>
    </w:p>
    <w:p>
      <w:pPr>
        <w:jc w:val="both"/>
        <w:ind w:right="300"/>
        <w:spacing w:after="0" w:line="300" w:lineRule="auto"/>
        <w:rPr>
          <w:sz w:val="20"/>
          <w:szCs w:val="20"/>
          <w:color w:val="auto"/>
        </w:rPr>
      </w:pPr>
      <w:r>
        <w:rPr>
          <w:rFonts w:ascii="Times New Roman" w:cs="Times New Roman" w:eastAsia="Times New Roman" w:hAnsi="Times New Roman"/>
          <w:sz w:val="14"/>
          <w:szCs w:val="14"/>
          <w:color w:val="auto"/>
        </w:rPr>
        <w:t>Company Personnel should not review analyst reports prior to their being published, send analyst reports to investors or prospective investors, comment on an analyst’s model, provide analyst phone numbers for people to call them directly, endorse or ratify revenue or earnings projections made by an analyst, or express comfort or disagreement about analyst estimates. In addition, Company Personnel should not discuss financial or operational information about the Company’s competitors. An Authorized Spokesperson may review an analyst report solely for the purpose of confirming or correcting publicly disclosed information that may be contained in such analyst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 Timing of Public Disclosure</w:t>
      </w:r>
    </w:p>
    <w:p>
      <w:pPr>
        <w:spacing w:after="0" w:line="168"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4"/>
          <w:szCs w:val="14"/>
          <w:color w:val="auto"/>
        </w:rPr>
        <w:t>Company Personnel could be deemed to be “acting on behalf of” the Company and subject the Company to possible SEC enforcement action for violation of Regulation FD if Company Personnel orally, or in writing (including all written electronic communications), communicate material non-public information to market professionals and investors in situations where the Company has not either previously or simultaneously released that information to the public pursuant to one or more of the following methods:</w:t>
      </w:r>
    </w:p>
    <w:p>
      <w:pPr>
        <w:spacing w:after="0" w:line="114" w:lineRule="exact"/>
        <w:rPr>
          <w:sz w:val="20"/>
          <w:szCs w:val="20"/>
          <w:color w:val="auto"/>
        </w:rPr>
      </w:pPr>
    </w:p>
    <w:p>
      <w:pPr>
        <w:ind w:left="500" w:hanging="240"/>
        <w:spacing w:after="0"/>
        <w:tabs>
          <w:tab w:leader="none" w:pos="5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8-K or other document filed with, or submitted to, the SEC;</w:t>
      </w:r>
    </w:p>
    <w:p>
      <w:pPr>
        <w:spacing w:after="0" w:line="17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press release;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00" w:top="1139" w:right="359" w:bottom="1440" w:gutter="0" w:footer="0" w:header="0"/>
        </w:sectPr>
      </w:pPr>
    </w:p>
    <w:bookmarkStart w:id="186" w:name="page187"/>
    <w:bookmarkEnd w:id="186"/>
    <w:p>
      <w:pPr>
        <w:ind w:right="360" w:firstLine="260"/>
        <w:spacing w:after="0" w:line="463" w:lineRule="auto"/>
        <w:tabs>
          <w:tab w:leader="none" w:pos="5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conference call or webcast of such a call that is open to the public at large, and has been the subject of adequate advance notice within the meaning of Regulation FD. The Company will issue a press release announcing a quarterly earnings call no less than 48 hours prior to such call. The press release shall include:</w:t>
      </w:r>
    </w:p>
    <w:p>
      <w:pPr>
        <w:ind w:left="500" w:hanging="240"/>
        <w:spacing w:after="0"/>
        <w:tabs>
          <w:tab w:leader="none" w:pos="5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time of the call;</w:t>
      </w:r>
    </w:p>
    <w:p>
      <w:pPr>
        <w:spacing w:after="0" w:line="17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instructions as to how to access the call;</w:t>
      </w:r>
    </w:p>
    <w:p>
      <w:pPr>
        <w:spacing w:after="0" w:line="16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description of the subject matter to be covered during such call; and</w:t>
      </w:r>
    </w:p>
    <w:p>
      <w:pPr>
        <w:spacing w:after="0" w:line="176" w:lineRule="exact"/>
        <w:rPr>
          <w:rFonts w:ascii="Times New Roman" w:cs="Times New Roman" w:eastAsia="Times New Roman" w:hAnsi="Times New Roman"/>
          <w:sz w:val="16"/>
          <w:szCs w:val="16"/>
          <w:color w:val="auto"/>
        </w:rPr>
      </w:pPr>
    </w:p>
    <w:p>
      <w:pPr>
        <w:ind w:left="520" w:right="300" w:hanging="260"/>
        <w:spacing w:after="0" w:line="273" w:lineRule="auto"/>
        <w:tabs>
          <w:tab w:leader="none" w:pos="511"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location on the Company’s website where the webcast and audio file of the call (and any slides or other materials presented including reconciliations for any non-GAAP financial measures to be presented on the call) will be available.</w:t>
      </w:r>
    </w:p>
    <w:p>
      <w:pPr>
        <w:spacing w:after="0" w:line="120"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9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Quiet Period</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At the end of each fiscal quarter, the Company will observe a “quiet period” with respect to communication with the investment community, commencing at the close of the quarter. During this quiet period, the Company, including Authorized Spokespersons, should not provide information or guidance on expected financial results, previously published financial or other performance estimates or other guidance (including any reference to previously published estimates or guidance which might implicitly reaffirm the previously published estimate or guidance), analyst models, Company outlook, market trends or any other matters which might be directly or indirectly indicative of the Company’s prospective financial results for the period. On-site meetings will not be conducted. Immediately prior to any earnings release, the Company should cease all communication with the investing public. The quiet period ends when the Company’s earnings information for that quarter is publicly released. If management believes it is necessary or in the best interest of the Company to engage in communications during the quiet period, the Authorized Spokesperson, with the approval of the General Counsel, may do so in a manner consistent with Regulation FD. In no event shall such communication include any comment on the Company’s financial results or outlook for the current or future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(5) Inadvertent Disclosure</w:t>
      </w:r>
    </w:p>
    <w:p>
      <w:pPr>
        <w:spacing w:after="0" w:line="16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Company Personnel should notify the Legal Department immediately if they become aware of facts suggesting that material non-public information may have been communicated in violation of this Policy. In certain circumstances, steps can be taken promptly upon discovery of the selective disclosure to protect both the Company and the person responsible for that communication. Regulation FD, for example, gives a brief period, generally 24 hours, after discovery of a careless or inadvertent selective disclosure to avoid potential SEC enforcement action by fully disclosing the information to the public.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 Responding to Rumors and News Media</w:t>
      </w:r>
    </w:p>
    <w:p>
      <w:pPr>
        <w:spacing w:after="0" w:line="179"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6"/>
          <w:szCs w:val="16"/>
          <w:color w:val="auto"/>
        </w:rPr>
        <w:t>Rumors and media reports concerning the business and affairs of the Company may circulate from time to time. It is the Company’s general policy not to comment upon such rumors and/or to publish corrections about inaccurate or incomplete media statements. Company Personnel should not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139"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color w:val="auto"/>
        </w:rPr>
        <w:t>comment upon or respond to such rumors and/or media reports. Requests for comments or responses should be referred to an Authorized Spokesperson.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(7) Communicating Responsibly on Social Media and other Electronic Communications</w:t>
      </w:r>
    </w:p>
    <w:p>
      <w:pPr>
        <w:spacing w:after="0" w:line="168"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6"/>
          <w:szCs w:val="16"/>
          <w:color w:val="auto"/>
        </w:rPr>
        <w:t>Use of personal social media channels by directors, officers, employees, agents or other persons, including the Authorized Spokespersons, to communicate material non-public Company information is prohibited.</w:t>
      </w:r>
    </w:p>
    <w:p>
      <w:pPr>
        <w:spacing w:after="0" w:line="12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When using social media, Company Personnel have a responsibility to communicate in a manner that is consistent with our Company’s values. Company Personnel may not use social media or any other platform to post any non-public information about the Company, unless authorized by the Legal Department. Be polite and respectful in your professional and personal use of social media and remember that your conduct may impact how others view our Company and our values. In your business communications, the form and content of your email messages, texts, direct messages or other communications, should be professional and to-the-point, whether sent to co-workers or third parties. Care should be taken to ensure that a message has been addressed only to the intended recipients, that confidential and personal information is not being inappropriately shared, and that you would not be embarrassed by its contents.</w:t>
      </w:r>
    </w:p>
    <w:p>
      <w:pPr>
        <w:spacing w:after="0" w:line="152" w:lineRule="exact"/>
        <w:rPr>
          <w:sz w:val="20"/>
          <w:szCs w:val="20"/>
          <w:color w:val="auto"/>
        </w:rPr>
      </w:pPr>
    </w:p>
    <w:p>
      <w:pPr>
        <w:ind w:left="500" w:hanging="495"/>
        <w:spacing w:after="0"/>
        <w:tabs>
          <w:tab w:leader="none" w:pos="50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CONSEQUENCES OF VIOLATION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Selective disclosure of material, nonpublic information in any forum other than the approved methods listed above, and by any individual other than an Authorized Spokesperson, is considered a violation of this Policy and may be considered a violation of U.S. federal securities laws. A violation of this Policy may result an SEC civil enforcement action against the individual offender, the Company, and the Company’s officers and directors.</w:t>
      </w:r>
    </w:p>
    <w:p>
      <w:pPr>
        <w:spacing w:after="0" w:line="1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Insider trading is a serious crime. There are no thresholds or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Individuals found liable for insider trading (and tipping) face penalties of up three (3) times the profit gained or loss avoided, a criminal fine of up to $5 million and up to twenty</w:t>
      </w:r>
    </w:p>
    <w:p>
      <w:pPr>
        <w:spacing w:after="0" w:line="42" w:lineRule="exact"/>
        <w:rPr>
          <w:sz w:val="20"/>
          <w:szCs w:val="20"/>
          <w:color w:val="auto"/>
        </w:rPr>
      </w:pPr>
    </w:p>
    <w:p>
      <w:pPr>
        <w:ind w:right="180" w:firstLine="5"/>
        <w:spacing w:after="0" w:line="246" w:lineRule="auto"/>
        <w:tabs>
          <w:tab w:leader="none" w:pos="29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years in jail. In addition to the potential criminal and civil liabilities, in certain circumstances the Company may be able to recover all profits made by an insider who traded illegally plus collect other damages. Furthermore, the Company (and its executive officers and directors) could face penalties the greater of $1 million or three (3) times the profit gained or loss avoided as a result of an employee’s violation and/or criminal penalty of up to $25 million.</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Any violation of this Policy should be brought to the attention of the General Counsel or Legal Department. Without regard to civil or criminal penalties that may be imposed by others, violation of this Policy and its procedures may constitute grounds for dismissal from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Adopted as modified by the Board on February 17,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00" w:top="1139" w:right="35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7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Subsidiaries of First Watch Restaurant Group, Inc.</w:t>
            </w:r>
          </w:p>
        </w:tc>
      </w:tr>
      <w:tr>
        <w:trPr>
          <w:trHeight w:val="344"/>
        </w:trPr>
        <w:tc>
          <w:tcPr>
            <w:tcW w:w="3560" w:type="dxa"/>
            <w:vAlign w:val="bottom"/>
          </w:tcPr>
          <w:p>
            <w:pPr>
              <w:spacing w:after="0"/>
              <w:rPr>
                <w:sz w:val="24"/>
                <w:szCs w:val="24"/>
                <w:color w:val="auto"/>
              </w:rPr>
            </w:pPr>
          </w:p>
        </w:tc>
        <w:tc>
          <w:tcPr>
            <w:tcW w:w="77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As of December 28, 2025</w:t>
            </w:r>
          </w:p>
        </w:tc>
      </w:tr>
      <w:tr>
        <w:trPr>
          <w:trHeight w:val="58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772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 Fresh Parent, Inc.</w:t>
            </w:r>
          </w:p>
        </w:tc>
        <w:tc>
          <w:tcPr>
            <w:tcW w:w="77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Watch E&amp;I Restaurant Group, LLC</w:t>
            </w:r>
          </w:p>
        </w:tc>
        <w:tc>
          <w:tcPr>
            <w:tcW w:w="77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Watch Franchise Development Co.</w:t>
            </w:r>
          </w:p>
        </w:tc>
        <w:tc>
          <w:tcPr>
            <w:tcW w:w="77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Watch Restaurants Texas, LLC</w:t>
            </w:r>
          </w:p>
        </w:tc>
        <w:tc>
          <w:tcPr>
            <w:tcW w:w="77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Watch Restaurants, Inc. (d/b/a First Watch)</w:t>
            </w:r>
          </w:p>
        </w:tc>
        <w:tc>
          <w:tcPr>
            <w:tcW w:w="77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Watch Texas Holding, LLC</w:t>
            </w:r>
          </w:p>
        </w:tc>
        <w:tc>
          <w:tcPr>
            <w:tcW w:w="77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FWR Holding Corporation</w:t>
            </w:r>
          </w:p>
        </w:tc>
        <w:tc>
          <w:tcPr>
            <w:tcW w:w="77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 Egg Restaurants, LLC</w:t>
            </w:r>
          </w:p>
        </w:tc>
        <w:tc>
          <w:tcPr>
            <w:tcW w:w="772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Arizona</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TFW-NC, LLC</w:t>
            </w:r>
          </w:p>
        </w:tc>
        <w:tc>
          <w:tcPr>
            <w:tcW w:w="772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North Carolina</w:t>
            </w:r>
          </w:p>
        </w:tc>
      </w:tr>
    </w:tbl>
    <w:p>
      <w:pPr>
        <w:sectPr>
          <w:pgSz w:w="11900" w:h="16838" w:orient="portrait"/>
          <w:cols w:equalWidth="0" w:num="1">
            <w:col w:w="11280"/>
          </w:cols>
          <w:pgMar w:left="300" w:top="1141" w:right="319" w:bottom="1440" w:gutter="0" w:footer="0" w:header="0"/>
        </w:sectPr>
      </w:pPr>
    </w:p>
    <w:bookmarkStart w:id="189" w:name="page190"/>
    <w:bookmarkEnd w:id="189"/>
    <w:p>
      <w:pPr>
        <w:ind w:left="5600"/>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S-3 (No. 333-291287) and Form S-8 (No. 333-259937 and 333-289248) of First Watch Restaurant Group, Inc. of our report dated February 24, 2026 relating to the financial statements and the effectiveness of internal control over financial reporting, which appears in this Form 10-K.</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Tampa, Florida</w:t>
      </w:r>
    </w:p>
    <w:p>
      <w:pPr>
        <w:spacing w:after="0"/>
        <w:rPr>
          <w:sz w:val="20"/>
          <w:szCs w:val="20"/>
          <w:color w:val="auto"/>
        </w:rPr>
      </w:pPr>
      <w:r>
        <w:rPr>
          <w:rFonts w:ascii="Times New Roman" w:cs="Times New Roman" w:eastAsia="Times New Roman" w:hAnsi="Times New Roman"/>
          <w:sz w:val="14"/>
          <w:szCs w:val="14"/>
          <w:color w:val="auto"/>
        </w:rPr>
        <w:t>February 24, 2026</w:t>
      </w:r>
    </w:p>
    <w:p>
      <w:pPr>
        <w:sectPr>
          <w:pgSz w:w="11900" w:h="16838" w:orient="portrait"/>
          <w:cols w:equalWidth="0" w:num="1">
            <w:col w:w="11280"/>
          </w:cols>
          <w:pgMar w:left="300" w:top="505"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Executive Officer Pursuant to Exchange Act Rule 13a-14(a)/15d-14(a)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Christopher A. Tomasso, certify that:</w:t>
      </w:r>
    </w:p>
    <w:p>
      <w:pPr>
        <w:spacing w:after="0" w:line="201" w:lineRule="exact"/>
        <w:rPr>
          <w:sz w:val="20"/>
          <w:szCs w:val="20"/>
          <w:color w:val="auto"/>
        </w:rPr>
      </w:pPr>
    </w:p>
    <w:p>
      <w:pPr>
        <w:ind w:left="500" w:hanging="240"/>
        <w:spacing w:after="0"/>
        <w:tabs>
          <w:tab w:leader="none" w:pos="5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First Watch Restaurant Group, Inc.;</w:t>
      </w:r>
    </w:p>
    <w:p>
      <w:pPr>
        <w:spacing w:after="0" w:line="221" w:lineRule="exact"/>
        <w:rPr>
          <w:rFonts w:ascii="Times New Roman" w:cs="Times New Roman" w:eastAsia="Times New Roman" w:hAnsi="Times New Roman"/>
          <w:sz w:val="13"/>
          <w:szCs w:val="13"/>
          <w:color w:val="auto"/>
        </w:rPr>
      </w:pPr>
    </w:p>
    <w:p>
      <w:pPr>
        <w:ind w:left="520" w:hanging="260"/>
        <w:spacing w:after="0" w:line="275" w:lineRule="auto"/>
        <w:tabs>
          <w:tab w:leader="none" w:pos="532" w:val="left"/>
        </w:tabs>
        <w:numPr>
          <w:ilvl w:val="0"/>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left="520" w:hanging="260"/>
        <w:spacing w:after="0" w:line="275" w:lineRule="auto"/>
        <w:tabs>
          <w:tab w:leader="none" w:pos="532" w:val="left"/>
        </w:tabs>
        <w:numPr>
          <w:ilvl w:val="0"/>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220" w:hanging="260"/>
        <w:spacing w:after="0" w:line="294" w:lineRule="auto"/>
        <w:tabs>
          <w:tab w:leader="none" w:pos="51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3"/>
          <w:szCs w:val="13"/>
          <w:color w:val="auto"/>
        </w:rPr>
      </w:pPr>
    </w:p>
    <w:p>
      <w:pPr>
        <w:ind w:left="760" w:hanging="246"/>
        <w:spacing w:after="0" w:line="275" w:lineRule="auto"/>
        <w:tabs>
          <w:tab w:leader="none" w:pos="784" w:val="left"/>
        </w:tabs>
        <w:numPr>
          <w:ilvl w:val="1"/>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4"/>
          <w:szCs w:val="14"/>
          <w:color w:val="auto"/>
        </w:rPr>
      </w:pPr>
    </w:p>
    <w:p>
      <w:pPr>
        <w:ind w:left="760" w:hanging="246"/>
        <w:spacing w:after="0" w:line="311" w:lineRule="auto"/>
        <w:tabs>
          <w:tab w:leader="none" w:pos="757"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3"/>
          <w:szCs w:val="13"/>
          <w:color w:val="auto"/>
        </w:rPr>
      </w:pPr>
    </w:p>
    <w:p>
      <w:pPr>
        <w:ind w:left="760" w:hanging="246"/>
        <w:spacing w:after="0" w:line="275" w:lineRule="auto"/>
        <w:tabs>
          <w:tab w:leader="none" w:pos="787" w:val="left"/>
        </w:tabs>
        <w:numPr>
          <w:ilvl w:val="1"/>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4"/>
          <w:szCs w:val="14"/>
          <w:color w:val="auto"/>
        </w:rPr>
      </w:pPr>
    </w:p>
    <w:p>
      <w:pPr>
        <w:ind w:left="760" w:hanging="246"/>
        <w:spacing w:after="0" w:line="275" w:lineRule="auto"/>
        <w:tabs>
          <w:tab w:leader="none" w:pos="784" w:val="left"/>
        </w:tabs>
        <w:numPr>
          <w:ilvl w:val="1"/>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4"/>
          <w:szCs w:val="14"/>
          <w:color w:val="auto"/>
        </w:rPr>
      </w:pPr>
    </w:p>
    <w:p>
      <w:pPr>
        <w:ind w:left="520" w:hanging="260"/>
        <w:spacing w:after="0" w:line="275" w:lineRule="auto"/>
        <w:tabs>
          <w:tab w:leader="none" w:pos="532" w:val="left"/>
        </w:tabs>
        <w:numPr>
          <w:ilvl w:val="0"/>
          <w:numId w:val="102"/>
        </w:numPr>
        <w:rPr>
          <w:rFonts w:ascii="Arial" w:cs="Arial" w:eastAsia="Arial" w:hAnsi="Arial"/>
          <w:sz w:val="14"/>
          <w:szCs w:val="14"/>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760" w:hanging="246"/>
        <w:spacing w:after="0" w:line="294" w:lineRule="auto"/>
        <w:tabs>
          <w:tab w:leader="none" w:pos="750"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3"/>
          <w:szCs w:val="13"/>
          <w:color w:val="auto"/>
        </w:rPr>
      </w:pPr>
    </w:p>
    <w:p>
      <w:pPr>
        <w:ind w:left="760" w:hanging="246"/>
        <w:spacing w:after="0"/>
        <w:tabs>
          <w:tab w:leader="none" w:pos="760"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Date: March 11, 2025</w:t>
            </w:r>
          </w:p>
        </w:tc>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Christopher A. Tomasso</w:t>
            </w:r>
          </w:p>
        </w:tc>
      </w:tr>
      <w:tr>
        <w:trPr>
          <w:trHeight w:val="20"/>
        </w:trPr>
        <w:tc>
          <w:tcPr>
            <w:tcW w:w="16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1620" w:type="dxa"/>
            <w:vAlign w:val="bottom"/>
          </w:tcPr>
          <w:p>
            <w:pPr>
              <w:spacing w:after="0"/>
              <w:rPr>
                <w:sz w:val="15"/>
                <w:szCs w:val="15"/>
                <w:color w:val="auto"/>
              </w:rPr>
            </w:pPr>
          </w:p>
        </w:tc>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Christopher A. Tomasso</w:t>
            </w:r>
          </w:p>
        </w:tc>
      </w:tr>
      <w:tr>
        <w:trPr>
          <w:trHeight w:val="159"/>
        </w:trPr>
        <w:tc>
          <w:tcPr>
            <w:tcW w:w="1620" w:type="dxa"/>
            <w:vAlign w:val="bottom"/>
          </w:tcPr>
          <w:p>
            <w:pPr>
              <w:spacing w:after="0"/>
              <w:rPr>
                <w:sz w:val="13"/>
                <w:szCs w:val="13"/>
                <w:color w:val="auto"/>
              </w:rPr>
            </w:pPr>
          </w:p>
        </w:tc>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74"/>
        </w:trPr>
        <w:tc>
          <w:tcPr>
            <w:tcW w:w="1620" w:type="dxa"/>
            <w:vAlign w:val="bottom"/>
          </w:tcPr>
          <w:p>
            <w:pPr>
              <w:spacing w:after="0"/>
              <w:rPr>
                <w:sz w:val="15"/>
                <w:szCs w:val="15"/>
                <w:color w:val="auto"/>
              </w:rPr>
            </w:pPr>
          </w:p>
        </w:tc>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ectPr>
          <w:pgSz w:w="11900" w:h="16838" w:orient="portrait"/>
          <w:cols w:equalWidth="0" w:num="1">
            <w:col w:w="11280"/>
          </w:cols>
          <w:pgMar w:left="300" w:top="1137"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Principal Financial Officer Pursuant to Exchange Act Rule 13a-14(a)/15d-14(a) as Adopted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Mel Hope, certify that:</w:t>
      </w:r>
    </w:p>
    <w:p>
      <w:pPr>
        <w:spacing w:after="0" w:line="201" w:lineRule="exact"/>
        <w:rPr>
          <w:sz w:val="20"/>
          <w:szCs w:val="20"/>
          <w:color w:val="auto"/>
        </w:rPr>
      </w:pPr>
    </w:p>
    <w:p>
      <w:pPr>
        <w:ind w:left="500" w:hanging="240"/>
        <w:spacing w:after="0"/>
        <w:tabs>
          <w:tab w:leader="none" w:pos="5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First Watch Restaurant Group, Inc.;</w:t>
      </w:r>
    </w:p>
    <w:p>
      <w:pPr>
        <w:spacing w:after="0" w:line="221" w:lineRule="exact"/>
        <w:rPr>
          <w:rFonts w:ascii="Times New Roman" w:cs="Times New Roman" w:eastAsia="Times New Roman" w:hAnsi="Times New Roman"/>
          <w:sz w:val="13"/>
          <w:szCs w:val="13"/>
          <w:color w:val="auto"/>
        </w:rPr>
      </w:pPr>
    </w:p>
    <w:p>
      <w:pPr>
        <w:ind w:left="520" w:hanging="260"/>
        <w:spacing w:after="0" w:line="275" w:lineRule="auto"/>
        <w:tabs>
          <w:tab w:leader="none" w:pos="532" w:val="left"/>
        </w:tabs>
        <w:numPr>
          <w:ilvl w:val="0"/>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left="520" w:hanging="260"/>
        <w:spacing w:after="0" w:line="275" w:lineRule="auto"/>
        <w:tabs>
          <w:tab w:leader="none" w:pos="532" w:val="left"/>
        </w:tabs>
        <w:numPr>
          <w:ilvl w:val="0"/>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520" w:right="220" w:hanging="260"/>
        <w:spacing w:after="0" w:line="294" w:lineRule="auto"/>
        <w:tabs>
          <w:tab w:leader="none" w:pos="514"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3"/>
          <w:szCs w:val="13"/>
          <w:color w:val="auto"/>
        </w:rPr>
      </w:pPr>
    </w:p>
    <w:p>
      <w:pPr>
        <w:ind w:left="760" w:hanging="246"/>
        <w:spacing w:after="0" w:line="275" w:lineRule="auto"/>
        <w:tabs>
          <w:tab w:leader="none" w:pos="784" w:val="left"/>
        </w:tabs>
        <w:numPr>
          <w:ilvl w:val="1"/>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4"/>
          <w:szCs w:val="14"/>
          <w:color w:val="auto"/>
        </w:rPr>
      </w:pPr>
    </w:p>
    <w:p>
      <w:pPr>
        <w:ind w:left="760" w:hanging="246"/>
        <w:spacing w:after="0" w:line="294" w:lineRule="auto"/>
        <w:tabs>
          <w:tab w:leader="none" w:pos="757"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3"/>
          <w:szCs w:val="13"/>
          <w:color w:val="auto"/>
        </w:rPr>
      </w:pPr>
    </w:p>
    <w:p>
      <w:pPr>
        <w:ind w:left="760" w:hanging="246"/>
        <w:spacing w:after="0" w:line="292" w:lineRule="auto"/>
        <w:tabs>
          <w:tab w:leader="none" w:pos="787" w:val="left"/>
        </w:tabs>
        <w:numPr>
          <w:ilvl w:val="1"/>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760" w:hanging="246"/>
        <w:spacing w:after="0" w:line="275" w:lineRule="auto"/>
        <w:tabs>
          <w:tab w:leader="none" w:pos="784" w:val="left"/>
        </w:tabs>
        <w:numPr>
          <w:ilvl w:val="1"/>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4"/>
          <w:szCs w:val="14"/>
          <w:color w:val="auto"/>
        </w:rPr>
      </w:pPr>
    </w:p>
    <w:p>
      <w:pPr>
        <w:ind w:left="520" w:hanging="260"/>
        <w:spacing w:after="0" w:line="275" w:lineRule="auto"/>
        <w:tabs>
          <w:tab w:leader="none" w:pos="532" w:val="left"/>
        </w:tabs>
        <w:numPr>
          <w:ilvl w:val="0"/>
          <w:numId w:val="103"/>
        </w:numPr>
        <w:rPr>
          <w:rFonts w:ascii="Arial" w:cs="Arial" w:eastAsia="Arial" w:hAnsi="Arial"/>
          <w:sz w:val="14"/>
          <w:szCs w:val="14"/>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4"/>
          <w:szCs w:val="14"/>
          <w:color w:val="auto"/>
        </w:rPr>
      </w:pPr>
    </w:p>
    <w:p>
      <w:pPr>
        <w:ind w:left="760" w:hanging="246"/>
        <w:spacing w:after="0" w:line="294" w:lineRule="auto"/>
        <w:tabs>
          <w:tab w:leader="none" w:pos="75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3"/>
          <w:szCs w:val="13"/>
          <w:color w:val="auto"/>
        </w:rPr>
      </w:pPr>
    </w:p>
    <w:p>
      <w:pPr>
        <w:ind w:left="760" w:hanging="246"/>
        <w:spacing w:after="0"/>
        <w:tabs>
          <w:tab w:leader="none" w:pos="76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3"/>
          <w:szCs w:val="13"/>
          <w:color w:val="auto"/>
        </w:rPr>
        <w:t>Date: March 11, 2025</w:t>
      </w:r>
      <w:r>
        <w:rPr>
          <w:sz w:val="20"/>
          <w:szCs w:val="20"/>
          <w:color w:val="auto"/>
        </w:rPr>
        <w:tab/>
      </w:r>
      <w:r>
        <w:rPr>
          <w:rFonts w:ascii="Times New Roman" w:cs="Times New Roman" w:eastAsia="Times New Roman" w:hAnsi="Times New Roman"/>
          <w:sz w:val="13"/>
          <w:szCs w:val="13"/>
          <w:u w:val="single" w:color="auto"/>
          <w:color w:val="auto"/>
        </w:rPr>
        <w:t>/s/ Mel Hope</w:t>
      </w:r>
    </w:p>
    <w:p>
      <w:pPr>
        <w:spacing w:after="0" w:line="2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color w:val="auto"/>
        </w:rPr>
        <w:t>Mel Hope</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1280"/>
          </w:cols>
          <w:pgMar w:left="300" w:top="1137"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ind w:left="320" w:right="1100"/>
        <w:spacing w:after="0" w:line="306"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 PURSUANT TO 18 U.S.C. SECTION 1350, AS ADOPTED PURSUANT TO SECTION 906 OF THE SARBANES-OXLEY ACT OF 2002</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In connection with the Annual Report on Form 10-K of First Watch Restaurant Group, Inc. (the “Company”) for the fiscal year ended December 28, 2025, as filed with the Securities and Exchange Commission on the date hereof (the “Report”), Christopher A. Tomasso, Chief Executive Officer of the Company, and Mel Hope, Chief Financial Officer of the Company, hereby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U.S.C. Section 1350, as adopted pursuant to Section 906 of the Sarbanes-Oxley Act of 2002, that, to their knowledge:</w:t>
      </w:r>
    </w:p>
    <w:p>
      <w:pPr>
        <w:spacing w:after="0" w:line="122" w:lineRule="exact"/>
        <w:rPr>
          <w:sz w:val="20"/>
          <w:szCs w:val="20"/>
          <w:color w:val="auto"/>
        </w:rPr>
      </w:pPr>
    </w:p>
    <w:p>
      <w:pPr>
        <w:ind w:left="520" w:hanging="260"/>
        <w:spacing w:after="0"/>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2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2026</w:t>
      </w:r>
    </w:p>
    <w:p>
      <w:pPr>
        <w:spacing w:after="0" w:line="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u w:val="single" w:color="auto"/>
          <w:color w:val="auto"/>
        </w:rPr>
        <w:t>/s/ Christopher A. Tomasso</w:t>
      </w:r>
    </w:p>
    <w:p>
      <w:pPr>
        <w:spacing w:after="0" w:line="1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Christopher A. Tomasso</w:t>
      </w:r>
    </w:p>
    <w:p>
      <w:pPr>
        <w:spacing w:after="0" w:line="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u w:val="single" w:color="auto"/>
          <w:color w:val="auto"/>
        </w:rPr>
        <w:t>/s/ Mel Hope</w:t>
      </w:r>
    </w:p>
    <w:p>
      <w:pPr>
        <w:spacing w:after="0" w:line="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Mel Hope</w:t>
      </w:r>
    </w:p>
    <w:p>
      <w:pPr>
        <w:spacing w:after="0" w:line="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color w:val="auto"/>
        </w:rPr>
        <w:t>(Principal Financial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3"/>
    </w:lvl>
  </w:abstractNum>
  <w:abstractNum w:abstractNumId="27">
    <w:nsid w:val="1DBABF00"/>
    <w:multiLevelType w:val="hybridMultilevel"/>
    <w:lvl w:ilvl="0">
      <w:lvlJc w:val="left"/>
      <w:lvlText w:val="(%1)"/>
      <w:numFmt w:val="lowerRoman"/>
      <w:start w:val="2"/>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1)"/>
      <w:numFmt w:val="lowerRoman"/>
      <w:start w:val="3"/>
    </w:lvl>
  </w:abstractNum>
  <w:abstractNum w:abstractNumId="31">
    <w:nsid w:val="5DB70AE5"/>
    <w:multiLevelType w:val="hybridMultilevel"/>
    <w:lvl w:ilvl="0">
      <w:lvlJc w:val="left"/>
      <w:lvlText w:val="(%1)"/>
      <w:numFmt w:val="lowerRoman"/>
      <w:start w:val="3"/>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endash "/>
      <w:numFmt w:val="bullet"/>
      <w:start w:val="1"/>
    </w:lvl>
  </w:abstractNum>
  <w:abstractNum w:abstractNumId="34">
    <w:nsid w:val="15014ACB"/>
    <w:multiLevelType w:val="hybridMultilevel"/>
    <w:lvl w:ilvl="0">
      <w:lvlJc w:val="left"/>
      <w:lvlText w:val="\endash "/>
      <w:numFmt w:val="bullet"/>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101"/>
    </w:lvl>
  </w:abstractNum>
  <w:abstractNum w:abstractNumId="38">
    <w:nsid w:val="6B94764"/>
    <w:multiLevelType w:val="hybridMultilevel"/>
    <w:lvl w:ilvl="0">
      <w:lvlJc w:val="left"/>
      <w:lvlText w:val="*"/>
      <w:numFmt w:val="bullet"/>
      <w:start w:val="1"/>
    </w:lvl>
    <w:lvl w:ilvl="1">
      <w:lvlJc w:val="left"/>
      <w:lvlText w:val="%2"/>
      <w:numFmt w:val="decimal"/>
      <w:start w:val="104"/>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lvl w:ilvl="1">
      <w:lvlJc w:val="left"/>
      <w:lvlText w:val="(%2)"/>
      <w:numFmt w:val="lowerLetter"/>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1."/>
      <w:numFmt w:val="decimal"/>
      <w:start w:val="1"/>
    </w:lvl>
    <w:lvl w:ilvl="1">
      <w:lvlJc w:val="left"/>
      <w:lvlText w:val="(%2)"/>
      <w:numFmt w:val="lowerLetter"/>
      <w:start w:val="1"/>
    </w:lvl>
  </w:abstractNum>
  <w:abstractNum w:abstractNumId="45">
    <w:nsid w:val="7BD3EE7B"/>
    <w:multiLevelType w:val="hybridMultilevel"/>
    <w:lvl w:ilvl="0">
      <w:lvlJc w:val="left"/>
      <w:lvlText w:val="1"/>
      <w:numFmt w:val="bullet"/>
      <w:start w:val="1"/>
    </w:lvl>
  </w:abstractNum>
  <w:abstractNum w:abstractNumId="46">
    <w:nsid w:val="51D9C564"/>
    <w:multiLevelType w:val="hybridMultilevel"/>
    <w:lvl w:ilvl="0">
      <w:lvlJc w:val="left"/>
      <w:lvlText w:val="%1"/>
      <w:numFmt w:val="decimal"/>
      <w:start w:val="1"/>
    </w:lvl>
    <w:lvl w:ilvl="1">
      <w:lvlJc w:val="left"/>
      <w:lvlText w:val="(%2)"/>
      <w:numFmt w:val="lowerLetter"/>
      <w:start w:val="2"/>
    </w:lvl>
  </w:abstractNum>
  <w:abstractNum w:abstractNumId="47">
    <w:nsid w:val="613EFDC5"/>
    <w:multiLevelType w:val="hybridMultilevel"/>
    <w:lvl w:ilvl="0">
      <w:lvlJc w:val="left"/>
      <w:lvlText w:val="%1."/>
      <w:numFmt w:val="decimal"/>
      <w:start w:val="4"/>
    </w:lvl>
    <w:lvl w:ilvl="1">
      <w:lvlJc w:val="left"/>
      <w:lvlText w:val="%2"/>
      <w:numFmt w:val="lowerLetter"/>
      <w:start w:val="1"/>
    </w:lvl>
  </w:abstractNum>
  <w:abstractNum w:abstractNumId="48">
    <w:nsid w:val="BF72B14"/>
    <w:multiLevelType w:val="hybridMultilevel"/>
    <w:lvl w:ilvl="0">
      <w:lvlJc w:val="left"/>
      <w:lvlText w:val="%1."/>
      <w:numFmt w:val="decimal"/>
      <w:start w:val="5"/>
    </w:lvl>
    <w:lvl w:ilvl="1">
      <w:lvlJc w:val="left"/>
      <w:lvlText w:val="(%2)"/>
      <w:numFmt w:val="lowerLetter"/>
      <w:start w:val="1"/>
    </w:lvl>
  </w:abstractNum>
  <w:abstractNum w:abstractNumId="49">
    <w:nsid w:val="11447B73"/>
    <w:multiLevelType w:val="hybridMultilevel"/>
    <w:lvl w:ilvl="0">
      <w:lvlJc w:val="left"/>
      <w:lvlText w:val="(%1)"/>
      <w:numFmt w:val="lowerLetter"/>
      <w:start w:val="4"/>
    </w:lvl>
  </w:abstractNum>
  <w:abstractNum w:abstractNumId="50">
    <w:nsid w:val="42963E5A"/>
    <w:multiLevelType w:val="hybridMultilevel"/>
    <w:lvl w:ilvl="0">
      <w:lvlJc w:val="left"/>
      <w:lvlText w:val="2"/>
      <w:numFmt w:val="bullet"/>
      <w:start w:val="1"/>
    </w:lvl>
  </w:abstractNum>
  <w:abstractNum w:abstractNumId="51">
    <w:nsid w:val="A0382C5"/>
    <w:multiLevelType w:val="hybridMultilevel"/>
    <w:lvl w:ilvl="0">
      <w:lvlJc w:val="left"/>
      <w:lvlText w:val="(%1)"/>
      <w:numFmt w:val="lowerLetter"/>
      <w:start w:val="10"/>
    </w:lvl>
  </w:abstractNum>
  <w:abstractNum w:abstractNumId="52">
    <w:nsid w:val="8F2B15E"/>
    <w:multiLevelType w:val="hybridMultilevel"/>
    <w:lvl w:ilvl="0">
      <w:lvlJc w:val="left"/>
      <w:lvlText w:val="%1."/>
      <w:numFmt w:val="upperLetter"/>
      <w:start w:val="61"/>
    </w:lvl>
    <w:lvl w:ilvl="1">
      <w:lvlJc w:val="left"/>
      <w:lvlText w:val="(%2)"/>
      <w:numFmt w:val="lowerLetter"/>
      <w:start w:val="1"/>
    </w:lvl>
  </w:abstractNum>
  <w:abstractNum w:abstractNumId="53">
    <w:nsid w:val="1A32234B"/>
    <w:multiLevelType w:val="hybridMultilevel"/>
    <w:lvl w:ilvl="0">
      <w:lvlJc w:val="left"/>
      <w:lvlText w:val="(%1)"/>
      <w:numFmt w:val="lowerLetter"/>
      <w:start w:val="5"/>
    </w:lvl>
    <w:lvl w:ilvl="1">
      <w:lvlJc w:val="left"/>
      <w:lvlText w:val="%2."/>
      <w:numFmt w:val="lowerRoman"/>
      <w:start w:val="1"/>
    </w:lvl>
  </w:abstractNum>
  <w:abstractNum w:abstractNumId="54">
    <w:nsid w:val="3B0FD379"/>
    <w:multiLevelType w:val="hybridMultilevel"/>
    <w:lvl w:ilvl="0">
      <w:lvlJc w:val="left"/>
      <w:lvlText w:val="(%1)"/>
      <w:numFmt w:val="lowerLetter"/>
      <w:start w:val="6"/>
    </w:lvl>
  </w:abstractNum>
  <w:abstractNum w:abstractNumId="55">
    <w:nsid w:val="68EB2F63"/>
    <w:multiLevelType w:val="hybridMultilevel"/>
    <w:lvl w:ilvl="0">
      <w:lvlJc w:val="left"/>
      <w:lvlText w:val="(%1)"/>
      <w:numFmt w:val="lowerLetter"/>
      <w:start w:val="14"/>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4"/>
    </w:lvl>
  </w:abstractNum>
  <w:abstractNum w:abstractNumId="60">
    <w:nsid w:val="7FFFCA11"/>
    <w:multiLevelType w:val="hybridMultilevel"/>
    <w:lvl w:ilvl="0">
      <w:lvlJc w:val="left"/>
      <w:lvlText w:val="%1"/>
      <w:numFmt w:val="lowerLetter"/>
      <w:start w:val="1"/>
    </w:lvl>
    <w:lvl w:ilvl="1">
      <w:lvlJc w:val="left"/>
      <w:lvlText w:val="(%2)"/>
      <w:numFmt w:val="lowerLetter"/>
      <w:start w:val="1"/>
    </w:lvl>
  </w:abstractNum>
  <w:abstractNum w:abstractNumId="61">
    <w:nsid w:val="1A27709E"/>
    <w:multiLevelType w:val="hybridMultilevel"/>
    <w:lvl w:ilvl="0">
      <w:lvlJc w:val="left"/>
      <w:lvlText w:val="(%1)"/>
      <w:numFmt w:val="lowerLetter"/>
      <w:start w:val="25"/>
    </w:lvl>
    <w:lvl w:ilvl="1">
      <w:lvlJc w:val="left"/>
      <w:lvlText w:val="(%2)"/>
      <w:numFmt w:val="lowerLetter"/>
      <w:start w:val="3"/>
    </w:lvl>
  </w:abstractNum>
  <w:abstractNum w:abstractNumId="62">
    <w:nsid w:val="71EA1109"/>
    <w:multiLevelType w:val="hybridMultilevel"/>
    <w:lvl w:ilvl="0">
      <w:lvlJc w:val="left"/>
      <w:lvlText w:val="(%1)"/>
      <w:numFmt w:val="lowerLetter"/>
      <w:start w:val="4"/>
    </w:lvl>
  </w:abstractNum>
  <w:abstractNum w:abstractNumId="63">
    <w:nsid w:val="100F59DC"/>
    <w:multiLevelType w:val="hybridMultilevel"/>
    <w:lvl w:ilvl="0">
      <w:lvlJc w:val="left"/>
      <w:lvlText w:val="(%1)"/>
      <w:numFmt w:val="decimal"/>
      <w:start w:val="10"/>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bullet"/>
      <w:start w:val="1"/>
    </w:lvl>
  </w:abstractNum>
  <w:abstractNum w:abstractNumId="66">
    <w:nsid w:val="6F6DD9AC"/>
    <w:multiLevelType w:val="hybridMultilevel"/>
    <w:lvl w:ilvl="0">
      <w:lvlJc w:val="left"/>
      <w:lvlText w:val="%1."/>
      <w:numFmt w:val="decimal"/>
      <w:start w:val="2"/>
    </w:lvl>
  </w:abstractNum>
  <w:abstractNum w:abstractNumId="67">
    <w:nsid w:val="94211F2"/>
    <w:multiLevelType w:val="hybridMultilevel"/>
    <w:lvl w:ilvl="0">
      <w:lvlJc w:val="left"/>
      <w:lvlText w:val="%1."/>
      <w:numFmt w:val="decimal"/>
      <w:start w:val="5"/>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decimal"/>
      <w:start w:val="6"/>
    </w:lvl>
  </w:abstractNum>
  <w:abstractNum w:abstractNumId="70">
    <w:nsid w:val="4C04A8AF"/>
    <w:multiLevelType w:val="hybridMultilevel"/>
    <w:lvl w:ilvl="0">
      <w:lvlJc w:val="left"/>
      <w:lvlText w:val="%1."/>
      <w:numFmt w:val="upperLetter"/>
      <w:start w:val="9"/>
    </w:lvl>
  </w:abstractNum>
  <w:abstractNum w:abstractNumId="71">
    <w:nsid w:val="1716703B"/>
    <w:multiLevelType w:val="hybridMultilevel"/>
    <w:lvl w:ilvl="0">
      <w:lvlJc w:val="left"/>
      <w:lvlText w:val="%1."/>
      <w:numFmt w:val="upperLetter"/>
      <w:start w:val="2"/>
    </w:lvl>
  </w:abstractNum>
  <w:abstractNum w:abstractNumId="72">
    <w:nsid w:val="14E17E33"/>
    <w:multiLevelType w:val="hybridMultilevel"/>
    <w:lvl w:ilvl="0">
      <w:lvlJc w:val="left"/>
      <w:lvlText w:val="%1."/>
      <w:numFmt w:val="upperLetter"/>
      <w:start w:val="3"/>
    </w:lvl>
  </w:abstractNum>
  <w:abstractNum w:abstractNumId="73">
    <w:nsid w:val="3222E7CD"/>
    <w:multiLevelType w:val="hybridMultilevel"/>
    <w:lvl w:ilvl="0">
      <w:lvlJc w:val="left"/>
      <w:lvlText w:val="%1"/>
      <w:numFmt w:val="decimal"/>
      <w:start w:val="1"/>
    </w:lvl>
    <w:lvl w:ilvl="1">
      <w:lvlJc w:val="left"/>
      <w:lvlText w:val="%2."/>
      <w:numFmt w:val="upperLetter"/>
      <w:start w:val="4"/>
    </w:lvl>
  </w:abstractNum>
  <w:abstractNum w:abstractNumId="74">
    <w:nsid w:val="74DE0EE3"/>
    <w:multiLevelType w:val="hybridMultilevel"/>
    <w:lvl w:ilvl="0">
      <w:lvlJc w:val="left"/>
      <w:lvlText w:val="(%1)"/>
      <w:numFmt w:val="decimal"/>
      <w:start w:val="1"/>
    </w:lvl>
    <w:lvl w:ilvl="1">
      <w:lvlJc w:val="left"/>
      <w:lvlText w:val="%2"/>
      <w:numFmt w:val="upperLetter"/>
      <w:start w:val="1"/>
    </w:lvl>
  </w:abstractNum>
  <w:abstractNum w:abstractNumId="75">
    <w:nsid w:val="68EBC550"/>
    <w:multiLevelType w:val="hybridMultilevel"/>
    <w:lvl w:ilvl="0">
      <w:lvlJc w:val="left"/>
      <w:lvlText w:val="%1."/>
      <w:numFmt w:val="upperLetter"/>
      <w:start w:val="5"/>
    </w:lvl>
  </w:abstractNum>
  <w:abstractNum w:abstractNumId="76">
    <w:nsid w:val="2DF6D648"/>
    <w:multiLevelType w:val="hybridMultilevel"/>
    <w:lvl w:ilvl="0">
      <w:lvlJc w:val="left"/>
      <w:lvlText w:val="%1."/>
      <w:numFmt w:val="upperLetter"/>
      <w:start w:val="6"/>
    </w:lvl>
  </w:abstractNum>
  <w:abstractNum w:abstractNumId="77">
    <w:nsid w:val="46B7D447"/>
    <w:multiLevelType w:val="hybridMultilevel"/>
    <w:lvl w:ilvl="0">
      <w:lvlJc w:val="left"/>
      <w:lvlText w:val="%1."/>
      <w:numFmt w:val="upperLetter"/>
      <w:start w:val="35"/>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decimal"/>
      <w:start w:val="1"/>
    </w:lvl>
    <w:lvl w:ilvl="1">
      <w:lvlJc w:val="left"/>
      <w:lvlText w:val="%2."/>
      <w:numFmt w:val="upperLetter"/>
      <w:start w:val="2"/>
    </w:lvl>
  </w:abstractNum>
  <w:abstractNum w:abstractNumId="80">
    <w:nsid w:val="57FC4FBB"/>
    <w:multiLevelType w:val="hybridMultilevel"/>
    <w:lvl w:ilvl="0">
      <w:lvlJc w:val="left"/>
      <w:lvlText w:val="(%1)"/>
      <w:numFmt w:val="decimal"/>
      <w:start w:val="1"/>
    </w:lvl>
    <w:lvl w:ilvl="1">
      <w:lvlJc w:val="left"/>
      <w:lvlText w:val="%2"/>
      <w:numFmt w:val="upperLetter"/>
      <w:start w:val="1"/>
    </w:lvl>
  </w:abstractNum>
  <w:abstractNum w:abstractNumId="81">
    <w:nsid w:val="CC1016F"/>
    <w:multiLevelType w:val="hybridMultilevel"/>
    <w:lvl w:ilvl="0">
      <w:lvlJc w:val="left"/>
      <w:lvlText w:val="(%1)"/>
      <w:numFmt w:val="decimal"/>
      <w:start w:val="1"/>
    </w:lvl>
    <w:lvl w:ilvl="1">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1."/>
      <w:numFmt w:val="upperLetter"/>
      <w:start w:val="61"/>
    </w:lvl>
  </w:abstractNum>
  <w:abstractNum w:abstractNumId="85">
    <w:nsid w:val="7F01579B"/>
    <w:multiLevelType w:val="hybridMultilevel"/>
    <w:lvl w:ilvl="0">
      <w:lvlJc w:val="left"/>
      <w:lvlText w:val="%1."/>
      <w:numFmt w:val="upperLetter"/>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upperLetter"/>
      <w:start w:val="2"/>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1."/>
      <w:numFmt w:val="upperLetter"/>
      <w:start w:val="3"/>
    </w:lvl>
  </w:abstractNum>
  <w:abstractNum w:abstractNumId="90">
    <w:nsid w:val="488AC1A"/>
    <w:multiLevelType w:val="hybridMultilevel"/>
    <w:lvl w:ilvl="0">
      <w:lvlJc w:val="left"/>
      <w:lvlText w:val="%1."/>
      <w:numFmt w:val="upperLetter"/>
      <w:start w:val="4"/>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upperLetter"/>
      <w:start w:val="5"/>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upperLetter"/>
      <w:start w:val="6"/>
    </w:lvl>
  </w:abstractNum>
  <w:abstractNum w:abstractNumId="96">
    <w:nsid w:val="7D5E18F8"/>
    <w:multiLevelType w:val="hybridMultilevel"/>
    <w:lvl w:ilvl="0">
      <w:lvlJc w:val="left"/>
      <w:lvlText w:val="%1."/>
      <w:numFmt w:val="upperLetter"/>
      <w:start w:val="7"/>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decimal"/>
      <w:start w:val="3"/>
    </w:lvl>
    <w:lvl w:ilvl="1">
      <w:lvlJc w:val="left"/>
      <w:lvlText w:val="•"/>
      <w:numFmt w:val="bullet"/>
      <w:start w:val="1"/>
    </w:lvl>
  </w:abstractNum>
  <w:abstractNum w:abstractNumId="99">
    <w:nsid w:val="7DE67713"/>
    <w:multiLevelType w:val="hybridMultilevel"/>
    <w:lvl w:ilvl="0">
      <w:lvlJc w:val="left"/>
      <w:lvlText w:val="%1."/>
      <w:numFmt w:val="upperLetter"/>
      <w:start w:val="22"/>
    </w:lvl>
  </w:abstractNum>
  <w:abstractNum w:abstractNumId="100">
    <w:nsid w:val="555C55B5"/>
    <w:multiLevelType w:val="hybridMultilevel"/>
    <w:lvl w:ilvl="0">
      <w:lvlJc w:val="left"/>
      <w:lvlText w:val="(%1)"/>
      <w:numFmt w:val="decimal"/>
      <w:start w:val="20"/>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78"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jpe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151" Type="http://schemas.openxmlformats.org/officeDocument/2006/relationships/hyperlink" Target="https://www.sec.gov/Archives/edgar/data/1789940/000119312521293207/d212487dex31.htm" TargetMode="External"/><Relationship Id="rId152" Type="http://schemas.openxmlformats.org/officeDocument/2006/relationships/hyperlink" Target="https://www.sec.gov/Archives/edgar/data/1789940/000178994025000010/exhibit32certificateofamen.htm" TargetMode="External"/><Relationship Id="rId153" Type="http://schemas.openxmlformats.org/officeDocument/2006/relationships/hyperlink" Target="https://www.sec.gov/Archives/edgar/data/1789940/000119312521293207/d212487dex32.htm" TargetMode="External"/><Relationship Id="rId154" Type="http://schemas.openxmlformats.org/officeDocument/2006/relationships/hyperlink" Target="https://www.sec.gov/Archives/edgar/data/1789940/000119312521266418/d177756dex41.htm" TargetMode="External"/><Relationship Id="rId157" Type="http://schemas.openxmlformats.org/officeDocument/2006/relationships/hyperlink" Target="https://www.sec.gov/Archives/edgar/data/1789940/000178994022000012/firstwatch-registrationr.htm" TargetMode="External"/><Relationship Id="rId158" Type="http://schemas.openxmlformats.org/officeDocument/2006/relationships/hyperlink" Target="https://www.sec.gov/Archives/edgar/data/1789940/000119312521293207/d212487dex101.htm" TargetMode="External"/><Relationship Id="rId159" Type="http://schemas.openxmlformats.org/officeDocument/2006/relationships/hyperlink" Target="https://www.sec.gov/Archives/edgar/data/1789940/000178994023000011/a102-amendmentno1tocredita.htm" TargetMode="External"/><Relationship Id="rId160" Type="http://schemas.openxmlformats.org/officeDocument/2006/relationships/hyperlink" Target="https://www.sec.gov/Archives/edgar/data/1789940/000178994024000003/exhibit101amendmentno2tocr.htm" TargetMode="External"/><Relationship Id="rId161" Type="http://schemas.openxmlformats.org/officeDocument/2006/relationships/hyperlink" Target="https://www.sec.gov/Archives/edgar/data/1789940/000178994022000005/exh101-tomassoemploymentag.htm" TargetMode="External"/><Relationship Id="rId162" Type="http://schemas.openxmlformats.org/officeDocument/2006/relationships/hyperlink" Target="https://www.sec.gov/Archives/edgar/data/1789940/000119312521266418/d177756dex105.htm" TargetMode="External"/><Relationship Id="rId163" Type="http://schemas.openxmlformats.org/officeDocument/2006/relationships/hyperlink" Target="https://www.sec.gov/Archives/edgar/data/1789940/000119312521266418/d177756dex104.htm" TargetMode="External"/><Relationship Id="rId164" Type="http://schemas.openxmlformats.org/officeDocument/2006/relationships/hyperlink" Target="https://www.sec.gov/Archives/edgar/data/1789940/000119312521266418/d177756dex108.htm" TargetMode="External"/><Relationship Id="rId165" Type="http://schemas.openxmlformats.org/officeDocument/2006/relationships/hyperlink" Target="https://www.sec.gov/Archives/edgar/data/1789940/000178994022000012/firstwatchofferletter-ho.htm" TargetMode="External"/><Relationship Id="rId166" Type="http://schemas.openxmlformats.org/officeDocument/2006/relationships/hyperlink" Target="https://www.sec.gov/Archives/edgar/data/1789940/000119312521266418/d177756dex103.htm" TargetMode="External"/><Relationship Id="rId167" Type="http://schemas.openxmlformats.org/officeDocument/2006/relationships/hyperlink" Target="https://www.sec.gov/Archives/edgar/data/1789940/000178994022000012/exhibit109firstwatch-202.htm" TargetMode="External"/><Relationship Id="rId168" Type="http://schemas.openxmlformats.org/officeDocument/2006/relationships/hyperlink" Target="https://www.sec.gov/Archives/edgar/data/1789940/000178994022000012/a1010optionawardagreement.htm" TargetMode="External"/><Relationship Id="rId169" Type="http://schemas.openxmlformats.org/officeDocument/2006/relationships/hyperlink" Target="https://www.sec.gov/Archives/edgar/data/1789940/000178994023000011/formofemployeersuawardagre.htm" TargetMode="External"/><Relationship Id="rId170" Type="http://schemas.openxmlformats.org/officeDocument/2006/relationships/hyperlink" Target="https://www.sec.gov/Archives/edgar/data/1789940/000178994024000012/exhibit1012-formofemployee.htm" TargetMode="External"/><Relationship Id="rId171" Type="http://schemas.openxmlformats.org/officeDocument/2006/relationships/hyperlink" Target="https://www.sec.gov/Archives/edgar/data/1789940/000178994024000012/exhibit1013-formofemployee.htm" TargetMode="External"/><Relationship Id="rId172" Type="http://schemas.openxmlformats.org/officeDocument/2006/relationships/hyperlink" Target="https://www.sec.gov/Archives/edgar/data/1789940/000119312521266418/d177756dex107.htm" TargetMode="External"/><Relationship Id="rId173" Type="http://schemas.openxmlformats.org/officeDocument/2006/relationships/hyperlink" Target="https://www.sec.gov/Archives/edgar/data/1789940/000178994023000011/form2022directorrsuawardag.htm" TargetMode="External"/><Relationship Id="rId174" Type="http://schemas.openxmlformats.org/officeDocument/2006/relationships/hyperlink" Target="https://www.sec.gov/Archives/edgar/data/1789940/000178994024000003/exhibit21-assetpurchaseagr.htm" TargetMode="External"/><Relationship Id="rId175" Type="http://schemas.openxmlformats.org/officeDocument/2006/relationships/hyperlink" Target="https://www.sec.gov/Archives/edgar/data/1789940/000178994024000148/exhibit21assetpurchaseag.htm" TargetMode="External"/><Relationship Id="rId176" Type="http://schemas.openxmlformats.org/officeDocument/2006/relationships/hyperlink" Target="https://www.sec.gov/Archives/edgar/data/1789940/000178994025000010/exhibit1016-executivesever.htm" TargetMode="External"/><Relationship Id="rId177" Type="http://schemas.openxmlformats.org/officeDocument/2006/relationships/hyperlink" Target="https://www.sec.gov/Archives/edgar/data/1789940/000178994025000010/exhibit191insidertradingan.htm" TargetMode="External"/><Relationship Id="rId179" Type="http://schemas.openxmlformats.org/officeDocument/2006/relationships/hyperlink" Target="https://www.sec.gov/Archives/edgar/data/1789940/000178994024000012/exhibit971incentive-based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2026-02-24T06:25:56Z</dcterms:created>
  <dcterms:modified xsi:type="dcterms:W3CDTF">2026-02-24T06:25:56Z</dcterms:modified>
</cp:coreProperties>
</file>