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509270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534670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5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8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104" w:lineRule="exact"/>
        <w:rPr>
          <w:sz w:val="24"/>
          <w:szCs w:val="24"/>
          <w:color w:val="auto"/>
        </w:rPr>
      </w:pPr>
    </w:p>
    <w:p>
      <w:pPr>
        <w:ind w:left="380" w:hanging="278"/>
        <w:spacing w:after="0"/>
        <w:tabs>
          <w:tab w:leader="none" w:pos="38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b w:val="1"/>
          <w:bCs w:val="1"/>
          <w:color w:val="auto"/>
        </w:rPr>
        <w:t>QUARTERLY REPORT PURSUANT TO SECTION 13 OR 15(d) OF THE SECURITIES EXCHANGE ACT OF 1934</w:t>
      </w:r>
    </w:p>
    <w:p>
      <w:pPr>
        <w:spacing w:after="0" w:line="196"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2024</w:t>
      </w:r>
    </w:p>
    <w:p>
      <w:pPr>
        <w:spacing w:after="0" w:line="6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111" w:lineRule="exact"/>
        <w:rPr>
          <w:sz w:val="24"/>
          <w:szCs w:val="24"/>
          <w:color w:val="auto"/>
        </w:rPr>
      </w:pPr>
    </w:p>
    <w:p>
      <w:pPr>
        <w:ind w:left="380" w:hanging="278"/>
        <w:spacing w:after="0"/>
        <w:tabs>
          <w:tab w:leader="none" w:pos="380" w:val="left"/>
        </w:tabs>
        <w:numPr>
          <w:ilvl w:val="0"/>
          <w:numId w:val="2"/>
        </w:numPr>
        <w:rPr>
          <w:rFonts w:ascii="MS PGothic" w:cs="MS PGothic" w:eastAsia="MS PGothic" w:hAnsi="MS PGothic"/>
          <w:sz w:val="17"/>
          <w:szCs w:val="17"/>
          <w:color w:val="auto"/>
        </w:rPr>
      </w:pPr>
      <w:r>
        <w:rPr>
          <w:rFonts w:ascii="Times New Roman" w:cs="Times New Roman" w:eastAsia="Times New Roman" w:hAnsi="Times New Roman"/>
          <w:sz w:val="17"/>
          <w:szCs w:val="17"/>
          <w:b w:val="1"/>
          <w:bCs w:val="1"/>
          <w:color w:val="auto"/>
        </w:rPr>
        <w:t>TRANSITION REPORT PURSUANT TO SECTION 13 OR 15(d) OF THE SECURITIES EXCHANGE ACT OF 1934</w:t>
      </w:r>
    </w:p>
    <w:p>
      <w:pPr>
        <w:spacing w:after="0" w:line="183"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For the transition period from ______ to _____</w:t>
      </w:r>
    </w:p>
    <w:p>
      <w:pPr>
        <w:spacing w:after="0" w:line="6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Commission file number 001-40866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2525395</wp:posOffset>
            </wp:positionH>
            <wp:positionV relativeFrom="paragraph">
              <wp:posOffset>394335</wp:posOffset>
            </wp:positionV>
            <wp:extent cx="2099945" cy="4114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099945" cy="4114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First Watch Restaurant Group, Inc.</w:t>
      </w:r>
    </w:p>
    <w:p>
      <w:pPr>
        <w:spacing w:after="0" w:line="5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40"/>
          </w:cols>
          <w:pgMar w:left="320" w:top="932" w:right="339" w:bottom="1440" w:gutter="0" w:footer="0" w:header="0"/>
        </w:sectPr>
      </w:pPr>
    </w:p>
    <w:p>
      <w:pPr>
        <w:spacing w:after="0" w:line="80" w:lineRule="exact"/>
        <w:rPr>
          <w:sz w:val="24"/>
          <w:szCs w:val="24"/>
          <w:color w:val="auto"/>
        </w:rPr>
      </w:pPr>
    </w:p>
    <w:p>
      <w:pPr>
        <w:ind w:left="154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6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82-4271369</w:t>
      </w:r>
    </w:p>
    <w:p>
      <w:pPr>
        <w:spacing w:after="0" w:line="65" w:lineRule="exact"/>
        <w:rPr>
          <w:sz w:val="24"/>
          <w:szCs w:val="24"/>
          <w:color w:val="auto"/>
        </w:rPr>
      </w:pPr>
    </w:p>
    <w:p>
      <w:pPr>
        <w:sectPr>
          <w:pgSz w:w="11900" w:h="16838" w:orient="portrait"/>
          <w:cols w:equalWidth="0" w:num="2">
            <w:col w:w="8460" w:space="720"/>
            <w:col w:w="2060"/>
          </w:cols>
          <w:pgMar w:left="320" w:top="932" w:right="339" w:bottom="1440" w:gutter="0" w:footer="0" w:header="0"/>
          <w:type w:val="continuous"/>
        </w:sectPr>
      </w:pPr>
    </w:p>
    <w:p>
      <w:pPr>
        <w:ind w:left="860"/>
        <w:spacing w:after="0"/>
        <w:rPr>
          <w:sz w:val="20"/>
          <w:szCs w:val="20"/>
          <w:color w:val="auto"/>
        </w:rPr>
      </w:pPr>
      <w:r>
        <w:rPr>
          <w:rFonts w:ascii="Times New Roman" w:cs="Times New Roman" w:eastAsia="Times New Roman" w:hAnsi="Times New Roman"/>
          <w:sz w:val="18"/>
          <w:szCs w:val="18"/>
          <w:color w:val="auto"/>
        </w:rPr>
        <w:t>(State or other jurisdiction of</w:t>
      </w:r>
    </w:p>
    <w:p>
      <w:pPr>
        <w:spacing w:after="0" w:line="16" w:lineRule="exact"/>
        <w:rPr>
          <w:sz w:val="24"/>
          <w:szCs w:val="24"/>
          <w:color w:val="auto"/>
        </w:rPr>
      </w:pPr>
    </w:p>
    <w:p>
      <w:pPr>
        <w:ind w:left="820"/>
        <w:spacing w:after="0"/>
        <w:rPr>
          <w:sz w:val="20"/>
          <w:szCs w:val="20"/>
          <w:color w:val="auto"/>
        </w:rPr>
      </w:pPr>
      <w:r>
        <w:rPr>
          <w:rFonts w:ascii="Times New Roman" w:cs="Times New Roman" w:eastAsia="Times New Roman" w:hAnsi="Times New Roman"/>
          <w:sz w:val="17"/>
          <w:szCs w:val="17"/>
          <w:color w:val="auto"/>
        </w:rPr>
        <w:t>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color w:val="auto"/>
        </w:rPr>
        <w:t>(I.R.S. Employer Identification No.)</w:t>
      </w:r>
    </w:p>
    <w:p>
      <w:pPr>
        <w:spacing w:after="0" w:line="247" w:lineRule="exact"/>
        <w:rPr>
          <w:sz w:val="24"/>
          <w:szCs w:val="24"/>
          <w:color w:val="auto"/>
        </w:rPr>
      </w:pPr>
    </w:p>
    <w:p>
      <w:pPr>
        <w:sectPr>
          <w:pgSz w:w="11900" w:h="16838" w:orient="portrait"/>
          <w:cols w:equalWidth="0" w:num="2">
            <w:col w:w="7600" w:space="720"/>
            <w:col w:w="2920"/>
          </w:cols>
          <w:pgMar w:left="320" w:top="932" w:right="339" w:bottom="1440" w:gutter="0" w:footer="0" w:header="0"/>
          <w:type w:val="continuous"/>
        </w:sectPr>
      </w:pPr>
    </w:p>
    <w:p>
      <w:pPr>
        <w:jc w:val="center"/>
        <w:ind w:left="500"/>
        <w:spacing w:after="0"/>
        <w:rPr>
          <w:sz w:val="20"/>
          <w:szCs w:val="20"/>
          <w:color w:val="auto"/>
        </w:rPr>
      </w:pPr>
      <w:r>
        <w:rPr>
          <w:rFonts w:ascii="Times New Roman" w:cs="Times New Roman" w:eastAsia="Times New Roman" w:hAnsi="Times New Roman"/>
          <w:sz w:val="17"/>
          <w:szCs w:val="17"/>
          <w:b w:val="1"/>
          <w:bCs w:val="1"/>
          <w:color w:val="auto"/>
        </w:rPr>
        <w:t>8725 Pendery Place, Suite 201, Bradenton, FL 34201</w:t>
      </w:r>
    </w:p>
    <w:p>
      <w:pPr>
        <w:spacing w:after="0" w:line="65" w:lineRule="exact"/>
        <w:rPr>
          <w:sz w:val="24"/>
          <w:szCs w:val="24"/>
          <w:color w:val="auto"/>
        </w:rPr>
      </w:pPr>
    </w:p>
    <w:p>
      <w:pPr>
        <w:jc w:val="center"/>
        <w:ind w:left="500"/>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p>
      <w:pPr>
        <w:sectPr>
          <w:pgSz w:w="11900" w:h="16838" w:orient="portrait"/>
          <w:cols w:equalWidth="0" w:num="1">
            <w:col w:w="11240"/>
          </w:cols>
          <w:pgMar w:left="320" w:top="932" w:right="339" w:bottom="1440" w:gutter="0" w:footer="0" w:header="0"/>
          <w:type w:val="continuous"/>
        </w:sectPr>
      </w:pPr>
    </w:p>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(941) 907-9800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former address and former fiscal year, if changed since last report)</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04" w:lineRule="exact"/>
        <w:rPr>
          <w:sz w:val="24"/>
          <w:szCs w:val="24"/>
          <w:color w:val="auto"/>
        </w:rPr>
      </w:pPr>
    </w:p>
    <w:tbl>
      <w:tblPr>
        <w:tblLayout w:type="fixed"/>
        <w:tblInd w:w="1000" w:type="dxa"/>
        <w:tblCellMar>
          <w:top w:w="0" w:type="dxa"/>
          <w:left w:w="0" w:type="dxa"/>
          <w:bottom w:w="0" w:type="dxa"/>
          <w:right w:w="0" w:type="dxa"/>
        </w:tblCellMar>
      </w:tblPr>
      <w:tr>
        <w:trPr>
          <w:trHeight w:val="225"/>
        </w:trPr>
        <w:tc>
          <w:tcPr>
            <w:tcW w:w="3360" w:type="dxa"/>
            <w:vAlign w:val="bottom"/>
          </w:tcPr>
          <w:p>
            <w:pPr>
              <w:jc w:val="center"/>
              <w:ind w:right="85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840" w:type="dxa"/>
            <w:vAlign w:val="bottom"/>
          </w:tcPr>
          <w:p>
            <w:pPr>
              <w:jc w:val="center"/>
              <w:ind w:left="27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3760" w:type="dxa"/>
            <w:vAlign w:val="bottom"/>
          </w:tcPr>
          <w:p>
            <w:pPr>
              <w:jc w:val="center"/>
              <w:ind w:left="470"/>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c>
          <w:tcPr>
            <w:tcW w:w="0" w:type="dxa"/>
            <w:vAlign w:val="bottom"/>
          </w:tcPr>
          <w:p>
            <w:pPr>
              <w:spacing w:after="0"/>
              <w:rPr>
                <w:sz w:val="1"/>
                <w:szCs w:val="1"/>
                <w:color w:val="auto"/>
              </w:rPr>
            </w:pPr>
          </w:p>
        </w:tc>
      </w:tr>
      <w:tr>
        <w:trPr>
          <w:trHeight w:val="189"/>
        </w:trPr>
        <w:tc>
          <w:tcPr>
            <w:tcW w:w="3360" w:type="dxa"/>
            <w:vAlign w:val="bottom"/>
            <w:vMerge w:val="restart"/>
          </w:tcPr>
          <w:p>
            <w:pPr>
              <w:jc w:val="center"/>
              <w:ind w:right="830"/>
              <w:spacing w:after="0"/>
              <w:rPr>
                <w:sz w:val="20"/>
                <w:szCs w:val="20"/>
                <w:color w:val="auto"/>
              </w:rPr>
            </w:pPr>
            <w:r>
              <w:rPr>
                <w:rFonts w:ascii="Times New Roman" w:cs="Times New Roman" w:eastAsia="Times New Roman" w:hAnsi="Times New Roman"/>
                <w:sz w:val="18"/>
                <w:szCs w:val="18"/>
                <w:b w:val="1"/>
                <w:bCs w:val="1"/>
                <w:color w:val="auto"/>
                <w:w w:val="99"/>
              </w:rPr>
              <w:t>Common Stock, $0.01 par value</w:t>
            </w:r>
          </w:p>
        </w:tc>
        <w:tc>
          <w:tcPr>
            <w:tcW w:w="2840" w:type="dxa"/>
            <w:vAlign w:val="bottom"/>
            <w:vMerge w:val="restart"/>
          </w:tcPr>
          <w:p>
            <w:pPr>
              <w:jc w:val="center"/>
              <w:ind w:left="270"/>
              <w:spacing w:after="0"/>
              <w:rPr>
                <w:sz w:val="20"/>
                <w:szCs w:val="20"/>
                <w:color w:val="auto"/>
              </w:rPr>
            </w:pPr>
            <w:r>
              <w:rPr>
                <w:rFonts w:ascii="Times New Roman" w:cs="Times New Roman" w:eastAsia="Times New Roman" w:hAnsi="Times New Roman"/>
                <w:sz w:val="18"/>
                <w:szCs w:val="18"/>
                <w:b w:val="1"/>
                <w:bCs w:val="1"/>
                <w:color w:val="auto"/>
                <w:w w:val="99"/>
              </w:rPr>
              <w:t>FWRG</w:t>
            </w:r>
          </w:p>
        </w:tc>
        <w:tc>
          <w:tcPr>
            <w:tcW w:w="3760" w:type="dxa"/>
            <w:vAlign w:val="bottom"/>
          </w:tcPr>
          <w:p>
            <w:pPr>
              <w:jc w:val="center"/>
              <w:ind w:left="470"/>
              <w:spacing w:after="0" w:line="189" w:lineRule="exact"/>
              <w:rPr>
                <w:sz w:val="20"/>
                <w:szCs w:val="20"/>
                <w:color w:val="auto"/>
              </w:rPr>
            </w:pPr>
            <w:r>
              <w:rPr>
                <w:rFonts w:ascii="Times New Roman" w:cs="Times New Roman" w:eastAsia="Times New Roman" w:hAnsi="Times New Roman"/>
                <w:sz w:val="18"/>
                <w:szCs w:val="18"/>
                <w:b w:val="1"/>
                <w:bCs w:val="1"/>
                <w:color w:val="auto"/>
                <w:w w:val="99"/>
              </w:rPr>
              <w:t>The Nasdaq Stock Market LLC</w:t>
            </w:r>
          </w:p>
        </w:tc>
        <w:tc>
          <w:tcPr>
            <w:tcW w:w="0" w:type="dxa"/>
            <w:vAlign w:val="bottom"/>
          </w:tcPr>
          <w:p>
            <w:pPr>
              <w:spacing w:after="0"/>
              <w:rPr>
                <w:sz w:val="1"/>
                <w:szCs w:val="1"/>
                <w:color w:val="auto"/>
              </w:rPr>
            </w:pPr>
          </w:p>
        </w:tc>
      </w:tr>
      <w:tr>
        <w:trPr>
          <w:trHeight w:val="238"/>
        </w:trPr>
        <w:tc>
          <w:tcPr>
            <w:tcW w:w="3360" w:type="dxa"/>
            <w:vAlign w:val="bottom"/>
            <w:vMerge w:val="continue"/>
          </w:tcPr>
          <w:p>
            <w:pPr>
              <w:spacing w:after="0"/>
              <w:rPr>
                <w:sz w:val="20"/>
                <w:szCs w:val="20"/>
                <w:color w:val="auto"/>
              </w:rPr>
            </w:pPr>
          </w:p>
        </w:tc>
        <w:tc>
          <w:tcPr>
            <w:tcW w:w="2840" w:type="dxa"/>
            <w:vAlign w:val="bottom"/>
            <w:vMerge w:val="continue"/>
          </w:tcPr>
          <w:p>
            <w:pPr>
              <w:spacing w:after="0"/>
              <w:rPr>
                <w:sz w:val="20"/>
                <w:szCs w:val="20"/>
                <w:color w:val="auto"/>
              </w:rPr>
            </w:pPr>
          </w:p>
        </w:tc>
        <w:tc>
          <w:tcPr>
            <w:tcW w:w="3760" w:type="dxa"/>
            <w:vAlign w:val="bottom"/>
          </w:tcPr>
          <w:p>
            <w:pPr>
              <w:jc w:val="center"/>
              <w:ind w:left="490"/>
              <w:spacing w:after="0"/>
              <w:rPr>
                <w:sz w:val="20"/>
                <w:szCs w:val="20"/>
                <w:color w:val="auto"/>
              </w:rPr>
            </w:pPr>
            <w:r>
              <w:rPr>
                <w:rFonts w:ascii="Times New Roman" w:cs="Times New Roman" w:eastAsia="Times New Roman" w:hAnsi="Times New Roman"/>
                <w:sz w:val="18"/>
                <w:szCs w:val="18"/>
                <w:b w:val="1"/>
                <w:bCs w:val="1"/>
                <w:color w:val="auto"/>
                <w:w w:val="99"/>
              </w:rPr>
              <w:t>(Nasdaq Global Select Market)</w:t>
            </w:r>
          </w:p>
        </w:tc>
        <w:tc>
          <w:tcPr>
            <w:tcW w:w="0" w:type="dxa"/>
            <w:vAlign w:val="bottom"/>
          </w:tcPr>
          <w:p>
            <w:pPr>
              <w:spacing w:after="0"/>
              <w:rPr>
                <w:sz w:val="1"/>
                <w:szCs w:val="1"/>
                <w:color w:val="auto"/>
              </w:rPr>
            </w:pPr>
          </w:p>
        </w:tc>
      </w:tr>
    </w:tbl>
    <w:p>
      <w:pPr>
        <w:spacing w:after="0" w:line="130"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9" w:lineRule="exact"/>
        <w:rPr>
          <w:sz w:val="24"/>
          <w:szCs w:val="24"/>
          <w:color w:val="auto"/>
        </w:rPr>
      </w:pPr>
    </w:p>
    <w:p>
      <w:pPr>
        <w:jc w:val="both"/>
        <w:spacing w:after="0" w:line="223"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jc w:val="both"/>
        <w:spacing w:after="0" w:line="258"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210" w:lineRule="exact"/>
        <w:rPr>
          <w:sz w:val="24"/>
          <w:szCs w:val="24"/>
          <w:color w:val="auto"/>
        </w:rPr>
      </w:pPr>
    </w:p>
    <w:tbl>
      <w:tblPr>
        <w:tblLayout w:type="fixed"/>
        <w:tblInd w:w="20" w:type="dxa"/>
        <w:tblCellMar>
          <w:top w:w="0" w:type="dxa"/>
          <w:left w:w="0" w:type="dxa"/>
          <w:bottom w:w="0" w:type="dxa"/>
          <w:right w:w="0" w:type="dxa"/>
        </w:tblCellMar>
      </w:tblPr>
      <w:tr>
        <w:trPr>
          <w:trHeight w:val="256"/>
        </w:trPr>
        <w:tc>
          <w:tcPr>
            <w:tcW w:w="3640" w:type="dxa"/>
            <w:vAlign w:val="bottom"/>
          </w:tcPr>
          <w:p>
            <w:pPr>
              <w:jc w:val="center"/>
              <w:ind w:right="1930"/>
              <w:spacing w:after="0"/>
              <w:rPr>
                <w:sz w:val="20"/>
                <w:szCs w:val="20"/>
                <w:color w:val="auto"/>
              </w:rPr>
            </w:pPr>
            <w:r>
              <w:rPr>
                <w:rFonts w:ascii="Times New Roman" w:cs="Times New Roman" w:eastAsia="Times New Roman" w:hAnsi="Times New Roman"/>
                <w:sz w:val="18"/>
                <w:szCs w:val="18"/>
                <w:color w:val="auto"/>
              </w:rPr>
              <w:t>Large accelerated filer</w:t>
            </w:r>
          </w:p>
        </w:tc>
        <w:tc>
          <w:tcPr>
            <w:tcW w:w="2300" w:type="dxa"/>
            <w:vAlign w:val="bottom"/>
          </w:tcPr>
          <w:p>
            <w:pPr>
              <w:ind w:left="2040"/>
              <w:spacing w:after="0" w:line="181" w:lineRule="exact"/>
              <w:rPr>
                <w:sz w:val="20"/>
                <w:szCs w:val="20"/>
                <w:color w:val="auto"/>
              </w:rPr>
            </w:pPr>
            <w:r>
              <w:rPr>
                <w:rFonts w:ascii="MS PGothic" w:cs="MS PGothic" w:eastAsia="MS PGothic" w:hAnsi="MS PGothic"/>
                <w:sz w:val="18"/>
                <w:szCs w:val="18"/>
                <w:color w:val="auto"/>
              </w:rPr>
              <w:t>☐</w:t>
            </w:r>
          </w:p>
        </w:tc>
        <w:tc>
          <w:tcPr>
            <w:tcW w:w="3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Accelerated filer</w:t>
            </w:r>
          </w:p>
        </w:tc>
        <w:tc>
          <w:tcPr>
            <w:tcW w:w="1620" w:type="dxa"/>
            <w:vAlign w:val="bottom"/>
          </w:tcPr>
          <w:p>
            <w:pPr>
              <w:ind w:left="14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56"/>
        </w:trPr>
        <w:tc>
          <w:tcPr>
            <w:tcW w:w="3640" w:type="dxa"/>
            <w:vAlign w:val="bottom"/>
          </w:tcPr>
          <w:p>
            <w:pPr>
              <w:jc w:val="center"/>
              <w:ind w:right="1950"/>
              <w:spacing w:after="0"/>
              <w:rPr>
                <w:sz w:val="20"/>
                <w:szCs w:val="20"/>
                <w:color w:val="auto"/>
              </w:rPr>
            </w:pPr>
            <w:r>
              <w:rPr>
                <w:rFonts w:ascii="Times New Roman" w:cs="Times New Roman" w:eastAsia="Times New Roman" w:hAnsi="Times New Roman"/>
                <w:sz w:val="18"/>
                <w:szCs w:val="18"/>
                <w:color w:val="auto"/>
                <w:w w:val="99"/>
              </w:rPr>
              <w:t>Non-accelerated filer</w:t>
            </w:r>
          </w:p>
        </w:tc>
        <w:tc>
          <w:tcPr>
            <w:tcW w:w="2300" w:type="dxa"/>
            <w:vAlign w:val="bottom"/>
          </w:tcPr>
          <w:p>
            <w:pPr>
              <w:ind w:left="2040"/>
              <w:spacing w:after="0" w:line="181" w:lineRule="exact"/>
              <w:rPr>
                <w:sz w:val="20"/>
                <w:szCs w:val="20"/>
                <w:color w:val="auto"/>
              </w:rPr>
            </w:pPr>
            <w:r>
              <w:rPr>
                <w:rFonts w:ascii="MS PGothic" w:cs="MS PGothic" w:eastAsia="MS PGothic" w:hAnsi="MS PGothic"/>
                <w:sz w:val="18"/>
                <w:szCs w:val="18"/>
                <w:color w:val="auto"/>
              </w:rPr>
              <w:t>☐</w:t>
            </w:r>
          </w:p>
        </w:tc>
        <w:tc>
          <w:tcPr>
            <w:tcW w:w="3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1620" w:type="dxa"/>
            <w:vAlign w:val="bottom"/>
          </w:tcPr>
          <w:p>
            <w:pPr>
              <w:ind w:left="14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364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3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Emerging growth company</w:t>
            </w:r>
          </w:p>
        </w:tc>
        <w:tc>
          <w:tcPr>
            <w:tcW w:w="1620" w:type="dxa"/>
            <w:vAlign w:val="bottom"/>
          </w:tcPr>
          <w:p>
            <w:pPr>
              <w:ind w:left="146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29" w:lineRule="exact"/>
        <w:rPr>
          <w:sz w:val="24"/>
          <w:szCs w:val="24"/>
          <w:color w:val="auto"/>
        </w:rPr>
      </w:pPr>
    </w:p>
    <w:p>
      <w:pPr>
        <w:spacing w:after="0" w:line="223"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3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The registrant had outstanding 60,372,531 shares of common stock as of May 3,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424815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102870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32"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240" w:type="dxa"/>
            <w:vAlign w:val="bottom"/>
            <w:gridSpan w:val="2"/>
          </w:tcPr>
          <w:p>
            <w:pPr>
              <w:ind w:left="48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3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73"/>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38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216"/>
        </w:trPr>
        <w:tc>
          <w:tcPr>
            <w:tcW w:w="416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w w:val="99"/>
              </w:rPr>
              <w:t>Cautionary Note Regarding Forward-Looking Statements</w:t>
            </w:r>
          </w:p>
        </w:tc>
        <w:tc>
          <w:tcPr>
            <w:tcW w:w="3240" w:type="dxa"/>
            <w:vAlign w:val="bottom"/>
            <w:gridSpan w:val="2"/>
          </w:tcPr>
          <w:p>
            <w:pPr>
              <w:spacing w:after="0"/>
              <w:rPr>
                <w:sz w:val="18"/>
                <w:szCs w:val="18"/>
                <w:color w:val="auto"/>
              </w:rPr>
            </w:pPr>
          </w:p>
        </w:tc>
        <w:tc>
          <w:tcPr>
            <w:tcW w:w="38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3</w:t>
            </w:r>
          </w:p>
        </w:tc>
      </w:tr>
      <w:tr>
        <w:trPr>
          <w:trHeight w:val="237"/>
        </w:trPr>
        <w:tc>
          <w:tcPr>
            <w:tcW w:w="4160" w:type="dxa"/>
            <w:vAlign w:val="bottom"/>
            <w:tcBorders>
              <w:top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rPr>
              <w:t>Part I. Financial Information</w:t>
            </w:r>
          </w:p>
        </w:tc>
        <w:tc>
          <w:tcPr>
            <w:tcW w:w="3240" w:type="dxa"/>
            <w:vAlign w:val="bottom"/>
            <w:gridSpan w:val="2"/>
          </w:tcPr>
          <w:p>
            <w:pPr>
              <w:spacing w:after="0"/>
              <w:rPr>
                <w:sz w:val="20"/>
                <w:szCs w:val="20"/>
                <w:color w:val="auto"/>
              </w:rPr>
            </w:pPr>
          </w:p>
        </w:tc>
        <w:tc>
          <w:tcPr>
            <w:tcW w:w="3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r>
      <w:tr>
        <w:trPr>
          <w:trHeight w:val="20"/>
        </w:trPr>
        <w:tc>
          <w:tcPr>
            <w:tcW w:w="52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r>
      <w:tr>
        <w:trPr>
          <w:trHeight w:val="23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4"/>
              </w:rPr>
              <w:t>Item 1.</w:t>
            </w:r>
          </w:p>
        </w:tc>
        <w:tc>
          <w:tcPr>
            <w:tcW w:w="240" w:type="dxa"/>
            <w:vAlign w:val="bottom"/>
            <w:gridSpan w:val="2"/>
          </w:tcPr>
          <w:p>
            <w:pPr>
              <w:spacing w:after="0"/>
              <w:rPr>
                <w:sz w:val="20"/>
                <w:szCs w:val="20"/>
                <w:color w:val="auto"/>
              </w:rPr>
            </w:pPr>
          </w:p>
        </w:tc>
        <w:tc>
          <w:tcPr>
            <w:tcW w:w="6640" w:type="dxa"/>
            <w:vAlign w:val="bottom"/>
            <w:gridSpan w:val="11"/>
          </w:tcPr>
          <w:p>
            <w:pPr>
              <w:ind w:left="180"/>
              <w:spacing w:after="0"/>
              <w:rPr>
                <w:sz w:val="20"/>
                <w:szCs w:val="20"/>
                <w:color w:val="auto"/>
              </w:rPr>
            </w:pPr>
            <w:r>
              <w:rPr>
                <w:rFonts w:ascii="Times New Roman" w:cs="Times New Roman" w:eastAsia="Times New Roman" w:hAnsi="Times New Roman"/>
                <w:sz w:val="18"/>
                <w:szCs w:val="18"/>
                <w:color w:val="0000EE"/>
              </w:rPr>
              <w:t>Financial Statements (Unaudited)</w:t>
            </w:r>
          </w:p>
        </w:tc>
        <w:tc>
          <w:tcPr>
            <w:tcW w:w="38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4</w:t>
            </w:r>
          </w:p>
        </w:tc>
      </w:tr>
      <w:tr>
        <w:trPr>
          <w:trHeight w:val="20"/>
        </w:trPr>
        <w:tc>
          <w:tcPr>
            <w:tcW w:w="52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gridSpan w:val="2"/>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237"/>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4"/>
              </w:rPr>
              <w:t>Item 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40" w:type="dxa"/>
            <w:vAlign w:val="bottom"/>
            <w:gridSpan w:val="11"/>
          </w:tcPr>
          <w:p>
            <w:pPr>
              <w:ind w:left="180"/>
              <w:spacing w:after="0"/>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 Operations</w:t>
            </w:r>
          </w:p>
        </w:tc>
        <w:tc>
          <w:tcPr>
            <w:tcW w:w="38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18</w:t>
            </w:r>
          </w:p>
        </w:tc>
      </w:tr>
      <w:tr>
        <w:trPr>
          <w:trHeight w:val="20"/>
        </w:trPr>
        <w:tc>
          <w:tcPr>
            <w:tcW w:w="52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gridSpan w:val="2"/>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20" w:type="dxa"/>
            <w:vAlign w:val="bottom"/>
            <w:gridSpan w:val="3"/>
            <w:shd w:val="clear" w:color="auto" w:fill="0000FF"/>
          </w:tcPr>
          <w:p>
            <w:pPr>
              <w:spacing w:after="0" w:line="20" w:lineRule="exact"/>
              <w:rPr>
                <w:sz w:val="1"/>
                <w:szCs w:val="1"/>
                <w:color w:val="auto"/>
              </w:rPr>
            </w:pPr>
          </w:p>
        </w:tc>
        <w:tc>
          <w:tcPr>
            <w:tcW w:w="2120" w:type="dxa"/>
            <w:vAlign w:val="bottom"/>
            <w:tcBorders>
              <w:left w:val="single" w:sz="8" w:color="0000FF"/>
            </w:tcBorders>
            <w:shd w:val="clear" w:color="auto" w:fill="0000FF"/>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3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4"/>
              </w:rPr>
              <w:t>Item 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40" w:type="dxa"/>
            <w:vAlign w:val="bottom"/>
            <w:gridSpan w:val="11"/>
          </w:tcPr>
          <w:p>
            <w:pPr>
              <w:ind w:left="180"/>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38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31</w:t>
            </w:r>
          </w:p>
        </w:tc>
      </w:tr>
      <w:tr>
        <w:trPr>
          <w:trHeight w:val="20"/>
        </w:trPr>
        <w:tc>
          <w:tcPr>
            <w:tcW w:w="52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gridSpan w:val="2"/>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20" w:type="dxa"/>
            <w:vAlign w:val="bottom"/>
            <w:gridSpan w:val="3"/>
            <w:shd w:val="clear" w:color="auto" w:fill="0000FF"/>
          </w:tcPr>
          <w:p>
            <w:pPr>
              <w:spacing w:after="0" w:line="20" w:lineRule="exact"/>
              <w:rPr>
                <w:sz w:val="1"/>
                <w:szCs w:val="1"/>
                <w:color w:val="auto"/>
              </w:rPr>
            </w:pPr>
          </w:p>
        </w:tc>
        <w:tc>
          <w:tcPr>
            <w:tcW w:w="2120" w:type="dxa"/>
            <w:vAlign w:val="bottom"/>
            <w:tcBorders>
              <w:left w:val="single" w:sz="8" w:color="0000FF"/>
            </w:tcBorders>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37"/>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4"/>
              </w:rPr>
              <w:t>Item 4.</w:t>
            </w:r>
          </w:p>
        </w:tc>
        <w:tc>
          <w:tcPr>
            <w:tcW w:w="240" w:type="dxa"/>
            <w:vAlign w:val="bottom"/>
            <w:gridSpan w:val="2"/>
          </w:tcPr>
          <w:p>
            <w:pPr>
              <w:spacing w:after="0"/>
              <w:rPr>
                <w:sz w:val="20"/>
                <w:szCs w:val="20"/>
                <w:color w:val="auto"/>
              </w:rPr>
            </w:pPr>
          </w:p>
        </w:tc>
        <w:tc>
          <w:tcPr>
            <w:tcW w:w="6640" w:type="dxa"/>
            <w:vAlign w:val="bottom"/>
            <w:gridSpan w:val="11"/>
          </w:tcPr>
          <w:p>
            <w:pPr>
              <w:ind w:left="180"/>
              <w:spacing w:after="0"/>
              <w:rPr>
                <w:sz w:val="20"/>
                <w:szCs w:val="20"/>
                <w:color w:val="auto"/>
              </w:rPr>
            </w:pPr>
            <w:r>
              <w:rPr>
                <w:rFonts w:ascii="Times New Roman" w:cs="Times New Roman" w:eastAsia="Times New Roman" w:hAnsi="Times New Roman"/>
                <w:sz w:val="18"/>
                <w:szCs w:val="18"/>
                <w:color w:val="0000FF"/>
              </w:rPr>
              <w:t>Controls and Procedures</w:t>
            </w:r>
          </w:p>
        </w:tc>
        <w:tc>
          <w:tcPr>
            <w:tcW w:w="38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31</w:t>
            </w:r>
          </w:p>
        </w:tc>
      </w:tr>
      <w:tr>
        <w:trPr>
          <w:trHeight w:val="20"/>
        </w:trPr>
        <w:tc>
          <w:tcPr>
            <w:tcW w:w="5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gridSpan w:val="2"/>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507"/>
        </w:trPr>
        <w:tc>
          <w:tcPr>
            <w:tcW w:w="740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Part II. Other Information</w:t>
            </w:r>
          </w:p>
        </w:tc>
        <w:tc>
          <w:tcPr>
            <w:tcW w:w="3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0"/>
        </w:trPr>
        <w:tc>
          <w:tcPr>
            <w:tcW w:w="64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3800" w:type="dxa"/>
            <w:vAlign w:val="bottom"/>
            <w:gridSpan w:val="3"/>
          </w:tcPr>
          <w:p>
            <w:pPr>
              <w:spacing w:after="0" w:line="20" w:lineRule="exact"/>
              <w:rPr>
                <w:sz w:val="1"/>
                <w:szCs w:val="1"/>
                <w:color w:val="auto"/>
              </w:rPr>
            </w:pPr>
          </w:p>
        </w:tc>
      </w:tr>
      <w:tr>
        <w:trPr>
          <w:trHeight w:val="23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4"/>
              </w:rPr>
              <w:t>Item 1.</w:t>
            </w:r>
          </w:p>
        </w:tc>
        <w:tc>
          <w:tcPr>
            <w:tcW w:w="240" w:type="dxa"/>
            <w:vAlign w:val="bottom"/>
            <w:gridSpan w:val="2"/>
          </w:tcPr>
          <w:p>
            <w:pPr>
              <w:spacing w:after="0"/>
              <w:rPr>
                <w:sz w:val="20"/>
                <w:szCs w:val="20"/>
                <w:color w:val="auto"/>
              </w:rPr>
            </w:pPr>
          </w:p>
        </w:tc>
        <w:tc>
          <w:tcPr>
            <w:tcW w:w="6640" w:type="dxa"/>
            <w:vAlign w:val="bottom"/>
            <w:gridSpan w:val="11"/>
          </w:tcPr>
          <w:p>
            <w:pPr>
              <w:ind w:left="180"/>
              <w:spacing w:after="0"/>
              <w:rPr>
                <w:sz w:val="20"/>
                <w:szCs w:val="20"/>
                <w:color w:val="auto"/>
              </w:rPr>
            </w:pPr>
            <w:r>
              <w:rPr>
                <w:rFonts w:ascii="Times New Roman" w:cs="Times New Roman" w:eastAsia="Times New Roman" w:hAnsi="Times New Roman"/>
                <w:sz w:val="18"/>
                <w:szCs w:val="18"/>
                <w:color w:val="0000FF"/>
              </w:rPr>
              <w:t>Legal Proceedings</w:t>
            </w:r>
          </w:p>
        </w:tc>
        <w:tc>
          <w:tcPr>
            <w:tcW w:w="38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33</w:t>
            </w:r>
          </w:p>
        </w:tc>
      </w:tr>
      <w:tr>
        <w:trPr>
          <w:trHeight w:val="20"/>
        </w:trPr>
        <w:tc>
          <w:tcPr>
            <w:tcW w:w="52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gridSpan w:val="2"/>
            <w:shd w:val="clear" w:color="auto" w:fill="0000FF"/>
          </w:tcPr>
          <w:p>
            <w:pPr>
              <w:spacing w:after="0" w:line="20" w:lineRule="exact"/>
              <w:rPr>
                <w:sz w:val="1"/>
                <w:szCs w:val="1"/>
                <w:color w:val="auto"/>
              </w:rPr>
            </w:pPr>
          </w:p>
        </w:tc>
        <w:tc>
          <w:tcPr>
            <w:tcW w:w="1000" w:type="dxa"/>
            <w:vAlign w:val="bottom"/>
            <w:tcBorders>
              <w:left w:val="single" w:sz="8" w:color="0000FF"/>
            </w:tcBorders>
            <w:gridSpan w:val="2"/>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37"/>
        </w:trPr>
        <w:tc>
          <w:tcPr>
            <w:tcW w:w="76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Item 1A.</w:t>
            </w:r>
          </w:p>
        </w:tc>
        <w:tc>
          <w:tcPr>
            <w:tcW w:w="6640" w:type="dxa"/>
            <w:vAlign w:val="bottom"/>
            <w:gridSpan w:val="11"/>
          </w:tcPr>
          <w:p>
            <w:pPr>
              <w:ind w:left="180"/>
              <w:spacing w:after="0"/>
              <w:rPr>
                <w:sz w:val="20"/>
                <w:szCs w:val="20"/>
                <w:color w:val="auto"/>
              </w:rPr>
            </w:pPr>
            <w:r>
              <w:rPr>
                <w:rFonts w:ascii="Times New Roman" w:cs="Times New Roman" w:eastAsia="Times New Roman" w:hAnsi="Times New Roman"/>
                <w:sz w:val="18"/>
                <w:szCs w:val="18"/>
                <w:color w:val="0000FF"/>
              </w:rPr>
              <w:t>Risk Factors</w:t>
            </w:r>
          </w:p>
        </w:tc>
        <w:tc>
          <w:tcPr>
            <w:tcW w:w="38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33</w:t>
            </w:r>
          </w:p>
        </w:tc>
      </w:tr>
      <w:tr>
        <w:trPr>
          <w:trHeight w:val="20"/>
        </w:trPr>
        <w:tc>
          <w:tcPr>
            <w:tcW w:w="64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37"/>
        </w:trPr>
        <w:tc>
          <w:tcPr>
            <w:tcW w:w="6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 2.</w:t>
            </w:r>
          </w:p>
        </w:tc>
        <w:tc>
          <w:tcPr>
            <w:tcW w:w="120" w:type="dxa"/>
            <w:vAlign w:val="bottom"/>
          </w:tcPr>
          <w:p>
            <w:pPr>
              <w:spacing w:after="0"/>
              <w:rPr>
                <w:sz w:val="20"/>
                <w:szCs w:val="20"/>
                <w:color w:val="auto"/>
              </w:rPr>
            </w:pPr>
          </w:p>
        </w:tc>
        <w:tc>
          <w:tcPr>
            <w:tcW w:w="6640" w:type="dxa"/>
            <w:vAlign w:val="bottom"/>
            <w:gridSpan w:val="11"/>
          </w:tcPr>
          <w:p>
            <w:pPr>
              <w:ind w:left="180"/>
              <w:spacing w:after="0"/>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38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33</w:t>
            </w:r>
          </w:p>
        </w:tc>
      </w:tr>
      <w:tr>
        <w:trPr>
          <w:trHeight w:val="20"/>
        </w:trPr>
        <w:tc>
          <w:tcPr>
            <w:tcW w:w="760" w:type="dxa"/>
            <w:vAlign w:val="bottom"/>
            <w:gridSpan w:val="3"/>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1000" w:type="dxa"/>
            <w:vAlign w:val="bottom"/>
            <w:tcBorders>
              <w:left w:val="single" w:sz="8" w:color="0000FF"/>
            </w:tcBorders>
            <w:gridSpan w:val="2"/>
            <w:shd w:val="clear" w:color="auto" w:fill="0000FF"/>
          </w:tcPr>
          <w:p>
            <w:pPr>
              <w:spacing w:after="0" w:line="20" w:lineRule="exact"/>
              <w:rPr>
                <w:sz w:val="1"/>
                <w:szCs w:val="1"/>
                <w:color w:val="auto"/>
              </w:rPr>
            </w:pPr>
          </w:p>
        </w:tc>
        <w:tc>
          <w:tcPr>
            <w:tcW w:w="2020" w:type="dxa"/>
            <w:vAlign w:val="bottom"/>
            <w:gridSpan w:val="3"/>
            <w:shd w:val="clear" w:color="auto" w:fill="0000FF"/>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3800" w:type="dxa"/>
            <w:vAlign w:val="bottom"/>
            <w:gridSpan w:val="3"/>
          </w:tcPr>
          <w:p>
            <w:pPr>
              <w:spacing w:after="0" w:line="20" w:lineRule="exact"/>
              <w:rPr>
                <w:sz w:val="1"/>
                <w:szCs w:val="1"/>
                <w:color w:val="auto"/>
              </w:rPr>
            </w:pPr>
          </w:p>
        </w:tc>
      </w:tr>
      <w:tr>
        <w:trPr>
          <w:trHeight w:val="23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4"/>
              </w:rPr>
              <w:t>Item 3.</w:t>
            </w:r>
          </w:p>
        </w:tc>
        <w:tc>
          <w:tcPr>
            <w:tcW w:w="240" w:type="dxa"/>
            <w:vAlign w:val="bottom"/>
            <w:gridSpan w:val="2"/>
          </w:tcPr>
          <w:p>
            <w:pPr>
              <w:spacing w:after="0"/>
              <w:rPr>
                <w:sz w:val="20"/>
                <w:szCs w:val="20"/>
                <w:color w:val="auto"/>
              </w:rPr>
            </w:pPr>
          </w:p>
        </w:tc>
        <w:tc>
          <w:tcPr>
            <w:tcW w:w="6640" w:type="dxa"/>
            <w:vAlign w:val="bottom"/>
            <w:gridSpan w:val="11"/>
          </w:tcPr>
          <w:p>
            <w:pPr>
              <w:ind w:left="180"/>
              <w:spacing w:after="0"/>
              <w:rPr>
                <w:sz w:val="20"/>
                <w:szCs w:val="20"/>
                <w:color w:val="auto"/>
              </w:rPr>
            </w:pPr>
            <w:r>
              <w:rPr>
                <w:rFonts w:ascii="Times New Roman" w:cs="Times New Roman" w:eastAsia="Times New Roman" w:hAnsi="Times New Roman"/>
                <w:sz w:val="18"/>
                <w:szCs w:val="18"/>
                <w:color w:val="0000FF"/>
              </w:rPr>
              <w:t>Defaults Upon Senior Securities</w:t>
            </w:r>
          </w:p>
        </w:tc>
        <w:tc>
          <w:tcPr>
            <w:tcW w:w="38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33</w:t>
            </w:r>
          </w:p>
        </w:tc>
      </w:tr>
      <w:tr>
        <w:trPr>
          <w:trHeight w:val="20"/>
        </w:trPr>
        <w:tc>
          <w:tcPr>
            <w:tcW w:w="52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1000" w:type="dxa"/>
            <w:vAlign w:val="bottom"/>
            <w:tcBorders>
              <w:left w:val="single" w:sz="8" w:color="0000FF"/>
            </w:tcBorders>
            <w:gridSpan w:val="2"/>
            <w:shd w:val="clear" w:color="auto" w:fill="0000FF"/>
          </w:tcPr>
          <w:p>
            <w:pPr>
              <w:spacing w:after="0" w:line="20" w:lineRule="exact"/>
              <w:rPr>
                <w:sz w:val="1"/>
                <w:szCs w:val="1"/>
                <w:color w:val="auto"/>
              </w:rPr>
            </w:pPr>
          </w:p>
        </w:tc>
        <w:tc>
          <w:tcPr>
            <w:tcW w:w="4140" w:type="dxa"/>
            <w:vAlign w:val="bottom"/>
            <w:gridSpan w:val="4"/>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37"/>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4"/>
              </w:rPr>
              <w:t>Item 4.</w:t>
            </w:r>
          </w:p>
        </w:tc>
        <w:tc>
          <w:tcPr>
            <w:tcW w:w="240" w:type="dxa"/>
            <w:vAlign w:val="bottom"/>
            <w:gridSpan w:val="2"/>
          </w:tcPr>
          <w:p>
            <w:pPr>
              <w:spacing w:after="0"/>
              <w:rPr>
                <w:sz w:val="20"/>
                <w:szCs w:val="20"/>
                <w:color w:val="auto"/>
              </w:rPr>
            </w:pPr>
          </w:p>
        </w:tc>
        <w:tc>
          <w:tcPr>
            <w:tcW w:w="6640" w:type="dxa"/>
            <w:vAlign w:val="bottom"/>
            <w:gridSpan w:val="11"/>
          </w:tcPr>
          <w:p>
            <w:pPr>
              <w:ind w:left="180"/>
              <w:spacing w:after="0"/>
              <w:rPr>
                <w:sz w:val="20"/>
                <w:szCs w:val="20"/>
                <w:color w:val="auto"/>
              </w:rPr>
            </w:pPr>
            <w:r>
              <w:rPr>
                <w:rFonts w:ascii="Times New Roman" w:cs="Times New Roman" w:eastAsia="Times New Roman" w:hAnsi="Times New Roman"/>
                <w:sz w:val="18"/>
                <w:szCs w:val="18"/>
                <w:color w:val="0000FF"/>
              </w:rPr>
              <w:t>Mine Safety Disclosures</w:t>
            </w:r>
          </w:p>
        </w:tc>
        <w:tc>
          <w:tcPr>
            <w:tcW w:w="38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33</w:t>
            </w:r>
          </w:p>
        </w:tc>
      </w:tr>
      <w:tr>
        <w:trPr>
          <w:trHeight w:val="20"/>
        </w:trPr>
        <w:tc>
          <w:tcPr>
            <w:tcW w:w="760" w:type="dxa"/>
            <w:vAlign w:val="bottom"/>
            <w:gridSpan w:val="3"/>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4700" w:type="dxa"/>
            <w:vAlign w:val="bottom"/>
            <w:gridSpan w:val="5"/>
          </w:tcPr>
          <w:p>
            <w:pPr>
              <w:spacing w:after="0" w:line="20" w:lineRule="exact"/>
              <w:rPr>
                <w:sz w:val="1"/>
                <w:szCs w:val="1"/>
                <w:color w:val="auto"/>
              </w:rPr>
            </w:pPr>
          </w:p>
        </w:tc>
        <w:tc>
          <w:tcPr>
            <w:tcW w:w="3800" w:type="dxa"/>
            <w:vAlign w:val="bottom"/>
            <w:gridSpan w:val="3"/>
          </w:tcPr>
          <w:p>
            <w:pPr>
              <w:spacing w:after="0" w:line="20" w:lineRule="exact"/>
              <w:rPr>
                <w:sz w:val="1"/>
                <w:szCs w:val="1"/>
                <w:color w:val="auto"/>
              </w:rPr>
            </w:pPr>
          </w:p>
        </w:tc>
      </w:tr>
      <w:tr>
        <w:trPr>
          <w:trHeight w:val="237"/>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4"/>
              </w:rPr>
              <w:t>Item 5.</w:t>
            </w:r>
          </w:p>
        </w:tc>
        <w:tc>
          <w:tcPr>
            <w:tcW w:w="240" w:type="dxa"/>
            <w:vAlign w:val="bottom"/>
            <w:gridSpan w:val="2"/>
          </w:tcPr>
          <w:p>
            <w:pPr>
              <w:spacing w:after="0"/>
              <w:rPr>
                <w:sz w:val="20"/>
                <w:szCs w:val="20"/>
                <w:color w:val="auto"/>
              </w:rPr>
            </w:pPr>
          </w:p>
        </w:tc>
        <w:tc>
          <w:tcPr>
            <w:tcW w:w="6640" w:type="dxa"/>
            <w:vAlign w:val="bottom"/>
            <w:gridSpan w:val="11"/>
          </w:tcPr>
          <w:p>
            <w:pPr>
              <w:ind w:left="180"/>
              <w:spacing w:after="0"/>
              <w:rPr>
                <w:sz w:val="20"/>
                <w:szCs w:val="20"/>
                <w:color w:val="auto"/>
              </w:rPr>
            </w:pPr>
            <w:r>
              <w:rPr>
                <w:rFonts w:ascii="Times New Roman" w:cs="Times New Roman" w:eastAsia="Times New Roman" w:hAnsi="Times New Roman"/>
                <w:sz w:val="18"/>
                <w:szCs w:val="18"/>
                <w:color w:val="0000FF"/>
              </w:rPr>
              <w:t>Other Information</w:t>
            </w:r>
          </w:p>
        </w:tc>
        <w:tc>
          <w:tcPr>
            <w:tcW w:w="38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34</w:t>
            </w:r>
          </w:p>
        </w:tc>
      </w:tr>
      <w:tr>
        <w:trPr>
          <w:trHeight w:val="20"/>
        </w:trPr>
        <w:tc>
          <w:tcPr>
            <w:tcW w:w="52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5140" w:type="dxa"/>
            <w:vAlign w:val="bottom"/>
            <w:gridSpan w:val="6"/>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3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4"/>
              </w:rPr>
              <w:t>Item 6.</w:t>
            </w:r>
          </w:p>
        </w:tc>
        <w:tc>
          <w:tcPr>
            <w:tcW w:w="240" w:type="dxa"/>
            <w:vAlign w:val="bottom"/>
            <w:gridSpan w:val="2"/>
          </w:tcPr>
          <w:p>
            <w:pPr>
              <w:spacing w:after="0"/>
              <w:rPr>
                <w:sz w:val="20"/>
                <w:szCs w:val="20"/>
                <w:color w:val="auto"/>
              </w:rPr>
            </w:pPr>
          </w:p>
        </w:tc>
        <w:tc>
          <w:tcPr>
            <w:tcW w:w="6640" w:type="dxa"/>
            <w:vAlign w:val="bottom"/>
            <w:gridSpan w:val="11"/>
          </w:tcPr>
          <w:p>
            <w:pPr>
              <w:ind w:left="180"/>
              <w:spacing w:after="0"/>
              <w:rPr>
                <w:sz w:val="20"/>
                <w:szCs w:val="20"/>
                <w:color w:val="auto"/>
              </w:rPr>
            </w:pPr>
            <w:r>
              <w:rPr>
                <w:rFonts w:ascii="Times New Roman" w:cs="Times New Roman" w:eastAsia="Times New Roman" w:hAnsi="Times New Roman"/>
                <w:sz w:val="18"/>
                <w:szCs w:val="18"/>
                <w:color w:val="0000FF"/>
              </w:rPr>
              <w:t>Exhibits</w:t>
            </w:r>
          </w:p>
        </w:tc>
        <w:tc>
          <w:tcPr>
            <w:tcW w:w="38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34</w:t>
            </w:r>
          </w:p>
        </w:tc>
      </w:tr>
      <w:tr>
        <w:trPr>
          <w:trHeight w:val="20"/>
        </w:trPr>
        <w:tc>
          <w:tcPr>
            <w:tcW w:w="52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37"/>
        </w:trPr>
        <w:tc>
          <w:tcPr>
            <w:tcW w:w="76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7"/>
              </w:rPr>
              <w:t>Signatures</w:t>
            </w: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3620" w:type="dxa"/>
            <w:vAlign w:val="bottom"/>
          </w:tcPr>
          <w:p>
            <w:pPr>
              <w:spacing w:after="0"/>
              <w:rPr>
                <w:sz w:val="20"/>
                <w:szCs w:val="20"/>
                <w:color w:val="auto"/>
              </w:rPr>
            </w:pPr>
          </w:p>
        </w:tc>
        <w:tc>
          <w:tcPr>
            <w:tcW w:w="180" w:type="dxa"/>
            <w:vAlign w:val="bottom"/>
            <w:tcBorders>
              <w:bottom w:val="single" w:sz="8" w:color="0000EE"/>
            </w:tcBorders>
            <w:gridSpan w:val="2"/>
          </w:tcPr>
          <w:p>
            <w:pPr>
              <w:jc w:val="right"/>
              <w:spacing w:after="0"/>
              <w:rPr>
                <w:sz w:val="20"/>
                <w:szCs w:val="20"/>
                <w:color w:val="auto"/>
              </w:rPr>
            </w:pPr>
            <w:r>
              <w:rPr>
                <w:rFonts w:ascii="Times New Roman" w:cs="Times New Roman" w:eastAsia="Times New Roman" w:hAnsi="Times New Roman"/>
                <w:sz w:val="18"/>
                <w:szCs w:val="18"/>
                <w:color w:val="0000EE"/>
                <w:w w:val="88"/>
              </w:rPr>
              <w:t>35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103" w:right="359" w:bottom="1440" w:gutter="0" w:footer="0" w:header="0"/>
        </w:sectPr>
      </w:pPr>
    </w:p>
    <w:bookmarkStart w:id="2" w:name="page3"/>
    <w:bookmarkEnd w:id="2"/>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7"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i w:val="1"/>
          <w:iCs w:val="1"/>
          <w:color w:val="auto"/>
        </w:rPr>
        <w:t>This Quarterly Report on Form 10-Q (“Form 10-Q”) contains forward-looking statements within the meaning of the Private Securities Litigation Reform Act of 1995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PSLRA</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which are subject to known and unknown risks, uncertainties and other important factors that may cause actual results to be materially different from the statements made herein. All statements other than statements of historical fact are forward-looking statements. Forward-looking statements discuss our current expectations and projections relating to our financial position, results of operations, plans, objectives, future performance and business. You can identify forward-looking statements by the fact that they do not relate strictly to any historical or current facts. These statements may include words such as “aim,” “anticipate,” “believe,” “estimate,” “expect,” “forecast,” “future,” “intend,” “outlook,” “potential,” “project,” “projection,” “plan,” “seek,” “may,” “could,” “would,” “will,” “should,” “can,” “can have,” “likely,” the negatives thereof and other similar expressions. You should evaluate all forward-looking statements made in this Form 10-Q in the context of the risks and uncertainties disclosed herein, including under Part I. Item 2. “Management’s Discussion and Analysis of Financial Condition and Results of Operations” and Part II. Item 1A. “Risk Factors”, and in our Annual Report on Form 10-K as of and for the year ended December 31, 2023 (“2023 Form 10-K”), including under Part I. Item 1A. “Risk Factors” and Part II. Item 7. “Management’s Discussion and Analysis of Financial Condition and Results of Operations.” Important factors that could cause actual results to differ materially from those in the forward-looking statements include the following: uncertainty regarding the Russia and Ukraine war, Israel-Hamas war and the related impact on macroeconomic conditions, including inflation, as a result of such conflicts or other related events; our vulnerability to changes in economic conditions and consumer preferences; our inability to successfully open new restaurants or establish new markets; our inability to effectively manage our growth; potential negative impacts on sales at our and our franchisees’ restaurants as a result of our opening new restaurants; a decline in visitors to any of the retail centers, lifestyle centers, or entertainment centers where our restaurants are located; lower than expected same-restaurant sales growth; unsuccessful marketing programs and limited time new offerings; changes in the cost of food; unprofitability or closure of new restaurants or lower than previously experienced performance in existing restaurants; our inability to compete effectively for customers; unsuccessful financial performance of our franchisees; our limited control over our franchisees’ operations; our inability to maintain good relationships with our franchisees; conflicts of interest with our franchisees; the geographic concentration of our system-wide restaurant base in the southeast portion of the United States; damage to our reputation and negative publicity; our inability or failure to recognize, respond to and effectively manage the accelerated impact of social media; our limited number of suppliers and distributors for several of our frequently used ingredients and shortages or disruptions in the supply or delivery of such ingredients; information technology system failures or breaches of our network security; our failure to comply with federal and state laws and regulations relating to privacy, data protection, advertising and consumer protection, or the expansion of current or the enactment of new laws or regulations relating to privacy, data protection, advertising and consumer protection; our potential liability with our gift cards under the property laws of some states; our failure to enforce and maintain our trademarks and protect our other intellectual property; litigation with respect to intellectual property assets; our dependence on our executive officers and certain other key employees; our inability to identify, hire, train and retain qualified individuals for our workforce; our failure to obtain or to properly verify the employment eligibility of our employees; our failure to maintain our corporate culture as we grow; unionization activities among our employees; employment and labor law proceedings; labor shortages or increased labor costs or health care costs; risks associated with leasing property subject to long-term and non-cancelable leases; risks related to our sale of alcoholic beverages; costly and complex compliance with federal, state and local laws; changes in accounting principles applicable to us; our vulnerability to natural disasters, unusual weather conditions, pandemic outbreaks, political events, war and terrorism; our inability to secure additional capital to support business growth; our level of indebtedness; failure to comply with covenants under our credit facility; and the interests of our largest stockholder may differ from those of public stockholders.</w:t>
      </w:r>
    </w:p>
    <w:p>
      <w:pPr>
        <w:spacing w:after="0" w:line="21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i w:val="1"/>
          <w:iCs w:val="1"/>
          <w:color w:val="auto"/>
        </w:rPr>
        <w:t>The forward-looking statements included in this Form 10-Q are made only as of the date hereof and are expressly qualified in their entirety by these cautionary statements. We undertake no obligation to publicly update or revise any forward-looking statement as a result of new information, future events or otherwise, except as otherwise required by law. All information presented herein is based on our fiscal calendar. Unless otherwise stated, references to particular years, quarters, months or periods refer to our fiscal years and the associated quarters, months and periods of those fiscal years.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333"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tab/>
        <w:t>Financial Statements (Unaudited)</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FIRST WATCH RESTAURANT GROUP,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 EXCEPT SHARE AND PER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2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MARCH 31, 2024</w:t>
            </w:r>
          </w:p>
        </w:tc>
        <w:tc>
          <w:tcPr>
            <w:tcW w:w="200" w:type="dxa"/>
            <w:vAlign w:val="bottom"/>
          </w:tcPr>
          <w:p>
            <w:pPr>
              <w:spacing w:after="0"/>
              <w:rPr>
                <w:sz w:val="18"/>
                <w:szCs w:val="18"/>
                <w:color w:val="auto"/>
              </w:rPr>
            </w:pPr>
          </w:p>
        </w:tc>
        <w:tc>
          <w:tcPr>
            <w:tcW w:w="190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0" w:type="dxa"/>
            <w:vAlign w:val="bottom"/>
          </w:tcPr>
          <w:p>
            <w:pPr>
              <w:spacing w:after="0"/>
              <w:rPr>
                <w:sz w:val="1"/>
                <w:szCs w:val="1"/>
                <w:color w:val="auto"/>
              </w:rPr>
            </w:pPr>
          </w:p>
        </w:tc>
      </w:tr>
      <w:tr>
        <w:trPr>
          <w:trHeight w:val="199"/>
        </w:trPr>
        <w:tc>
          <w:tcPr>
            <w:tcW w:w="69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60" w:type="dxa"/>
            <w:vAlign w:val="bottom"/>
            <w:tcBorders>
              <w:top w:val="single" w:sz="8" w:color="auto"/>
            </w:tcBorders>
            <w:shd w:val="clear" w:color="auto" w:fill="CCEEFF"/>
          </w:tcPr>
          <w:p>
            <w:pPr>
              <w:spacing w:after="0"/>
              <w:rPr>
                <w:sz w:val="17"/>
                <w:szCs w:val="17"/>
                <w:color w:val="auto"/>
              </w:rPr>
            </w:pPr>
          </w:p>
        </w:tc>
        <w:tc>
          <w:tcPr>
            <w:tcW w:w="18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9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2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43,245</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49,632</w:t>
            </w:r>
          </w:p>
        </w:tc>
        <w:tc>
          <w:tcPr>
            <w:tcW w:w="0" w:type="dxa"/>
            <w:vAlign w:val="bottom"/>
          </w:tcPr>
          <w:p>
            <w:pPr>
              <w:spacing w:after="0"/>
              <w:rPr>
                <w:sz w:val="1"/>
                <w:szCs w:val="1"/>
                <w:color w:val="auto"/>
              </w:rPr>
            </w:pPr>
          </w:p>
        </w:tc>
      </w:tr>
      <w:tr>
        <w:trPr>
          <w:trHeight w:val="213"/>
        </w:trPr>
        <w:tc>
          <w:tcPr>
            <w:tcW w:w="69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Restricted cash</w:t>
            </w:r>
          </w:p>
        </w:tc>
        <w:tc>
          <w:tcPr>
            <w:tcW w:w="26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258</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329</w:t>
            </w:r>
          </w:p>
        </w:tc>
        <w:tc>
          <w:tcPr>
            <w:tcW w:w="0" w:type="dxa"/>
            <w:vAlign w:val="bottom"/>
          </w:tcPr>
          <w:p>
            <w:pPr>
              <w:spacing w:after="0"/>
              <w:rPr>
                <w:sz w:val="1"/>
                <w:szCs w:val="1"/>
                <w:color w:val="auto"/>
              </w:rPr>
            </w:pPr>
          </w:p>
        </w:tc>
      </w:tr>
      <w:tr>
        <w:trPr>
          <w:trHeight w:val="219"/>
        </w:trPr>
        <w:tc>
          <w:tcPr>
            <w:tcW w:w="6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Accounts receivable</w:t>
            </w:r>
          </w:p>
        </w:tc>
        <w:tc>
          <w:tcPr>
            <w:tcW w:w="26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4,130</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5,532</w:t>
            </w:r>
          </w:p>
        </w:tc>
        <w:tc>
          <w:tcPr>
            <w:tcW w:w="0" w:type="dxa"/>
            <w:vAlign w:val="bottom"/>
          </w:tcPr>
          <w:p>
            <w:pPr>
              <w:spacing w:after="0"/>
              <w:rPr>
                <w:sz w:val="1"/>
                <w:szCs w:val="1"/>
                <w:color w:val="auto"/>
              </w:rPr>
            </w:pPr>
          </w:p>
        </w:tc>
      </w:tr>
      <w:tr>
        <w:trPr>
          <w:trHeight w:val="213"/>
        </w:trPr>
        <w:tc>
          <w:tcPr>
            <w:tcW w:w="69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Inventory</w:t>
            </w:r>
          </w:p>
        </w:tc>
        <w:tc>
          <w:tcPr>
            <w:tcW w:w="26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5,198</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5,381</w:t>
            </w:r>
          </w:p>
        </w:tc>
        <w:tc>
          <w:tcPr>
            <w:tcW w:w="0" w:type="dxa"/>
            <w:vAlign w:val="bottom"/>
          </w:tcPr>
          <w:p>
            <w:pPr>
              <w:spacing w:after="0"/>
              <w:rPr>
                <w:sz w:val="1"/>
                <w:szCs w:val="1"/>
                <w:color w:val="auto"/>
              </w:rPr>
            </w:pPr>
          </w:p>
        </w:tc>
      </w:tr>
      <w:tr>
        <w:trPr>
          <w:trHeight w:val="219"/>
        </w:trPr>
        <w:tc>
          <w:tcPr>
            <w:tcW w:w="6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Prepaid expenses</w:t>
            </w:r>
          </w:p>
        </w:tc>
        <w:tc>
          <w:tcPr>
            <w:tcW w:w="26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8,912</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7,494</w:t>
            </w:r>
          </w:p>
        </w:tc>
        <w:tc>
          <w:tcPr>
            <w:tcW w:w="0" w:type="dxa"/>
            <w:vAlign w:val="bottom"/>
          </w:tcPr>
          <w:p>
            <w:pPr>
              <w:spacing w:after="0"/>
              <w:rPr>
                <w:sz w:val="1"/>
                <w:szCs w:val="1"/>
                <w:color w:val="auto"/>
              </w:rPr>
            </w:pPr>
          </w:p>
        </w:tc>
      </w:tr>
      <w:tr>
        <w:trPr>
          <w:trHeight w:val="213"/>
        </w:trPr>
        <w:tc>
          <w:tcPr>
            <w:tcW w:w="69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Derivative assets, current</w:t>
            </w:r>
          </w:p>
        </w:tc>
        <w:tc>
          <w:tcPr>
            <w:tcW w:w="26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687</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457</w:t>
            </w:r>
          </w:p>
        </w:tc>
        <w:tc>
          <w:tcPr>
            <w:tcW w:w="0" w:type="dxa"/>
            <w:vAlign w:val="bottom"/>
          </w:tcPr>
          <w:p>
            <w:pPr>
              <w:spacing w:after="0"/>
              <w:rPr>
                <w:sz w:val="1"/>
                <w:szCs w:val="1"/>
                <w:color w:val="auto"/>
              </w:rPr>
            </w:pPr>
          </w:p>
        </w:tc>
      </w:tr>
      <w:tr>
        <w:trPr>
          <w:trHeight w:val="219"/>
        </w:trPr>
        <w:tc>
          <w:tcPr>
            <w:tcW w:w="6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Other current assets</w:t>
            </w:r>
          </w:p>
        </w:tc>
        <w:tc>
          <w:tcPr>
            <w:tcW w:w="26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1,007</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2,365</w:t>
            </w:r>
          </w:p>
        </w:tc>
        <w:tc>
          <w:tcPr>
            <w:tcW w:w="0" w:type="dxa"/>
            <w:vAlign w:val="bottom"/>
          </w:tcPr>
          <w:p>
            <w:pPr>
              <w:spacing w:after="0"/>
              <w:rPr>
                <w:sz w:val="1"/>
                <w:szCs w:val="1"/>
                <w:color w:val="auto"/>
              </w:rPr>
            </w:pPr>
          </w:p>
        </w:tc>
      </w:tr>
      <w:tr>
        <w:trPr>
          <w:trHeight w:val="207"/>
        </w:trPr>
        <w:tc>
          <w:tcPr>
            <w:tcW w:w="696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6"/>
                <w:szCs w:val="16"/>
                <w:color w:val="auto"/>
              </w:rPr>
              <w:t>Total current assets</w:t>
            </w:r>
          </w:p>
        </w:tc>
        <w:tc>
          <w:tcPr>
            <w:tcW w:w="26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63,437</w:t>
            </w:r>
          </w:p>
        </w:tc>
        <w:tc>
          <w:tcPr>
            <w:tcW w:w="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71,190</w:t>
            </w:r>
          </w:p>
        </w:tc>
        <w:tc>
          <w:tcPr>
            <w:tcW w:w="0" w:type="dxa"/>
            <w:vAlign w:val="bottom"/>
          </w:tcPr>
          <w:p>
            <w:pPr>
              <w:spacing w:after="0"/>
              <w:rPr>
                <w:sz w:val="1"/>
                <w:szCs w:val="1"/>
                <w:color w:val="auto"/>
              </w:rPr>
            </w:pPr>
          </w:p>
        </w:tc>
      </w:tr>
      <w:tr>
        <w:trPr>
          <w:trHeight w:val="212"/>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260" w:type="dxa"/>
            <w:vAlign w:val="bottom"/>
            <w:shd w:val="clear" w:color="auto" w:fill="CCEEFF"/>
          </w:tcPr>
          <w:p>
            <w:pPr>
              <w:spacing w:after="0"/>
              <w:rPr>
                <w:sz w:val="18"/>
                <w:szCs w:val="18"/>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360,981</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359,883</w:t>
            </w:r>
          </w:p>
        </w:tc>
        <w:tc>
          <w:tcPr>
            <w:tcW w:w="0" w:type="dxa"/>
            <w:vAlign w:val="bottom"/>
          </w:tcPr>
          <w:p>
            <w:pPr>
              <w:spacing w:after="0"/>
              <w:rPr>
                <w:sz w:val="1"/>
                <w:szCs w:val="1"/>
                <w:color w:val="auto"/>
              </w:rPr>
            </w:pPr>
          </w:p>
        </w:tc>
      </w:tr>
      <w:tr>
        <w:trPr>
          <w:trHeight w:val="213"/>
        </w:trPr>
        <w:tc>
          <w:tcPr>
            <w:tcW w:w="6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Intangible assets, net</w:t>
            </w:r>
          </w:p>
        </w:tc>
        <w:tc>
          <w:tcPr>
            <w:tcW w:w="26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151,059</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151,186</w:t>
            </w:r>
          </w:p>
        </w:tc>
        <w:tc>
          <w:tcPr>
            <w:tcW w:w="0" w:type="dxa"/>
            <w:vAlign w:val="bottom"/>
          </w:tcPr>
          <w:p>
            <w:pPr>
              <w:spacing w:after="0"/>
              <w:rPr>
                <w:sz w:val="1"/>
                <w:szCs w:val="1"/>
                <w:color w:val="auto"/>
              </w:rPr>
            </w:pPr>
          </w:p>
        </w:tc>
      </w:tr>
      <w:tr>
        <w:trPr>
          <w:trHeight w:val="219"/>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26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422,589</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420,001</w:t>
            </w:r>
          </w:p>
        </w:tc>
        <w:tc>
          <w:tcPr>
            <w:tcW w:w="0" w:type="dxa"/>
            <w:vAlign w:val="bottom"/>
          </w:tcPr>
          <w:p>
            <w:pPr>
              <w:spacing w:after="0"/>
              <w:rPr>
                <w:sz w:val="1"/>
                <w:szCs w:val="1"/>
                <w:color w:val="auto"/>
              </w:rPr>
            </w:pPr>
          </w:p>
        </w:tc>
      </w:tr>
      <w:tr>
        <w:trPr>
          <w:trHeight w:val="213"/>
        </w:trPr>
        <w:tc>
          <w:tcPr>
            <w:tcW w:w="6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Property, fixtures and equipment, net of accumulated depreciation of $191,757 and $181,481, respectively</w:t>
            </w:r>
          </w:p>
        </w:tc>
        <w:tc>
          <w:tcPr>
            <w:tcW w:w="26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276,974</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263,082</w:t>
            </w:r>
          </w:p>
        </w:tc>
        <w:tc>
          <w:tcPr>
            <w:tcW w:w="0" w:type="dxa"/>
            <w:vAlign w:val="bottom"/>
          </w:tcPr>
          <w:p>
            <w:pPr>
              <w:spacing w:after="0"/>
              <w:rPr>
                <w:sz w:val="1"/>
                <w:szCs w:val="1"/>
                <w:color w:val="auto"/>
              </w:rPr>
            </w:pPr>
          </w:p>
        </w:tc>
      </w:tr>
      <w:tr>
        <w:trPr>
          <w:trHeight w:val="216"/>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long-term assets</w:t>
            </w:r>
          </w:p>
        </w:tc>
        <w:tc>
          <w:tcPr>
            <w:tcW w:w="260" w:type="dxa"/>
            <w:vAlign w:val="bottom"/>
            <w:tcBorders>
              <w:bottom w:val="single" w:sz="8" w:color="auto"/>
            </w:tcBorders>
            <w:shd w:val="clear" w:color="auto" w:fill="CCEEFF"/>
          </w:tcPr>
          <w:p>
            <w:pPr>
              <w:spacing w:after="0"/>
              <w:rPr>
                <w:sz w:val="18"/>
                <w:szCs w:val="18"/>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4,216</w:t>
            </w: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1,703</w:t>
            </w:r>
          </w:p>
        </w:tc>
        <w:tc>
          <w:tcPr>
            <w:tcW w:w="0" w:type="dxa"/>
            <w:vAlign w:val="bottom"/>
          </w:tcPr>
          <w:p>
            <w:pPr>
              <w:spacing w:after="0"/>
              <w:rPr>
                <w:sz w:val="1"/>
                <w:szCs w:val="1"/>
                <w:color w:val="auto"/>
              </w:rPr>
            </w:pPr>
          </w:p>
        </w:tc>
      </w:tr>
      <w:tr>
        <w:trPr>
          <w:trHeight w:val="212"/>
        </w:trPr>
        <w:tc>
          <w:tcPr>
            <w:tcW w:w="696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Total assets</w:t>
            </w: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1,279,256</w:t>
            </w:r>
          </w:p>
        </w:tc>
        <w:tc>
          <w:tcPr>
            <w:tcW w:w="8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1,267,045</w:t>
            </w:r>
          </w:p>
        </w:tc>
        <w:tc>
          <w:tcPr>
            <w:tcW w:w="0" w:type="dxa"/>
            <w:vAlign w:val="bottom"/>
          </w:tcPr>
          <w:p>
            <w:pPr>
              <w:spacing w:after="0"/>
              <w:rPr>
                <w:sz w:val="1"/>
                <w:szCs w:val="1"/>
                <w:color w:val="auto"/>
              </w:rPr>
            </w:pPr>
          </w:p>
        </w:tc>
      </w:tr>
      <w:tr>
        <w:trPr>
          <w:trHeight w:val="20"/>
        </w:trPr>
        <w:tc>
          <w:tcPr>
            <w:tcW w:w="69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and Equity</w:t>
            </w:r>
          </w:p>
        </w:tc>
        <w:tc>
          <w:tcPr>
            <w:tcW w:w="260" w:type="dxa"/>
            <w:vAlign w:val="bottom"/>
            <w:shd w:val="clear" w:color="auto" w:fill="CCEEFF"/>
          </w:tcPr>
          <w:p>
            <w:pPr>
              <w:spacing w:after="0"/>
              <w:rPr>
                <w:sz w:val="15"/>
                <w:szCs w:val="15"/>
                <w:color w:val="auto"/>
              </w:rPr>
            </w:pPr>
          </w:p>
        </w:tc>
        <w:tc>
          <w:tcPr>
            <w:tcW w:w="1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6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2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Accounts payable</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5,681</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6,324</w:t>
            </w:r>
          </w:p>
        </w:tc>
        <w:tc>
          <w:tcPr>
            <w:tcW w:w="0" w:type="dxa"/>
            <w:vAlign w:val="bottom"/>
          </w:tcPr>
          <w:p>
            <w:pPr>
              <w:spacing w:after="0"/>
              <w:rPr>
                <w:sz w:val="1"/>
                <w:szCs w:val="1"/>
                <w:color w:val="auto"/>
              </w:rPr>
            </w:pPr>
          </w:p>
        </w:tc>
      </w:tr>
      <w:tr>
        <w:trPr>
          <w:trHeight w:val="213"/>
        </w:trPr>
        <w:tc>
          <w:tcPr>
            <w:tcW w:w="69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Accrued liabilities</w:t>
            </w:r>
          </w:p>
        </w:tc>
        <w:tc>
          <w:tcPr>
            <w:tcW w:w="26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32,461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35,630</w:t>
            </w:r>
          </w:p>
        </w:tc>
        <w:tc>
          <w:tcPr>
            <w:tcW w:w="0" w:type="dxa"/>
            <w:vAlign w:val="bottom"/>
          </w:tcPr>
          <w:p>
            <w:pPr>
              <w:spacing w:after="0"/>
              <w:rPr>
                <w:sz w:val="1"/>
                <w:szCs w:val="1"/>
                <w:color w:val="auto"/>
              </w:rPr>
            </w:pPr>
          </w:p>
        </w:tc>
      </w:tr>
      <w:tr>
        <w:trPr>
          <w:trHeight w:val="219"/>
        </w:trPr>
        <w:tc>
          <w:tcPr>
            <w:tcW w:w="6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Accrued compensation</w:t>
            </w:r>
          </w:p>
        </w:tc>
        <w:tc>
          <w:tcPr>
            <w:tcW w:w="26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20,646</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21,711</w:t>
            </w:r>
          </w:p>
        </w:tc>
        <w:tc>
          <w:tcPr>
            <w:tcW w:w="0" w:type="dxa"/>
            <w:vAlign w:val="bottom"/>
          </w:tcPr>
          <w:p>
            <w:pPr>
              <w:spacing w:after="0"/>
              <w:rPr>
                <w:sz w:val="1"/>
                <w:szCs w:val="1"/>
                <w:color w:val="auto"/>
              </w:rPr>
            </w:pPr>
          </w:p>
        </w:tc>
      </w:tr>
      <w:tr>
        <w:trPr>
          <w:trHeight w:val="213"/>
        </w:trPr>
        <w:tc>
          <w:tcPr>
            <w:tcW w:w="69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Deferred revenues</w:t>
            </w:r>
          </w:p>
        </w:tc>
        <w:tc>
          <w:tcPr>
            <w:tcW w:w="26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3,341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5,499</w:t>
            </w:r>
          </w:p>
        </w:tc>
        <w:tc>
          <w:tcPr>
            <w:tcW w:w="0" w:type="dxa"/>
            <w:vAlign w:val="bottom"/>
          </w:tcPr>
          <w:p>
            <w:pPr>
              <w:spacing w:after="0"/>
              <w:rPr>
                <w:sz w:val="1"/>
                <w:szCs w:val="1"/>
                <w:color w:val="auto"/>
              </w:rPr>
            </w:pPr>
          </w:p>
        </w:tc>
      </w:tr>
      <w:tr>
        <w:trPr>
          <w:trHeight w:val="219"/>
        </w:trPr>
        <w:tc>
          <w:tcPr>
            <w:tcW w:w="6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Current portion of operating lease liabilities</w:t>
            </w:r>
          </w:p>
        </w:tc>
        <w:tc>
          <w:tcPr>
            <w:tcW w:w="26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41,316</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40,281</w:t>
            </w:r>
          </w:p>
        </w:tc>
        <w:tc>
          <w:tcPr>
            <w:tcW w:w="0" w:type="dxa"/>
            <w:vAlign w:val="bottom"/>
          </w:tcPr>
          <w:p>
            <w:pPr>
              <w:spacing w:after="0"/>
              <w:rPr>
                <w:sz w:val="1"/>
                <w:szCs w:val="1"/>
                <w:color w:val="auto"/>
              </w:rPr>
            </w:pPr>
          </w:p>
        </w:tc>
      </w:tr>
      <w:tr>
        <w:trPr>
          <w:trHeight w:val="213"/>
        </w:trPr>
        <w:tc>
          <w:tcPr>
            <w:tcW w:w="69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Current portion of long-term debt</w:t>
            </w:r>
          </w:p>
        </w:tc>
        <w:tc>
          <w:tcPr>
            <w:tcW w:w="26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3,034</w:t>
            </w:r>
          </w:p>
        </w:tc>
        <w:tc>
          <w:tcPr>
            <w:tcW w:w="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5,628</w:t>
            </w:r>
          </w:p>
        </w:tc>
        <w:tc>
          <w:tcPr>
            <w:tcW w:w="0" w:type="dxa"/>
            <w:vAlign w:val="bottom"/>
          </w:tcPr>
          <w:p>
            <w:pPr>
              <w:spacing w:after="0"/>
              <w:rPr>
                <w:sz w:val="1"/>
                <w:szCs w:val="1"/>
                <w:color w:val="auto"/>
              </w:rPr>
            </w:pPr>
          </w:p>
        </w:tc>
      </w:tr>
      <w:tr>
        <w:trPr>
          <w:trHeight w:val="212"/>
        </w:trPr>
        <w:tc>
          <w:tcPr>
            <w:tcW w:w="69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60" w:type="dxa"/>
            <w:vAlign w:val="bottom"/>
            <w:tcBorders>
              <w:bottom w:val="single" w:sz="8" w:color="auto"/>
            </w:tcBorders>
            <w:shd w:val="clear" w:color="auto" w:fill="CCEEFF"/>
          </w:tcPr>
          <w:p>
            <w:pPr>
              <w:spacing w:after="0"/>
              <w:rPr>
                <w:sz w:val="18"/>
                <w:szCs w:val="18"/>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106,479</w:t>
            </w: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115,073</w:t>
            </w:r>
          </w:p>
        </w:tc>
        <w:tc>
          <w:tcPr>
            <w:tcW w:w="0" w:type="dxa"/>
            <w:vAlign w:val="bottom"/>
          </w:tcPr>
          <w:p>
            <w:pPr>
              <w:spacing w:after="0"/>
              <w:rPr>
                <w:sz w:val="1"/>
                <w:szCs w:val="1"/>
                <w:color w:val="auto"/>
              </w:rPr>
            </w:pPr>
          </w:p>
        </w:tc>
      </w:tr>
      <w:tr>
        <w:trPr>
          <w:trHeight w:val="207"/>
        </w:trPr>
        <w:tc>
          <w:tcPr>
            <w:tcW w:w="6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260" w:type="dxa"/>
            <w:vAlign w:val="bottom"/>
          </w:tcPr>
          <w:p>
            <w:pPr>
              <w:spacing w:after="0"/>
              <w:rPr>
                <w:sz w:val="17"/>
                <w:szCs w:val="17"/>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444,384</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441,290</w:t>
            </w:r>
          </w:p>
        </w:tc>
        <w:tc>
          <w:tcPr>
            <w:tcW w:w="0" w:type="dxa"/>
            <w:vAlign w:val="bottom"/>
          </w:tcPr>
          <w:p>
            <w:pPr>
              <w:spacing w:after="0"/>
              <w:rPr>
                <w:sz w:val="1"/>
                <w:szCs w:val="1"/>
                <w:color w:val="auto"/>
              </w:rPr>
            </w:pPr>
          </w:p>
        </w:tc>
      </w:tr>
      <w:tr>
        <w:trPr>
          <w:trHeight w:val="219"/>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debt, net</w:t>
            </w:r>
          </w:p>
        </w:tc>
        <w:tc>
          <w:tcPr>
            <w:tcW w:w="26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122,705</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119,767</w:t>
            </w:r>
          </w:p>
        </w:tc>
        <w:tc>
          <w:tcPr>
            <w:tcW w:w="0" w:type="dxa"/>
            <w:vAlign w:val="bottom"/>
          </w:tcPr>
          <w:p>
            <w:pPr>
              <w:spacing w:after="0"/>
              <w:rPr>
                <w:sz w:val="1"/>
                <w:szCs w:val="1"/>
                <w:color w:val="auto"/>
              </w:rPr>
            </w:pPr>
          </w:p>
        </w:tc>
      </w:tr>
      <w:tr>
        <w:trPr>
          <w:trHeight w:val="213"/>
        </w:trPr>
        <w:tc>
          <w:tcPr>
            <w:tcW w:w="6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income taxes</w:t>
            </w:r>
          </w:p>
        </w:tc>
        <w:tc>
          <w:tcPr>
            <w:tcW w:w="26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27,898</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25,331</w:t>
            </w:r>
          </w:p>
        </w:tc>
        <w:tc>
          <w:tcPr>
            <w:tcW w:w="0" w:type="dxa"/>
            <w:vAlign w:val="bottom"/>
          </w:tcPr>
          <w:p>
            <w:pPr>
              <w:spacing w:after="0"/>
              <w:rPr>
                <w:sz w:val="1"/>
                <w:szCs w:val="1"/>
                <w:color w:val="auto"/>
              </w:rPr>
            </w:pPr>
          </w:p>
        </w:tc>
      </w:tr>
      <w:tr>
        <w:trPr>
          <w:trHeight w:val="219"/>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Derivative liabilities</w:t>
            </w:r>
          </w:p>
        </w:tc>
        <w:tc>
          <w:tcPr>
            <w:tcW w:w="26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338</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1,346</w:t>
            </w:r>
          </w:p>
        </w:tc>
        <w:tc>
          <w:tcPr>
            <w:tcW w:w="0" w:type="dxa"/>
            <w:vAlign w:val="bottom"/>
          </w:tcPr>
          <w:p>
            <w:pPr>
              <w:spacing w:after="0"/>
              <w:rPr>
                <w:sz w:val="1"/>
                <w:szCs w:val="1"/>
                <w:color w:val="auto"/>
              </w:rPr>
            </w:pPr>
          </w:p>
        </w:tc>
      </w:tr>
      <w:tr>
        <w:trPr>
          <w:trHeight w:val="213"/>
        </w:trPr>
        <w:tc>
          <w:tcPr>
            <w:tcW w:w="6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26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3,012</w:t>
            </w: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2,954</w:t>
            </w:r>
          </w:p>
        </w:tc>
        <w:tc>
          <w:tcPr>
            <w:tcW w:w="0" w:type="dxa"/>
            <w:vAlign w:val="bottom"/>
          </w:tcPr>
          <w:p>
            <w:pPr>
              <w:spacing w:after="0"/>
              <w:rPr>
                <w:sz w:val="1"/>
                <w:szCs w:val="1"/>
                <w:color w:val="auto"/>
              </w:rPr>
            </w:pPr>
          </w:p>
        </w:tc>
      </w:tr>
      <w:tr>
        <w:trPr>
          <w:trHeight w:val="212"/>
        </w:trPr>
        <w:tc>
          <w:tcPr>
            <w:tcW w:w="69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Total liabilities</w:t>
            </w:r>
          </w:p>
        </w:tc>
        <w:tc>
          <w:tcPr>
            <w:tcW w:w="260" w:type="dxa"/>
            <w:vAlign w:val="bottom"/>
            <w:tcBorders>
              <w:bottom w:val="single" w:sz="8" w:color="auto"/>
            </w:tcBorders>
            <w:shd w:val="clear" w:color="auto" w:fill="CCEEFF"/>
          </w:tcPr>
          <w:p>
            <w:pPr>
              <w:spacing w:after="0"/>
              <w:rPr>
                <w:sz w:val="18"/>
                <w:szCs w:val="18"/>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704,816</w:t>
            </w: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705,761</w:t>
            </w:r>
          </w:p>
        </w:tc>
        <w:tc>
          <w:tcPr>
            <w:tcW w:w="0" w:type="dxa"/>
            <w:vAlign w:val="bottom"/>
          </w:tcPr>
          <w:p>
            <w:pPr>
              <w:spacing w:after="0"/>
              <w:rPr>
                <w:sz w:val="1"/>
                <w:szCs w:val="1"/>
                <w:color w:val="auto"/>
              </w:rPr>
            </w:pPr>
          </w:p>
        </w:tc>
      </w:tr>
      <w:tr>
        <w:trPr>
          <w:trHeight w:val="193"/>
        </w:trPr>
        <w:tc>
          <w:tcPr>
            <w:tcW w:w="6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Commitments and contingencies (Note 12)</w:t>
            </w:r>
          </w:p>
        </w:tc>
        <w:tc>
          <w:tcPr>
            <w:tcW w:w="26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Equity:</w:t>
            </w:r>
          </w:p>
        </w:tc>
        <w:tc>
          <w:tcPr>
            <w:tcW w:w="26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Preferred stock; $0.01 par value; 10,000,000 shares authorized; none issued and outstanding</w:t>
            </w:r>
          </w:p>
        </w:tc>
        <w:tc>
          <w:tcPr>
            <w:tcW w:w="260" w:type="dxa"/>
            <w:vAlign w:val="bottom"/>
          </w:tcPr>
          <w:p>
            <w:pPr>
              <w:spacing w:after="0"/>
              <w:rPr>
                <w:sz w:val="18"/>
                <w:szCs w:val="18"/>
                <w:color w:val="auto"/>
              </w:rPr>
            </w:pPr>
          </w:p>
        </w:tc>
        <w:tc>
          <w:tcPr>
            <w:tcW w:w="1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65"/>
        </w:trPr>
        <w:tc>
          <w:tcPr>
            <w:tcW w:w="696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Common stock; $0.01 par value; 300,000,000 shares authorized; 60,372,531 and 59,891,705 shares issued</w:t>
            </w:r>
          </w:p>
        </w:tc>
        <w:tc>
          <w:tcPr>
            <w:tcW w:w="260" w:type="dxa"/>
            <w:vAlign w:val="bottom"/>
            <w:shd w:val="clear" w:color="auto" w:fill="CCEEFF"/>
          </w:tcPr>
          <w:p>
            <w:pPr>
              <w:spacing w:after="0"/>
              <w:rPr>
                <w:sz w:val="14"/>
                <w:szCs w:val="14"/>
                <w:color w:val="auto"/>
              </w:rPr>
            </w:pPr>
          </w:p>
        </w:tc>
        <w:tc>
          <w:tcPr>
            <w:tcW w:w="1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604</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599</w:t>
            </w:r>
          </w:p>
        </w:tc>
        <w:tc>
          <w:tcPr>
            <w:tcW w:w="0" w:type="dxa"/>
            <w:vAlign w:val="bottom"/>
          </w:tcPr>
          <w:p>
            <w:pPr>
              <w:spacing w:after="0"/>
              <w:rPr>
                <w:sz w:val="1"/>
                <w:szCs w:val="1"/>
                <w:color w:val="auto"/>
              </w:rPr>
            </w:pPr>
          </w:p>
        </w:tc>
      </w:tr>
      <w:tr>
        <w:trPr>
          <w:trHeight w:val="216"/>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and outstanding at March 31, 2024 and December 31, 2023, respectively</w:t>
            </w:r>
          </w:p>
        </w:tc>
        <w:tc>
          <w:tcPr>
            <w:tcW w:w="260" w:type="dxa"/>
            <w:vAlign w:val="bottom"/>
            <w:shd w:val="clear" w:color="auto" w:fill="CCEEFF"/>
          </w:tcPr>
          <w:p>
            <w:pPr>
              <w:spacing w:after="0"/>
              <w:rPr>
                <w:sz w:val="18"/>
                <w:szCs w:val="18"/>
                <w:color w:val="auto"/>
              </w:rPr>
            </w:pPr>
          </w:p>
        </w:tc>
        <w:tc>
          <w:tcPr>
            <w:tcW w:w="18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9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9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26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639,107</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634,099</w:t>
            </w:r>
          </w:p>
        </w:tc>
        <w:tc>
          <w:tcPr>
            <w:tcW w:w="0" w:type="dxa"/>
            <w:vAlign w:val="bottom"/>
          </w:tcPr>
          <w:p>
            <w:pPr>
              <w:spacing w:after="0"/>
              <w:rPr>
                <w:sz w:val="1"/>
                <w:szCs w:val="1"/>
                <w:color w:val="auto"/>
              </w:rPr>
            </w:pPr>
          </w:p>
        </w:tc>
      </w:tr>
      <w:tr>
        <w:trPr>
          <w:trHeight w:val="219"/>
        </w:trPr>
        <w:tc>
          <w:tcPr>
            <w:tcW w:w="6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Accumulated deficit</w:t>
            </w:r>
          </w:p>
        </w:tc>
        <w:tc>
          <w:tcPr>
            <w:tcW w:w="26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(65,533)</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(72,747)</w:t>
            </w:r>
          </w:p>
        </w:tc>
        <w:tc>
          <w:tcPr>
            <w:tcW w:w="0" w:type="dxa"/>
            <w:vAlign w:val="bottom"/>
          </w:tcPr>
          <w:p>
            <w:pPr>
              <w:spacing w:after="0"/>
              <w:rPr>
                <w:sz w:val="1"/>
                <w:szCs w:val="1"/>
                <w:color w:val="auto"/>
              </w:rPr>
            </w:pPr>
          </w:p>
        </w:tc>
      </w:tr>
      <w:tr>
        <w:trPr>
          <w:trHeight w:val="230"/>
        </w:trPr>
        <w:tc>
          <w:tcPr>
            <w:tcW w:w="69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Accumulated other comprehensive income (loss)</w:t>
            </w:r>
          </w:p>
        </w:tc>
        <w:tc>
          <w:tcPr>
            <w:tcW w:w="26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(667)</w:t>
            </w:r>
          </w:p>
        </w:tc>
        <w:tc>
          <w:tcPr>
            <w:tcW w:w="0" w:type="dxa"/>
            <w:vAlign w:val="bottom"/>
          </w:tcPr>
          <w:p>
            <w:pPr>
              <w:spacing w:after="0"/>
              <w:rPr>
                <w:sz w:val="1"/>
                <w:szCs w:val="1"/>
                <w:color w:val="auto"/>
              </w:rPr>
            </w:pPr>
          </w:p>
        </w:tc>
      </w:tr>
      <w:tr>
        <w:trPr>
          <w:trHeight w:val="207"/>
        </w:trPr>
        <w:tc>
          <w:tcPr>
            <w:tcW w:w="69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Total equity</w:t>
            </w:r>
          </w:p>
        </w:tc>
        <w:tc>
          <w:tcPr>
            <w:tcW w:w="260" w:type="dxa"/>
            <w:vAlign w:val="bottom"/>
            <w:tcBorders>
              <w:bottom w:val="single" w:sz="8" w:color="auto"/>
            </w:tcBorders>
            <w:shd w:val="clear" w:color="auto" w:fill="CCEEFF"/>
          </w:tcPr>
          <w:p>
            <w:pPr>
              <w:spacing w:after="0"/>
              <w:rPr>
                <w:sz w:val="17"/>
                <w:szCs w:val="17"/>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574,440</w:t>
            </w:r>
          </w:p>
        </w:tc>
        <w:tc>
          <w:tcPr>
            <w:tcW w:w="8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561,284</w:t>
            </w:r>
          </w:p>
        </w:tc>
        <w:tc>
          <w:tcPr>
            <w:tcW w:w="0" w:type="dxa"/>
            <w:vAlign w:val="bottom"/>
          </w:tcPr>
          <w:p>
            <w:pPr>
              <w:spacing w:after="0"/>
              <w:rPr>
                <w:sz w:val="1"/>
                <w:szCs w:val="1"/>
                <w:color w:val="auto"/>
              </w:rPr>
            </w:pPr>
          </w:p>
        </w:tc>
      </w:tr>
      <w:tr>
        <w:trPr>
          <w:trHeight w:val="212"/>
        </w:trPr>
        <w:tc>
          <w:tcPr>
            <w:tcW w:w="696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Total liabilities and equity</w:t>
            </w: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1,279,256</w:t>
            </w:r>
          </w:p>
        </w:tc>
        <w:tc>
          <w:tcPr>
            <w:tcW w:w="8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1,267,045</w:t>
            </w:r>
          </w:p>
        </w:tc>
        <w:tc>
          <w:tcPr>
            <w:tcW w:w="0" w:type="dxa"/>
            <w:vAlign w:val="bottom"/>
          </w:tcPr>
          <w:p>
            <w:pPr>
              <w:spacing w:after="0"/>
              <w:rPr>
                <w:sz w:val="1"/>
                <w:szCs w:val="1"/>
                <w:color w:val="auto"/>
              </w:rPr>
            </w:pPr>
          </w:p>
        </w:tc>
      </w:tr>
      <w:tr>
        <w:trPr>
          <w:trHeight w:val="21"/>
        </w:trPr>
        <w:tc>
          <w:tcPr>
            <w:tcW w:w="69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left="340" w:right="2060"/>
        <w:spacing w:after="0" w:line="265" w:lineRule="auto"/>
        <w:rPr>
          <w:sz w:val="20"/>
          <w:szCs w:val="20"/>
          <w:color w:val="auto"/>
        </w:rPr>
      </w:pPr>
      <w:r>
        <w:rPr>
          <w:rFonts w:ascii="Times New Roman" w:cs="Times New Roman" w:eastAsia="Times New Roman" w:hAnsi="Times New Roman"/>
          <w:sz w:val="18"/>
          <w:szCs w:val="18"/>
          <w:b w:val="1"/>
          <w:bCs w:val="1"/>
          <w:color w:val="auto"/>
        </w:rPr>
        <w:t xml:space="preserve">FIRST WATCH RESTAURANT GROUP, INC. CONSOLIDATED STATEMENTS OF OPERATIONS AND COMPREHENSIVE INCOME </w:t>
      </w:r>
      <w:r>
        <w:rPr>
          <w:rFonts w:ascii="Times New Roman" w:cs="Times New Roman" w:eastAsia="Times New Roman" w:hAnsi="Times New Roman"/>
          <w:sz w:val="18"/>
          <w:szCs w:val="18"/>
          <w:i w:val="1"/>
          <w:iCs w:val="1"/>
          <w:color w:val="auto"/>
        </w:rPr>
        <w:t>(IN THOUSANDS, EXCEPT SHARE AND PER SHARE DATA) (Unaudited)</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7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3340" w:type="dxa"/>
            <w:vAlign w:val="bottom"/>
            <w:tcBorders>
              <w:bottom w:val="single" w:sz="8" w:color="auto"/>
            </w:tcBorders>
            <w:gridSpan w:val="4"/>
          </w:tcPr>
          <w:p>
            <w:pPr>
              <w:jc w:val="right"/>
              <w:ind w:right="619"/>
              <w:spacing w:after="0"/>
              <w:rPr>
                <w:sz w:val="20"/>
                <w:szCs w:val="20"/>
                <w:color w:val="auto"/>
              </w:rPr>
            </w:pPr>
            <w:r>
              <w:rPr>
                <w:rFonts w:ascii="Times New Roman" w:cs="Times New Roman" w:eastAsia="Times New Roman" w:hAnsi="Times New Roman"/>
                <w:sz w:val="16"/>
                <w:szCs w:val="16"/>
                <w:b w:val="1"/>
                <w:bCs w:val="1"/>
                <w:color w:val="auto"/>
              </w:rPr>
              <w:t>THIRTEEN WEEKS ENDED</w:t>
            </w:r>
          </w:p>
        </w:tc>
      </w:tr>
      <w:tr>
        <w:trPr>
          <w:trHeight w:val="211"/>
        </w:trPr>
        <w:tc>
          <w:tcPr>
            <w:tcW w:w="7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MARCH 31, 2024</w:t>
            </w:r>
          </w:p>
        </w:tc>
        <w:tc>
          <w:tcPr>
            <w:tcW w:w="160" w:type="dxa"/>
            <w:vAlign w:val="bottom"/>
          </w:tcPr>
          <w:p>
            <w:pPr>
              <w:spacing w:after="0"/>
              <w:rPr>
                <w:sz w:val="18"/>
                <w:szCs w:val="18"/>
                <w:color w:val="auto"/>
              </w:rPr>
            </w:pPr>
          </w:p>
        </w:tc>
        <w:tc>
          <w:tcPr>
            <w:tcW w:w="154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MARCH 26, 2023</w:t>
            </w:r>
          </w:p>
        </w:tc>
      </w:tr>
      <w:tr>
        <w:trPr>
          <w:trHeight w:val="198"/>
        </w:trPr>
        <w:tc>
          <w:tcPr>
            <w:tcW w:w="7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Revenues:</w:t>
            </w:r>
          </w:p>
        </w:tc>
        <w:tc>
          <w:tcPr>
            <w:tcW w:w="160" w:type="dxa"/>
            <w:vAlign w:val="bottom"/>
            <w:tcBorders>
              <w:top w:val="single" w:sz="8" w:color="auto"/>
            </w:tcBorders>
            <w:shd w:val="clear" w:color="auto" w:fill="CCEEFF"/>
          </w:tcPr>
          <w:p>
            <w:pPr>
              <w:spacing w:after="0"/>
              <w:rPr>
                <w:sz w:val="17"/>
                <w:szCs w:val="17"/>
                <w:color w:val="auto"/>
              </w:rPr>
            </w:pPr>
          </w:p>
        </w:tc>
        <w:tc>
          <w:tcPr>
            <w:tcW w:w="15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540" w:type="dxa"/>
            <w:vAlign w:val="bottom"/>
            <w:tcBorders>
              <w:top w:val="single" w:sz="8" w:color="auto"/>
            </w:tcBorders>
            <w:shd w:val="clear" w:color="auto" w:fill="CCEEFF"/>
          </w:tcPr>
          <w:p>
            <w:pPr>
              <w:spacing w:after="0"/>
              <w:rPr>
                <w:sz w:val="17"/>
                <w:szCs w:val="17"/>
                <w:color w:val="auto"/>
              </w:rPr>
            </w:pPr>
          </w:p>
        </w:tc>
      </w:tr>
      <w:tr>
        <w:trPr>
          <w:trHeight w:val="213"/>
        </w:trPr>
        <w:tc>
          <w:tcPr>
            <w:tcW w:w="7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Restaurant sales</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239,308</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207,968</w:t>
            </w:r>
          </w:p>
        </w:tc>
      </w:tr>
      <w:tr>
        <w:trPr>
          <w:trHeight w:val="219"/>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Franchise revenues</w:t>
            </w:r>
          </w:p>
        </w:tc>
        <w:tc>
          <w:tcPr>
            <w:tcW w:w="16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3,141</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3,438</w:t>
            </w:r>
          </w:p>
        </w:tc>
      </w:tr>
      <w:tr>
        <w:trPr>
          <w:trHeight w:val="207"/>
        </w:trPr>
        <w:tc>
          <w:tcPr>
            <w:tcW w:w="77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Total revenues</w:t>
            </w:r>
          </w:p>
        </w:tc>
        <w:tc>
          <w:tcPr>
            <w:tcW w:w="16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242,449</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211,406</w:t>
            </w:r>
          </w:p>
        </w:tc>
      </w:tr>
      <w:tr>
        <w:trPr>
          <w:trHeight w:val="199"/>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costs and expenses:</w:t>
            </w:r>
          </w:p>
        </w:tc>
        <w:tc>
          <w:tcPr>
            <w:tcW w:w="16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r>
      <w:tr>
        <w:trPr>
          <w:trHeight w:val="213"/>
        </w:trPr>
        <w:tc>
          <w:tcPr>
            <w:tcW w:w="7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Restaurant operating expenses (exclusive of depreciation and amortization shown below):</w:t>
            </w:r>
          </w:p>
        </w:tc>
        <w:tc>
          <w:tcPr>
            <w:tcW w:w="1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219"/>
        </w:trPr>
        <w:tc>
          <w:tcPr>
            <w:tcW w:w="7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Food and beverage costs</w:t>
            </w:r>
          </w:p>
        </w:tc>
        <w:tc>
          <w:tcPr>
            <w:tcW w:w="1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52,184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46,627</w:t>
            </w:r>
          </w:p>
        </w:tc>
      </w:tr>
      <w:tr>
        <w:trPr>
          <w:trHeight w:val="213"/>
        </w:trPr>
        <w:tc>
          <w:tcPr>
            <w:tcW w:w="77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Labor and other related expenses</w:t>
            </w:r>
          </w:p>
        </w:tc>
        <w:tc>
          <w:tcPr>
            <w:tcW w:w="16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79,735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68,573</w:t>
            </w:r>
          </w:p>
        </w:tc>
      </w:tr>
      <w:tr>
        <w:trPr>
          <w:trHeight w:val="219"/>
        </w:trPr>
        <w:tc>
          <w:tcPr>
            <w:tcW w:w="7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Other restaurant operating expenses</w:t>
            </w:r>
          </w:p>
        </w:tc>
        <w:tc>
          <w:tcPr>
            <w:tcW w:w="1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36,792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31,696</w:t>
            </w:r>
          </w:p>
        </w:tc>
      </w:tr>
      <w:tr>
        <w:trPr>
          <w:trHeight w:val="213"/>
        </w:trPr>
        <w:tc>
          <w:tcPr>
            <w:tcW w:w="77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Occupancy expenses</w:t>
            </w:r>
          </w:p>
        </w:tc>
        <w:tc>
          <w:tcPr>
            <w:tcW w:w="16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19,168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15,934</w:t>
            </w:r>
          </w:p>
        </w:tc>
      </w:tr>
      <w:tr>
        <w:trPr>
          <w:trHeight w:val="219"/>
        </w:trPr>
        <w:tc>
          <w:tcPr>
            <w:tcW w:w="7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Pre-opening expenses</w:t>
            </w:r>
          </w:p>
        </w:tc>
        <w:tc>
          <w:tcPr>
            <w:tcW w:w="1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1,036</w:t>
            </w:r>
          </w:p>
        </w:tc>
      </w:tr>
      <w:tr>
        <w:trPr>
          <w:trHeight w:val="213"/>
        </w:trPr>
        <w:tc>
          <w:tcPr>
            <w:tcW w:w="7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General and administrative expenses</w:t>
            </w:r>
          </w:p>
        </w:tc>
        <w:tc>
          <w:tcPr>
            <w:tcW w:w="16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27,658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22,705</w:t>
            </w:r>
          </w:p>
        </w:tc>
      </w:tr>
      <w:tr>
        <w:trPr>
          <w:trHeight w:val="219"/>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12,271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9,117</w:t>
            </w:r>
          </w:p>
        </w:tc>
      </w:tr>
      <w:tr>
        <w:trPr>
          <w:trHeight w:val="213"/>
        </w:trPr>
        <w:tc>
          <w:tcPr>
            <w:tcW w:w="7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Impairments and loss on disposal of assets</w:t>
            </w:r>
          </w:p>
        </w:tc>
        <w:tc>
          <w:tcPr>
            <w:tcW w:w="16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w:t>
            </w:r>
          </w:p>
        </w:tc>
      </w:tr>
      <w:tr>
        <w:trPr>
          <w:trHeight w:val="219"/>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Transaction expenses, net</w:t>
            </w:r>
          </w:p>
        </w:tc>
        <w:tc>
          <w:tcPr>
            <w:tcW w:w="16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669</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w:t>
            </w:r>
          </w:p>
        </w:tc>
      </w:tr>
      <w:tr>
        <w:trPr>
          <w:trHeight w:val="207"/>
        </w:trPr>
        <w:tc>
          <w:tcPr>
            <w:tcW w:w="77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Total operating costs and expenses</w:t>
            </w:r>
          </w:p>
        </w:tc>
        <w:tc>
          <w:tcPr>
            <w:tcW w:w="16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230,163</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196,075</w:t>
            </w:r>
          </w:p>
        </w:tc>
      </w:tr>
      <w:tr>
        <w:trPr>
          <w:trHeight w:val="212"/>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from operations</w:t>
            </w:r>
          </w:p>
        </w:tc>
        <w:tc>
          <w:tcPr>
            <w:tcW w:w="16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12,286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15,331</w:t>
            </w:r>
          </w:p>
        </w:tc>
      </w:tr>
      <w:tr>
        <w:trPr>
          <w:trHeight w:val="213"/>
        </w:trPr>
        <w:tc>
          <w:tcPr>
            <w:tcW w:w="7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16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(2,599)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(1,907)</w:t>
            </w:r>
          </w:p>
        </w:tc>
      </w:tr>
      <w:tr>
        <w:trPr>
          <w:trHeight w:val="219"/>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income, net</w:t>
            </w:r>
          </w:p>
        </w:tc>
        <w:tc>
          <w:tcPr>
            <w:tcW w:w="16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326</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494</w:t>
            </w:r>
          </w:p>
        </w:tc>
      </w:tr>
      <w:tr>
        <w:trPr>
          <w:trHeight w:val="207"/>
        </w:trPr>
        <w:tc>
          <w:tcPr>
            <w:tcW w:w="77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16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10,013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13,918</w:t>
            </w:r>
          </w:p>
        </w:tc>
      </w:tr>
      <w:tr>
        <w:trPr>
          <w:trHeight w:val="216"/>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expense</w:t>
            </w:r>
          </w:p>
        </w:tc>
        <w:tc>
          <w:tcPr>
            <w:tcW w:w="16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(2,799)</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(4,558)</w:t>
            </w:r>
          </w:p>
        </w:tc>
      </w:tr>
      <w:tr>
        <w:trPr>
          <w:trHeight w:val="212"/>
        </w:trPr>
        <w:tc>
          <w:tcPr>
            <w:tcW w:w="77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7,214</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9,360</w:t>
            </w:r>
          </w:p>
        </w:tc>
      </w:tr>
      <w:tr>
        <w:trPr>
          <w:trHeight w:val="20"/>
        </w:trPr>
        <w:tc>
          <w:tcPr>
            <w:tcW w:w="77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r>
        <w:trPr>
          <w:trHeight w:val="183"/>
        </w:trPr>
        <w:tc>
          <w:tcPr>
            <w:tcW w:w="77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r>
      <w:tr>
        <w:trPr>
          <w:trHeight w:val="214"/>
        </w:trPr>
        <w:tc>
          <w:tcPr>
            <w:tcW w:w="77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7,214</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9,360</w:t>
            </w:r>
          </w:p>
        </w:tc>
      </w:tr>
      <w:tr>
        <w:trPr>
          <w:trHeight w:val="218"/>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16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r>
      <w:tr>
        <w:trPr>
          <w:trHeight w:val="213"/>
        </w:trPr>
        <w:tc>
          <w:tcPr>
            <w:tcW w:w="77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Unrealized gain on derivatives</w:t>
            </w:r>
          </w:p>
        </w:tc>
        <w:tc>
          <w:tcPr>
            <w:tcW w:w="16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6"/>
        </w:trPr>
        <w:tc>
          <w:tcPr>
            <w:tcW w:w="7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Income tax related to other comprehensive income</w:t>
            </w:r>
          </w:p>
        </w:tc>
        <w:tc>
          <w:tcPr>
            <w:tcW w:w="16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(309)</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2"/>
        </w:trPr>
        <w:tc>
          <w:tcPr>
            <w:tcW w:w="77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Comprehensive income</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8,143</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9,360</w:t>
            </w:r>
          </w:p>
        </w:tc>
      </w:tr>
      <w:tr>
        <w:trPr>
          <w:trHeight w:val="20"/>
        </w:trPr>
        <w:tc>
          <w:tcPr>
            <w:tcW w:w="77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r>
        <w:trPr>
          <w:trHeight w:val="183"/>
        </w:trPr>
        <w:tc>
          <w:tcPr>
            <w:tcW w:w="77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r>
      <w:tr>
        <w:trPr>
          <w:trHeight w:val="216"/>
        </w:trPr>
        <w:tc>
          <w:tcPr>
            <w:tcW w:w="7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216"/>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per common share - basic</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0.16</w:t>
            </w:r>
          </w:p>
        </w:tc>
      </w:tr>
      <w:tr>
        <w:trPr>
          <w:trHeight w:val="213"/>
        </w:trPr>
        <w:tc>
          <w:tcPr>
            <w:tcW w:w="7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 per common share - diluted</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0.12</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0.15</w:t>
            </w:r>
          </w:p>
        </w:tc>
      </w:tr>
      <w:tr>
        <w:trPr>
          <w:trHeight w:val="219"/>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 average number of common shares outstanding - basic</w:t>
            </w:r>
          </w:p>
        </w:tc>
        <w:tc>
          <w:tcPr>
            <w:tcW w:w="1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60,012,790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59,243,430</w:t>
            </w:r>
          </w:p>
        </w:tc>
      </w:tr>
      <w:tr>
        <w:trPr>
          <w:trHeight w:val="210"/>
        </w:trPr>
        <w:tc>
          <w:tcPr>
            <w:tcW w:w="7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Weighted average number of common shares outstanding - diluted</w:t>
            </w:r>
          </w:p>
        </w:tc>
        <w:tc>
          <w:tcPr>
            <w:tcW w:w="16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62,476,379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60,597,729</w:t>
            </w:r>
          </w:p>
        </w:tc>
      </w:tr>
    </w:tbl>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FIRST WATCH RESTAURANT GROUP,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 EXCEPT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640" w:type="dxa"/>
            <w:vAlign w:val="bottom"/>
          </w:tcPr>
          <w:p>
            <w:pPr>
              <w:spacing w:after="0"/>
              <w:rPr>
                <w:sz w:val="16"/>
                <w:szCs w:val="16"/>
                <w:color w:val="auto"/>
              </w:rPr>
            </w:pPr>
          </w:p>
        </w:tc>
        <w:tc>
          <w:tcPr>
            <w:tcW w:w="1720" w:type="dxa"/>
            <w:vAlign w:val="bottom"/>
            <w:gridSpan w:val="4"/>
            <w:vMerge w:val="restart"/>
          </w:tcPr>
          <w:p>
            <w:pPr>
              <w:ind w:left="54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gridSpan w:val="3"/>
          </w:tcPr>
          <w:p>
            <w:pPr>
              <w:jc w:val="right"/>
              <w:ind w:right="118"/>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gridSpan w:val="3"/>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Other</w:t>
            </w: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3640" w:type="dxa"/>
            <w:vAlign w:val="bottom"/>
          </w:tcPr>
          <w:p>
            <w:pPr>
              <w:spacing w:after="0"/>
              <w:rPr>
                <w:sz w:val="12"/>
                <w:szCs w:val="12"/>
                <w:color w:val="auto"/>
              </w:rPr>
            </w:pPr>
          </w:p>
        </w:tc>
        <w:tc>
          <w:tcPr>
            <w:tcW w:w="1720" w:type="dxa"/>
            <w:vAlign w:val="bottom"/>
            <w:tcBorders>
              <w:bottom w:val="single" w:sz="8" w:color="auto"/>
            </w:tcBorders>
            <w:gridSpan w:val="4"/>
            <w:vMerge w:val="continue"/>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3"/>
          </w:tcPr>
          <w:p>
            <w:pPr>
              <w:jc w:val="right"/>
              <w:ind w:right="238"/>
              <w:spacing w:after="0" w:line="142" w:lineRule="exact"/>
              <w:rPr>
                <w:sz w:val="20"/>
                <w:szCs w:val="20"/>
                <w:color w:val="auto"/>
              </w:rPr>
            </w:pPr>
            <w:r>
              <w:rPr>
                <w:rFonts w:ascii="Times New Roman" w:cs="Times New Roman" w:eastAsia="Times New Roman" w:hAnsi="Times New Roman"/>
                <w:sz w:val="16"/>
                <w:szCs w:val="16"/>
                <w:b w:val="1"/>
                <w:bCs w:val="1"/>
                <w:color w:val="auto"/>
              </w:rPr>
              <w:t>Paid-in</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gridSpan w:val="5"/>
          </w:tcPr>
          <w:p>
            <w:pPr>
              <w:jc w:val="right"/>
              <w:ind w:right="300"/>
              <w:spacing w:after="0" w:line="142" w:lineRule="exact"/>
              <w:rPr>
                <w:sz w:val="20"/>
                <w:szCs w:val="20"/>
                <w:color w:val="auto"/>
              </w:rPr>
            </w:pPr>
            <w:r>
              <w:rPr>
                <w:rFonts w:ascii="Times New Roman" w:cs="Times New Roman" w:eastAsia="Times New Roman" w:hAnsi="Times New Roman"/>
                <w:sz w:val="16"/>
                <w:szCs w:val="16"/>
                <w:b w:val="1"/>
                <w:bCs w:val="1"/>
                <w:color w:val="auto"/>
              </w:rPr>
              <w:t>Accumulated</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60" w:type="dxa"/>
            <w:vAlign w:val="bottom"/>
            <w:gridSpan w:val="4"/>
          </w:tcPr>
          <w:p>
            <w:pPr>
              <w:jc w:val="center"/>
              <w:ind w:right="200"/>
              <w:spacing w:after="0" w:line="142" w:lineRule="exact"/>
              <w:rPr>
                <w:sz w:val="20"/>
                <w:szCs w:val="20"/>
                <w:color w:val="auto"/>
              </w:rPr>
            </w:pPr>
            <w:r>
              <w:rPr>
                <w:rFonts w:ascii="Times New Roman" w:cs="Times New Roman" w:eastAsia="Times New Roman" w:hAnsi="Times New Roman"/>
                <w:sz w:val="16"/>
                <w:szCs w:val="16"/>
                <w:b w:val="1"/>
                <w:bCs w:val="1"/>
                <w:color w:val="auto"/>
                <w:w w:val="99"/>
              </w:rPr>
              <w:t>Comprehensive</w:t>
            </w:r>
          </w:p>
        </w:tc>
        <w:tc>
          <w:tcPr>
            <w:tcW w:w="220" w:type="dxa"/>
            <w:vAlign w:val="bottom"/>
          </w:tcPr>
          <w:p>
            <w:pPr>
              <w:spacing w:after="0"/>
              <w:rPr>
                <w:sz w:val="12"/>
                <w:szCs w:val="12"/>
                <w:color w:val="auto"/>
              </w:rPr>
            </w:pPr>
          </w:p>
        </w:tc>
        <w:tc>
          <w:tcPr>
            <w:tcW w:w="920" w:type="dxa"/>
            <w:vAlign w:val="bottom"/>
          </w:tcPr>
          <w:p>
            <w:pPr>
              <w:jc w:val="center"/>
              <w:ind w:right="118"/>
              <w:spacing w:after="0" w:line="142" w:lineRule="exact"/>
              <w:rPr>
                <w:sz w:val="20"/>
                <w:szCs w:val="20"/>
                <w:color w:val="auto"/>
              </w:rPr>
            </w:pPr>
            <w:r>
              <w:rPr>
                <w:rFonts w:ascii="Times New Roman" w:cs="Times New Roman" w:eastAsia="Times New Roman" w:hAnsi="Times New Roman"/>
                <w:sz w:val="16"/>
                <w:szCs w:val="16"/>
                <w:b w:val="1"/>
                <w:bCs w:val="1"/>
                <w:color w:val="auto"/>
                <w:w w:val="98"/>
              </w:rPr>
              <w:t>Total</w:t>
            </w:r>
          </w:p>
        </w:tc>
        <w:tc>
          <w:tcPr>
            <w:tcW w:w="0" w:type="dxa"/>
            <w:vAlign w:val="bottom"/>
          </w:tcPr>
          <w:p>
            <w:pPr>
              <w:spacing w:after="0"/>
              <w:rPr>
                <w:sz w:val="1"/>
                <w:szCs w:val="1"/>
                <w:color w:val="auto"/>
              </w:rPr>
            </w:pPr>
          </w:p>
        </w:tc>
      </w:tr>
      <w:tr>
        <w:trPr>
          <w:trHeight w:val="208"/>
        </w:trPr>
        <w:tc>
          <w:tcPr>
            <w:tcW w:w="3640" w:type="dxa"/>
            <w:vAlign w:val="bottom"/>
          </w:tcPr>
          <w:p>
            <w:pPr>
              <w:spacing w:after="0"/>
              <w:rPr>
                <w:sz w:val="18"/>
                <w:szCs w:val="18"/>
                <w:color w:val="auto"/>
              </w:rPr>
            </w:pPr>
          </w:p>
        </w:tc>
        <w:tc>
          <w:tcPr>
            <w:tcW w:w="1220" w:type="dxa"/>
            <w:vAlign w:val="bottom"/>
            <w:gridSpan w:val="2"/>
          </w:tcPr>
          <w:p>
            <w:pPr>
              <w:ind w:left="34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840" w:type="dxa"/>
            <w:vAlign w:val="bottom"/>
            <w:gridSpan w:val="3"/>
          </w:tcPr>
          <w:p>
            <w:pPr>
              <w:jc w:val="right"/>
              <w:ind w:right="18"/>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3"/>
          </w:tcPr>
          <w:p>
            <w:pPr>
              <w:jc w:val="right"/>
              <w:ind w:right="218"/>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520"/>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3"/>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Income (Loss)</w:t>
            </w:r>
          </w:p>
        </w:tc>
        <w:tc>
          <w:tcPr>
            <w:tcW w:w="220" w:type="dxa"/>
            <w:vAlign w:val="bottom"/>
          </w:tcPr>
          <w:p>
            <w:pPr>
              <w:spacing w:after="0"/>
              <w:rPr>
                <w:sz w:val="18"/>
                <w:szCs w:val="18"/>
                <w:color w:val="auto"/>
              </w:rPr>
            </w:pPr>
          </w:p>
        </w:tc>
        <w:tc>
          <w:tcPr>
            <w:tcW w:w="920" w:type="dxa"/>
            <w:vAlign w:val="bottom"/>
          </w:tcPr>
          <w:p>
            <w:pPr>
              <w:jc w:val="center"/>
              <w:ind w:right="138"/>
              <w:spacing w:after="0"/>
              <w:rPr>
                <w:sz w:val="20"/>
                <w:szCs w:val="20"/>
                <w:color w:val="auto"/>
              </w:rPr>
            </w:pPr>
            <w:r>
              <w:rPr>
                <w:rFonts w:ascii="Times New Roman" w:cs="Times New Roman" w:eastAsia="Times New Roman" w:hAnsi="Times New Roman"/>
                <w:sz w:val="16"/>
                <w:szCs w:val="16"/>
                <w:b w:val="1"/>
                <w:bCs w:val="1"/>
                <w:color w:val="auto"/>
                <w:w w:val="99"/>
              </w:rPr>
              <w:t>Equity</w:t>
            </w:r>
          </w:p>
        </w:tc>
        <w:tc>
          <w:tcPr>
            <w:tcW w:w="0" w:type="dxa"/>
            <w:vAlign w:val="bottom"/>
          </w:tcPr>
          <w:p>
            <w:pPr>
              <w:spacing w:after="0"/>
              <w:rPr>
                <w:sz w:val="1"/>
                <w:szCs w:val="1"/>
                <w:color w:val="auto"/>
              </w:rPr>
            </w:pPr>
          </w:p>
        </w:tc>
      </w:tr>
      <w:tr>
        <w:trPr>
          <w:trHeight w:val="211"/>
        </w:trPr>
        <w:tc>
          <w:tcPr>
            <w:tcW w:w="3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December 31, 2023</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59,891,705</w:t>
            </w:r>
          </w:p>
        </w:tc>
        <w:tc>
          <w:tcPr>
            <w:tcW w:w="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20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599</w:t>
            </w:r>
          </w:p>
        </w:tc>
        <w:tc>
          <w:tcPr>
            <w:tcW w:w="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8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634,099</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(72,747)</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(667)</w:t>
            </w: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561,284</w:t>
            </w:r>
          </w:p>
        </w:tc>
        <w:tc>
          <w:tcPr>
            <w:tcW w:w="0" w:type="dxa"/>
            <w:vAlign w:val="bottom"/>
          </w:tcPr>
          <w:p>
            <w:pPr>
              <w:spacing w:after="0"/>
              <w:rPr>
                <w:sz w:val="1"/>
                <w:szCs w:val="1"/>
                <w:color w:val="auto"/>
              </w:rPr>
            </w:pPr>
          </w:p>
        </w:tc>
      </w:tr>
      <w:tr>
        <w:trPr>
          <w:trHeight w:val="213"/>
        </w:trPr>
        <w:tc>
          <w:tcPr>
            <w:tcW w:w="3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7,214</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7,214</w:t>
            </w:r>
          </w:p>
        </w:tc>
        <w:tc>
          <w:tcPr>
            <w:tcW w:w="0" w:type="dxa"/>
            <w:vAlign w:val="bottom"/>
          </w:tcPr>
          <w:p>
            <w:pPr>
              <w:spacing w:after="0"/>
              <w:rPr>
                <w:sz w:val="1"/>
                <w:szCs w:val="1"/>
                <w:color w:val="auto"/>
              </w:rPr>
            </w:pPr>
          </w:p>
        </w:tc>
      </w:tr>
      <w:tr>
        <w:trPr>
          <w:trHeight w:val="219"/>
        </w:trPr>
        <w:tc>
          <w:tcPr>
            <w:tcW w:w="3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Stock-based compensation</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1,866</w:t>
            </w:r>
          </w:p>
        </w:tc>
        <w:tc>
          <w:tcPr>
            <w:tcW w:w="0" w:type="dxa"/>
            <w:vAlign w:val="bottom"/>
          </w:tcPr>
          <w:p>
            <w:pPr>
              <w:spacing w:after="0"/>
              <w:rPr>
                <w:sz w:val="1"/>
                <w:szCs w:val="1"/>
                <w:color w:val="auto"/>
              </w:rPr>
            </w:pPr>
          </w:p>
        </w:tc>
      </w:tr>
      <w:tr>
        <w:trPr>
          <w:trHeight w:val="162"/>
        </w:trPr>
        <w:tc>
          <w:tcPr>
            <w:tcW w:w="364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Common stock issued under stock-based</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480,826</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3,142</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3,147</w:t>
            </w:r>
          </w:p>
        </w:tc>
        <w:tc>
          <w:tcPr>
            <w:tcW w:w="0" w:type="dxa"/>
            <w:vAlign w:val="bottom"/>
          </w:tcPr>
          <w:p>
            <w:pPr>
              <w:spacing w:after="0"/>
              <w:rPr>
                <w:sz w:val="1"/>
                <w:szCs w:val="1"/>
                <w:color w:val="auto"/>
              </w:rPr>
            </w:pPr>
          </w:p>
        </w:tc>
      </w:tr>
      <w:tr>
        <w:trPr>
          <w:trHeight w:val="213"/>
        </w:trPr>
        <w:tc>
          <w:tcPr>
            <w:tcW w:w="3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compensation plans, net</w:t>
            </w:r>
          </w:p>
        </w:tc>
        <w:tc>
          <w:tcPr>
            <w:tcW w:w="11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3"/>
            <w:vMerge w:val="continue"/>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3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 net of tax</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929</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929</w:t>
            </w:r>
          </w:p>
        </w:tc>
        <w:tc>
          <w:tcPr>
            <w:tcW w:w="0" w:type="dxa"/>
            <w:vAlign w:val="bottom"/>
          </w:tcPr>
          <w:p>
            <w:pPr>
              <w:spacing w:after="0"/>
              <w:rPr>
                <w:sz w:val="1"/>
                <w:szCs w:val="1"/>
                <w:color w:val="auto"/>
              </w:rPr>
            </w:pPr>
          </w:p>
        </w:tc>
      </w:tr>
      <w:tr>
        <w:trPr>
          <w:trHeight w:val="209"/>
        </w:trPr>
        <w:tc>
          <w:tcPr>
            <w:tcW w:w="36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March 31, 2024</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60,372,531</w:t>
            </w:r>
          </w:p>
        </w:tc>
        <w:tc>
          <w:tcPr>
            <w:tcW w:w="8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200" w:type="dxa"/>
            <w:vAlign w:val="bottom"/>
            <w:tcBorders>
              <w:top w:val="single" w:sz="8" w:color="auto"/>
              <w:bottom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604</w:t>
            </w:r>
          </w:p>
        </w:tc>
        <w:tc>
          <w:tcPr>
            <w:tcW w:w="80" w:type="dxa"/>
            <w:vAlign w:val="bottom"/>
            <w:tcBorders>
              <w:top w:val="single" w:sz="8" w:color="auto"/>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Borders>
              <w:top w:val="single" w:sz="8" w:color="auto"/>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8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639,107</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4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(65,533)</w:t>
            </w: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262</w:t>
            </w:r>
          </w:p>
        </w:tc>
        <w:tc>
          <w:tcPr>
            <w:tcW w:w="20" w:type="dxa"/>
            <w:vAlign w:val="bottom"/>
            <w:tcBorders>
              <w:top w:val="single" w:sz="8" w:color="auto"/>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574,440</w:t>
            </w:r>
          </w:p>
        </w:tc>
        <w:tc>
          <w:tcPr>
            <w:tcW w:w="0" w:type="dxa"/>
            <w:vAlign w:val="bottom"/>
          </w:tcPr>
          <w:p>
            <w:pPr>
              <w:spacing w:after="0"/>
              <w:rPr>
                <w:sz w:val="1"/>
                <w:szCs w:val="1"/>
                <w:color w:val="auto"/>
              </w:rPr>
            </w:pPr>
          </w:p>
        </w:tc>
      </w:tr>
      <w:tr>
        <w:trPr>
          <w:trHeight w:val="21"/>
        </w:trPr>
        <w:tc>
          <w:tcPr>
            <w:tcW w:w="36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93"/>
        </w:trPr>
        <w:tc>
          <w:tcPr>
            <w:tcW w:w="36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00" w:type="dxa"/>
            <w:vAlign w:val="bottom"/>
            <w:gridSpan w:val="5"/>
            <w:vMerge w:val="restart"/>
          </w:tcPr>
          <w:p>
            <w:pPr>
              <w:jc w:val="right"/>
              <w:ind w:right="138"/>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36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gridSpan w:val="5"/>
            <w:vMerge w:val="continue"/>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right"/>
              <w:ind w:right="280"/>
              <w:spacing w:after="0" w:line="142" w:lineRule="exact"/>
              <w:rPr>
                <w:sz w:val="20"/>
                <w:szCs w:val="20"/>
                <w:color w:val="auto"/>
              </w:rPr>
            </w:pPr>
            <w:r>
              <w:rPr>
                <w:rFonts w:ascii="Times New Roman" w:cs="Times New Roman" w:eastAsia="Times New Roman" w:hAnsi="Times New Roman"/>
                <w:sz w:val="16"/>
                <w:szCs w:val="16"/>
                <w:b w:val="1"/>
                <w:bCs w:val="1"/>
                <w:color w:val="auto"/>
              </w:rPr>
              <w:t>Paid-in</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3"/>
          </w:tcPr>
          <w:p>
            <w:pPr>
              <w:jc w:val="center"/>
              <w:ind w:right="220"/>
              <w:spacing w:after="0" w:line="142" w:lineRule="exact"/>
              <w:rPr>
                <w:sz w:val="20"/>
                <w:szCs w:val="20"/>
                <w:color w:val="auto"/>
              </w:rPr>
            </w:pPr>
            <w:r>
              <w:rPr>
                <w:rFonts w:ascii="Times New Roman" w:cs="Times New Roman" w:eastAsia="Times New Roman" w:hAnsi="Times New Roman"/>
                <w:sz w:val="16"/>
                <w:szCs w:val="16"/>
                <w:b w:val="1"/>
                <w:bCs w:val="1"/>
                <w:color w:val="auto"/>
              </w:rPr>
              <w:t>Accumulated</w:t>
            </w:r>
          </w:p>
        </w:tc>
        <w:tc>
          <w:tcPr>
            <w:tcW w:w="220" w:type="dxa"/>
            <w:vAlign w:val="bottom"/>
          </w:tcPr>
          <w:p>
            <w:pPr>
              <w:spacing w:after="0"/>
              <w:rPr>
                <w:sz w:val="12"/>
                <w:szCs w:val="12"/>
                <w:color w:val="auto"/>
              </w:rPr>
            </w:pPr>
          </w:p>
        </w:tc>
        <w:tc>
          <w:tcPr>
            <w:tcW w:w="920" w:type="dxa"/>
            <w:vAlign w:val="bottom"/>
          </w:tcPr>
          <w:p>
            <w:pPr>
              <w:jc w:val="center"/>
              <w:ind w:right="158"/>
              <w:spacing w:after="0" w:line="142" w:lineRule="exact"/>
              <w:rPr>
                <w:sz w:val="20"/>
                <w:szCs w:val="20"/>
                <w:color w:val="auto"/>
              </w:rPr>
            </w:pPr>
            <w:r>
              <w:rPr>
                <w:rFonts w:ascii="Times New Roman" w:cs="Times New Roman" w:eastAsia="Times New Roman" w:hAnsi="Times New Roman"/>
                <w:sz w:val="16"/>
                <w:szCs w:val="16"/>
                <w:b w:val="1"/>
                <w:bCs w:val="1"/>
                <w:color w:val="auto"/>
                <w:w w:val="98"/>
              </w:rPr>
              <w:t>Total</w:t>
            </w:r>
          </w:p>
        </w:tc>
        <w:tc>
          <w:tcPr>
            <w:tcW w:w="0" w:type="dxa"/>
            <w:vAlign w:val="bottom"/>
          </w:tcPr>
          <w:p>
            <w:pPr>
              <w:spacing w:after="0"/>
              <w:rPr>
                <w:sz w:val="1"/>
                <w:szCs w:val="1"/>
                <w:color w:val="auto"/>
              </w:rPr>
            </w:pPr>
          </w:p>
        </w:tc>
      </w:tr>
      <w:tr>
        <w:trPr>
          <w:trHeight w:val="208"/>
        </w:trPr>
        <w:tc>
          <w:tcPr>
            <w:tcW w:w="36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5"/>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880" w:type="dxa"/>
            <w:vAlign w:val="bottom"/>
            <w:gridSpan w:val="3"/>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3"/>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220" w:type="dxa"/>
            <w:vAlign w:val="bottom"/>
          </w:tcPr>
          <w:p>
            <w:pPr>
              <w:spacing w:after="0"/>
              <w:rPr>
                <w:sz w:val="18"/>
                <w:szCs w:val="18"/>
                <w:color w:val="auto"/>
              </w:rPr>
            </w:pPr>
          </w:p>
        </w:tc>
        <w:tc>
          <w:tcPr>
            <w:tcW w:w="920" w:type="dxa"/>
            <w:vAlign w:val="bottom"/>
          </w:tcPr>
          <w:p>
            <w:pPr>
              <w:jc w:val="center"/>
              <w:ind w:right="138"/>
              <w:spacing w:after="0"/>
              <w:rPr>
                <w:sz w:val="20"/>
                <w:szCs w:val="20"/>
                <w:color w:val="auto"/>
              </w:rPr>
            </w:pPr>
            <w:r>
              <w:rPr>
                <w:rFonts w:ascii="Times New Roman" w:cs="Times New Roman" w:eastAsia="Times New Roman" w:hAnsi="Times New Roman"/>
                <w:sz w:val="16"/>
                <w:szCs w:val="16"/>
                <w:b w:val="1"/>
                <w:bCs w:val="1"/>
                <w:color w:val="auto"/>
                <w:w w:val="99"/>
              </w:rPr>
              <w:t>Equity</w:t>
            </w:r>
          </w:p>
        </w:tc>
        <w:tc>
          <w:tcPr>
            <w:tcW w:w="0" w:type="dxa"/>
            <w:vAlign w:val="bottom"/>
          </w:tcPr>
          <w:p>
            <w:pPr>
              <w:spacing w:after="0"/>
              <w:rPr>
                <w:sz w:val="1"/>
                <w:szCs w:val="1"/>
                <w:color w:val="auto"/>
              </w:rPr>
            </w:pPr>
          </w:p>
        </w:tc>
      </w:tr>
      <w:tr>
        <w:trPr>
          <w:trHeight w:val="211"/>
        </w:trPr>
        <w:tc>
          <w:tcPr>
            <w:tcW w:w="3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December 25, 2022</w:t>
            </w:r>
          </w:p>
        </w:tc>
        <w:tc>
          <w:tcPr>
            <w:tcW w:w="1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59,211,019</w:t>
            </w:r>
          </w:p>
        </w:tc>
        <w:tc>
          <w:tcPr>
            <w:tcW w:w="8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ind w:right="418"/>
              <w:spacing w:after="0"/>
              <w:rPr>
                <w:sz w:val="20"/>
                <w:szCs w:val="20"/>
                <w:color w:val="auto"/>
              </w:rPr>
            </w:pPr>
            <w:r>
              <w:rPr>
                <w:rFonts w:ascii="Times New Roman" w:cs="Times New Roman" w:eastAsia="Times New Roman" w:hAnsi="Times New Roman"/>
                <w:sz w:val="16"/>
                <w:szCs w:val="16"/>
                <w:color w:val="auto"/>
                <w:w w:val="99"/>
              </w:rPr>
              <w:t>$</w:t>
            </w:r>
          </w:p>
        </w:tc>
        <w:tc>
          <w:tcPr>
            <w:tcW w:w="2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1"/>
              </w:rPr>
              <w:t>592</w:t>
            </w:r>
          </w:p>
        </w:tc>
        <w:tc>
          <w:tcPr>
            <w:tcW w:w="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620,675</w:t>
            </w:r>
          </w:p>
        </w:tc>
        <w:tc>
          <w:tcPr>
            <w:tcW w:w="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(98,132)</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523,135</w:t>
            </w:r>
          </w:p>
        </w:tc>
        <w:tc>
          <w:tcPr>
            <w:tcW w:w="0" w:type="dxa"/>
            <w:vAlign w:val="bottom"/>
          </w:tcPr>
          <w:p>
            <w:pPr>
              <w:spacing w:after="0"/>
              <w:rPr>
                <w:sz w:val="1"/>
                <w:szCs w:val="1"/>
                <w:color w:val="auto"/>
              </w:rPr>
            </w:pPr>
          </w:p>
        </w:tc>
      </w:tr>
      <w:tr>
        <w:trPr>
          <w:trHeight w:val="213"/>
        </w:trPr>
        <w:tc>
          <w:tcPr>
            <w:tcW w:w="3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9,360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9,360</w:t>
            </w:r>
          </w:p>
        </w:tc>
        <w:tc>
          <w:tcPr>
            <w:tcW w:w="0" w:type="dxa"/>
            <w:vAlign w:val="bottom"/>
          </w:tcPr>
          <w:p>
            <w:pPr>
              <w:spacing w:after="0"/>
              <w:rPr>
                <w:sz w:val="1"/>
                <w:szCs w:val="1"/>
                <w:color w:val="auto"/>
              </w:rPr>
            </w:pPr>
          </w:p>
        </w:tc>
      </w:tr>
      <w:tr>
        <w:trPr>
          <w:trHeight w:val="219"/>
        </w:trPr>
        <w:tc>
          <w:tcPr>
            <w:tcW w:w="3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Stock-based compensation</w:t>
            </w: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CEEFF"/>
          </w:tcPr>
          <w:p>
            <w:pPr>
              <w:spacing w:after="0"/>
              <w:rPr>
                <w:sz w:val="19"/>
                <w:szCs w:val="19"/>
                <w:color w:val="auto"/>
              </w:rPr>
            </w:pP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1,497</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1,497</w:t>
            </w:r>
          </w:p>
        </w:tc>
        <w:tc>
          <w:tcPr>
            <w:tcW w:w="0" w:type="dxa"/>
            <w:vAlign w:val="bottom"/>
          </w:tcPr>
          <w:p>
            <w:pPr>
              <w:spacing w:after="0"/>
              <w:rPr>
                <w:sz w:val="1"/>
                <w:szCs w:val="1"/>
                <w:color w:val="auto"/>
              </w:rPr>
            </w:pPr>
          </w:p>
        </w:tc>
      </w:tr>
      <w:tr>
        <w:trPr>
          <w:trHeight w:val="213"/>
        </w:trPr>
        <w:tc>
          <w:tcPr>
            <w:tcW w:w="486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Common stock issued under stock-based compensation plans, net</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73,571</w:t>
            </w: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564</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565</w:t>
            </w:r>
          </w:p>
        </w:tc>
        <w:tc>
          <w:tcPr>
            <w:tcW w:w="0" w:type="dxa"/>
            <w:vAlign w:val="bottom"/>
          </w:tcPr>
          <w:p>
            <w:pPr>
              <w:spacing w:after="0"/>
              <w:rPr>
                <w:sz w:val="1"/>
                <w:szCs w:val="1"/>
                <w:color w:val="auto"/>
              </w:rPr>
            </w:pPr>
          </w:p>
        </w:tc>
      </w:tr>
      <w:tr>
        <w:trPr>
          <w:trHeight w:val="237"/>
        </w:trPr>
        <w:tc>
          <w:tcPr>
            <w:tcW w:w="36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March 26, 2023</w:t>
            </w:r>
          </w:p>
        </w:tc>
        <w:tc>
          <w:tcPr>
            <w:tcW w:w="114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59,284,590</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600" w:type="dxa"/>
            <w:vAlign w:val="bottom"/>
            <w:tcBorders>
              <w:top w:val="single" w:sz="8" w:color="auto"/>
              <w:bottom w:val="single" w:sz="8" w:color="auto"/>
            </w:tcBorders>
            <w:shd w:val="clear" w:color="auto" w:fill="CCEEFF"/>
          </w:tcPr>
          <w:p>
            <w:pPr>
              <w:jc w:val="right"/>
              <w:ind w:right="418"/>
              <w:spacing w:after="0"/>
              <w:rPr>
                <w:sz w:val="20"/>
                <w:szCs w:val="20"/>
                <w:color w:val="auto"/>
              </w:rPr>
            </w:pPr>
            <w:r>
              <w:rPr>
                <w:rFonts w:ascii="Times New Roman" w:cs="Times New Roman" w:eastAsia="Times New Roman" w:hAnsi="Times New Roman"/>
                <w:sz w:val="16"/>
                <w:szCs w:val="16"/>
                <w:color w:val="auto"/>
                <w:w w:val="99"/>
              </w:rPr>
              <w:t>$</w:t>
            </w:r>
          </w:p>
        </w:tc>
        <w:tc>
          <w:tcPr>
            <w:tcW w:w="2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1"/>
              </w:rPr>
              <w:t>593</w:t>
            </w:r>
          </w:p>
        </w:tc>
        <w:tc>
          <w:tcPr>
            <w:tcW w:w="40" w:type="dxa"/>
            <w:vAlign w:val="bottom"/>
            <w:tcBorders>
              <w:top w:val="single" w:sz="8" w:color="auto"/>
              <w:bottom w:val="single" w:sz="8" w:color="auto"/>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622,736</w:t>
            </w:r>
          </w:p>
        </w:tc>
        <w:tc>
          <w:tcPr>
            <w:tcW w:w="40" w:type="dxa"/>
            <w:vAlign w:val="bottom"/>
            <w:tcBorders>
              <w:top w:val="single" w:sz="8" w:color="auto"/>
              <w:bottom w:val="single" w:sz="8" w:color="auto"/>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(88,772)</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534,557</w:t>
            </w:r>
          </w:p>
        </w:tc>
        <w:tc>
          <w:tcPr>
            <w:tcW w:w="0" w:type="dxa"/>
            <w:vAlign w:val="bottom"/>
          </w:tcPr>
          <w:p>
            <w:pPr>
              <w:spacing w:after="0"/>
              <w:rPr>
                <w:sz w:val="1"/>
                <w:szCs w:val="1"/>
                <w:color w:val="auto"/>
              </w:rPr>
            </w:pPr>
          </w:p>
        </w:tc>
      </w:tr>
      <w:tr>
        <w:trPr>
          <w:trHeight w:val="20"/>
        </w:trPr>
        <w:tc>
          <w:tcPr>
            <w:tcW w:w="36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FIRST WATCH RESTAURANT GROUP,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34"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76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3380" w:type="dxa"/>
            <w:vAlign w:val="bottom"/>
            <w:tcBorders>
              <w:bottom w:val="single" w:sz="8" w:color="auto"/>
            </w:tcBorders>
            <w:gridSpan w:val="4"/>
          </w:tcPr>
          <w:p>
            <w:pPr>
              <w:jc w:val="right"/>
              <w:ind w:right="639"/>
              <w:spacing w:after="0"/>
              <w:rPr>
                <w:sz w:val="20"/>
                <w:szCs w:val="20"/>
                <w:color w:val="auto"/>
              </w:rPr>
            </w:pPr>
            <w:r>
              <w:rPr>
                <w:rFonts w:ascii="Times New Roman" w:cs="Times New Roman" w:eastAsia="Times New Roman" w:hAnsi="Times New Roman"/>
                <w:sz w:val="16"/>
                <w:szCs w:val="16"/>
                <w:b w:val="1"/>
                <w:bCs w:val="1"/>
                <w:color w:val="auto"/>
              </w:rPr>
              <w:t>THIRTEEN WEEKS ENDED</w:t>
            </w:r>
          </w:p>
        </w:tc>
      </w:tr>
      <w:tr>
        <w:trPr>
          <w:trHeight w:val="211"/>
        </w:trPr>
        <w:tc>
          <w:tcPr>
            <w:tcW w:w="7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MARCH 31, 2024</w:t>
            </w:r>
          </w:p>
        </w:tc>
        <w:tc>
          <w:tcPr>
            <w:tcW w:w="180" w:type="dxa"/>
            <w:vAlign w:val="bottom"/>
          </w:tcPr>
          <w:p>
            <w:pPr>
              <w:spacing w:after="0"/>
              <w:rPr>
                <w:sz w:val="18"/>
                <w:szCs w:val="18"/>
                <w:color w:val="auto"/>
              </w:rPr>
            </w:pPr>
          </w:p>
        </w:tc>
        <w:tc>
          <w:tcPr>
            <w:tcW w:w="154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MARCH 26, 2023</w:t>
            </w:r>
          </w:p>
        </w:tc>
      </w:tr>
      <w:tr>
        <w:trPr>
          <w:trHeight w:val="198"/>
        </w:trPr>
        <w:tc>
          <w:tcPr>
            <w:tcW w:w="7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160" w:type="dxa"/>
            <w:vAlign w:val="bottom"/>
            <w:tcBorders>
              <w:top w:val="single" w:sz="8" w:color="auto"/>
            </w:tcBorders>
            <w:shd w:val="clear" w:color="auto" w:fill="CCEEFF"/>
          </w:tcPr>
          <w:p>
            <w:pPr>
              <w:spacing w:after="0"/>
              <w:rPr>
                <w:sz w:val="17"/>
                <w:szCs w:val="17"/>
                <w:color w:val="auto"/>
              </w:rPr>
            </w:pPr>
          </w:p>
        </w:tc>
        <w:tc>
          <w:tcPr>
            <w:tcW w:w="15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540" w:type="dxa"/>
            <w:vAlign w:val="bottom"/>
            <w:tcBorders>
              <w:top w:val="single" w:sz="8" w:color="auto"/>
            </w:tcBorders>
            <w:shd w:val="clear" w:color="auto" w:fill="CCEEFF"/>
          </w:tcPr>
          <w:p>
            <w:pPr>
              <w:spacing w:after="0"/>
              <w:rPr>
                <w:sz w:val="17"/>
                <w:szCs w:val="17"/>
                <w:color w:val="auto"/>
              </w:rPr>
            </w:pPr>
          </w:p>
        </w:tc>
      </w:tr>
      <w:tr>
        <w:trPr>
          <w:trHeight w:val="213"/>
        </w:trPr>
        <w:tc>
          <w:tcPr>
            <w:tcW w:w="7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7,214</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9,360</w:t>
            </w:r>
          </w:p>
        </w:tc>
      </w:tr>
      <w:tr>
        <w:trPr>
          <w:trHeight w:val="219"/>
        </w:trPr>
        <w:tc>
          <w:tcPr>
            <w:tcW w:w="7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Adjustments to reconcile net income to net cash provided by operating activities:</w:t>
            </w: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r>
      <w:tr>
        <w:trPr>
          <w:trHeight w:val="213"/>
        </w:trPr>
        <w:tc>
          <w:tcPr>
            <w:tcW w:w="76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6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12,271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9,117</w:t>
            </w:r>
          </w:p>
        </w:tc>
      </w:tr>
      <w:tr>
        <w:trPr>
          <w:trHeight w:val="219"/>
        </w:trPr>
        <w:tc>
          <w:tcPr>
            <w:tcW w:w="76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Stock-based compensation</w:t>
            </w: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1,497</w:t>
            </w:r>
          </w:p>
        </w:tc>
      </w:tr>
      <w:tr>
        <w:trPr>
          <w:trHeight w:val="213"/>
        </w:trPr>
        <w:tc>
          <w:tcPr>
            <w:tcW w:w="76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Non-cash operating lease costs</w:t>
            </w:r>
          </w:p>
        </w:tc>
        <w:tc>
          <w:tcPr>
            <w:tcW w:w="16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5,752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4,357</w:t>
            </w:r>
          </w:p>
        </w:tc>
      </w:tr>
      <w:tr>
        <w:trPr>
          <w:trHeight w:val="219"/>
        </w:trPr>
        <w:tc>
          <w:tcPr>
            <w:tcW w:w="76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Non-cash portion of gain on lease modifications</w:t>
            </w: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w:t>
            </w:r>
          </w:p>
        </w:tc>
      </w:tr>
      <w:tr>
        <w:trPr>
          <w:trHeight w:val="213"/>
        </w:trPr>
        <w:tc>
          <w:tcPr>
            <w:tcW w:w="76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Non-cash loss on extinguishments and modifications of debt</w:t>
            </w:r>
          </w:p>
        </w:tc>
        <w:tc>
          <w:tcPr>
            <w:tcW w:w="16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76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Deferred income taxes</w:t>
            </w: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4,229</w:t>
            </w:r>
          </w:p>
        </w:tc>
      </w:tr>
      <w:tr>
        <w:trPr>
          <w:trHeight w:val="213"/>
        </w:trPr>
        <w:tc>
          <w:tcPr>
            <w:tcW w:w="76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Amortization of debt discount and deferred issuance costs</w:t>
            </w:r>
          </w:p>
        </w:tc>
        <w:tc>
          <w:tcPr>
            <w:tcW w:w="16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w:t>
            </w:r>
          </w:p>
        </w:tc>
      </w:tr>
      <w:tr>
        <w:trPr>
          <w:trHeight w:val="219"/>
        </w:trPr>
        <w:tc>
          <w:tcPr>
            <w:tcW w:w="76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Impairments and loss on disposal of assets</w:t>
            </w: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w:t>
            </w:r>
          </w:p>
        </w:tc>
      </w:tr>
      <w:tr>
        <w:trPr>
          <w:trHeight w:val="213"/>
        </w:trPr>
        <w:tc>
          <w:tcPr>
            <w:tcW w:w="76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Gain on insurance proceeds</w:t>
            </w:r>
          </w:p>
        </w:tc>
        <w:tc>
          <w:tcPr>
            <w:tcW w:w="160" w:type="dxa"/>
            <w:vAlign w:val="bottom"/>
          </w:tcPr>
          <w:p>
            <w:pPr>
              <w:spacing w:after="0"/>
              <w:rPr>
                <w:sz w:val="18"/>
                <w:szCs w:val="18"/>
                <w:color w:val="auto"/>
              </w:rPr>
            </w:pPr>
          </w:p>
        </w:tc>
        <w:tc>
          <w:tcPr>
            <w:tcW w:w="16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w:t>
            </w:r>
          </w:p>
        </w:tc>
      </w:tr>
      <w:tr>
        <w:trPr>
          <w:trHeight w:val="219"/>
        </w:trPr>
        <w:tc>
          <w:tcPr>
            <w:tcW w:w="76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Changes in assets and liabilities:</w:t>
            </w: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r>
      <w:tr>
        <w:trPr>
          <w:trHeight w:val="213"/>
        </w:trPr>
        <w:tc>
          <w:tcPr>
            <w:tcW w:w="766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Accounts receivable</w:t>
            </w:r>
          </w:p>
        </w:tc>
        <w:tc>
          <w:tcPr>
            <w:tcW w:w="16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2,336</w:t>
            </w:r>
          </w:p>
        </w:tc>
      </w:tr>
      <w:tr>
        <w:trPr>
          <w:trHeight w:val="219"/>
        </w:trPr>
        <w:tc>
          <w:tcPr>
            <w:tcW w:w="76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Inventory</w:t>
            </w: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622</w:t>
            </w:r>
          </w:p>
        </w:tc>
      </w:tr>
      <w:tr>
        <w:trPr>
          <w:trHeight w:val="213"/>
        </w:trPr>
        <w:tc>
          <w:tcPr>
            <w:tcW w:w="766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Prepaid expenses</w:t>
            </w:r>
          </w:p>
        </w:tc>
        <w:tc>
          <w:tcPr>
            <w:tcW w:w="16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(873)</w:t>
            </w:r>
          </w:p>
        </w:tc>
      </w:tr>
      <w:tr>
        <w:trPr>
          <w:trHeight w:val="219"/>
        </w:trPr>
        <w:tc>
          <w:tcPr>
            <w:tcW w:w="76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Other assets, current and long-term</w:t>
            </w: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w:t>
            </w:r>
          </w:p>
        </w:tc>
      </w:tr>
      <w:tr>
        <w:trPr>
          <w:trHeight w:val="213"/>
        </w:trPr>
        <w:tc>
          <w:tcPr>
            <w:tcW w:w="766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Accounts payable</w:t>
            </w:r>
          </w:p>
        </w:tc>
        <w:tc>
          <w:tcPr>
            <w:tcW w:w="16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(2,367)</w:t>
            </w:r>
          </w:p>
        </w:tc>
      </w:tr>
      <w:tr>
        <w:trPr>
          <w:trHeight w:val="219"/>
        </w:trPr>
        <w:tc>
          <w:tcPr>
            <w:tcW w:w="76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Accrued liabilities and other long-term liabilities</w:t>
            </w: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2,832</w:t>
            </w:r>
          </w:p>
        </w:tc>
      </w:tr>
      <w:tr>
        <w:trPr>
          <w:trHeight w:val="213"/>
        </w:trPr>
        <w:tc>
          <w:tcPr>
            <w:tcW w:w="766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Accrued compensation and deferred payroll taxes</w:t>
            </w:r>
          </w:p>
        </w:tc>
        <w:tc>
          <w:tcPr>
            <w:tcW w:w="16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(6,521)</w:t>
            </w:r>
          </w:p>
        </w:tc>
      </w:tr>
      <w:tr>
        <w:trPr>
          <w:trHeight w:val="219"/>
        </w:trPr>
        <w:tc>
          <w:tcPr>
            <w:tcW w:w="76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Deferred revenues, current and long-term</w:t>
            </w: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(2,031)</w:t>
            </w:r>
          </w:p>
        </w:tc>
      </w:tr>
      <w:tr>
        <w:trPr>
          <w:trHeight w:val="213"/>
        </w:trPr>
        <w:tc>
          <w:tcPr>
            <w:tcW w:w="766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Other liabilities</w:t>
            </w:r>
          </w:p>
        </w:tc>
        <w:tc>
          <w:tcPr>
            <w:tcW w:w="16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76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16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(4,203)</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(1,215)</w:t>
            </w:r>
          </w:p>
        </w:tc>
      </w:tr>
      <w:tr>
        <w:trPr>
          <w:trHeight w:val="207"/>
        </w:trPr>
        <w:tc>
          <w:tcPr>
            <w:tcW w:w="7660" w:type="dxa"/>
            <w:vAlign w:val="bottom"/>
            <w:tcBorders>
              <w:bottom w:val="single" w:sz="8" w:color="CCEEFF"/>
            </w:tcBorders>
          </w:tcPr>
          <w:p>
            <w:pPr>
              <w:ind w:left="112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16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24,982</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21,143</w:t>
            </w:r>
          </w:p>
        </w:tc>
      </w:tr>
      <w:tr>
        <w:trPr>
          <w:trHeight w:val="199"/>
        </w:trPr>
        <w:tc>
          <w:tcPr>
            <w:tcW w:w="7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16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r>
      <w:tr>
        <w:trPr>
          <w:trHeight w:val="213"/>
        </w:trPr>
        <w:tc>
          <w:tcPr>
            <w:tcW w:w="7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Capital expenditures</w:t>
            </w:r>
          </w:p>
        </w:tc>
        <w:tc>
          <w:tcPr>
            <w:tcW w:w="16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(28,584)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(14,519)</w:t>
            </w:r>
          </w:p>
        </w:tc>
      </w:tr>
      <w:tr>
        <w:trPr>
          <w:trHeight w:val="219"/>
        </w:trPr>
        <w:tc>
          <w:tcPr>
            <w:tcW w:w="7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Acquisitions, net of cash acquired</w:t>
            </w: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(3,418)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7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Purchase of intangible assets</w:t>
            </w:r>
          </w:p>
        </w:tc>
        <w:tc>
          <w:tcPr>
            <w:tcW w:w="160" w:type="dxa"/>
            <w:vAlign w:val="bottom"/>
          </w:tcPr>
          <w:p>
            <w:pPr>
              <w:spacing w:after="0"/>
              <w:rPr>
                <w:sz w:val="18"/>
                <w:szCs w:val="18"/>
                <w:color w:val="auto"/>
              </w:rPr>
            </w:pPr>
          </w:p>
        </w:tc>
        <w:tc>
          <w:tcPr>
            <w:tcW w:w="16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w:t>
            </w:r>
          </w:p>
        </w:tc>
      </w:tr>
      <w:tr>
        <w:trPr>
          <w:trHeight w:val="219"/>
        </w:trPr>
        <w:tc>
          <w:tcPr>
            <w:tcW w:w="7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Insurance proceeds</w:t>
            </w:r>
          </w:p>
        </w:tc>
        <w:tc>
          <w:tcPr>
            <w:tcW w:w="16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w:t>
            </w:r>
          </w:p>
        </w:tc>
      </w:tr>
      <w:tr>
        <w:trPr>
          <w:trHeight w:val="207"/>
        </w:trPr>
        <w:tc>
          <w:tcPr>
            <w:tcW w:w="7660" w:type="dxa"/>
            <w:vAlign w:val="bottom"/>
            <w:tcBorders>
              <w:bottom w:val="single" w:sz="8" w:color="CCEEFF"/>
            </w:tcBorders>
          </w:tcPr>
          <w:p>
            <w:pPr>
              <w:ind w:left="112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160" w:type="dxa"/>
            <w:vAlign w:val="bottom"/>
            <w:tcBorders>
              <w:top w:val="single" w:sz="8" w:color="auto"/>
              <w:bottom w:val="single" w:sz="8" w:color="auto"/>
            </w:tcBorders>
          </w:tcPr>
          <w:p>
            <w:pPr>
              <w:spacing w:after="0"/>
              <w:rPr>
                <w:sz w:val="17"/>
                <w:szCs w:val="17"/>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(32,002)</w:t>
            </w:r>
          </w:p>
        </w:tc>
        <w:tc>
          <w:tcPr>
            <w:tcW w:w="10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(14,441)</w:t>
            </w:r>
          </w:p>
        </w:tc>
      </w:tr>
      <w:tr>
        <w:trPr>
          <w:trHeight w:val="199"/>
        </w:trPr>
        <w:tc>
          <w:tcPr>
            <w:tcW w:w="7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16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r>
      <w:tr>
        <w:trPr>
          <w:trHeight w:val="213"/>
        </w:trPr>
        <w:tc>
          <w:tcPr>
            <w:tcW w:w="7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Repayments of note payable</w:t>
            </w:r>
          </w:p>
        </w:tc>
        <w:tc>
          <w:tcPr>
            <w:tcW w:w="160" w:type="dxa"/>
            <w:vAlign w:val="bottom"/>
          </w:tcPr>
          <w:p>
            <w:pPr>
              <w:spacing w:after="0"/>
              <w:rPr>
                <w:sz w:val="18"/>
                <w:szCs w:val="18"/>
                <w:color w:val="auto"/>
              </w:rPr>
            </w:pPr>
          </w:p>
        </w:tc>
        <w:tc>
          <w:tcPr>
            <w:tcW w:w="16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(516)</w:t>
            </w:r>
          </w:p>
        </w:tc>
      </w:tr>
      <w:tr>
        <w:trPr>
          <w:trHeight w:val="219"/>
        </w:trPr>
        <w:tc>
          <w:tcPr>
            <w:tcW w:w="7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Proceeds from borrowings on revolving credit facility</w:t>
            </w: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7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Repayments of borrowings on revolving credit facility</w:t>
            </w:r>
          </w:p>
        </w:tc>
        <w:tc>
          <w:tcPr>
            <w:tcW w:w="16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(30,000)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7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Proceeds from long-term debt</w:t>
            </w: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7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Repayments of long-term debt, including finance lease liabilities</w:t>
            </w:r>
          </w:p>
        </w:tc>
        <w:tc>
          <w:tcPr>
            <w:tcW w:w="16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(92,655)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(2,007)</w:t>
            </w:r>
          </w:p>
        </w:tc>
      </w:tr>
      <w:tr>
        <w:trPr>
          <w:trHeight w:val="219"/>
        </w:trPr>
        <w:tc>
          <w:tcPr>
            <w:tcW w:w="7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Payment of debt discount and deferred issuance costs</w:t>
            </w: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(2,430)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7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Proceeds from exercise of stock options, net of employee taxes paid</w:t>
            </w:r>
          </w:p>
        </w:tc>
        <w:tc>
          <w:tcPr>
            <w:tcW w:w="16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3,147</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565</w:t>
            </w:r>
          </w:p>
        </w:tc>
      </w:tr>
      <w:tr>
        <w:trPr>
          <w:trHeight w:val="212"/>
        </w:trPr>
        <w:tc>
          <w:tcPr>
            <w:tcW w:w="766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6"/>
                <w:szCs w:val="16"/>
                <w:color w:val="auto"/>
              </w:rPr>
              <w:t>Net cash provided by (used in) financing activities</w:t>
            </w:r>
          </w:p>
        </w:tc>
        <w:tc>
          <w:tcPr>
            <w:tcW w:w="16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562</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(1,958)</w:t>
            </w:r>
          </w:p>
        </w:tc>
      </w:tr>
      <w:tr>
        <w:trPr>
          <w:trHeight w:val="207"/>
        </w:trPr>
        <w:tc>
          <w:tcPr>
            <w:tcW w:w="7660" w:type="dxa"/>
            <w:vAlign w:val="bottom"/>
          </w:tcPr>
          <w:p>
            <w:pPr>
              <w:ind w:left="1120"/>
              <w:spacing w:after="0"/>
              <w:rPr>
                <w:sz w:val="20"/>
                <w:szCs w:val="20"/>
                <w:color w:val="auto"/>
              </w:rPr>
            </w:pPr>
            <w:r>
              <w:rPr>
                <w:rFonts w:ascii="Times New Roman" w:cs="Times New Roman" w:eastAsia="Times New Roman" w:hAnsi="Times New Roman"/>
                <w:sz w:val="16"/>
                <w:szCs w:val="16"/>
                <w:color w:val="auto"/>
              </w:rPr>
              <w:t>Net (decrease) increase in cash and cash equivalents and restricted cash</w:t>
            </w:r>
          </w:p>
        </w:tc>
        <w:tc>
          <w:tcPr>
            <w:tcW w:w="16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(6,458)</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4,744</w:t>
            </w:r>
          </w:p>
        </w:tc>
      </w:tr>
      <w:tr>
        <w:trPr>
          <w:trHeight w:val="219"/>
        </w:trPr>
        <w:tc>
          <w:tcPr>
            <w:tcW w:w="7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and cash equivalents and restricted cash:</w:t>
            </w: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r>
      <w:tr>
        <w:trPr>
          <w:trHeight w:val="213"/>
        </w:trPr>
        <w:tc>
          <w:tcPr>
            <w:tcW w:w="7660" w:type="dxa"/>
            <w:vAlign w:val="bottom"/>
            <w:tcBorders>
              <w:bottom w:val="single" w:sz="8" w:color="CCEEFF"/>
            </w:tcBorders>
          </w:tcPr>
          <w:p>
            <w:pPr>
              <w:ind w:left="1120"/>
              <w:spacing w:after="0"/>
              <w:rPr>
                <w:sz w:val="20"/>
                <w:szCs w:val="20"/>
                <w:color w:val="auto"/>
              </w:rPr>
            </w:pPr>
            <w:r>
              <w:rPr>
                <w:rFonts w:ascii="Times New Roman" w:cs="Times New Roman" w:eastAsia="Times New Roman" w:hAnsi="Times New Roman"/>
                <w:sz w:val="16"/>
                <w:szCs w:val="16"/>
                <w:color w:val="auto"/>
              </w:rPr>
              <w:t>Beginning of period</w:t>
            </w:r>
          </w:p>
        </w:tc>
        <w:tc>
          <w:tcPr>
            <w:tcW w:w="16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49,961</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49,923</w:t>
            </w:r>
          </w:p>
        </w:tc>
      </w:tr>
      <w:tr>
        <w:trPr>
          <w:trHeight w:val="237"/>
        </w:trPr>
        <w:tc>
          <w:tcPr>
            <w:tcW w:w="7660" w:type="dxa"/>
            <w:vAlign w:val="bottom"/>
            <w:tcBorders>
              <w:bottom w:val="single" w:sz="8" w:color="CCEEFF"/>
            </w:tcBorders>
            <w:shd w:val="clear" w:color="auto" w:fill="CCEEFF"/>
          </w:tcPr>
          <w:p>
            <w:pPr>
              <w:ind w:left="1120"/>
              <w:spacing w:after="0"/>
              <w:rPr>
                <w:sz w:val="20"/>
                <w:szCs w:val="20"/>
                <w:color w:val="auto"/>
              </w:rPr>
            </w:pPr>
            <w:r>
              <w:rPr>
                <w:rFonts w:ascii="Times New Roman" w:cs="Times New Roman" w:eastAsia="Times New Roman" w:hAnsi="Times New Roman"/>
                <w:sz w:val="16"/>
                <w:szCs w:val="16"/>
                <w:color w:val="auto"/>
              </w:rPr>
              <w:t>End of period</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43,503</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54,667</w:t>
            </w:r>
          </w:p>
        </w:tc>
      </w:tr>
      <w:tr>
        <w:trPr>
          <w:trHeight w:val="20"/>
        </w:trPr>
        <w:tc>
          <w:tcPr>
            <w:tcW w:w="76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FIRST WATCH RESTAURANT GROUP,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 xml:space="preserve">CONSOLIDATED STATEMENTS OF CASH FLOWS - </w:t>
      </w:r>
      <w:r>
        <w:rPr>
          <w:rFonts w:ascii="Times New Roman" w:cs="Times New Roman" w:eastAsia="Times New Roman" w:hAnsi="Times New Roman"/>
          <w:sz w:val="18"/>
          <w:szCs w:val="18"/>
          <w:b w:val="1"/>
          <w:bCs w:val="1"/>
          <w:i w:val="1"/>
          <w:iCs w:val="1"/>
          <w:color w:val="auto"/>
        </w:rPr>
        <w:t>continued</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34"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76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3320" w:type="dxa"/>
            <w:vAlign w:val="bottom"/>
            <w:tcBorders>
              <w:bottom w:val="single" w:sz="8" w:color="auto"/>
            </w:tcBorders>
            <w:gridSpan w:val="4"/>
          </w:tcPr>
          <w:p>
            <w:pPr>
              <w:jc w:val="right"/>
              <w:ind w:right="619"/>
              <w:spacing w:after="0"/>
              <w:rPr>
                <w:sz w:val="20"/>
                <w:szCs w:val="20"/>
                <w:color w:val="auto"/>
              </w:rPr>
            </w:pPr>
            <w:r>
              <w:rPr>
                <w:rFonts w:ascii="Times New Roman" w:cs="Times New Roman" w:eastAsia="Times New Roman" w:hAnsi="Times New Roman"/>
                <w:sz w:val="16"/>
                <w:szCs w:val="16"/>
                <w:b w:val="1"/>
                <w:bCs w:val="1"/>
                <w:color w:val="auto"/>
              </w:rPr>
              <w:t>THIRTEEN WEEKS ENDED</w:t>
            </w:r>
          </w:p>
        </w:tc>
      </w:tr>
      <w:tr>
        <w:trPr>
          <w:trHeight w:val="211"/>
        </w:trPr>
        <w:tc>
          <w:tcPr>
            <w:tcW w:w="7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MARCH 31, 2024</w:t>
            </w:r>
          </w:p>
        </w:tc>
        <w:tc>
          <w:tcPr>
            <w:tcW w:w="160" w:type="dxa"/>
            <w:vAlign w:val="bottom"/>
          </w:tcPr>
          <w:p>
            <w:pPr>
              <w:spacing w:after="0"/>
              <w:rPr>
                <w:sz w:val="18"/>
                <w:szCs w:val="18"/>
                <w:color w:val="auto"/>
              </w:rPr>
            </w:pPr>
          </w:p>
        </w:tc>
        <w:tc>
          <w:tcPr>
            <w:tcW w:w="152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MARCH 26, 2023</w:t>
            </w:r>
          </w:p>
        </w:tc>
      </w:tr>
      <w:tr>
        <w:trPr>
          <w:trHeight w:val="20"/>
        </w:trPr>
        <w:tc>
          <w:tcPr>
            <w:tcW w:w="768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r>
      <w:tr>
        <w:trPr>
          <w:trHeight w:val="185"/>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cash flow information:</w:t>
            </w:r>
          </w:p>
        </w:tc>
        <w:tc>
          <w:tcPr>
            <w:tcW w:w="16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r>
      <w:tr>
        <w:trPr>
          <w:trHeight w:val="213"/>
        </w:trPr>
        <w:tc>
          <w:tcPr>
            <w:tcW w:w="7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paid for interest</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2,773</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1,658</w:t>
            </w:r>
          </w:p>
        </w:tc>
      </w:tr>
      <w:tr>
        <w:trPr>
          <w:trHeight w:val="219"/>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paid for income taxes, net of refunds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w:t>
            </w:r>
          </w:p>
        </w:tc>
      </w:tr>
      <w:tr>
        <w:trPr>
          <w:trHeight w:val="216"/>
        </w:trPr>
        <w:tc>
          <w:tcPr>
            <w:tcW w:w="7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16"/>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disclosures of non-cash investing and financing activities:</w:t>
            </w:r>
          </w:p>
        </w:tc>
        <w:tc>
          <w:tcPr>
            <w:tcW w:w="16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r>
      <w:tr>
        <w:trPr>
          <w:trHeight w:val="213"/>
        </w:trPr>
        <w:tc>
          <w:tcPr>
            <w:tcW w:w="7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Leased assets obtained in exchange for new operating lease liabilities</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8,902</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8,323</w:t>
            </w:r>
          </w:p>
        </w:tc>
      </w:tr>
      <w:tr>
        <w:trPr>
          <w:trHeight w:val="219"/>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Leased assets obtained in exchange for new finance lease liabilities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r>
      <w:tr>
        <w:trPr>
          <w:trHeight w:val="213"/>
        </w:trPr>
        <w:tc>
          <w:tcPr>
            <w:tcW w:w="7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Remeasurements and terminations of operating lease assets and lease liabilities</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(570)</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(955)</w:t>
            </w:r>
          </w:p>
        </w:tc>
      </w:tr>
      <w:tr>
        <w:trPr>
          <w:trHeight w:val="219"/>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Remeasurements and terminations of finance lease assets and lease liabilities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0"/>
        </w:trPr>
        <w:tc>
          <w:tcPr>
            <w:tcW w:w="7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Decrease in liabilities from acquisition of property, fixtures and equipment</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(4,337)</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FIRST WATCH RESTAURANT GROUP,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80"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1.</w:t>
      </w:r>
      <w:r>
        <w:rPr>
          <w:sz w:val="20"/>
          <w:szCs w:val="20"/>
          <w:color w:val="auto"/>
        </w:rPr>
        <w:tab/>
      </w:r>
      <w:r>
        <w:rPr>
          <w:rFonts w:ascii="Times New Roman" w:cs="Times New Roman" w:eastAsia="Times New Roman" w:hAnsi="Times New Roman"/>
          <w:sz w:val="17"/>
          <w:szCs w:val="17"/>
          <w:b w:val="1"/>
          <w:bCs w:val="1"/>
          <w:color w:val="auto"/>
        </w:rPr>
        <w:t>Nature of Business and Organization</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First Watch Restaurant Group, Inc. (collectively with its wholly-owned subsidiaries, “the Company,” or “Management”) is a Delaware holding company. The Company operates and franchises restaurants in 29 states operating under the “First Watch” trade name, which are focused on made-to-order breakfast, brunch and lunch. The Company does not operate outside of the United States and all of its assets are located in the United States. As of March 31, 2024, the Company operated 432 company-owned restaurants and had 99 franchise-owned restaurants.</w:t>
      </w:r>
    </w:p>
    <w:p>
      <w:pPr>
        <w:spacing w:after="0" w:line="284" w:lineRule="exact"/>
        <w:rPr>
          <w:sz w:val="20"/>
          <w:szCs w:val="20"/>
          <w:color w:val="auto"/>
        </w:rPr>
      </w:pPr>
    </w:p>
    <w:p>
      <w:pPr>
        <w:ind w:right="7540" w:firstLine="8"/>
        <w:spacing w:after="0" w:line="377" w:lineRule="auto"/>
        <w:tabs>
          <w:tab w:leader="none" w:pos="315"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Basis of Presentation</w:t>
      </w:r>
    </w:p>
    <w:p>
      <w:pPr>
        <w:spacing w:after="0" w:line="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reports financial information on a 52- or 53-week fiscal year ending on the last Sunday of each calendar year. The quarters ended March 31, 2024 and March 26, 2023 were 13-week periods. These unaudited interim consolidated financial statements should be read in conjunction with the audited consolidated financial statements and notes thereto included in the Company’s Annual Report on Form 10-K as of and for the year ended December 31, 2023 (“2023 Form 10-K”).</w:t>
      </w:r>
    </w:p>
    <w:p>
      <w:pPr>
        <w:spacing w:after="0" w:line="7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accompanying unaudited interim consolidated financial statements have been prepared by the Company in accordance with generally accepted accounting principles in the United States of America (“GAAP”) and pursuant to the rules and regulations of the Securities and Exchange Commission (“SEC”). Accordingly, they do not include all the information and notes required by GAAP for complete financial statements. The unaudited interim consolidated financial statements have been prepared on the same basis as the audited consolidated financial statements included in the 2023 Form 10-K and include all adjustments necessary for the fair statement of the consolidated financial statements for the quarterly periods presented. The results of operations for quarterly periods are not necessarily indicative of the results to be expected for other quarterly periods or the entire fiscal year.</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preparation of the unaudited interim consolidated financial statements in accordance with GAAP requires Management to make estimates and assumptions that affect the reported amounts of assets and liabilities and disclosure of contingent assets and liabilities at the date of the unaudited interim consolidated financial statements and the reported amounts of revenues and expenses during the reporting period. Actual results could differ from the estimates and such differences could be material.</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of Financial Instruments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Certain assets and liabilities are carried at fair value. Fair value is the exchange price that would be received for an asset or paid to transfer a liability (an exit price) in the principal or most advantageous market for the asset or liability in an orderly transaction between market participants on the measurement date. The carrying amounts of the Company’s financial instruments, including cash equivalents, accounts receivable, accounts payable, accrued expenses and other current liabilities approximate their fair values due to their short-term maturities.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Swaps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an element of the Company’s interest rate risk management strategy, Management uses interest rate swaps. The intent of these instruments is to reduce cash flow exposure to variability in expected future interest rates on the Company’s debt. Management has elected to designate and qualify the interest rate swaps as cash flow hedges. As such, the instruments are recorded on the balance sheet at fair value. Thereafter, gains or losses on the instruments are recognized in equity as changes to Other Comprehensive Income and subsequently reclassified into earnings at the time of the Company’s debt- interest payments.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FIRST WATCH RESTAURANT GROUP,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Recently Issued Accounting Pronouncements</w:t>
      </w:r>
    </w:p>
    <w:p>
      <w:pPr>
        <w:spacing w:after="0" w:line="1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In November 2023, the FASB issued ASU 2023-07, </w:t>
      </w:r>
      <w:r>
        <w:rPr>
          <w:rFonts w:ascii="Times New Roman" w:cs="Times New Roman" w:eastAsia="Times New Roman" w:hAnsi="Times New Roman"/>
          <w:sz w:val="18"/>
          <w:szCs w:val="18"/>
          <w:i w:val="1"/>
          <w:iCs w:val="1"/>
          <w:color w:val="auto"/>
        </w:rPr>
        <w:t>Segment Reporting (Topic 280), Improvements to Reportable Segment Disclosures,</w:t>
      </w:r>
      <w:r>
        <w:rPr>
          <w:rFonts w:ascii="Times New Roman" w:cs="Times New Roman" w:eastAsia="Times New Roman" w:hAnsi="Times New Roman"/>
          <w:sz w:val="18"/>
          <w:szCs w:val="18"/>
          <w:color w:val="auto"/>
        </w:rPr>
        <w:t xml:space="preserve"> which requires incremental disclosures related to a public entity’s reportable segments but does not change the definition of a segment, the method for determining segments, or the criteria for aggregating operating segments into reportable segments. The new guidance requires that a public entity disclose, on an annual and interim basis, disaggregated expense information that is regularly provided to the chief operating decision maker (“CODM”) and included within each reported measure of segment profit or loss. The disclosures are also required for public entities that have a single reporting segment. The new guidance is effective for fiscal years beginning after December 15, 2023, and interim periods within fiscal years beginning after December 15, 2024 and should be adopted retrospectively. Early adoption is permitted. Management is currently evaluating the impact of this new standard.</w:t>
      </w:r>
    </w:p>
    <w:p>
      <w:pPr>
        <w:spacing w:after="0" w:line="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In December 2023, the FASB issued ASU 2023-09, </w:t>
      </w:r>
      <w:r>
        <w:rPr>
          <w:rFonts w:ascii="Times New Roman" w:cs="Times New Roman" w:eastAsia="Times New Roman" w:hAnsi="Times New Roman"/>
          <w:sz w:val="18"/>
          <w:szCs w:val="18"/>
          <w:i w:val="1"/>
          <w:iCs w:val="1"/>
          <w:color w:val="auto"/>
        </w:rPr>
        <w:t>Improvements to Income Tax Disclosures</w:t>
      </w:r>
      <w:r>
        <w:rPr>
          <w:rFonts w:ascii="Times New Roman" w:cs="Times New Roman" w:eastAsia="Times New Roman" w:hAnsi="Times New Roman"/>
          <w:sz w:val="18"/>
          <w:szCs w:val="18"/>
          <w:color w:val="auto"/>
        </w:rPr>
        <w:t>, which establishes new income tax disclosure requirements including disaggregated information about a reporting entity’s effective tax rate reconciliation as well as disaggregated information on income taxes paid. The new guidance is effective for fiscal years beginning after December 15, 2024 and should be applied on a prospective basis with the option to apply the standard retrospectively. Early adoption is permitted. Management is currently evaluating the impact of this new standard.</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Recent accounting guidance not discussed herein is not applicable, did not have, or is not expected to have a material impact to the Company.</w:t>
      </w:r>
    </w:p>
    <w:p>
      <w:pPr>
        <w:spacing w:after="0" w:line="329"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3.</w:t>
        <w:tab/>
        <w:t>Business Acquisitions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January 22, 2024, the Company acquired substantially all the assets of one franchise-operated restaurant for cash of $3.0 million, incurring related transaction costs of approximately $0.2 million. The purchase price was allocated to the assets acquired based on preliminary valuations including Property, fixtures and equipment of $1.4 million, reacquired rights of $0.5 million, operating lease right-of-use assets and liabilities of $1.2 million and goodwill (primarily expected synergies and assembled workforce; tax deductible) of $1.1 million.</w:t>
      </w:r>
    </w:p>
    <w:p>
      <w:pPr>
        <w:spacing w:after="0" w:line="200" w:lineRule="exact"/>
        <w:rPr>
          <w:sz w:val="20"/>
          <w:szCs w:val="20"/>
          <w:color w:val="auto"/>
        </w:rPr>
      </w:pPr>
    </w:p>
    <w:p>
      <w:pPr>
        <w:spacing w:after="0" w:line="327"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4.</w:t>
        <w:tab/>
        <w:t>Revenues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include a detail of liabilities from contracts with customers: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26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80" w:type="dxa"/>
            <w:vAlign w:val="bottom"/>
          </w:tcPr>
          <w:p>
            <w:pPr>
              <w:spacing w:after="0"/>
              <w:rPr>
                <w:sz w:val="18"/>
                <w:szCs w:val="18"/>
                <w:color w:val="auto"/>
              </w:rPr>
            </w:pPr>
          </w:p>
        </w:tc>
        <w:tc>
          <w:tcPr>
            <w:tcW w:w="170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MARCH 31, 2024</w:t>
            </w:r>
          </w:p>
        </w:tc>
        <w:tc>
          <w:tcPr>
            <w:tcW w:w="200" w:type="dxa"/>
            <w:vAlign w:val="bottom"/>
          </w:tcPr>
          <w:p>
            <w:pPr>
              <w:spacing w:after="0"/>
              <w:rPr>
                <w:sz w:val="18"/>
                <w:szCs w:val="18"/>
                <w:color w:val="auto"/>
              </w:rPr>
            </w:pPr>
          </w:p>
        </w:tc>
        <w:tc>
          <w:tcPr>
            <w:tcW w:w="190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DECEMBER 31, 2023</w:t>
            </w:r>
          </w:p>
        </w:tc>
      </w:tr>
      <w:tr>
        <w:trPr>
          <w:trHeight w:val="199"/>
        </w:trPr>
        <w:tc>
          <w:tcPr>
            <w:tcW w:w="72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revenues:</w:t>
            </w:r>
          </w:p>
        </w:tc>
        <w:tc>
          <w:tcPr>
            <w:tcW w:w="180" w:type="dxa"/>
            <w:vAlign w:val="bottom"/>
            <w:tcBorders>
              <w:top w:val="single" w:sz="8" w:color="auto"/>
            </w:tcBorders>
            <w:shd w:val="clear" w:color="auto" w:fill="CCEEFF"/>
          </w:tcPr>
          <w:p>
            <w:pPr>
              <w:spacing w:after="0"/>
              <w:rPr>
                <w:sz w:val="17"/>
                <w:szCs w:val="17"/>
                <w:color w:val="auto"/>
              </w:rPr>
            </w:pPr>
          </w:p>
        </w:tc>
        <w:tc>
          <w:tcPr>
            <w:tcW w:w="16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900" w:type="dxa"/>
            <w:vAlign w:val="bottom"/>
            <w:tcBorders>
              <w:top w:val="single" w:sz="8" w:color="auto"/>
            </w:tcBorders>
            <w:shd w:val="clear" w:color="auto" w:fill="CCEEFF"/>
          </w:tcPr>
          <w:p>
            <w:pPr>
              <w:spacing w:after="0"/>
              <w:rPr>
                <w:sz w:val="17"/>
                <w:szCs w:val="17"/>
                <w:color w:val="auto"/>
              </w:rPr>
            </w:pPr>
          </w:p>
        </w:tc>
      </w:tr>
      <w:tr>
        <w:trPr>
          <w:trHeight w:val="213"/>
        </w:trPr>
        <w:tc>
          <w:tcPr>
            <w:tcW w:w="72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Deferred gift card revenue</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3,067</w:t>
            </w:r>
          </w:p>
        </w:tc>
        <w:tc>
          <w:tcPr>
            <w:tcW w:w="8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5,224</w:t>
            </w:r>
          </w:p>
        </w:tc>
      </w:tr>
      <w:tr>
        <w:trPr>
          <w:trHeight w:val="216"/>
        </w:trPr>
        <w:tc>
          <w:tcPr>
            <w:tcW w:w="7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Deferred franchise fee revenue - current</w:t>
            </w:r>
          </w:p>
        </w:tc>
        <w:tc>
          <w:tcPr>
            <w:tcW w:w="180" w:type="dxa"/>
            <w:vAlign w:val="bottom"/>
            <w:tcBorders>
              <w:bottom w:val="single" w:sz="8" w:color="auto"/>
            </w:tcBorders>
            <w:shd w:val="clear" w:color="auto" w:fill="CCEEFF"/>
          </w:tcPr>
          <w:p>
            <w:pPr>
              <w:spacing w:after="0"/>
              <w:rPr>
                <w:sz w:val="18"/>
                <w:szCs w:val="18"/>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274</w:t>
            </w: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275</w:t>
            </w:r>
          </w:p>
        </w:tc>
      </w:tr>
      <w:tr>
        <w:trPr>
          <w:trHeight w:val="212"/>
        </w:trPr>
        <w:tc>
          <w:tcPr>
            <w:tcW w:w="7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current deferred revenues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3,341</w:t>
            </w:r>
          </w:p>
        </w:tc>
        <w:tc>
          <w:tcPr>
            <w:tcW w:w="8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5,499</w:t>
            </w:r>
          </w:p>
        </w:tc>
      </w:tr>
      <w:tr>
        <w:trPr>
          <w:trHeight w:val="20"/>
        </w:trPr>
        <w:tc>
          <w:tcPr>
            <w:tcW w:w="72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r>
      <w:tr>
        <w:trPr>
          <w:trHeight w:val="183"/>
        </w:trPr>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180" w:type="dxa"/>
            <w:vAlign w:val="bottom"/>
            <w:shd w:val="clear" w:color="auto" w:fill="CCEEFF"/>
          </w:tcPr>
          <w:p>
            <w:pPr>
              <w:spacing w:after="0"/>
              <w:rPr>
                <w:sz w:val="15"/>
                <w:szCs w:val="15"/>
                <w:color w:val="auto"/>
              </w:rPr>
            </w:pPr>
          </w:p>
        </w:tc>
        <w:tc>
          <w:tcPr>
            <w:tcW w:w="1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900" w:type="dxa"/>
            <w:vAlign w:val="bottom"/>
            <w:shd w:val="clear" w:color="auto" w:fill="CCEEFF"/>
          </w:tcPr>
          <w:p>
            <w:pPr>
              <w:spacing w:after="0"/>
              <w:rPr>
                <w:sz w:val="15"/>
                <w:szCs w:val="15"/>
                <w:color w:val="auto"/>
              </w:rPr>
            </w:pPr>
          </w:p>
        </w:tc>
      </w:tr>
      <w:tr>
        <w:trPr>
          <w:trHeight w:val="216"/>
        </w:trPr>
        <w:tc>
          <w:tcPr>
            <w:tcW w:w="72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Deferred franchise fee revenue - non-current</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1,990</w:t>
            </w:r>
          </w:p>
        </w:tc>
        <w:tc>
          <w:tcPr>
            <w:tcW w:w="8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1,786</w:t>
            </w:r>
          </w:p>
        </w:tc>
      </w:tr>
      <w:tr>
        <w:trPr>
          <w:trHeight w:val="21"/>
        </w:trPr>
        <w:tc>
          <w:tcPr>
            <w:tcW w:w="7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deferred gift card contract liabilities were as follows: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2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3800" w:type="dxa"/>
            <w:vAlign w:val="bottom"/>
            <w:tcBorders>
              <w:bottom w:val="single" w:sz="8" w:color="auto"/>
            </w:tcBorders>
            <w:gridSpan w:val="4"/>
          </w:tcPr>
          <w:p>
            <w:pPr>
              <w:jc w:val="right"/>
              <w:ind w:right="859"/>
              <w:spacing w:after="0"/>
              <w:rPr>
                <w:sz w:val="20"/>
                <w:szCs w:val="20"/>
                <w:color w:val="auto"/>
              </w:rPr>
            </w:pPr>
            <w:r>
              <w:rPr>
                <w:rFonts w:ascii="Times New Roman" w:cs="Times New Roman" w:eastAsia="Times New Roman" w:hAnsi="Times New Roman"/>
                <w:sz w:val="16"/>
                <w:szCs w:val="16"/>
                <w:b w:val="1"/>
                <w:bCs w:val="1"/>
                <w:color w:val="auto"/>
              </w:rPr>
              <w:t>THIRTEEN WEEKS ENDED</w:t>
            </w:r>
          </w:p>
        </w:tc>
      </w:tr>
      <w:tr>
        <w:trPr>
          <w:trHeight w:val="214"/>
        </w:trPr>
        <w:tc>
          <w:tcPr>
            <w:tcW w:w="726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80" w:type="dxa"/>
            <w:vAlign w:val="bottom"/>
          </w:tcPr>
          <w:p>
            <w:pPr>
              <w:spacing w:after="0"/>
              <w:rPr>
                <w:sz w:val="18"/>
                <w:szCs w:val="18"/>
                <w:color w:val="auto"/>
              </w:rPr>
            </w:pPr>
          </w:p>
        </w:tc>
        <w:tc>
          <w:tcPr>
            <w:tcW w:w="170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MARCH 31, 2024</w:t>
            </w:r>
          </w:p>
        </w:tc>
        <w:tc>
          <w:tcPr>
            <w:tcW w:w="280" w:type="dxa"/>
            <w:vAlign w:val="bottom"/>
          </w:tcPr>
          <w:p>
            <w:pPr>
              <w:spacing w:after="0"/>
              <w:rPr>
                <w:sz w:val="18"/>
                <w:szCs w:val="18"/>
                <w:color w:val="auto"/>
              </w:rPr>
            </w:pPr>
          </w:p>
        </w:tc>
        <w:tc>
          <w:tcPr>
            <w:tcW w:w="1820" w:type="dxa"/>
            <w:vAlign w:val="bottom"/>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MARCH 26, 2023</w:t>
            </w:r>
          </w:p>
        </w:tc>
      </w:tr>
      <w:tr>
        <w:trPr>
          <w:trHeight w:val="198"/>
        </w:trPr>
        <w:tc>
          <w:tcPr>
            <w:tcW w:w="72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gift card revenue:</w:t>
            </w:r>
          </w:p>
        </w:tc>
        <w:tc>
          <w:tcPr>
            <w:tcW w:w="180" w:type="dxa"/>
            <w:vAlign w:val="bottom"/>
            <w:tcBorders>
              <w:top w:val="single" w:sz="8" w:color="auto"/>
            </w:tcBorders>
            <w:shd w:val="clear" w:color="auto" w:fill="CCEEFF"/>
          </w:tcPr>
          <w:p>
            <w:pPr>
              <w:spacing w:after="0"/>
              <w:rPr>
                <w:sz w:val="17"/>
                <w:szCs w:val="17"/>
                <w:color w:val="auto"/>
              </w:rPr>
            </w:pPr>
          </w:p>
        </w:tc>
        <w:tc>
          <w:tcPr>
            <w:tcW w:w="16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820" w:type="dxa"/>
            <w:vAlign w:val="bottom"/>
            <w:tcBorders>
              <w:top w:val="single" w:sz="8" w:color="auto"/>
            </w:tcBorders>
            <w:shd w:val="clear" w:color="auto" w:fill="CCEEFF"/>
          </w:tcPr>
          <w:p>
            <w:pPr>
              <w:spacing w:after="0"/>
              <w:rPr>
                <w:sz w:val="17"/>
                <w:szCs w:val="17"/>
                <w:color w:val="auto"/>
              </w:rPr>
            </w:pPr>
          </w:p>
        </w:tc>
      </w:tr>
      <w:tr>
        <w:trPr>
          <w:trHeight w:val="213"/>
        </w:trPr>
        <w:tc>
          <w:tcPr>
            <w:tcW w:w="7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beginning of period</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5,224</w:t>
            </w:r>
          </w:p>
        </w:tc>
        <w:tc>
          <w:tcPr>
            <w:tcW w:w="8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4,897</w:t>
            </w:r>
          </w:p>
        </w:tc>
      </w:tr>
      <w:tr>
        <w:trPr>
          <w:trHeight w:val="219"/>
        </w:trPr>
        <w:tc>
          <w:tcPr>
            <w:tcW w:w="7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Gift card sales</w:t>
            </w:r>
          </w:p>
        </w:tc>
        <w:tc>
          <w:tcPr>
            <w:tcW w:w="1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1,409</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1,534</w:t>
            </w:r>
          </w:p>
        </w:tc>
      </w:tr>
      <w:tr>
        <w:trPr>
          <w:trHeight w:val="213"/>
        </w:trPr>
        <w:tc>
          <w:tcPr>
            <w:tcW w:w="72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Gift card redemptions</w:t>
            </w:r>
          </w:p>
        </w:tc>
        <w:tc>
          <w:tcPr>
            <w:tcW w:w="18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(3,112)</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(3,204)</w:t>
            </w:r>
          </w:p>
        </w:tc>
      </w:tr>
      <w:tr>
        <w:trPr>
          <w:trHeight w:val="219"/>
        </w:trPr>
        <w:tc>
          <w:tcPr>
            <w:tcW w:w="7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Gift card breakage</w:t>
            </w:r>
          </w:p>
        </w:tc>
        <w:tc>
          <w:tcPr>
            <w:tcW w:w="1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(459)</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(318)</w:t>
            </w:r>
          </w:p>
        </w:tc>
      </w:tr>
      <w:tr>
        <w:trPr>
          <w:trHeight w:val="213"/>
        </w:trPr>
        <w:tc>
          <w:tcPr>
            <w:tcW w:w="72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Gift card liabilities assumed through acquisitions</w:t>
            </w:r>
          </w:p>
        </w:tc>
        <w:tc>
          <w:tcPr>
            <w:tcW w:w="18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7"/>
        </w:trPr>
        <w:tc>
          <w:tcPr>
            <w:tcW w:w="72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Balance, end of period</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3,067</w:t>
            </w: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2,909</w:t>
            </w:r>
          </w:p>
        </w:tc>
      </w:tr>
      <w:tr>
        <w:trPr>
          <w:trHeight w:val="20"/>
        </w:trPr>
        <w:tc>
          <w:tcPr>
            <w:tcW w:w="72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deferred franchise fee contract liabilities were as follows: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2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3800" w:type="dxa"/>
            <w:vAlign w:val="bottom"/>
            <w:tcBorders>
              <w:bottom w:val="single" w:sz="8" w:color="auto"/>
            </w:tcBorders>
            <w:gridSpan w:val="4"/>
          </w:tcPr>
          <w:p>
            <w:pPr>
              <w:jc w:val="right"/>
              <w:ind w:right="858"/>
              <w:spacing w:after="0"/>
              <w:rPr>
                <w:sz w:val="20"/>
                <w:szCs w:val="20"/>
                <w:color w:val="auto"/>
              </w:rPr>
            </w:pPr>
            <w:r>
              <w:rPr>
                <w:rFonts w:ascii="Times New Roman" w:cs="Times New Roman" w:eastAsia="Times New Roman" w:hAnsi="Times New Roman"/>
                <w:sz w:val="16"/>
                <w:szCs w:val="16"/>
                <w:b w:val="1"/>
                <w:bCs w:val="1"/>
                <w:color w:val="auto"/>
              </w:rPr>
              <w:t>THIRTEEN WEEKS ENDED</w:t>
            </w:r>
          </w:p>
        </w:tc>
      </w:tr>
      <w:tr>
        <w:trPr>
          <w:trHeight w:val="214"/>
        </w:trPr>
        <w:tc>
          <w:tcPr>
            <w:tcW w:w="7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8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ind w:right="198"/>
              <w:spacing w:after="0"/>
              <w:rPr>
                <w:sz w:val="20"/>
                <w:szCs w:val="20"/>
                <w:color w:val="auto"/>
              </w:rPr>
            </w:pPr>
            <w:r>
              <w:rPr>
                <w:rFonts w:ascii="Times New Roman" w:cs="Times New Roman" w:eastAsia="Times New Roman" w:hAnsi="Times New Roman"/>
                <w:sz w:val="16"/>
                <w:szCs w:val="16"/>
                <w:b w:val="1"/>
                <w:bCs w:val="1"/>
                <w:color w:val="auto"/>
              </w:rPr>
              <w:t>MARCH 31, 2024</w:t>
            </w:r>
          </w:p>
        </w:tc>
        <w:tc>
          <w:tcPr>
            <w:tcW w:w="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jc w:val="right"/>
              <w:ind w:right="338"/>
              <w:spacing w:after="0"/>
              <w:rPr>
                <w:sz w:val="20"/>
                <w:szCs w:val="20"/>
                <w:color w:val="auto"/>
              </w:rPr>
            </w:pPr>
            <w:r>
              <w:rPr>
                <w:rFonts w:ascii="Times New Roman" w:cs="Times New Roman" w:eastAsia="Times New Roman" w:hAnsi="Times New Roman"/>
                <w:sz w:val="16"/>
                <w:szCs w:val="16"/>
                <w:b w:val="1"/>
                <w:bCs w:val="1"/>
                <w:color w:val="auto"/>
              </w:rPr>
              <w:t>MARCH 26, 2023</w:t>
            </w:r>
          </w:p>
        </w:tc>
      </w:tr>
      <w:tr>
        <w:trPr>
          <w:trHeight w:val="198"/>
        </w:trPr>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franchise fee revenue:</w:t>
            </w:r>
          </w:p>
        </w:tc>
        <w:tc>
          <w:tcPr>
            <w:tcW w:w="18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20" w:type="dxa"/>
            <w:vAlign w:val="bottom"/>
            <w:shd w:val="clear" w:color="auto" w:fill="CCEEFF"/>
          </w:tcPr>
          <w:p>
            <w:pPr>
              <w:spacing w:after="0"/>
              <w:rPr>
                <w:sz w:val="17"/>
                <w:szCs w:val="17"/>
                <w:color w:val="auto"/>
              </w:rPr>
            </w:pPr>
          </w:p>
        </w:tc>
      </w:tr>
      <w:tr>
        <w:trPr>
          <w:trHeight w:val="213"/>
        </w:trPr>
        <w:tc>
          <w:tcPr>
            <w:tcW w:w="7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beginning of period</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2,061</w:t>
            </w:r>
          </w:p>
        </w:tc>
        <w:tc>
          <w:tcPr>
            <w:tcW w:w="360" w:type="dxa"/>
            <w:vAlign w:val="bottom"/>
            <w:gridSpan w:val="2"/>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2,768</w:t>
            </w:r>
          </w:p>
        </w:tc>
      </w:tr>
      <w:tr>
        <w:trPr>
          <w:trHeight w:val="219"/>
        </w:trPr>
        <w:tc>
          <w:tcPr>
            <w:tcW w:w="7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Cash received</w:t>
            </w:r>
          </w:p>
        </w:tc>
        <w:tc>
          <w:tcPr>
            <w:tcW w:w="1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335</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w:t>
            </w:r>
          </w:p>
        </w:tc>
      </w:tr>
      <w:tr>
        <w:trPr>
          <w:trHeight w:val="213"/>
        </w:trPr>
        <w:tc>
          <w:tcPr>
            <w:tcW w:w="72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Franchise revenues recognized</w:t>
            </w:r>
          </w:p>
        </w:tc>
        <w:tc>
          <w:tcPr>
            <w:tcW w:w="18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w:t>
            </w:r>
          </w:p>
        </w:tc>
      </w:tr>
      <w:tr>
        <w:trPr>
          <w:trHeight w:val="232"/>
        </w:trPr>
        <w:tc>
          <w:tcPr>
            <w:tcW w:w="7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Business combinations - franchise revenues recognized</w:t>
            </w:r>
          </w:p>
        </w:tc>
        <w:tc>
          <w:tcPr>
            <w:tcW w:w="180" w:type="dxa"/>
            <w:vAlign w:val="bottom"/>
            <w:tcBorders>
              <w:bottom w:val="single" w:sz="8" w:color="auto"/>
            </w:tcBorders>
            <w:shd w:val="clear" w:color="auto" w:fill="CCEEFF"/>
          </w:tcPr>
          <w:p>
            <w:pPr>
              <w:spacing w:after="0"/>
              <w:rPr>
                <w:sz w:val="20"/>
                <w:szCs w:val="20"/>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2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Balance, end of period</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2,264</w:t>
            </w:r>
          </w:p>
        </w:tc>
        <w:tc>
          <w:tcPr>
            <w:tcW w:w="8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2,725</w:t>
            </w:r>
          </w:p>
        </w:tc>
      </w:tr>
      <w:tr>
        <w:trPr>
          <w:trHeight w:val="20"/>
        </w:trPr>
        <w:tc>
          <w:tcPr>
            <w:tcW w:w="7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color w:val="auto"/>
        </w:rPr>
        <w:t>Revenues recognized disaggregated by type were as follows: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48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3800" w:type="dxa"/>
            <w:vAlign w:val="bottom"/>
            <w:tcBorders>
              <w:bottom w:val="single" w:sz="8" w:color="auto"/>
            </w:tcBorders>
            <w:gridSpan w:val="4"/>
          </w:tcPr>
          <w:p>
            <w:pPr>
              <w:jc w:val="right"/>
              <w:ind w:right="858"/>
              <w:spacing w:after="0"/>
              <w:rPr>
                <w:sz w:val="20"/>
                <w:szCs w:val="20"/>
                <w:color w:val="auto"/>
              </w:rPr>
            </w:pPr>
            <w:r>
              <w:rPr>
                <w:rFonts w:ascii="Times New Roman" w:cs="Times New Roman" w:eastAsia="Times New Roman" w:hAnsi="Times New Roman"/>
                <w:sz w:val="16"/>
                <w:szCs w:val="16"/>
                <w:b w:val="1"/>
                <w:bCs w:val="1"/>
                <w:color w:val="auto"/>
              </w:rPr>
              <w:t>THIRTEEN WEEKS ENDED</w:t>
            </w:r>
          </w:p>
        </w:tc>
        <w:tc>
          <w:tcPr>
            <w:tcW w:w="0" w:type="dxa"/>
            <w:vAlign w:val="bottom"/>
          </w:tcPr>
          <w:p>
            <w:pPr>
              <w:spacing w:after="0"/>
              <w:rPr>
                <w:sz w:val="1"/>
                <w:szCs w:val="1"/>
                <w:color w:val="auto"/>
              </w:rPr>
            </w:pPr>
          </w:p>
        </w:tc>
      </w:tr>
      <w:tr>
        <w:trPr>
          <w:trHeight w:val="214"/>
        </w:trPr>
        <w:tc>
          <w:tcPr>
            <w:tcW w:w="448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0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MARCH 31, 2024</w:t>
            </w:r>
          </w:p>
        </w:tc>
        <w:tc>
          <w:tcPr>
            <w:tcW w:w="200" w:type="dxa"/>
            <w:vAlign w:val="bottom"/>
          </w:tcPr>
          <w:p>
            <w:pPr>
              <w:spacing w:after="0"/>
              <w:rPr>
                <w:sz w:val="18"/>
                <w:szCs w:val="18"/>
                <w:color w:val="auto"/>
              </w:rPr>
            </w:pPr>
          </w:p>
        </w:tc>
        <w:tc>
          <w:tcPr>
            <w:tcW w:w="1900" w:type="dxa"/>
            <w:vAlign w:val="bottom"/>
          </w:tcPr>
          <w:p>
            <w:pPr>
              <w:jc w:val="right"/>
              <w:ind w:right="338"/>
              <w:spacing w:after="0"/>
              <w:rPr>
                <w:sz w:val="20"/>
                <w:szCs w:val="20"/>
                <w:color w:val="auto"/>
              </w:rPr>
            </w:pPr>
            <w:r>
              <w:rPr>
                <w:rFonts w:ascii="Times New Roman" w:cs="Times New Roman" w:eastAsia="Times New Roman" w:hAnsi="Times New Roman"/>
                <w:sz w:val="16"/>
                <w:szCs w:val="16"/>
                <w:b w:val="1"/>
                <w:bCs w:val="1"/>
                <w:color w:val="auto"/>
              </w:rPr>
              <w:t>MARCH 26, 2023</w:t>
            </w:r>
          </w:p>
        </w:tc>
        <w:tc>
          <w:tcPr>
            <w:tcW w:w="0" w:type="dxa"/>
            <w:vAlign w:val="bottom"/>
          </w:tcPr>
          <w:p>
            <w:pPr>
              <w:spacing w:after="0"/>
              <w:rPr>
                <w:sz w:val="1"/>
                <w:szCs w:val="1"/>
                <w:color w:val="auto"/>
              </w:rPr>
            </w:pPr>
          </w:p>
        </w:tc>
      </w:tr>
      <w:tr>
        <w:trPr>
          <w:trHeight w:val="198"/>
        </w:trPr>
        <w:tc>
          <w:tcPr>
            <w:tcW w:w="44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Restaurant sales:</w:t>
            </w:r>
          </w:p>
        </w:tc>
        <w:tc>
          <w:tcPr>
            <w:tcW w:w="27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6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9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4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In-restaurant dining sales</w:t>
            </w:r>
          </w:p>
        </w:tc>
        <w:tc>
          <w:tcPr>
            <w:tcW w:w="29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195,199</w:t>
            </w:r>
          </w:p>
        </w:tc>
        <w:tc>
          <w:tcPr>
            <w:tcW w:w="8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169,229</w:t>
            </w:r>
          </w:p>
        </w:tc>
        <w:tc>
          <w:tcPr>
            <w:tcW w:w="0" w:type="dxa"/>
            <w:vAlign w:val="bottom"/>
          </w:tcPr>
          <w:p>
            <w:pPr>
              <w:spacing w:after="0"/>
              <w:rPr>
                <w:sz w:val="1"/>
                <w:szCs w:val="1"/>
                <w:color w:val="auto"/>
              </w:rPr>
            </w:pPr>
          </w:p>
        </w:tc>
      </w:tr>
      <w:tr>
        <w:trPr>
          <w:trHeight w:val="219"/>
        </w:trPr>
        <w:tc>
          <w:tcPr>
            <w:tcW w:w="4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Third-party delivery sales</w:t>
            </w:r>
          </w:p>
        </w:tc>
        <w:tc>
          <w:tcPr>
            <w:tcW w:w="27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25,935</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22,314</w:t>
            </w:r>
          </w:p>
        </w:tc>
        <w:tc>
          <w:tcPr>
            <w:tcW w:w="0" w:type="dxa"/>
            <w:vAlign w:val="bottom"/>
          </w:tcPr>
          <w:p>
            <w:pPr>
              <w:spacing w:after="0"/>
              <w:rPr>
                <w:sz w:val="1"/>
                <w:szCs w:val="1"/>
                <w:color w:val="auto"/>
              </w:rPr>
            </w:pPr>
          </w:p>
        </w:tc>
      </w:tr>
      <w:tr>
        <w:trPr>
          <w:trHeight w:val="213"/>
        </w:trPr>
        <w:tc>
          <w:tcPr>
            <w:tcW w:w="44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Take-out sales</w:t>
            </w:r>
          </w:p>
        </w:tc>
        <w:tc>
          <w:tcPr>
            <w:tcW w:w="27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18,174</w:t>
            </w: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16,425</w:t>
            </w:r>
          </w:p>
        </w:tc>
        <w:tc>
          <w:tcPr>
            <w:tcW w:w="0" w:type="dxa"/>
            <w:vAlign w:val="bottom"/>
          </w:tcPr>
          <w:p>
            <w:pPr>
              <w:spacing w:after="0"/>
              <w:rPr>
                <w:sz w:val="1"/>
                <w:szCs w:val="1"/>
                <w:color w:val="auto"/>
              </w:rPr>
            </w:pPr>
          </w:p>
        </w:tc>
      </w:tr>
      <w:tr>
        <w:trPr>
          <w:trHeight w:val="210"/>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restaurant sales</w:t>
            </w:r>
          </w:p>
        </w:tc>
        <w:tc>
          <w:tcPr>
            <w:tcW w:w="27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239,308</w:t>
            </w: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207,968</w:t>
            </w:r>
          </w:p>
        </w:tc>
        <w:tc>
          <w:tcPr>
            <w:tcW w:w="0" w:type="dxa"/>
            <w:vAlign w:val="bottom"/>
          </w:tcPr>
          <w:p>
            <w:pPr>
              <w:spacing w:after="0"/>
              <w:rPr>
                <w:sz w:val="1"/>
                <w:szCs w:val="1"/>
                <w:color w:val="auto"/>
              </w:rPr>
            </w:pPr>
          </w:p>
        </w:tc>
      </w:tr>
      <w:tr>
        <w:trPr>
          <w:trHeight w:val="239"/>
        </w:trPr>
        <w:tc>
          <w:tcPr>
            <w:tcW w:w="448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Franchise revenues:</w:t>
            </w:r>
          </w:p>
        </w:tc>
        <w:tc>
          <w:tcPr>
            <w:tcW w:w="2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4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Royalty and system fund contributions</w:t>
            </w:r>
          </w:p>
        </w:tc>
        <w:tc>
          <w:tcPr>
            <w:tcW w:w="29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3,009</w:t>
            </w:r>
          </w:p>
        </w:tc>
        <w:tc>
          <w:tcPr>
            <w:tcW w:w="8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3,361</w:t>
            </w:r>
          </w:p>
        </w:tc>
        <w:tc>
          <w:tcPr>
            <w:tcW w:w="0" w:type="dxa"/>
            <w:vAlign w:val="bottom"/>
          </w:tcPr>
          <w:p>
            <w:pPr>
              <w:spacing w:after="0"/>
              <w:rPr>
                <w:sz w:val="1"/>
                <w:szCs w:val="1"/>
                <w:color w:val="auto"/>
              </w:rPr>
            </w:pPr>
          </w:p>
        </w:tc>
      </w:tr>
      <w:tr>
        <w:trPr>
          <w:trHeight w:val="219"/>
        </w:trPr>
        <w:tc>
          <w:tcPr>
            <w:tcW w:w="4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Initial fees</w:t>
            </w:r>
          </w:p>
        </w:tc>
        <w:tc>
          <w:tcPr>
            <w:tcW w:w="27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w:t>
            </w:r>
          </w:p>
        </w:tc>
        <w:tc>
          <w:tcPr>
            <w:tcW w:w="0" w:type="dxa"/>
            <w:vAlign w:val="bottom"/>
          </w:tcPr>
          <w:p>
            <w:pPr>
              <w:spacing w:after="0"/>
              <w:rPr>
                <w:sz w:val="1"/>
                <w:szCs w:val="1"/>
                <w:color w:val="auto"/>
              </w:rPr>
            </w:pPr>
          </w:p>
        </w:tc>
      </w:tr>
      <w:tr>
        <w:trPr>
          <w:trHeight w:val="229"/>
        </w:trPr>
        <w:tc>
          <w:tcPr>
            <w:tcW w:w="44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Business combinations - revenues recognized</w:t>
            </w:r>
          </w:p>
        </w:tc>
        <w:tc>
          <w:tcPr>
            <w:tcW w:w="27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franchise revenues</w:t>
            </w:r>
          </w:p>
        </w:tc>
        <w:tc>
          <w:tcPr>
            <w:tcW w:w="27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3,141</w:t>
            </w: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3,438</w:t>
            </w:r>
          </w:p>
        </w:tc>
        <w:tc>
          <w:tcPr>
            <w:tcW w:w="0" w:type="dxa"/>
            <w:vAlign w:val="bottom"/>
          </w:tcPr>
          <w:p>
            <w:pPr>
              <w:spacing w:after="0"/>
              <w:rPr>
                <w:sz w:val="1"/>
                <w:szCs w:val="1"/>
                <w:color w:val="auto"/>
              </w:rPr>
            </w:pPr>
          </w:p>
        </w:tc>
      </w:tr>
      <w:tr>
        <w:trPr>
          <w:trHeight w:val="209"/>
        </w:trPr>
        <w:tc>
          <w:tcPr>
            <w:tcW w:w="4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revenues</w:t>
            </w:r>
          </w:p>
        </w:tc>
        <w:tc>
          <w:tcPr>
            <w:tcW w:w="278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242,449</w:t>
            </w:r>
          </w:p>
        </w:tc>
        <w:tc>
          <w:tcPr>
            <w:tcW w:w="8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211,406</w:t>
            </w:r>
          </w:p>
        </w:tc>
        <w:tc>
          <w:tcPr>
            <w:tcW w:w="0" w:type="dxa"/>
            <w:vAlign w:val="bottom"/>
          </w:tcPr>
          <w:p>
            <w:pPr>
              <w:spacing w:after="0"/>
              <w:rPr>
                <w:sz w:val="1"/>
                <w:szCs w:val="1"/>
                <w:color w:val="auto"/>
              </w:rPr>
            </w:pPr>
          </w:p>
        </w:tc>
      </w:tr>
      <w:tr>
        <w:trPr>
          <w:trHeight w:val="21"/>
        </w:trPr>
        <w:tc>
          <w:tcPr>
            <w:tcW w:w="44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5.  Accounts Receivable</w:t>
            </w:r>
          </w:p>
        </w:tc>
        <w:tc>
          <w:tcPr>
            <w:tcW w:w="27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28"/>
        </w:trPr>
        <w:tc>
          <w:tcPr>
            <w:tcW w:w="4480" w:type="dxa"/>
            <w:vAlign w:val="bottom"/>
            <w:vMerge w:val="continue"/>
          </w:tcPr>
          <w:p>
            <w:pPr>
              <w:spacing w:after="0"/>
              <w:rPr>
                <w:sz w:val="24"/>
                <w:szCs w:val="24"/>
                <w:color w:val="auto"/>
              </w:rPr>
            </w:pPr>
          </w:p>
        </w:tc>
        <w:tc>
          <w:tcPr>
            <w:tcW w:w="2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Accounts receivable consisted of the following:</w:t>
            </w:r>
          </w:p>
        </w:tc>
        <w:tc>
          <w:tcPr>
            <w:tcW w:w="2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8"/>
        </w:trPr>
        <w:tc>
          <w:tcPr>
            <w:tcW w:w="448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0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MARCH 31, 2024</w:t>
            </w:r>
          </w:p>
        </w:tc>
        <w:tc>
          <w:tcPr>
            <w:tcW w:w="200" w:type="dxa"/>
            <w:vAlign w:val="bottom"/>
          </w:tcPr>
          <w:p>
            <w:pPr>
              <w:spacing w:after="0"/>
              <w:rPr>
                <w:sz w:val="24"/>
                <w:szCs w:val="24"/>
                <w:color w:val="auto"/>
              </w:rPr>
            </w:pPr>
          </w:p>
        </w:tc>
        <w:tc>
          <w:tcPr>
            <w:tcW w:w="1900" w:type="dxa"/>
            <w:vAlign w:val="bottom"/>
          </w:tcPr>
          <w:p>
            <w:pPr>
              <w:jc w:val="right"/>
              <w:ind w:right="198"/>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0" w:type="dxa"/>
            <w:vAlign w:val="bottom"/>
          </w:tcPr>
          <w:p>
            <w:pPr>
              <w:spacing w:after="0"/>
              <w:rPr>
                <w:sz w:val="1"/>
                <w:szCs w:val="1"/>
                <w:color w:val="auto"/>
              </w:rPr>
            </w:pPr>
          </w:p>
        </w:tc>
      </w:tr>
      <w:tr>
        <w:trPr>
          <w:trHeight w:val="212"/>
        </w:trPr>
        <w:tc>
          <w:tcPr>
            <w:tcW w:w="44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Receivables from third-party delivery providers</w:t>
            </w:r>
          </w:p>
        </w:tc>
        <w:tc>
          <w:tcPr>
            <w:tcW w:w="27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1,539</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1,559</w:t>
            </w:r>
          </w:p>
        </w:tc>
        <w:tc>
          <w:tcPr>
            <w:tcW w:w="0" w:type="dxa"/>
            <w:vAlign w:val="bottom"/>
          </w:tcPr>
          <w:p>
            <w:pPr>
              <w:spacing w:after="0"/>
              <w:rPr>
                <w:sz w:val="1"/>
                <w:szCs w:val="1"/>
                <w:color w:val="auto"/>
              </w:rPr>
            </w:pPr>
          </w:p>
        </w:tc>
      </w:tr>
      <w:tr>
        <w:trPr>
          <w:trHeight w:val="213"/>
        </w:trPr>
        <w:tc>
          <w:tcPr>
            <w:tcW w:w="4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Receivables from franchisees</w:t>
            </w:r>
          </w:p>
        </w:tc>
        <w:tc>
          <w:tcPr>
            <w:tcW w:w="2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1,390</w:t>
            </w:r>
          </w:p>
        </w:tc>
        <w:tc>
          <w:tcPr>
            <w:tcW w:w="0" w:type="dxa"/>
            <w:vAlign w:val="bottom"/>
          </w:tcPr>
          <w:p>
            <w:pPr>
              <w:spacing w:after="0"/>
              <w:rPr>
                <w:sz w:val="1"/>
                <w:szCs w:val="1"/>
                <w:color w:val="auto"/>
              </w:rPr>
            </w:pPr>
          </w:p>
        </w:tc>
      </w:tr>
      <w:tr>
        <w:trPr>
          <w:trHeight w:val="219"/>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Receivables from vendors</w:t>
            </w:r>
          </w:p>
        </w:tc>
        <w:tc>
          <w:tcPr>
            <w:tcW w:w="27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680</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873</w:t>
            </w:r>
          </w:p>
        </w:tc>
        <w:tc>
          <w:tcPr>
            <w:tcW w:w="0" w:type="dxa"/>
            <w:vAlign w:val="bottom"/>
          </w:tcPr>
          <w:p>
            <w:pPr>
              <w:spacing w:after="0"/>
              <w:rPr>
                <w:sz w:val="1"/>
                <w:szCs w:val="1"/>
                <w:color w:val="auto"/>
              </w:rPr>
            </w:pPr>
          </w:p>
        </w:tc>
      </w:tr>
      <w:tr>
        <w:trPr>
          <w:trHeight w:val="213"/>
        </w:trPr>
        <w:tc>
          <w:tcPr>
            <w:tcW w:w="4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Receivables related to gift card sales</w:t>
            </w:r>
          </w:p>
        </w:tc>
        <w:tc>
          <w:tcPr>
            <w:tcW w:w="2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367</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1,585</w:t>
            </w:r>
          </w:p>
        </w:tc>
        <w:tc>
          <w:tcPr>
            <w:tcW w:w="0" w:type="dxa"/>
            <w:vAlign w:val="bottom"/>
          </w:tcPr>
          <w:p>
            <w:pPr>
              <w:spacing w:after="0"/>
              <w:rPr>
                <w:sz w:val="1"/>
                <w:szCs w:val="1"/>
                <w:color w:val="auto"/>
              </w:rPr>
            </w:pPr>
          </w:p>
        </w:tc>
      </w:tr>
      <w:tr>
        <w:trPr>
          <w:trHeight w:val="219"/>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receivables</w:t>
            </w:r>
          </w:p>
        </w:tc>
        <w:tc>
          <w:tcPr>
            <w:tcW w:w="27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323</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w:t>
            </w:r>
          </w:p>
        </w:tc>
        <w:tc>
          <w:tcPr>
            <w:tcW w:w="0" w:type="dxa"/>
            <w:vAlign w:val="bottom"/>
          </w:tcPr>
          <w:p>
            <w:pPr>
              <w:spacing w:after="0"/>
              <w:rPr>
                <w:sz w:val="1"/>
                <w:szCs w:val="1"/>
                <w:color w:val="auto"/>
              </w:rPr>
            </w:pPr>
          </w:p>
        </w:tc>
      </w:tr>
      <w:tr>
        <w:trPr>
          <w:trHeight w:val="210"/>
        </w:trPr>
        <w:tc>
          <w:tcPr>
            <w:tcW w:w="44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Total accounts receivable</w:t>
            </w:r>
          </w:p>
        </w:tc>
        <w:tc>
          <w:tcPr>
            <w:tcW w:w="278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4,130</w:t>
            </w:r>
          </w:p>
        </w:tc>
        <w:tc>
          <w:tcPr>
            <w:tcW w:w="8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5,532</w:t>
            </w: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2780" w:type="dxa"/>
            <w:vAlign w:val="bottom"/>
            <w:vMerge w:val="restart"/>
          </w:tcPr>
          <w:p>
            <w:pPr>
              <w:jc w:val="right"/>
              <w:ind w:right="1456"/>
              <w:spacing w:after="0"/>
              <w:rPr>
                <w:sz w:val="20"/>
                <w:szCs w:val="20"/>
                <w:color w:val="auto"/>
              </w:rPr>
            </w:pPr>
            <w:r>
              <w:rPr>
                <w:rFonts w:ascii="Times New Roman" w:cs="Times New Roman" w:eastAsia="Times New Roman" w:hAnsi="Times New Roman"/>
                <w:sz w:val="18"/>
                <w:szCs w:val="18"/>
                <w:color w:val="auto"/>
              </w:rPr>
              <w:t>10</w:t>
            </w:r>
          </w:p>
        </w:tc>
        <w:tc>
          <w:tcPr>
            <w:tcW w:w="1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85"/>
        </w:trPr>
        <w:tc>
          <w:tcPr>
            <w:tcW w:w="4480" w:type="dxa"/>
            <w:vAlign w:val="bottom"/>
          </w:tcPr>
          <w:p>
            <w:pPr>
              <w:spacing w:after="0"/>
              <w:rPr>
                <w:sz w:val="24"/>
                <w:szCs w:val="24"/>
                <w:color w:val="auto"/>
              </w:rPr>
            </w:pPr>
          </w:p>
        </w:tc>
        <w:tc>
          <w:tcPr>
            <w:tcW w:w="278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480" w:type="dxa"/>
            <w:vAlign w:val="bottom"/>
            <w:tcBorders>
              <w:bottom w:val="single" w:sz="8" w:color="9A9A9A"/>
            </w:tcBorders>
          </w:tcPr>
          <w:p>
            <w:pPr>
              <w:spacing w:after="0"/>
              <w:rPr>
                <w:sz w:val="10"/>
                <w:szCs w:val="10"/>
                <w:color w:val="auto"/>
              </w:rPr>
            </w:pPr>
          </w:p>
        </w:tc>
        <w:tc>
          <w:tcPr>
            <w:tcW w:w="27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6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9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FIRST WATCH RESTAURANT GROUP,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6.</w:t>
      </w:r>
      <w:r>
        <w:rPr>
          <w:sz w:val="20"/>
          <w:szCs w:val="20"/>
          <w:color w:val="auto"/>
        </w:rPr>
        <w:tab/>
      </w:r>
      <w:r>
        <w:rPr>
          <w:rFonts w:ascii="Times New Roman" w:cs="Times New Roman" w:eastAsia="Times New Roman" w:hAnsi="Times New Roman"/>
          <w:sz w:val="17"/>
          <w:szCs w:val="17"/>
          <w:b w:val="1"/>
          <w:bCs w:val="1"/>
          <w:color w:val="auto"/>
        </w:rPr>
        <w:t>Accrued Liabilities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Accrued liabilities consisted of the following:</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26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80" w:type="dxa"/>
            <w:vAlign w:val="bottom"/>
          </w:tcPr>
          <w:p>
            <w:pPr>
              <w:spacing w:after="0"/>
              <w:rPr>
                <w:sz w:val="18"/>
                <w:szCs w:val="18"/>
                <w:color w:val="auto"/>
              </w:rPr>
            </w:pPr>
          </w:p>
        </w:tc>
        <w:tc>
          <w:tcPr>
            <w:tcW w:w="170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MARCH 31, 2024</w:t>
            </w:r>
          </w:p>
        </w:tc>
        <w:tc>
          <w:tcPr>
            <w:tcW w:w="200" w:type="dxa"/>
            <w:vAlign w:val="bottom"/>
          </w:tcPr>
          <w:p>
            <w:pPr>
              <w:spacing w:after="0"/>
              <w:rPr>
                <w:sz w:val="18"/>
                <w:szCs w:val="18"/>
                <w:color w:val="auto"/>
              </w:rPr>
            </w:pPr>
          </w:p>
        </w:tc>
        <w:tc>
          <w:tcPr>
            <w:tcW w:w="190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DECEMBER 31, 2023</w:t>
            </w:r>
          </w:p>
        </w:tc>
      </w:tr>
      <w:tr>
        <w:trPr>
          <w:trHeight w:val="212"/>
        </w:trPr>
        <w:tc>
          <w:tcPr>
            <w:tcW w:w="72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Construction liabilities</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9,607</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13,944</w:t>
            </w:r>
          </w:p>
        </w:tc>
      </w:tr>
      <w:tr>
        <w:trPr>
          <w:trHeight w:val="213"/>
        </w:trPr>
        <w:tc>
          <w:tcPr>
            <w:tcW w:w="7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Sales tax</w:t>
            </w:r>
          </w:p>
        </w:tc>
        <w:tc>
          <w:tcPr>
            <w:tcW w:w="18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7,158</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6,163</w:t>
            </w:r>
          </w:p>
        </w:tc>
      </w:tr>
      <w:tr>
        <w:trPr>
          <w:trHeight w:val="219"/>
        </w:trPr>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Self-insurance and general liability reserves</w:t>
            </w:r>
          </w:p>
        </w:tc>
        <w:tc>
          <w:tcPr>
            <w:tcW w:w="1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1,731</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1,593</w:t>
            </w:r>
          </w:p>
        </w:tc>
      </w:tr>
      <w:tr>
        <w:trPr>
          <w:trHeight w:val="213"/>
        </w:trPr>
        <w:tc>
          <w:tcPr>
            <w:tcW w:w="7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Utilities</w:t>
            </w:r>
          </w:p>
        </w:tc>
        <w:tc>
          <w:tcPr>
            <w:tcW w:w="18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1,700</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1,657</w:t>
            </w:r>
          </w:p>
        </w:tc>
      </w:tr>
      <w:tr>
        <w:trPr>
          <w:trHeight w:val="219"/>
        </w:trPr>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payable</w:t>
            </w:r>
          </w:p>
        </w:tc>
        <w:tc>
          <w:tcPr>
            <w:tcW w:w="1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401</w:t>
            </w:r>
          </w:p>
        </w:tc>
      </w:tr>
      <w:tr>
        <w:trPr>
          <w:trHeight w:val="213"/>
        </w:trPr>
        <w:tc>
          <w:tcPr>
            <w:tcW w:w="7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Credit card fees</w:t>
            </w:r>
          </w:p>
        </w:tc>
        <w:tc>
          <w:tcPr>
            <w:tcW w:w="18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2,046</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1,706</w:t>
            </w:r>
          </w:p>
        </w:tc>
      </w:tr>
      <w:tr>
        <w:trPr>
          <w:trHeight w:val="219"/>
        </w:trPr>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Property tax</w:t>
            </w:r>
          </w:p>
        </w:tc>
        <w:tc>
          <w:tcPr>
            <w:tcW w:w="1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1,048</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922</w:t>
            </w:r>
          </w:p>
        </w:tc>
      </w:tr>
      <w:tr>
        <w:trPr>
          <w:trHeight w:val="213"/>
        </w:trPr>
        <w:tc>
          <w:tcPr>
            <w:tcW w:w="7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Contingent rent</w:t>
            </w:r>
          </w:p>
        </w:tc>
        <w:tc>
          <w:tcPr>
            <w:tcW w:w="18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952</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1,160</w:t>
            </w:r>
          </w:p>
        </w:tc>
      </w:tr>
      <w:tr>
        <w:trPr>
          <w:trHeight w:val="219"/>
        </w:trPr>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Common area maintenance</w:t>
            </w:r>
          </w:p>
        </w:tc>
        <w:tc>
          <w:tcPr>
            <w:tcW w:w="1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648</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749</w:t>
            </w:r>
          </w:p>
        </w:tc>
      </w:tr>
      <w:tr>
        <w:trPr>
          <w:trHeight w:val="213"/>
        </w:trPr>
        <w:tc>
          <w:tcPr>
            <w:tcW w:w="7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18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7,448</w:t>
            </w: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7,335</w:t>
            </w:r>
          </w:p>
        </w:tc>
      </w:tr>
      <w:tr>
        <w:trPr>
          <w:trHeight w:val="237"/>
        </w:trPr>
        <w:tc>
          <w:tcPr>
            <w:tcW w:w="7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accrued liabilities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32,461</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35,630</w:t>
            </w:r>
          </w:p>
        </w:tc>
      </w:tr>
      <w:tr>
        <w:trPr>
          <w:trHeight w:val="20"/>
        </w:trPr>
        <w:tc>
          <w:tcPr>
            <w:tcW w:w="72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900" w:type="dxa"/>
            <w:vAlign w:val="bottom"/>
            <w:tcBorders>
              <w:top w:val="single" w:sz="8" w:color="CCEEFF"/>
              <w:bottom w:val="single" w:sz="8" w:color="auto"/>
            </w:tcBorders>
          </w:tcPr>
          <w:p>
            <w:pPr>
              <w:spacing w:after="0" w:line="20" w:lineRule="exact"/>
              <w:rPr>
                <w:sz w:val="1"/>
                <w:szCs w:val="1"/>
                <w:color w:val="auto"/>
              </w:rPr>
            </w:pPr>
          </w:p>
        </w:tc>
      </w:tr>
    </w:tbl>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Debt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Long-term debt, net consisted of the following:</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20" w:type="dxa"/>
            <w:vAlign w:val="bottom"/>
            <w:gridSpan w:val="4"/>
          </w:tcPr>
          <w:p>
            <w:pPr>
              <w:ind w:left="620"/>
              <w:spacing w:after="0"/>
              <w:rPr>
                <w:sz w:val="20"/>
                <w:szCs w:val="20"/>
                <w:color w:val="auto"/>
              </w:rPr>
            </w:pPr>
            <w:r>
              <w:rPr>
                <w:rFonts w:ascii="Times New Roman" w:cs="Times New Roman" w:eastAsia="Times New Roman" w:hAnsi="Times New Roman"/>
                <w:sz w:val="16"/>
                <w:szCs w:val="16"/>
                <w:b w:val="1"/>
                <w:bCs w:val="1"/>
                <w:color w:val="auto"/>
              </w:rPr>
              <w:t>MARCH 31, 2024</w:t>
            </w:r>
          </w:p>
        </w:tc>
        <w:tc>
          <w:tcPr>
            <w:tcW w:w="220" w:type="dxa"/>
            <w:vAlign w:val="bottom"/>
          </w:tcPr>
          <w:p>
            <w:pPr>
              <w:spacing w:after="0"/>
              <w:rPr>
                <w:sz w:val="18"/>
                <w:szCs w:val="18"/>
                <w:color w:val="auto"/>
              </w:rPr>
            </w:pPr>
          </w:p>
        </w:tc>
        <w:tc>
          <w:tcPr>
            <w:tcW w:w="2720" w:type="dxa"/>
            <w:vAlign w:val="bottom"/>
            <w:gridSpan w:val="3"/>
          </w:tcPr>
          <w:p>
            <w:pPr>
              <w:ind w:left="480"/>
              <w:spacing w:after="0"/>
              <w:rPr>
                <w:sz w:val="20"/>
                <w:szCs w:val="20"/>
                <w:color w:val="auto"/>
              </w:rPr>
            </w:pPr>
            <w:r>
              <w:rPr>
                <w:rFonts w:ascii="Times New Roman" w:cs="Times New Roman" w:eastAsia="Times New Roman" w:hAnsi="Times New Roman"/>
                <w:sz w:val="16"/>
                <w:szCs w:val="16"/>
                <w:b w:val="1"/>
                <w:bCs w:val="1"/>
                <w:color w:val="auto"/>
              </w:rPr>
              <w:t>DECEMBER 31, 2023</w:t>
            </w:r>
          </w:p>
        </w:tc>
      </w:tr>
      <w:tr>
        <w:trPr>
          <w:trHeight w:val="214"/>
        </w:trPr>
        <w:tc>
          <w:tcPr>
            <w:tcW w:w="5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Balance</w:t>
            </w:r>
          </w:p>
        </w:tc>
        <w:tc>
          <w:tcPr>
            <w:tcW w:w="100" w:type="dxa"/>
            <w:vAlign w:val="bottom"/>
            <w:tcBorders>
              <w:top w:val="single" w:sz="8" w:color="auto"/>
              <w:bottom w:val="single" w:sz="8" w:color="CCEEFF"/>
            </w:tcBorders>
          </w:tcPr>
          <w:p>
            <w:pPr>
              <w:spacing w:after="0"/>
              <w:rPr>
                <w:sz w:val="18"/>
                <w:szCs w:val="18"/>
                <w:color w:val="auto"/>
              </w:rPr>
            </w:pPr>
          </w:p>
        </w:tc>
        <w:tc>
          <w:tcPr>
            <w:tcW w:w="16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Interest Rate</w:t>
            </w:r>
          </w:p>
        </w:tc>
        <w:tc>
          <w:tcPr>
            <w:tcW w:w="12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Balance</w:t>
            </w:r>
          </w:p>
        </w:tc>
        <w:tc>
          <w:tcPr>
            <w:tcW w:w="100" w:type="dxa"/>
            <w:vAlign w:val="bottom"/>
            <w:tcBorders>
              <w:top w:val="single" w:sz="8" w:color="auto"/>
              <w:bottom w:val="single" w:sz="8" w:color="CCEEFF"/>
            </w:tcBorders>
          </w:tcPr>
          <w:p>
            <w:pPr>
              <w:spacing w:after="0"/>
              <w:rPr>
                <w:sz w:val="18"/>
                <w:szCs w:val="18"/>
                <w:color w:val="auto"/>
              </w:rPr>
            </w:pPr>
          </w:p>
        </w:tc>
        <w:tc>
          <w:tcPr>
            <w:tcW w:w="16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Interest Rate</w:t>
            </w:r>
          </w:p>
        </w:tc>
      </w:tr>
      <w:tr>
        <w:trPr>
          <w:trHeight w:val="211"/>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Term Facility</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100,000</w:t>
            </w:r>
          </w:p>
        </w:tc>
        <w:tc>
          <w:tcPr>
            <w:tcW w:w="100" w:type="dxa"/>
            <w:vAlign w:val="bottom"/>
            <w:shd w:val="clear" w:color="auto" w:fill="CCEEFF"/>
          </w:tcPr>
          <w:p>
            <w:pPr>
              <w:spacing w:after="0"/>
              <w:rPr>
                <w:sz w:val="18"/>
                <w:szCs w:val="18"/>
                <w:color w:val="auto"/>
              </w:rPr>
            </w:pPr>
          </w:p>
        </w:tc>
        <w:tc>
          <w:tcPr>
            <w:tcW w:w="1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7.91%</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92,500</w:t>
            </w:r>
          </w:p>
        </w:tc>
        <w:tc>
          <w:tcPr>
            <w:tcW w:w="100" w:type="dxa"/>
            <w:vAlign w:val="bottom"/>
            <w:shd w:val="clear" w:color="auto" w:fill="CCEEFF"/>
          </w:tcPr>
          <w:p>
            <w:pPr>
              <w:spacing w:after="0"/>
              <w:rPr>
                <w:sz w:val="18"/>
                <w:szCs w:val="18"/>
                <w:color w:val="auto"/>
              </w:rPr>
            </w:pPr>
          </w:p>
        </w:tc>
        <w:tc>
          <w:tcPr>
            <w:tcW w:w="1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7.70%</w:t>
            </w:r>
          </w:p>
        </w:tc>
      </w:tr>
      <w:tr>
        <w:trPr>
          <w:trHeight w:val="213"/>
        </w:trPr>
        <w:tc>
          <w:tcPr>
            <w:tcW w:w="5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Revolving Credit Facility</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22,500</w:t>
            </w:r>
          </w:p>
        </w:tc>
        <w:tc>
          <w:tcPr>
            <w:tcW w:w="1700" w:type="dxa"/>
            <w:vAlign w:val="bottom"/>
            <w:gridSpan w:val="2"/>
          </w:tcPr>
          <w:p>
            <w:pPr>
              <w:jc w:val="center"/>
              <w:ind w:left="39"/>
              <w:spacing w:after="0"/>
              <w:rPr>
                <w:sz w:val="20"/>
                <w:szCs w:val="20"/>
                <w:color w:val="auto"/>
              </w:rPr>
            </w:pPr>
            <w:r>
              <w:rPr>
                <w:rFonts w:ascii="Times New Roman" w:cs="Times New Roman" w:eastAsia="Times New Roman" w:hAnsi="Times New Roman"/>
                <w:sz w:val="16"/>
                <w:szCs w:val="16"/>
                <w:color w:val="auto"/>
              </w:rPr>
              <w:t>7.93%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30,000</w:t>
            </w:r>
          </w:p>
        </w:tc>
        <w:tc>
          <w:tcPr>
            <w:tcW w:w="1720" w:type="dxa"/>
            <w:vAlign w:val="bottom"/>
            <w:gridSpan w:val="2"/>
          </w:tcPr>
          <w:p>
            <w:pPr>
              <w:jc w:val="center"/>
              <w:ind w:left="19"/>
              <w:spacing w:after="0"/>
              <w:rPr>
                <w:sz w:val="20"/>
                <w:szCs w:val="20"/>
                <w:color w:val="auto"/>
              </w:rPr>
            </w:pPr>
            <w:r>
              <w:rPr>
                <w:rFonts w:ascii="Times New Roman" w:cs="Times New Roman" w:eastAsia="Times New Roman" w:hAnsi="Times New Roman"/>
                <w:sz w:val="16"/>
                <w:szCs w:val="16"/>
                <w:color w:val="auto"/>
              </w:rPr>
              <w:t>7.72%</w:t>
            </w:r>
          </w:p>
        </w:tc>
      </w:tr>
      <w:tr>
        <w:trPr>
          <w:trHeight w:val="219"/>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Finance lease liabilities</w:t>
            </w: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940</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1,076</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r>
      <w:tr>
        <w:trPr>
          <w:trHeight w:val="213"/>
        </w:trPr>
        <w:tc>
          <w:tcPr>
            <w:tcW w:w="5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Financing obligation</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3,050</w:t>
            </w: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3,050</w:t>
            </w:r>
          </w:p>
        </w:tc>
        <w:tc>
          <w:tcPr>
            <w:tcW w:w="10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219"/>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Unamortized debt discount and deferred issuance costs</w:t>
            </w:r>
          </w:p>
        </w:tc>
        <w:tc>
          <w:tcPr>
            <w:tcW w:w="2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(751)</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(1,231)</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r>
      <w:tr>
        <w:trPr>
          <w:trHeight w:val="207"/>
        </w:trPr>
        <w:tc>
          <w:tcPr>
            <w:tcW w:w="52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Total Debt, net</w:t>
            </w:r>
          </w:p>
        </w:tc>
        <w:tc>
          <w:tcPr>
            <w:tcW w:w="2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125,739</w:t>
            </w: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125,395</w:t>
            </w:r>
          </w:p>
        </w:tc>
        <w:tc>
          <w:tcPr>
            <w:tcW w:w="10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216"/>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Current portion of long-term debt</w:t>
            </w:r>
          </w:p>
        </w:tc>
        <w:tc>
          <w:tcPr>
            <w:tcW w:w="2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(3,034)</w:t>
            </w:r>
          </w:p>
        </w:tc>
        <w:tc>
          <w:tcPr>
            <w:tcW w:w="10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(5,628)</w:t>
            </w:r>
          </w:p>
        </w:tc>
        <w:tc>
          <w:tcPr>
            <w:tcW w:w="10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r>
      <w:tr>
        <w:trPr>
          <w:trHeight w:val="212"/>
        </w:trPr>
        <w:tc>
          <w:tcPr>
            <w:tcW w:w="52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Long-term debt, net</w:t>
            </w: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122,705</w:t>
            </w: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119,767</w:t>
            </w:r>
          </w:p>
        </w:tc>
        <w:tc>
          <w:tcPr>
            <w:tcW w:w="10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20"/>
        </w:trPr>
        <w:tc>
          <w:tcPr>
            <w:tcW w:w="5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Credit Facility</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FWR Holding Corporation (“FWR”), a subsidiary of the Company, is the borrower under the credit agreement dated as of October 6, 2021 (“Credit Agreement”), which provided for (i) a $100.0 million term loan A facility (the “Term Facility”) and (ii) a $75.0 million revolving credit facility (the “Revolving Credit Facility” and, together with the Term Facility, collectively, the “Credit Facility”).</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February 24, 2023, the Company entered into Amendment No. 1 to the Credit Agreement to replace the London interbank offer rate (“LIBOR”) with a secured overnight financing rate (“SOFR”) pursuant to the terms and LIBOR fallback language in the Credit Agreement. All outstanding borrowings under the Credit Agreement continued to bear interest at LIBOR until March 27, 2023.</w:t>
      </w:r>
    </w:p>
    <w:p>
      <w:pPr>
        <w:spacing w:after="0" w:line="6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January 5, 2024, the Company entered into Amendment No. 2 to the Credit Agreement (the “Second Amendment”) with terms substantially identical to the Credit Agreement to (i) replace the $100.0 million Term Facility with a new $100.0 million term loan A facility, (the “New Term Facility”), (ii) replace the $75.0 million Revolving Credit Facility with a new $75.0 million revolving credit facility (the “New Revolving Credit Facility”), (iii) increase the New Revolving Credit Facility by $50.0 million bringing the aggregate committed amount under the New Revolving Credit Facility to $125.0 million and (iv) add a new $125.0 million incremental delayed draw term loan facility (the “New Delayed Draw Term Facility”). The New Delayed Draw Term Facility is available to FWR for a period of 18 months from the Second Amendment date and the proceeds may be used to fund permitted acquisitions and new restaurant capital expenditures, repay revolving loans and/or replenish balance sheet cash, in each case, used for such permitted acquisitions or capital expenditures.</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FIRST WATCH RESTAURANT GROUP,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84"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Loans drawn under the New Delayed Draw Term Facility will amortize in equal quarterly installments at the same amortization rate per annum as then applicable to loans under the New Term Facility. The New Term Facility, the New Revolving Credit Facility and the New Delayed Draw Term Facility mature on January 5, 2029.</w:t>
      </w:r>
    </w:p>
    <w:p>
      <w:pPr>
        <w:spacing w:after="0" w:line="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Effective March 31, 2024, borrowings under the Credit Facility, as amended, bear interest at the option of FWR at either (i) the alternate base rate plus a margin of between 150 and 225 basis points depending on the total rent adjusted net leverage ratio of FWR and its restricted subsidiaries on a consolidated basis (the “Total Rent Adjusted Net Leverage Ratio”) or (ii) SOFR plus a credit spread adjustment of 10 basis points plus a margin of between 250 and 325 basis points depending on the Total Rent Adjusted Net Leverage Ratio. Refer to Note 8, </w:t>
      </w:r>
      <w:r>
        <w:rPr>
          <w:rFonts w:ascii="Times New Roman" w:cs="Times New Roman" w:eastAsia="Times New Roman" w:hAnsi="Times New Roman"/>
          <w:sz w:val="18"/>
          <w:szCs w:val="18"/>
          <w:i w:val="1"/>
          <w:iCs w:val="1"/>
          <w:color w:val="auto"/>
        </w:rPr>
        <w:t>Interest Rate Swaps</w:t>
      </w:r>
      <w:r>
        <w:rPr>
          <w:rFonts w:ascii="Times New Roman" w:cs="Times New Roman" w:eastAsia="Times New Roman" w:hAnsi="Times New Roman"/>
          <w:sz w:val="18"/>
          <w:szCs w:val="18"/>
          <w:color w:val="auto"/>
        </w:rPr>
        <w:t>, for information about the variable-to-fixed interest rate swap agreements entered into in June 2023.</w:t>
      </w:r>
    </w:p>
    <w:p>
      <w:pPr>
        <w:spacing w:after="0" w:line="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On April 12, 2024, the Company drew $97.5 million of the $125.0 million New Delayed Draw Term Facility. The proceeds of which were used to repay $22.5 million of borrowings under the New Revolving Credit Facility and fund the acquisition which was completed for approximately $75.0 million on April 15, 2024 as discussed in Note 14, </w:t>
      </w:r>
      <w:r>
        <w:rPr>
          <w:rFonts w:ascii="Times New Roman" w:cs="Times New Roman" w:eastAsia="Times New Roman" w:hAnsi="Times New Roman"/>
          <w:sz w:val="18"/>
          <w:szCs w:val="18"/>
          <w:i w:val="1"/>
          <w:iCs w:val="1"/>
          <w:color w:val="auto"/>
        </w:rPr>
        <w:t>Subsequent Events.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of Debt</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estimated fair value of the outstanding debt, excluding finance lease obligations and financing obligations, is classified as Level 3 in the fair value hierarchy and was estimated using discounted cash flow models, market yield and yield volatility. The following table includes the carrying value and fair value of the Company’s debt as of the periods indicated:</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0" w:type="dxa"/>
            <w:vAlign w:val="bottom"/>
            <w:gridSpan w:val="4"/>
          </w:tcPr>
          <w:p>
            <w:pPr>
              <w:ind w:left="740"/>
              <w:spacing w:after="0"/>
              <w:rPr>
                <w:sz w:val="20"/>
                <w:szCs w:val="20"/>
                <w:color w:val="auto"/>
              </w:rPr>
            </w:pPr>
            <w:r>
              <w:rPr>
                <w:rFonts w:ascii="Times New Roman" w:cs="Times New Roman" w:eastAsia="Times New Roman" w:hAnsi="Times New Roman"/>
                <w:sz w:val="16"/>
                <w:szCs w:val="16"/>
                <w:b w:val="1"/>
                <w:bCs w:val="1"/>
                <w:color w:val="auto"/>
              </w:rPr>
              <w:t>MARCH 31, 2024</w:t>
            </w:r>
          </w:p>
        </w:tc>
        <w:tc>
          <w:tcPr>
            <w:tcW w:w="180" w:type="dxa"/>
            <w:vAlign w:val="bottom"/>
          </w:tcPr>
          <w:p>
            <w:pPr>
              <w:spacing w:after="0"/>
              <w:rPr>
                <w:sz w:val="18"/>
                <w:szCs w:val="18"/>
                <w:color w:val="auto"/>
              </w:rPr>
            </w:pPr>
          </w:p>
        </w:tc>
        <w:tc>
          <w:tcPr>
            <w:tcW w:w="2820" w:type="dxa"/>
            <w:vAlign w:val="bottom"/>
            <w:gridSpan w:val="3"/>
          </w:tcPr>
          <w:p>
            <w:pPr>
              <w:jc w:val="right"/>
              <w:ind w:right="633"/>
              <w:spacing w:after="0"/>
              <w:rPr>
                <w:sz w:val="20"/>
                <w:szCs w:val="20"/>
                <w:color w:val="auto"/>
              </w:rPr>
            </w:pPr>
            <w:r>
              <w:rPr>
                <w:rFonts w:ascii="Times New Roman" w:cs="Times New Roman" w:eastAsia="Times New Roman" w:hAnsi="Times New Roman"/>
                <w:sz w:val="16"/>
                <w:szCs w:val="16"/>
                <w:b w:val="1"/>
                <w:bCs w:val="1"/>
                <w:color w:val="auto"/>
              </w:rPr>
              <w:t>DECEMBER 31, 2023</w:t>
            </w:r>
          </w:p>
        </w:tc>
      </w:tr>
      <w:tr>
        <w:trPr>
          <w:trHeight w:val="212"/>
        </w:trPr>
        <w:tc>
          <w:tcPr>
            <w:tcW w:w="5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8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right"/>
              <w:ind w:right="215"/>
              <w:spacing w:after="0"/>
              <w:rPr>
                <w:sz w:val="20"/>
                <w:szCs w:val="20"/>
                <w:color w:val="auto"/>
              </w:rPr>
            </w:pPr>
            <w:r>
              <w:rPr>
                <w:rFonts w:ascii="Times New Roman" w:cs="Times New Roman" w:eastAsia="Times New Roman" w:hAnsi="Times New Roman"/>
                <w:sz w:val="16"/>
                <w:szCs w:val="16"/>
                <w:b w:val="1"/>
                <w:bCs w:val="1"/>
                <w:color w:val="auto"/>
              </w:rPr>
              <w:t>Carrying Value</w:t>
            </w:r>
          </w:p>
        </w:tc>
        <w:tc>
          <w:tcPr>
            <w:tcW w:w="28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ind w:right="233"/>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ind w:right="175"/>
              <w:spacing w:after="0"/>
              <w:rPr>
                <w:sz w:val="20"/>
                <w:szCs w:val="20"/>
                <w:color w:val="auto"/>
              </w:rPr>
            </w:pPr>
            <w:r>
              <w:rPr>
                <w:rFonts w:ascii="Times New Roman" w:cs="Times New Roman" w:eastAsia="Times New Roman" w:hAnsi="Times New Roman"/>
                <w:sz w:val="16"/>
                <w:szCs w:val="16"/>
                <w:b w:val="1"/>
                <w:bCs w:val="1"/>
                <w:color w:val="auto"/>
              </w:rPr>
              <w:t>Carrying Value</w:t>
            </w:r>
          </w:p>
        </w:tc>
        <w:tc>
          <w:tcPr>
            <w:tcW w:w="28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ind w:right="233"/>
              <w:spacing w:after="0"/>
              <w:rPr>
                <w:sz w:val="20"/>
                <w:szCs w:val="20"/>
                <w:color w:val="auto"/>
              </w:rPr>
            </w:pPr>
            <w:r>
              <w:rPr>
                <w:rFonts w:ascii="Times New Roman" w:cs="Times New Roman" w:eastAsia="Times New Roman" w:hAnsi="Times New Roman"/>
                <w:sz w:val="16"/>
                <w:szCs w:val="16"/>
                <w:b w:val="1"/>
                <w:bCs w:val="1"/>
                <w:color w:val="auto"/>
              </w:rPr>
              <w:t>Fair Value</w:t>
            </w:r>
          </w:p>
        </w:tc>
      </w:tr>
      <w:tr>
        <w:trPr>
          <w:trHeight w:val="230"/>
        </w:trPr>
        <w:tc>
          <w:tcPr>
            <w:tcW w:w="5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Term Facility</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100,000</w:t>
            </w:r>
          </w:p>
        </w:tc>
        <w:tc>
          <w:tcPr>
            <w:tcW w:w="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99,564</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92,500</w:t>
            </w:r>
          </w:p>
        </w:tc>
        <w:tc>
          <w:tcPr>
            <w:tcW w:w="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92,201</w:t>
            </w:r>
          </w:p>
        </w:tc>
      </w:tr>
      <w:tr>
        <w:trPr>
          <w:trHeight w:val="229"/>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Revolving Credit Facility</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22,500</w:t>
            </w:r>
          </w:p>
        </w:tc>
        <w:tc>
          <w:tcPr>
            <w:tcW w:w="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22,389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30,000</w:t>
            </w:r>
          </w:p>
        </w:tc>
        <w:tc>
          <w:tcPr>
            <w:tcW w:w="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29,897</w:t>
            </w:r>
          </w:p>
        </w:tc>
      </w:tr>
    </w:tbl>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Interest Rate Swaps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June 23, 2023, the Company entered into variable-to-fixed interest rate swaps to hedge a portion of the cash flows of the Company’s variable rate debt. The interest rate swaps have an aggregate notional amount of $90 million and mature on October 6, 2026. Under the terms of the interest rate swaps, the Company will pay a weighted average fixed rate of 4.16% on the notional amount and will receive payments from the counterparties based on the three-month SOFR rate.</w:t>
      </w:r>
    </w:p>
    <w:p>
      <w:pPr>
        <w:spacing w:after="0" w:line="7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fair value measurement of the interest rate swaps was based on the contractual terms and used observable market-based inputs. The interest rate swaps were valued using a discounted cash flow analysis on the expected cash flows using observable inputs including interest rate curves and credit spreads. Although the majority of the inputs used to value the instruments fall within Level 2 of the fair value hierarchy, the credit valuation adjustments utilized Level 3 inputs, such as estimates of current credit spreads to evaluate the likelihood of default by the Company and the counterparties. The Company has determined that the impact of the credit valuation adjustments was not significant to the overall valuation. As a result, the derivative was classified as Level 2 of the fair value hierarchy.</w:t>
      </w:r>
    </w:p>
    <w:p>
      <w:pPr>
        <w:spacing w:after="0" w:line="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Amounts reported in Other comprehensive income related to the interest rate swaps will be reclassified to interest expense as interest payments are made on the Company’s variable-rate debt. During the thirteen weeks ended March 31, 2024, a total of $0.3 million was reclassified from Other comprehensive income (loss) as a reduction to Interest expense. Over the next 12 months, the Company estimates that $0.7 million will be reclassified as a reduction to interest expense.</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FIRST WATCH RESTAURANT GROUP,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9.</w:t>
        <w:tab/>
        <w:t>Leases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includes a detail of lease assets and liabilities: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32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9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Consolidated Balance Sheets Classification</w:t>
            </w:r>
          </w:p>
        </w:tc>
        <w:tc>
          <w:tcPr>
            <w:tcW w:w="180" w:type="dxa"/>
            <w:vAlign w:val="bottom"/>
          </w:tcPr>
          <w:p>
            <w:pPr>
              <w:spacing w:after="0"/>
              <w:rPr>
                <w:sz w:val="18"/>
                <w:szCs w:val="18"/>
                <w:color w:val="auto"/>
              </w:rPr>
            </w:pPr>
          </w:p>
        </w:tc>
        <w:tc>
          <w:tcPr>
            <w:tcW w:w="168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MARCH 31, 2024</w:t>
            </w:r>
          </w:p>
        </w:tc>
        <w:tc>
          <w:tcPr>
            <w:tcW w:w="200" w:type="dxa"/>
            <w:vAlign w:val="bottom"/>
          </w:tcPr>
          <w:p>
            <w:pPr>
              <w:spacing w:after="0"/>
              <w:rPr>
                <w:sz w:val="18"/>
                <w:szCs w:val="18"/>
                <w:color w:val="auto"/>
              </w:rPr>
            </w:pPr>
          </w:p>
        </w:tc>
        <w:tc>
          <w:tcPr>
            <w:tcW w:w="194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DECEMBER 31, 2023</w:t>
            </w:r>
          </w:p>
        </w:tc>
      </w:tr>
      <w:tr>
        <w:trPr>
          <w:trHeight w:val="212"/>
        </w:trPr>
        <w:tc>
          <w:tcPr>
            <w:tcW w:w="3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38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422,589</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420,001</w:t>
            </w:r>
          </w:p>
        </w:tc>
      </w:tr>
      <w:tr>
        <w:trPr>
          <w:trHeight w:val="213"/>
        </w:trPr>
        <w:tc>
          <w:tcPr>
            <w:tcW w:w="3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Finance lease assets</w:t>
            </w:r>
          </w:p>
        </w:tc>
        <w:tc>
          <w:tcPr>
            <w:tcW w:w="39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Property, fixtures and equipment, net</w:t>
            </w:r>
          </w:p>
        </w:tc>
        <w:tc>
          <w:tcPr>
            <w:tcW w:w="1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923</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1,033</w:t>
            </w:r>
          </w:p>
        </w:tc>
      </w:tr>
      <w:tr>
        <w:trPr>
          <w:trHeight w:val="235"/>
        </w:trPr>
        <w:tc>
          <w:tcPr>
            <w:tcW w:w="33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 lease assets</w:t>
            </w:r>
          </w:p>
        </w:tc>
        <w:tc>
          <w:tcPr>
            <w:tcW w:w="38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423,512</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421,034</w:t>
            </w:r>
          </w:p>
        </w:tc>
      </w:tr>
      <w:tr>
        <w:trPr>
          <w:trHeight w:val="20"/>
        </w:trPr>
        <w:tc>
          <w:tcPr>
            <w:tcW w:w="3320" w:type="dxa"/>
            <w:vAlign w:val="bottom"/>
            <w:tcBorders>
              <w:top w:val="single" w:sz="8" w:color="CCEEFF"/>
            </w:tcBorders>
          </w:tcPr>
          <w:p>
            <w:pPr>
              <w:spacing w:after="0" w:line="20" w:lineRule="exact"/>
              <w:rPr>
                <w:sz w:val="1"/>
                <w:szCs w:val="1"/>
                <w:color w:val="auto"/>
              </w:rPr>
            </w:pPr>
          </w:p>
        </w:tc>
        <w:tc>
          <w:tcPr>
            <w:tcW w:w="38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 xml:space="preserve">Operating lease liabilities </w:t>
      </w:r>
      <w:r>
        <w:rPr>
          <w:rFonts w:ascii="Times New Roman" w:cs="Times New Roman" w:eastAsia="Times New Roman" w:hAnsi="Times New Roman"/>
          <w:sz w:val="21"/>
          <w:szCs w:val="21"/>
          <w:color w:val="auto"/>
          <w:vertAlign w:val="superscript"/>
        </w:rPr>
        <w:t>(1)</w:t>
      </w:r>
      <w:r>
        <w:rPr>
          <w:rFonts w:ascii="Times New Roman" w:cs="Times New Roman" w:eastAsia="Times New Roman" w:hAnsi="Times New Roman"/>
          <w:sz w:val="16"/>
          <w:szCs w:val="16"/>
          <w:color w:val="auto"/>
        </w:rPr>
        <w:t xml:space="preserve"> - current</w:t>
      </w:r>
    </w:p>
    <w:p>
      <w:pPr>
        <w:ind w:left="20"/>
        <w:spacing w:after="0"/>
        <w:rPr>
          <w:sz w:val="20"/>
          <w:szCs w:val="20"/>
          <w:color w:val="auto"/>
        </w:rPr>
      </w:pPr>
      <w:r>
        <w:rPr>
          <w:rFonts w:ascii="Times New Roman" w:cs="Times New Roman" w:eastAsia="Times New Roman" w:hAnsi="Times New Roman"/>
          <w:sz w:val="16"/>
          <w:szCs w:val="16"/>
          <w:color w:val="auto"/>
        </w:rPr>
        <w:t>Operating lease liabilities - non-current</w:t>
      </w:r>
    </w:p>
    <w:p>
      <w:pPr>
        <w:spacing w:after="0" w:line="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Finance lease liabilities - current</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Finance lease liabilities - non-current</w:t>
      </w:r>
    </w:p>
    <w:p>
      <w:pPr>
        <w:spacing w:after="0" w:line="7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Total lease liabilities</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0"/>
        </w:trPr>
        <w:tc>
          <w:tcPr>
            <w:tcW w:w="45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Current portion of operating lease liabilities</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41,316</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40,281</w:t>
            </w:r>
          </w:p>
        </w:tc>
      </w:tr>
      <w:tr>
        <w:trPr>
          <w:trHeight w:val="216"/>
        </w:trPr>
        <w:tc>
          <w:tcPr>
            <w:tcW w:w="45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444,384</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441,290</w:t>
            </w:r>
          </w:p>
        </w:tc>
      </w:tr>
      <w:tr>
        <w:trPr>
          <w:trHeight w:val="216"/>
        </w:trPr>
        <w:tc>
          <w:tcPr>
            <w:tcW w:w="45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Current portion of long-term debt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534</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628</w:t>
            </w:r>
          </w:p>
        </w:tc>
      </w:tr>
      <w:tr>
        <w:trPr>
          <w:trHeight w:val="219"/>
        </w:trPr>
        <w:tc>
          <w:tcPr>
            <w:tcW w:w="45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Long-term debt, net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406</w:t>
            </w: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448</w:t>
            </w:r>
          </w:p>
        </w:tc>
      </w:tr>
      <w:tr>
        <w:trPr>
          <w:trHeight w:val="210"/>
        </w:trPr>
        <w:tc>
          <w:tcPr>
            <w:tcW w:w="3900" w:type="dxa"/>
            <w:vAlign w:val="bottom"/>
          </w:tcPr>
          <w:p>
            <w:pPr>
              <w:spacing w:after="0"/>
              <w:rPr>
                <w:sz w:val="18"/>
                <w:szCs w:val="18"/>
                <w:color w:val="auto"/>
              </w:rPr>
            </w:pPr>
          </w:p>
        </w:tc>
        <w:tc>
          <w:tcPr>
            <w:tcW w:w="640" w:type="dxa"/>
            <w:vAlign w:val="bottom"/>
            <w:tcBorders>
              <w:top w:val="single" w:sz="8" w:color="auto"/>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486,640</w:t>
            </w:r>
          </w:p>
        </w:tc>
        <w:tc>
          <w:tcPr>
            <w:tcW w:w="100" w:type="dxa"/>
            <w:vAlign w:val="bottom"/>
          </w:tcPr>
          <w:p>
            <w:pPr>
              <w:spacing w:after="0"/>
              <w:rPr>
                <w:sz w:val="18"/>
                <w:szCs w:val="18"/>
                <w:color w:val="auto"/>
              </w:rPr>
            </w:pPr>
          </w:p>
        </w:tc>
        <w:tc>
          <w:tcPr>
            <w:tcW w:w="820" w:type="dxa"/>
            <w:vAlign w:val="bottom"/>
            <w:tcBorders>
              <w:top w:val="single" w:sz="8" w:color="auto"/>
              <w:bottom w:val="single" w:sz="8" w:color="auto"/>
            </w:tcBorders>
          </w:tcPr>
          <w:p>
            <w:pPr>
              <w:jc w:val="right"/>
              <w:ind w:right="63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482,647</w:t>
            </w:r>
          </w:p>
        </w:tc>
      </w:tr>
      <w:tr>
        <w:trPr>
          <w:trHeight w:val="23"/>
        </w:trPr>
        <w:tc>
          <w:tcPr>
            <w:tcW w:w="390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-2115185</wp:posOffset>
            </wp:positionH>
            <wp:positionV relativeFrom="paragraph">
              <wp:posOffset>-728345</wp:posOffset>
            </wp:positionV>
            <wp:extent cx="7132320" cy="1371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-2115185</wp:posOffset>
            </wp:positionH>
            <wp:positionV relativeFrom="paragraph">
              <wp:posOffset>-454025</wp:posOffset>
            </wp:positionV>
            <wp:extent cx="7132320" cy="1371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-2115185</wp:posOffset>
            </wp:positionH>
            <wp:positionV relativeFrom="paragraph">
              <wp:posOffset>-179070</wp:posOffset>
            </wp:positionV>
            <wp:extent cx="7132320" cy="1625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184" w:lineRule="exact"/>
        <w:rPr>
          <w:sz w:val="20"/>
          <w:szCs w:val="20"/>
          <w:color w:val="auto"/>
        </w:rPr>
      </w:pPr>
    </w:p>
    <w:p>
      <w:pPr>
        <w:sectPr>
          <w:pgSz w:w="11900" w:h="16838" w:orient="portrait"/>
          <w:cols w:equalWidth="0" w:num="2">
            <w:col w:w="2620" w:space="720"/>
            <w:col w:w="7900"/>
          </w:cols>
          <w:pgMar w:left="320" w:top="121"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_____________</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 Excludes all variable lease expense.</w:t>
      </w: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lease expense are as follows: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3020" w:type="dxa"/>
            <w:vAlign w:val="bottom"/>
          </w:tcPr>
          <w:p>
            <w:pPr>
              <w:spacing w:after="0"/>
              <w:rPr>
                <w:sz w:val="18"/>
                <w:szCs w:val="18"/>
                <w:color w:val="auto"/>
              </w:rPr>
            </w:pPr>
          </w:p>
        </w:tc>
        <w:tc>
          <w:tcPr>
            <w:tcW w:w="436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Consolidated Statements of Operations and Comprehensive</w:t>
            </w:r>
          </w:p>
        </w:tc>
        <w:tc>
          <w:tcPr>
            <w:tcW w:w="180" w:type="dxa"/>
            <w:vAlign w:val="bottom"/>
            <w:tcBorders>
              <w:bottom w:val="single" w:sz="8" w:color="auto"/>
            </w:tcBorders>
          </w:tcPr>
          <w:p>
            <w:pPr>
              <w:spacing w:after="0"/>
              <w:rPr>
                <w:sz w:val="18"/>
                <w:szCs w:val="18"/>
                <w:color w:val="auto"/>
              </w:rPr>
            </w:pPr>
          </w:p>
        </w:tc>
        <w:tc>
          <w:tcPr>
            <w:tcW w:w="3680" w:type="dxa"/>
            <w:vAlign w:val="bottom"/>
            <w:tcBorders>
              <w:bottom w:val="single" w:sz="8" w:color="auto"/>
            </w:tcBorders>
            <w:gridSpan w:val="4"/>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THIRTEEN WEEKS ENDED</w:t>
            </w:r>
          </w:p>
        </w:tc>
        <w:tc>
          <w:tcPr>
            <w:tcW w:w="0" w:type="dxa"/>
            <w:vAlign w:val="bottom"/>
          </w:tcPr>
          <w:p>
            <w:pPr>
              <w:spacing w:after="0"/>
              <w:rPr>
                <w:sz w:val="1"/>
                <w:szCs w:val="1"/>
                <w:color w:val="auto"/>
              </w:rPr>
            </w:pPr>
          </w:p>
        </w:tc>
      </w:tr>
      <w:tr>
        <w:trPr>
          <w:trHeight w:val="208"/>
        </w:trPr>
        <w:tc>
          <w:tcPr>
            <w:tcW w:w="302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436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Income Classification</w:t>
            </w:r>
          </w:p>
        </w:tc>
        <w:tc>
          <w:tcPr>
            <w:tcW w:w="180" w:type="dxa"/>
            <w:vAlign w:val="bottom"/>
          </w:tcPr>
          <w:p>
            <w:pPr>
              <w:spacing w:after="0"/>
              <w:rPr>
                <w:sz w:val="18"/>
                <w:szCs w:val="18"/>
                <w:color w:val="auto"/>
              </w:rPr>
            </w:pPr>
          </w:p>
        </w:tc>
        <w:tc>
          <w:tcPr>
            <w:tcW w:w="170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MARCH 31, 2024</w:t>
            </w:r>
          </w:p>
        </w:tc>
        <w:tc>
          <w:tcPr>
            <w:tcW w:w="240" w:type="dxa"/>
            <w:vAlign w:val="bottom"/>
          </w:tcPr>
          <w:p>
            <w:pPr>
              <w:spacing w:after="0"/>
              <w:rPr>
                <w:sz w:val="18"/>
                <w:szCs w:val="18"/>
                <w:color w:val="auto"/>
              </w:rPr>
            </w:pPr>
          </w:p>
        </w:tc>
        <w:tc>
          <w:tcPr>
            <w:tcW w:w="1740" w:type="dxa"/>
            <w:vAlign w:val="bottom"/>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MARCH 26, 2023</w:t>
            </w:r>
          </w:p>
        </w:tc>
        <w:tc>
          <w:tcPr>
            <w:tcW w:w="0" w:type="dxa"/>
            <w:vAlign w:val="bottom"/>
          </w:tcPr>
          <w:p>
            <w:pPr>
              <w:spacing w:after="0"/>
              <w:rPr>
                <w:sz w:val="1"/>
                <w:szCs w:val="1"/>
                <w:color w:val="auto"/>
              </w:rPr>
            </w:pPr>
          </w:p>
        </w:tc>
      </w:tr>
      <w:tr>
        <w:trPr>
          <w:trHeight w:val="157"/>
        </w:trPr>
        <w:tc>
          <w:tcPr>
            <w:tcW w:w="3020" w:type="dxa"/>
            <w:vAlign w:val="bottom"/>
            <w:tcBorders>
              <w:top w:val="single" w:sz="8" w:color="CCEEFF"/>
            </w:tcBorders>
            <w:shd w:val="clear" w:color="auto" w:fill="CCEEFF"/>
          </w:tcPr>
          <w:p>
            <w:pPr>
              <w:ind w:left="20"/>
              <w:spacing w:after="0" w:line="158" w:lineRule="exact"/>
              <w:rPr>
                <w:sz w:val="20"/>
                <w:szCs w:val="20"/>
                <w:color w:val="auto"/>
              </w:rPr>
            </w:pPr>
            <w:r>
              <w:rPr>
                <w:rFonts w:ascii="Times New Roman" w:cs="Times New Roman" w:eastAsia="Times New Roman" w:hAnsi="Times New Roman"/>
                <w:sz w:val="16"/>
                <w:szCs w:val="16"/>
                <w:color w:val="auto"/>
              </w:rPr>
              <w:t>Operating lease expense</w:t>
            </w:r>
          </w:p>
        </w:tc>
        <w:tc>
          <w:tcPr>
            <w:tcW w:w="4260" w:type="dxa"/>
            <w:vAlign w:val="bottom"/>
            <w:tcBorders>
              <w:top w:val="single" w:sz="8" w:color="auto"/>
            </w:tcBorders>
            <w:shd w:val="clear" w:color="auto" w:fill="CCEEFF"/>
          </w:tcPr>
          <w:p>
            <w:pPr>
              <w:ind w:left="20"/>
              <w:spacing w:after="0" w:line="158" w:lineRule="exact"/>
              <w:rPr>
                <w:sz w:val="20"/>
                <w:szCs w:val="20"/>
                <w:color w:val="auto"/>
              </w:rPr>
            </w:pPr>
            <w:r>
              <w:rPr>
                <w:rFonts w:ascii="Times New Roman" w:cs="Times New Roman" w:eastAsia="Times New Roman" w:hAnsi="Times New Roman"/>
                <w:sz w:val="16"/>
                <w:szCs w:val="16"/>
                <w:color w:val="auto"/>
              </w:rPr>
              <w:t>Other restaurant operating expenses</w:t>
            </w:r>
          </w:p>
        </w:tc>
        <w:tc>
          <w:tcPr>
            <w:tcW w:w="10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16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174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020" w:type="dxa"/>
            <w:vAlign w:val="bottom"/>
            <w:shd w:val="clear" w:color="auto" w:fill="CCEEFF"/>
          </w:tcPr>
          <w:p>
            <w:pPr>
              <w:spacing w:after="0"/>
              <w:rPr>
                <w:sz w:val="14"/>
                <w:szCs w:val="14"/>
                <w:color w:val="auto"/>
              </w:rPr>
            </w:pPr>
          </w:p>
        </w:tc>
        <w:tc>
          <w:tcPr>
            <w:tcW w:w="4360" w:type="dxa"/>
            <w:vAlign w:val="bottom"/>
            <w:gridSpan w:val="2"/>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color w:val="auto"/>
              </w:rPr>
              <w:t>Occupancy expenses</w:t>
            </w:r>
          </w:p>
        </w:tc>
        <w:tc>
          <w:tcPr>
            <w:tcW w:w="180" w:type="dxa"/>
            <w:vAlign w:val="bottom"/>
            <w:shd w:val="clear" w:color="auto" w:fill="CCEEFF"/>
          </w:tcPr>
          <w:p>
            <w:pPr>
              <w:spacing w:after="0"/>
              <w:rPr>
                <w:sz w:val="14"/>
                <w:szCs w:val="14"/>
                <w:color w:val="auto"/>
              </w:rPr>
            </w:pPr>
          </w:p>
        </w:tc>
        <w:tc>
          <w:tcPr>
            <w:tcW w:w="1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7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020" w:type="dxa"/>
            <w:vAlign w:val="bottom"/>
            <w:shd w:val="clear" w:color="auto" w:fill="CCEEFF"/>
          </w:tcPr>
          <w:p>
            <w:pPr>
              <w:spacing w:after="0"/>
              <w:rPr>
                <w:sz w:val="14"/>
                <w:szCs w:val="14"/>
                <w:color w:val="auto"/>
              </w:rPr>
            </w:pPr>
          </w:p>
        </w:tc>
        <w:tc>
          <w:tcPr>
            <w:tcW w:w="4360" w:type="dxa"/>
            <w:vAlign w:val="bottom"/>
            <w:gridSpan w:val="2"/>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color w:val="auto"/>
              </w:rPr>
              <w:t>Pre-opening expenses</w:t>
            </w: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15,693</w:t>
            </w:r>
          </w:p>
        </w:tc>
        <w:tc>
          <w:tcPr>
            <w:tcW w:w="100" w:type="dxa"/>
            <w:vAlign w:val="bottom"/>
            <w:shd w:val="clear" w:color="auto" w:fill="CCEEFF"/>
          </w:tcPr>
          <w:p>
            <w:pPr>
              <w:spacing w:after="0"/>
              <w:rPr>
                <w:sz w:val="14"/>
                <w:szCs w:val="14"/>
                <w:color w:val="auto"/>
              </w:rPr>
            </w:pPr>
          </w:p>
        </w:tc>
        <w:tc>
          <w:tcPr>
            <w:tcW w:w="240" w:type="dxa"/>
            <w:vAlign w:val="bottom"/>
            <w:vMerge w:val="restart"/>
            <w:shd w:val="clear" w:color="auto" w:fill="CCEEFF"/>
          </w:tcPr>
          <w:p>
            <w:pPr>
              <w:jc w:val="center"/>
              <w:ind w:right="39"/>
              <w:spacing w:after="0"/>
              <w:rPr>
                <w:sz w:val="20"/>
                <w:szCs w:val="20"/>
                <w:color w:val="auto"/>
              </w:rPr>
            </w:pPr>
            <w:r>
              <w:rPr>
                <w:rFonts w:ascii="Times New Roman" w:cs="Times New Roman" w:eastAsia="Times New Roman" w:hAnsi="Times New Roman"/>
                <w:sz w:val="16"/>
                <w:szCs w:val="16"/>
                <w:color w:val="auto"/>
                <w:w w:val="99"/>
              </w:rPr>
              <w:t>$</w:t>
            </w:r>
          </w:p>
        </w:tc>
        <w:tc>
          <w:tcPr>
            <w:tcW w:w="1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12,969</w:t>
            </w:r>
          </w:p>
        </w:tc>
        <w:tc>
          <w:tcPr>
            <w:tcW w:w="0" w:type="dxa"/>
            <w:vAlign w:val="bottom"/>
          </w:tcPr>
          <w:p>
            <w:pPr>
              <w:spacing w:after="0"/>
              <w:rPr>
                <w:sz w:val="1"/>
                <w:szCs w:val="1"/>
                <w:color w:val="auto"/>
              </w:rPr>
            </w:pPr>
          </w:p>
        </w:tc>
      </w:tr>
      <w:tr>
        <w:trPr>
          <w:trHeight w:val="216"/>
        </w:trPr>
        <w:tc>
          <w:tcPr>
            <w:tcW w:w="3020" w:type="dxa"/>
            <w:vAlign w:val="bottom"/>
            <w:shd w:val="clear" w:color="auto" w:fill="CCEEFF"/>
          </w:tcPr>
          <w:p>
            <w:pPr>
              <w:spacing w:after="0"/>
              <w:rPr>
                <w:sz w:val="18"/>
                <w:szCs w:val="18"/>
                <w:color w:val="auto"/>
              </w:rPr>
            </w:pPr>
          </w:p>
        </w:tc>
        <w:tc>
          <w:tcPr>
            <w:tcW w:w="4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General and administrative expenses</w:t>
            </w:r>
          </w:p>
        </w:tc>
        <w:tc>
          <w:tcPr>
            <w:tcW w:w="180" w:type="dxa"/>
            <w:vAlign w:val="bottom"/>
            <w:vMerge w:val="continue"/>
            <w:shd w:val="clear" w:color="auto" w:fill="CCEEFF"/>
          </w:tcPr>
          <w:p>
            <w:pPr>
              <w:spacing w:after="0"/>
              <w:rPr>
                <w:sz w:val="18"/>
                <w:szCs w:val="18"/>
                <w:color w:val="auto"/>
              </w:rPr>
            </w:pPr>
          </w:p>
        </w:tc>
        <w:tc>
          <w:tcPr>
            <w:tcW w:w="16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vMerge w:val="continue"/>
            <w:shd w:val="clear" w:color="auto" w:fill="CCEEFF"/>
          </w:tcPr>
          <w:p>
            <w:pPr>
              <w:spacing w:after="0"/>
              <w:rPr>
                <w:sz w:val="18"/>
                <w:szCs w:val="18"/>
                <w:color w:val="auto"/>
              </w:rPr>
            </w:pPr>
          </w:p>
        </w:tc>
        <w:tc>
          <w:tcPr>
            <w:tcW w:w="17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302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Variable lease expense</w:t>
            </w:r>
          </w:p>
        </w:tc>
        <w:tc>
          <w:tcPr>
            <w:tcW w:w="4360" w:type="dxa"/>
            <w:vAlign w:val="bottom"/>
            <w:gridSpan w:val="2"/>
          </w:tcPr>
          <w:p>
            <w:pPr>
              <w:ind w:left="20"/>
              <w:spacing w:after="0" w:line="162" w:lineRule="exact"/>
              <w:rPr>
                <w:sz w:val="20"/>
                <w:szCs w:val="20"/>
                <w:color w:val="auto"/>
              </w:rPr>
            </w:pPr>
            <w:r>
              <w:rPr>
                <w:rFonts w:ascii="Times New Roman" w:cs="Times New Roman" w:eastAsia="Times New Roman" w:hAnsi="Times New Roman"/>
                <w:sz w:val="16"/>
                <w:szCs w:val="16"/>
                <w:color w:val="auto"/>
              </w:rPr>
              <w:t>Food and beverage costs</w:t>
            </w:r>
          </w:p>
        </w:tc>
        <w:tc>
          <w:tcPr>
            <w:tcW w:w="1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020" w:type="dxa"/>
            <w:vAlign w:val="bottom"/>
          </w:tcPr>
          <w:p>
            <w:pPr>
              <w:spacing w:after="0"/>
              <w:rPr>
                <w:sz w:val="14"/>
                <w:szCs w:val="14"/>
                <w:color w:val="auto"/>
              </w:rPr>
            </w:pPr>
          </w:p>
        </w:tc>
        <w:tc>
          <w:tcPr>
            <w:tcW w:w="4360" w:type="dxa"/>
            <w:vAlign w:val="bottom"/>
            <w:gridSpan w:val="2"/>
          </w:tcPr>
          <w:p>
            <w:pPr>
              <w:ind w:left="20"/>
              <w:spacing w:after="0" w:line="162" w:lineRule="exact"/>
              <w:rPr>
                <w:sz w:val="20"/>
                <w:szCs w:val="20"/>
                <w:color w:val="auto"/>
              </w:rPr>
            </w:pPr>
            <w:r>
              <w:rPr>
                <w:rFonts w:ascii="Times New Roman" w:cs="Times New Roman" w:eastAsia="Times New Roman" w:hAnsi="Times New Roman"/>
                <w:sz w:val="16"/>
                <w:szCs w:val="16"/>
                <w:color w:val="auto"/>
              </w:rPr>
              <w:t>Occupancy expenses</w:t>
            </w:r>
          </w:p>
        </w:tc>
        <w:tc>
          <w:tcPr>
            <w:tcW w:w="180" w:type="dxa"/>
            <w:vAlign w:val="bottom"/>
          </w:tcPr>
          <w:p>
            <w:pPr>
              <w:spacing w:after="0"/>
              <w:rPr>
                <w:sz w:val="14"/>
                <w:szCs w:val="14"/>
                <w:color w:val="auto"/>
              </w:rPr>
            </w:pPr>
          </w:p>
        </w:tc>
        <w:tc>
          <w:tcPr>
            <w:tcW w:w="16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4,608</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3,880</w:t>
            </w:r>
          </w:p>
        </w:tc>
        <w:tc>
          <w:tcPr>
            <w:tcW w:w="0" w:type="dxa"/>
            <w:vAlign w:val="bottom"/>
          </w:tcPr>
          <w:p>
            <w:pPr>
              <w:spacing w:after="0"/>
              <w:rPr>
                <w:sz w:val="1"/>
                <w:szCs w:val="1"/>
                <w:color w:val="auto"/>
              </w:rPr>
            </w:pPr>
          </w:p>
        </w:tc>
      </w:tr>
      <w:tr>
        <w:trPr>
          <w:trHeight w:val="213"/>
        </w:trPr>
        <w:tc>
          <w:tcPr>
            <w:tcW w:w="3020" w:type="dxa"/>
            <w:vAlign w:val="bottom"/>
          </w:tcPr>
          <w:p>
            <w:pPr>
              <w:spacing w:after="0"/>
              <w:rPr>
                <w:sz w:val="18"/>
                <w:szCs w:val="18"/>
                <w:color w:val="auto"/>
              </w:rPr>
            </w:pPr>
          </w:p>
        </w:tc>
        <w:tc>
          <w:tcPr>
            <w:tcW w:w="43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General and administrative expenses</w:t>
            </w:r>
          </w:p>
        </w:tc>
        <w:tc>
          <w:tcPr>
            <w:tcW w:w="180" w:type="dxa"/>
            <w:vAlign w:val="bottom"/>
          </w:tcPr>
          <w:p>
            <w:pPr>
              <w:spacing w:after="0"/>
              <w:rPr>
                <w:sz w:val="18"/>
                <w:szCs w:val="18"/>
                <w:color w:val="auto"/>
              </w:rPr>
            </w:pPr>
          </w:p>
        </w:tc>
        <w:tc>
          <w:tcPr>
            <w:tcW w:w="16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Finance lease expense:</w:t>
            </w:r>
          </w:p>
        </w:tc>
        <w:tc>
          <w:tcPr>
            <w:tcW w:w="4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0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Amortization of leased assets</w:t>
            </w:r>
          </w:p>
        </w:tc>
        <w:tc>
          <w:tcPr>
            <w:tcW w:w="43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w:t>
            </w:r>
          </w:p>
        </w:tc>
        <w:tc>
          <w:tcPr>
            <w:tcW w:w="0" w:type="dxa"/>
            <w:vAlign w:val="bottom"/>
          </w:tcPr>
          <w:p>
            <w:pPr>
              <w:spacing w:after="0"/>
              <w:rPr>
                <w:sz w:val="1"/>
                <w:szCs w:val="1"/>
                <w:color w:val="auto"/>
              </w:rPr>
            </w:pPr>
          </w:p>
        </w:tc>
      </w:tr>
      <w:tr>
        <w:trPr>
          <w:trHeight w:val="216"/>
        </w:trPr>
        <w:tc>
          <w:tcPr>
            <w:tcW w:w="3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Interest on lease liabilities</w:t>
            </w:r>
          </w:p>
        </w:tc>
        <w:tc>
          <w:tcPr>
            <w:tcW w:w="4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18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0" w:type="dxa"/>
            <w:vAlign w:val="bottom"/>
          </w:tcPr>
          <w:p>
            <w:pPr>
              <w:spacing w:after="0"/>
              <w:rPr>
                <w:sz w:val="1"/>
                <w:szCs w:val="1"/>
                <w:color w:val="auto"/>
              </w:rPr>
            </w:pPr>
          </w:p>
        </w:tc>
      </w:tr>
      <w:tr>
        <w:trPr>
          <w:trHeight w:val="212"/>
        </w:trPr>
        <w:tc>
          <w:tcPr>
            <w:tcW w:w="3020" w:type="dxa"/>
            <w:vAlign w:val="bottom"/>
          </w:tcPr>
          <w:p>
            <w:pPr>
              <w:ind w:left="360"/>
              <w:spacing w:after="0" w:line="213" w:lineRule="exact"/>
              <w:rPr>
                <w:sz w:val="20"/>
                <w:szCs w:val="20"/>
                <w:color w:val="auto"/>
              </w:rPr>
            </w:pPr>
            <w:r>
              <w:rPr>
                <w:rFonts w:ascii="Times New Roman" w:cs="Times New Roman" w:eastAsia="Times New Roman" w:hAnsi="Times New Roman"/>
                <w:sz w:val="16"/>
                <w:szCs w:val="16"/>
                <w:color w:val="auto"/>
              </w:rPr>
              <w:t xml:space="preserve">Total lease expense </w:t>
            </w:r>
            <w:r>
              <w:rPr>
                <w:rFonts w:ascii="Times New Roman" w:cs="Times New Roman" w:eastAsia="Times New Roman" w:hAnsi="Times New Roman"/>
                <w:sz w:val="21"/>
                <w:szCs w:val="21"/>
                <w:color w:val="auto"/>
                <w:vertAlign w:val="superscript"/>
              </w:rPr>
              <w:t>(1)</w:t>
            </w:r>
          </w:p>
        </w:tc>
        <w:tc>
          <w:tcPr>
            <w:tcW w:w="4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20,447</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6"/>
                <w:szCs w:val="16"/>
                <w:color w:val="auto"/>
                <w:w w:val="99"/>
              </w:rPr>
              <w:t>$</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17,002</w:t>
            </w:r>
          </w:p>
        </w:tc>
        <w:tc>
          <w:tcPr>
            <w:tcW w:w="0" w:type="dxa"/>
            <w:vAlign w:val="bottom"/>
          </w:tcPr>
          <w:p>
            <w:pPr>
              <w:spacing w:after="0"/>
              <w:rPr>
                <w:sz w:val="1"/>
                <w:szCs w:val="1"/>
                <w:color w:val="auto"/>
              </w:rPr>
            </w:pPr>
          </w:p>
        </w:tc>
      </w:tr>
      <w:tr>
        <w:trPr>
          <w:trHeight w:val="21"/>
        </w:trPr>
        <w:tc>
          <w:tcPr>
            <w:tcW w:w="302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w:t>
      </w:r>
    </w:p>
    <w:p>
      <w:pPr>
        <w:spacing w:after="0" w:line="122" w:lineRule="exact"/>
        <w:rPr>
          <w:sz w:val="20"/>
          <w:szCs w:val="20"/>
          <w:color w:val="auto"/>
        </w:rPr>
      </w:pPr>
    </w:p>
    <w:p>
      <w:pPr>
        <w:ind w:left="240" w:hanging="232"/>
        <w:spacing w:after="0"/>
        <w:tabs>
          <w:tab w:leader="none" w:pos="24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contingent rent expense of $0.5 million and $0.5 million during the thirteen weeks ended March 31, 2024 and March 26, 2023, respectively.</w:t>
      </w:r>
    </w:p>
    <w:p>
      <w:pPr>
        <w:spacing w:after="0" w:line="108"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Supplemental cash flow information related to leases was as follows: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7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3340" w:type="dxa"/>
            <w:vAlign w:val="bottom"/>
            <w:tcBorders>
              <w:bottom w:val="single" w:sz="8" w:color="auto"/>
            </w:tcBorders>
            <w:gridSpan w:val="4"/>
          </w:tcPr>
          <w:p>
            <w:pPr>
              <w:jc w:val="right"/>
              <w:ind w:right="619"/>
              <w:spacing w:after="0"/>
              <w:rPr>
                <w:sz w:val="20"/>
                <w:szCs w:val="20"/>
                <w:color w:val="auto"/>
              </w:rPr>
            </w:pPr>
            <w:r>
              <w:rPr>
                <w:rFonts w:ascii="Times New Roman" w:cs="Times New Roman" w:eastAsia="Times New Roman" w:hAnsi="Times New Roman"/>
                <w:sz w:val="16"/>
                <w:szCs w:val="16"/>
                <w:b w:val="1"/>
                <w:bCs w:val="1"/>
                <w:color w:val="auto"/>
              </w:rPr>
              <w:t>THIRTEEN WEEKS ENDED</w:t>
            </w:r>
          </w:p>
        </w:tc>
      </w:tr>
      <w:tr>
        <w:trPr>
          <w:trHeight w:val="214"/>
        </w:trPr>
        <w:tc>
          <w:tcPr>
            <w:tcW w:w="774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60" w:type="dxa"/>
            <w:vAlign w:val="bottom"/>
          </w:tcPr>
          <w:p>
            <w:pPr>
              <w:spacing w:after="0"/>
              <w:rPr>
                <w:sz w:val="18"/>
                <w:szCs w:val="18"/>
                <w:color w:val="auto"/>
              </w:rPr>
            </w:pPr>
          </w:p>
        </w:tc>
        <w:tc>
          <w:tcPr>
            <w:tcW w:w="164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MARCH 31, 2024</w:t>
            </w:r>
          </w:p>
        </w:tc>
        <w:tc>
          <w:tcPr>
            <w:tcW w:w="160" w:type="dxa"/>
            <w:vAlign w:val="bottom"/>
          </w:tcPr>
          <w:p>
            <w:pPr>
              <w:spacing w:after="0"/>
              <w:rPr>
                <w:sz w:val="18"/>
                <w:szCs w:val="18"/>
                <w:color w:val="auto"/>
              </w:rPr>
            </w:pPr>
          </w:p>
        </w:tc>
        <w:tc>
          <w:tcPr>
            <w:tcW w:w="154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MARCH 26, 2023</w:t>
            </w:r>
          </w:p>
        </w:tc>
      </w:tr>
      <w:tr>
        <w:trPr>
          <w:trHeight w:val="198"/>
        </w:trPr>
        <w:tc>
          <w:tcPr>
            <w:tcW w:w="7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paid for amounts included in the measurement of lease liabilities:</w:t>
            </w:r>
          </w:p>
        </w:tc>
        <w:tc>
          <w:tcPr>
            <w:tcW w:w="160" w:type="dxa"/>
            <w:vAlign w:val="bottom"/>
            <w:tcBorders>
              <w:top w:val="single" w:sz="8" w:color="auto"/>
            </w:tcBorders>
            <w:shd w:val="clear" w:color="auto" w:fill="CCEEFF"/>
          </w:tcPr>
          <w:p>
            <w:pPr>
              <w:spacing w:after="0"/>
              <w:rPr>
                <w:sz w:val="17"/>
                <w:szCs w:val="17"/>
                <w:color w:val="auto"/>
              </w:rPr>
            </w:pPr>
          </w:p>
        </w:tc>
        <w:tc>
          <w:tcPr>
            <w:tcW w:w="15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540" w:type="dxa"/>
            <w:vAlign w:val="bottom"/>
            <w:tcBorders>
              <w:top w:val="single" w:sz="8" w:color="auto"/>
            </w:tcBorders>
            <w:shd w:val="clear" w:color="auto" w:fill="CCEEFF"/>
          </w:tcPr>
          <w:p>
            <w:pPr>
              <w:spacing w:after="0"/>
              <w:rPr>
                <w:sz w:val="17"/>
                <w:szCs w:val="17"/>
                <w:color w:val="auto"/>
              </w:rPr>
            </w:pPr>
          </w:p>
        </w:tc>
      </w:tr>
      <w:tr>
        <w:trPr>
          <w:trHeight w:val="213"/>
        </w:trPr>
        <w:tc>
          <w:tcPr>
            <w:tcW w:w="77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Operating cash flows - operating leases</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14,144</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9,827</w:t>
            </w:r>
          </w:p>
        </w:tc>
      </w:tr>
      <w:tr>
        <w:trPr>
          <w:trHeight w:val="219"/>
        </w:trPr>
        <w:tc>
          <w:tcPr>
            <w:tcW w:w="7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Operating cash flows - finance leases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w:t>
            </w:r>
          </w:p>
        </w:tc>
      </w:tr>
      <w:tr>
        <w:trPr>
          <w:trHeight w:val="210"/>
        </w:trPr>
        <w:tc>
          <w:tcPr>
            <w:tcW w:w="77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Financing cash flows - finance leases</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w:t>
            </w:r>
          </w:p>
        </w:tc>
      </w:tr>
    </w:tbl>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FIRST WATCH RESTAURANT GROUP,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Supplemental information related to leases was as follows: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520" w:type="dxa"/>
            <w:vAlign w:val="bottom"/>
          </w:tcPr>
          <w:p>
            <w:pPr>
              <w:spacing w:after="0"/>
              <w:rPr>
                <w:sz w:val="18"/>
                <w:szCs w:val="18"/>
                <w:color w:val="auto"/>
              </w:rPr>
            </w:pPr>
          </w:p>
        </w:tc>
        <w:tc>
          <w:tcPr>
            <w:tcW w:w="3720" w:type="dxa"/>
            <w:vAlign w:val="bottom"/>
            <w:tcBorders>
              <w:bottom w:val="single" w:sz="8" w:color="auto"/>
            </w:tcBorders>
            <w:gridSpan w:val="3"/>
          </w:tcPr>
          <w:p>
            <w:pPr>
              <w:jc w:val="right"/>
              <w:ind w:right="739"/>
              <w:spacing w:after="0"/>
              <w:rPr>
                <w:sz w:val="20"/>
                <w:szCs w:val="20"/>
                <w:color w:val="auto"/>
              </w:rPr>
            </w:pPr>
            <w:r>
              <w:rPr>
                <w:rFonts w:ascii="Times New Roman" w:cs="Times New Roman" w:eastAsia="Times New Roman" w:hAnsi="Times New Roman"/>
                <w:sz w:val="16"/>
                <w:szCs w:val="16"/>
                <w:b w:val="1"/>
                <w:bCs w:val="1"/>
                <w:color w:val="auto"/>
              </w:rPr>
              <w:t>THIRTEEN WEEKS ENDED</w:t>
            </w:r>
          </w:p>
        </w:tc>
      </w:tr>
      <w:tr>
        <w:trPr>
          <w:trHeight w:val="211"/>
        </w:trPr>
        <w:tc>
          <w:tcPr>
            <w:tcW w:w="7520" w:type="dxa"/>
            <w:vAlign w:val="bottom"/>
          </w:tcPr>
          <w:p>
            <w:pPr>
              <w:spacing w:after="0"/>
              <w:rPr>
                <w:sz w:val="18"/>
                <w:szCs w:val="18"/>
                <w:color w:val="auto"/>
              </w:rPr>
            </w:pPr>
          </w:p>
        </w:tc>
        <w:tc>
          <w:tcPr>
            <w:tcW w:w="1920" w:type="dxa"/>
            <w:vAlign w:val="bottom"/>
            <w:gridSpan w:val="2"/>
          </w:tcPr>
          <w:p>
            <w:pPr>
              <w:ind w:left="300"/>
              <w:spacing w:after="0"/>
              <w:rPr>
                <w:sz w:val="20"/>
                <w:szCs w:val="20"/>
                <w:color w:val="auto"/>
              </w:rPr>
            </w:pPr>
            <w:r>
              <w:rPr>
                <w:rFonts w:ascii="Times New Roman" w:cs="Times New Roman" w:eastAsia="Times New Roman" w:hAnsi="Times New Roman"/>
                <w:sz w:val="16"/>
                <w:szCs w:val="16"/>
                <w:b w:val="1"/>
                <w:bCs w:val="1"/>
                <w:color w:val="auto"/>
              </w:rPr>
              <w:t>MARCH 31, 2024</w:t>
            </w:r>
          </w:p>
        </w:tc>
        <w:tc>
          <w:tcPr>
            <w:tcW w:w="180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MARCH 26, 2023</w:t>
            </w:r>
          </w:p>
        </w:tc>
      </w:tr>
      <w:tr>
        <w:trPr>
          <w:trHeight w:val="198"/>
        </w:trPr>
        <w:tc>
          <w:tcPr>
            <w:tcW w:w="75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Weighted-average remaining lease term (in years)</w:t>
            </w:r>
          </w:p>
        </w:tc>
        <w:tc>
          <w:tcPr>
            <w:tcW w:w="18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0" w:type="dxa"/>
            <w:vAlign w:val="bottom"/>
            <w:tcBorders>
              <w:top w:val="single" w:sz="8" w:color="auto"/>
            </w:tcBorders>
            <w:shd w:val="clear" w:color="auto" w:fill="CCEEFF"/>
          </w:tcPr>
          <w:p>
            <w:pPr>
              <w:spacing w:after="0"/>
              <w:rPr>
                <w:sz w:val="17"/>
                <w:szCs w:val="17"/>
                <w:color w:val="auto"/>
              </w:rPr>
            </w:pPr>
          </w:p>
        </w:tc>
      </w:tr>
      <w:tr>
        <w:trPr>
          <w:trHeight w:val="213"/>
        </w:trPr>
        <w:tc>
          <w:tcPr>
            <w:tcW w:w="75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Operating leases</w:t>
            </w: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w:t>
            </w:r>
          </w:p>
        </w:tc>
        <w:tc>
          <w:tcPr>
            <w:tcW w:w="10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w:t>
            </w:r>
          </w:p>
        </w:tc>
      </w:tr>
      <w:tr>
        <w:trPr>
          <w:trHeight w:val="219"/>
        </w:trPr>
        <w:tc>
          <w:tcPr>
            <w:tcW w:w="7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Finance leases</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0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w:t>
            </w:r>
          </w:p>
        </w:tc>
      </w:tr>
      <w:tr>
        <w:trPr>
          <w:trHeight w:val="216"/>
        </w:trPr>
        <w:tc>
          <w:tcPr>
            <w:tcW w:w="752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Weighted-average discount rate </w:t>
            </w:r>
            <w:r>
              <w:rPr>
                <w:rFonts w:ascii="Times New Roman" w:cs="Times New Roman" w:eastAsia="Times New Roman" w:hAnsi="Times New Roman"/>
                <w:sz w:val="21"/>
                <w:szCs w:val="21"/>
                <w:color w:val="auto"/>
                <w:vertAlign w:val="superscript"/>
              </w:rPr>
              <w:t>(1)</w:t>
            </w: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tcPr>
          <w:p>
            <w:pPr>
              <w:spacing w:after="0"/>
              <w:rPr>
                <w:sz w:val="18"/>
                <w:szCs w:val="18"/>
                <w:color w:val="auto"/>
              </w:rPr>
            </w:pPr>
          </w:p>
        </w:tc>
      </w:tr>
      <w:tr>
        <w:trPr>
          <w:trHeight w:val="216"/>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leases</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8.3 %</w:t>
            </w:r>
          </w:p>
        </w:tc>
        <w:tc>
          <w:tcPr>
            <w:tcW w:w="100" w:type="dxa"/>
            <w:vAlign w:val="bottom"/>
            <w:shd w:val="clear" w:color="auto" w:fill="CCEEFF"/>
          </w:tcPr>
          <w:p>
            <w:pPr>
              <w:spacing w:after="0"/>
              <w:rPr>
                <w:sz w:val="18"/>
                <w:szCs w:val="18"/>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8.6 %</w:t>
            </w:r>
          </w:p>
        </w:tc>
      </w:tr>
      <w:tr>
        <w:trPr>
          <w:trHeight w:val="210"/>
        </w:trPr>
        <w:tc>
          <w:tcPr>
            <w:tcW w:w="75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Finance leases</w:t>
            </w: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6.8 %</w:t>
            </w:r>
          </w:p>
        </w:tc>
        <w:tc>
          <w:tcPr>
            <w:tcW w:w="10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7.6 %</w:t>
            </w:r>
          </w:p>
        </w:tc>
      </w:tr>
    </w:tbl>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 Based on the Company’s incremental borrowing rate.</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2024, future minimum lease payments for operating and finance leases consisted of the following:</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94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82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OPERATING LEASES</w:t>
            </w:r>
          </w:p>
        </w:tc>
        <w:tc>
          <w:tcPr>
            <w:tcW w:w="148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FINANCE LEASES</w:t>
            </w:r>
          </w:p>
        </w:tc>
      </w:tr>
      <w:tr>
        <w:trPr>
          <w:trHeight w:val="199"/>
        </w:trPr>
        <w:tc>
          <w:tcPr>
            <w:tcW w:w="79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Fiscal year</w:t>
            </w:r>
          </w:p>
        </w:tc>
        <w:tc>
          <w:tcPr>
            <w:tcW w:w="58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r>
      <w:tr>
        <w:trPr>
          <w:trHeight w:val="213"/>
        </w:trPr>
        <w:tc>
          <w:tcPr>
            <w:tcW w:w="7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2024</w:t>
            </w:r>
          </w:p>
        </w:tc>
        <w:tc>
          <w:tcPr>
            <w:tcW w:w="580" w:type="dxa"/>
            <w:vAlign w:val="bottom"/>
          </w:tcPr>
          <w:p>
            <w:pPr>
              <w:jc w:val="right"/>
              <w:ind w:right="39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28,564</w:t>
            </w:r>
          </w:p>
        </w:tc>
        <w:tc>
          <w:tcPr>
            <w:tcW w:w="100" w:type="dxa"/>
            <w:vAlign w:val="bottom"/>
          </w:tcPr>
          <w:p>
            <w:pPr>
              <w:spacing w:after="0"/>
              <w:rPr>
                <w:sz w:val="18"/>
                <w:szCs w:val="18"/>
                <w:color w:val="auto"/>
              </w:rPr>
            </w:pPr>
          </w:p>
        </w:tc>
        <w:tc>
          <w:tcPr>
            <w:tcW w:w="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480</w:t>
            </w:r>
          </w:p>
        </w:tc>
      </w:tr>
      <w:tr>
        <w:trPr>
          <w:trHeight w:val="219"/>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2025</w:t>
            </w:r>
          </w:p>
        </w:tc>
        <w:tc>
          <w:tcPr>
            <w:tcW w:w="5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60,647</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275</w:t>
            </w:r>
          </w:p>
        </w:tc>
      </w:tr>
      <w:tr>
        <w:trPr>
          <w:trHeight w:val="213"/>
        </w:trPr>
        <w:tc>
          <w:tcPr>
            <w:tcW w:w="7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2026</w:t>
            </w:r>
          </w:p>
        </w:tc>
        <w:tc>
          <w:tcPr>
            <w:tcW w:w="5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61,434</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w:t>
            </w:r>
          </w:p>
        </w:tc>
      </w:tr>
      <w:tr>
        <w:trPr>
          <w:trHeight w:val="219"/>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2027</w:t>
            </w:r>
          </w:p>
        </w:tc>
        <w:tc>
          <w:tcPr>
            <w:tcW w:w="5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60,757</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w:t>
            </w:r>
          </w:p>
        </w:tc>
      </w:tr>
      <w:tr>
        <w:trPr>
          <w:trHeight w:val="213"/>
        </w:trPr>
        <w:tc>
          <w:tcPr>
            <w:tcW w:w="7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2028</w:t>
            </w:r>
          </w:p>
        </w:tc>
        <w:tc>
          <w:tcPr>
            <w:tcW w:w="5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60,317</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w:t>
            </w:r>
          </w:p>
        </w:tc>
      </w:tr>
      <w:tr>
        <w:trPr>
          <w:trHeight w:val="219"/>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Thereafter</w:t>
            </w:r>
          </w:p>
        </w:tc>
        <w:tc>
          <w:tcPr>
            <w:tcW w:w="5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573,904</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w:t>
            </w:r>
          </w:p>
        </w:tc>
      </w:tr>
      <w:tr>
        <w:trPr>
          <w:trHeight w:val="209"/>
        </w:trPr>
        <w:tc>
          <w:tcPr>
            <w:tcW w:w="7940" w:type="dxa"/>
            <w:vAlign w:val="bottom"/>
          </w:tcPr>
          <w:p>
            <w:pPr>
              <w:ind w:left="360"/>
              <w:spacing w:after="0" w:line="210" w:lineRule="exact"/>
              <w:rPr>
                <w:sz w:val="20"/>
                <w:szCs w:val="20"/>
                <w:color w:val="auto"/>
              </w:rPr>
            </w:pPr>
            <w:r>
              <w:rPr>
                <w:rFonts w:ascii="Times New Roman" w:cs="Times New Roman" w:eastAsia="Times New Roman" w:hAnsi="Times New Roman"/>
                <w:sz w:val="16"/>
                <w:szCs w:val="16"/>
                <w:color w:val="auto"/>
              </w:rPr>
              <w:t xml:space="preserve">Total future minimum lease payments </w:t>
            </w:r>
            <w:r>
              <w:rPr>
                <w:rFonts w:ascii="Times New Roman" w:cs="Times New Roman" w:eastAsia="Times New Roman" w:hAnsi="Times New Roman"/>
                <w:sz w:val="21"/>
                <w:szCs w:val="21"/>
                <w:color w:val="auto"/>
                <w:vertAlign w:val="superscript"/>
              </w:rPr>
              <w:t>(1)</w:t>
            </w:r>
          </w:p>
        </w:tc>
        <w:tc>
          <w:tcPr>
            <w:tcW w:w="5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845,623</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1,035</w:t>
            </w:r>
          </w:p>
        </w:tc>
      </w:tr>
      <w:tr>
        <w:trPr>
          <w:trHeight w:val="213"/>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imputed interest</w:t>
            </w:r>
          </w:p>
        </w:tc>
        <w:tc>
          <w:tcPr>
            <w:tcW w:w="5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(359,923)</w:t>
            </w:r>
          </w:p>
        </w:tc>
        <w:tc>
          <w:tcPr>
            <w:tcW w:w="10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w:t>
            </w:r>
          </w:p>
        </w:tc>
      </w:tr>
      <w:tr>
        <w:trPr>
          <w:trHeight w:val="212"/>
        </w:trPr>
        <w:tc>
          <w:tcPr>
            <w:tcW w:w="79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Total present value of lease liabilities</w:t>
            </w:r>
          </w:p>
        </w:tc>
        <w:tc>
          <w:tcPr>
            <w:tcW w:w="58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485,700</w:t>
            </w:r>
          </w:p>
        </w:tc>
        <w:tc>
          <w:tcPr>
            <w:tcW w:w="100" w:type="dxa"/>
            <w:vAlign w:val="bottom"/>
          </w:tcPr>
          <w:p>
            <w:pPr>
              <w:spacing w:after="0"/>
              <w:rPr>
                <w:sz w:val="18"/>
                <w:szCs w:val="18"/>
                <w:color w:val="auto"/>
              </w:rPr>
            </w:pPr>
          </w:p>
        </w:tc>
        <w:tc>
          <w:tcPr>
            <w:tcW w:w="5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940</w:t>
            </w:r>
          </w:p>
        </w:tc>
      </w:tr>
      <w:tr>
        <w:trPr>
          <w:trHeight w:val="20"/>
        </w:trPr>
        <w:tc>
          <w:tcPr>
            <w:tcW w:w="79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 Excludes approximately $149.4 million of executed operating leases that have not commenced as of March 31, 2024.</w:t>
      </w:r>
    </w:p>
    <w:p>
      <w:pPr>
        <w:spacing w:after="0" w:line="321" w:lineRule="exact"/>
        <w:rPr>
          <w:sz w:val="20"/>
          <w:szCs w:val="20"/>
          <w:color w:val="auto"/>
        </w:rPr>
      </w:pPr>
    </w:p>
    <w:p>
      <w:pPr>
        <w:ind w:right="7960" w:firstLine="8"/>
        <w:spacing w:after="0" w:line="378" w:lineRule="auto"/>
        <w:tabs>
          <w:tab w:leader="none" w:pos="27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Equity and Stock-Based Compensation Equity transactions</w:t>
      </w:r>
    </w:p>
    <w:p>
      <w:pPr>
        <w:jc w:val="both"/>
        <w:spacing w:after="0" w:line="258" w:lineRule="auto"/>
        <w:rPr>
          <w:sz w:val="20"/>
          <w:szCs w:val="20"/>
          <w:color w:val="auto"/>
        </w:rPr>
      </w:pPr>
      <w:r>
        <w:rPr>
          <w:rFonts w:ascii="Times New Roman" w:cs="Times New Roman" w:eastAsia="Times New Roman" w:hAnsi="Times New Roman"/>
          <w:sz w:val="18"/>
          <w:szCs w:val="18"/>
          <w:color w:val="auto"/>
        </w:rPr>
        <w:t>During the thirteen weeks ended March 31, 2024, funds managed by the Company’s largest stockholder, Advent International, L.P. (“Advent”) sold 6,900,000 shares of the Company’s common stock through an underwritten secondary public offering, including 900,000 shares of common stock which were sold pursuant to the underwriter’s option to purchase additional shares, which was exercised in full. All net proceeds from the sale of the shares of common stock were distributed to the selling stockholders. The Company incurred approximately $0.5 million of costs in connection with the offerings that were recorded within Transaction expenses, net on the Consolidated Statements of Operations and Comprehensive Income.</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FIRST WATCH RESTAURANT GROUP,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option awards</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There were no stock option awards granted during the thirteen weeks ended March 31, 2024. A summary of stock option activity during the thirteen weeks ended March 31, 2024 is as follows:</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98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AGGREGATE INTRINSIC</w:t>
            </w:r>
          </w:p>
        </w:tc>
        <w:tc>
          <w:tcPr>
            <w:tcW w:w="21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WEIGHTED AVERAGE</w:t>
            </w:r>
          </w:p>
        </w:tc>
        <w:tc>
          <w:tcPr>
            <w:tcW w:w="0" w:type="dxa"/>
            <w:vAlign w:val="bottom"/>
          </w:tcPr>
          <w:p>
            <w:pPr>
              <w:spacing w:after="0"/>
              <w:rPr>
                <w:sz w:val="1"/>
                <w:szCs w:val="1"/>
                <w:color w:val="auto"/>
              </w:rPr>
            </w:pPr>
          </w:p>
        </w:tc>
      </w:tr>
      <w:tr>
        <w:trPr>
          <w:trHeight w:val="162"/>
        </w:trPr>
        <w:tc>
          <w:tcPr>
            <w:tcW w:w="2980" w:type="dxa"/>
            <w:vAlign w:val="bottom"/>
          </w:tcPr>
          <w:p>
            <w:pPr>
              <w:spacing w:after="0"/>
              <w:rPr>
                <w:sz w:val="14"/>
                <w:szCs w:val="14"/>
                <w:color w:val="auto"/>
              </w:rPr>
            </w:pPr>
          </w:p>
        </w:tc>
        <w:tc>
          <w:tcPr>
            <w:tcW w:w="1740" w:type="dxa"/>
            <w:vAlign w:val="bottom"/>
            <w:vMerge w:val="restart"/>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WEIGHTED AVERAGE</w:t>
            </w:r>
          </w:p>
        </w:tc>
        <w:tc>
          <w:tcPr>
            <w:tcW w:w="2200" w:type="dxa"/>
            <w:vAlign w:val="bottom"/>
            <w:gridSpan w:val="3"/>
            <w:vMerge w:val="continue"/>
          </w:tcPr>
          <w:p>
            <w:pPr>
              <w:spacing w:after="0"/>
              <w:rPr>
                <w:sz w:val="14"/>
                <w:szCs w:val="14"/>
                <w:color w:val="auto"/>
              </w:rPr>
            </w:pPr>
          </w:p>
        </w:tc>
        <w:tc>
          <w:tcPr>
            <w:tcW w:w="210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REMAINING</w:t>
            </w:r>
          </w:p>
        </w:tc>
        <w:tc>
          <w:tcPr>
            <w:tcW w:w="0" w:type="dxa"/>
            <w:vAlign w:val="bottom"/>
          </w:tcPr>
          <w:p>
            <w:pPr>
              <w:spacing w:after="0"/>
              <w:rPr>
                <w:sz w:val="1"/>
                <w:szCs w:val="1"/>
                <w:color w:val="auto"/>
              </w:rPr>
            </w:pPr>
          </w:p>
        </w:tc>
      </w:tr>
      <w:tr>
        <w:trPr>
          <w:trHeight w:val="162"/>
        </w:trPr>
        <w:tc>
          <w:tcPr>
            <w:tcW w:w="2980" w:type="dxa"/>
            <w:vAlign w:val="bottom"/>
          </w:tcPr>
          <w:p>
            <w:pPr>
              <w:spacing w:after="0"/>
              <w:rPr>
                <w:sz w:val="14"/>
                <w:szCs w:val="14"/>
                <w:color w:val="auto"/>
              </w:rPr>
            </w:pPr>
          </w:p>
        </w:tc>
        <w:tc>
          <w:tcPr>
            <w:tcW w:w="17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0" w:type="dxa"/>
            <w:vAlign w:val="bottom"/>
            <w:gridSpan w:val="2"/>
            <w:vMerge w:val="continue"/>
          </w:tcPr>
          <w:p>
            <w:pPr>
              <w:spacing w:after="0"/>
              <w:rPr>
                <w:sz w:val="14"/>
                <w:szCs w:val="14"/>
                <w:color w:val="auto"/>
              </w:rPr>
            </w:pPr>
          </w:p>
        </w:tc>
        <w:tc>
          <w:tcPr>
            <w:tcW w:w="340" w:type="dxa"/>
            <w:vAlign w:val="bottom"/>
          </w:tcPr>
          <w:p>
            <w:pPr>
              <w:spacing w:after="0"/>
              <w:rPr>
                <w:sz w:val="14"/>
                <w:szCs w:val="14"/>
                <w:color w:val="auto"/>
              </w:rPr>
            </w:pPr>
          </w:p>
        </w:tc>
        <w:tc>
          <w:tcPr>
            <w:tcW w:w="1860" w:type="dxa"/>
            <w:vAlign w:val="bottom"/>
            <w:gridSpan w:val="2"/>
          </w:tcPr>
          <w:p>
            <w:pPr>
              <w:jc w:val="center"/>
              <w:ind w:right="480"/>
              <w:spacing w:after="0" w:line="162" w:lineRule="exact"/>
              <w:rPr>
                <w:sz w:val="20"/>
                <w:szCs w:val="20"/>
                <w:color w:val="auto"/>
              </w:rPr>
            </w:pPr>
            <w:r>
              <w:rPr>
                <w:rFonts w:ascii="Times New Roman" w:cs="Times New Roman" w:eastAsia="Times New Roman" w:hAnsi="Times New Roman"/>
                <w:sz w:val="16"/>
                <w:szCs w:val="16"/>
                <w:b w:val="1"/>
                <w:bCs w:val="1"/>
                <w:color w:val="auto"/>
                <w:w w:val="96"/>
              </w:rPr>
              <w:t>VALUE</w:t>
            </w:r>
          </w:p>
        </w:tc>
        <w:tc>
          <w:tcPr>
            <w:tcW w:w="210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CONTRACTUAL LIFE</w:t>
            </w:r>
          </w:p>
        </w:tc>
        <w:tc>
          <w:tcPr>
            <w:tcW w:w="0" w:type="dxa"/>
            <w:vAlign w:val="bottom"/>
          </w:tcPr>
          <w:p>
            <w:pPr>
              <w:spacing w:after="0"/>
              <w:rPr>
                <w:sz w:val="1"/>
                <w:szCs w:val="1"/>
                <w:color w:val="auto"/>
              </w:rPr>
            </w:pPr>
          </w:p>
        </w:tc>
      </w:tr>
      <w:tr>
        <w:trPr>
          <w:trHeight w:val="214"/>
        </w:trPr>
        <w:tc>
          <w:tcPr>
            <w:tcW w:w="2980" w:type="dxa"/>
            <w:vAlign w:val="bottom"/>
            <w:tcBorders>
              <w:bottom w:val="single" w:sz="8" w:color="CCEEFF"/>
            </w:tcBorders>
          </w:tcPr>
          <w:p>
            <w:pPr>
              <w:spacing w:after="0"/>
              <w:rPr>
                <w:sz w:val="18"/>
                <w:szCs w:val="18"/>
                <w:color w:val="auto"/>
              </w:rPr>
            </w:pPr>
          </w:p>
        </w:tc>
        <w:tc>
          <w:tcPr>
            <w:tcW w:w="174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OPTIONS</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EXERCISE PRICE</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center"/>
              <w:ind w:right="259"/>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100" w:type="dxa"/>
            <w:vAlign w:val="bottom"/>
            <w:tcBorders>
              <w:bottom w:val="single" w:sz="8" w:color="CCEEFF"/>
            </w:tcBorders>
          </w:tcPr>
          <w:p>
            <w:pPr>
              <w:spacing w:after="0"/>
              <w:rPr>
                <w:sz w:val="18"/>
                <w:szCs w:val="18"/>
                <w:color w:val="auto"/>
              </w:rPr>
            </w:pPr>
          </w:p>
        </w:tc>
        <w:tc>
          <w:tcPr>
            <w:tcW w:w="2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(in years)</w:t>
            </w:r>
          </w:p>
        </w:tc>
        <w:tc>
          <w:tcPr>
            <w:tcW w:w="0" w:type="dxa"/>
            <w:vAlign w:val="bottom"/>
          </w:tcPr>
          <w:p>
            <w:pPr>
              <w:spacing w:after="0"/>
              <w:rPr>
                <w:sz w:val="1"/>
                <w:szCs w:val="1"/>
                <w:color w:val="auto"/>
              </w:rPr>
            </w:pPr>
          </w:p>
        </w:tc>
      </w:tr>
      <w:tr>
        <w:trPr>
          <w:trHeight w:val="225"/>
        </w:trPr>
        <w:tc>
          <w:tcPr>
            <w:tcW w:w="2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Outstanding, December 31, 2023</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4,347,186</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42,965</w:t>
            </w:r>
          </w:p>
        </w:tc>
        <w:tc>
          <w:tcPr>
            <w:tcW w:w="100" w:type="dxa"/>
            <w:vAlign w:val="bottom"/>
            <w:shd w:val="clear" w:color="auto" w:fill="CCEEFF"/>
          </w:tcPr>
          <w:p>
            <w:pPr>
              <w:spacing w:after="0"/>
              <w:rPr>
                <w:sz w:val="19"/>
                <w:szCs w:val="19"/>
                <w:color w:val="auto"/>
              </w:rPr>
            </w:pPr>
          </w:p>
        </w:tc>
        <w:tc>
          <w:tcPr>
            <w:tcW w:w="2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13"/>
        </w:trPr>
        <w:tc>
          <w:tcPr>
            <w:tcW w:w="2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Exercised</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(318,967)</w:t>
            </w:r>
          </w:p>
        </w:tc>
        <w:tc>
          <w:tcPr>
            <w:tcW w:w="220" w:type="dxa"/>
            <w:vAlign w:val="bottom"/>
            <w:tcBorders>
              <w:bottom w:val="single" w:sz="8" w:color="CCEEFF"/>
            </w:tcBorders>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9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9.87</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CCEEFF"/>
            </w:tcBorders>
          </w:tcPr>
          <w:p>
            <w:pPr>
              <w:spacing w:after="0"/>
              <w:rPr>
                <w:sz w:val="18"/>
                <w:szCs w:val="18"/>
                <w:color w:val="auto"/>
              </w:rPr>
            </w:pPr>
          </w:p>
        </w:tc>
        <w:tc>
          <w:tcPr>
            <w:tcW w:w="17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Outstanding, March 31, 2024</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4,028,219</w:t>
            </w:r>
          </w:p>
        </w:tc>
        <w:tc>
          <w:tcPr>
            <w:tcW w:w="2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10.24</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57,909</w:t>
            </w:r>
          </w:p>
        </w:tc>
        <w:tc>
          <w:tcPr>
            <w:tcW w:w="100" w:type="dxa"/>
            <w:vAlign w:val="bottom"/>
            <w:tcBorders>
              <w:bottom w:val="single" w:sz="8" w:color="CCEEFF"/>
            </w:tcBorders>
            <w:shd w:val="clear" w:color="auto" w:fill="CCEEFF"/>
          </w:tcPr>
          <w:p>
            <w:pPr>
              <w:spacing w:after="0"/>
              <w:rPr>
                <w:sz w:val="20"/>
                <w:szCs w:val="20"/>
                <w:color w:val="auto"/>
              </w:rPr>
            </w:pPr>
          </w:p>
        </w:tc>
        <w:tc>
          <w:tcPr>
            <w:tcW w:w="2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0"/>
        </w:trPr>
        <w:tc>
          <w:tcPr>
            <w:tcW w:w="298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9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Exercisable, March 31, 2024</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3,128,830</w:t>
            </w:r>
          </w:p>
        </w:tc>
        <w:tc>
          <w:tcPr>
            <w:tcW w:w="2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10.01</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45,720</w:t>
            </w:r>
          </w:p>
        </w:tc>
        <w:tc>
          <w:tcPr>
            <w:tcW w:w="100" w:type="dxa"/>
            <w:vAlign w:val="bottom"/>
            <w:tcBorders>
              <w:bottom w:val="single" w:sz="8" w:color="CCEEFF"/>
            </w:tcBorders>
            <w:shd w:val="clear" w:color="auto" w:fill="CCEEFF"/>
          </w:tcPr>
          <w:p>
            <w:pPr>
              <w:spacing w:after="0"/>
              <w:rPr>
                <w:sz w:val="20"/>
                <w:szCs w:val="20"/>
                <w:color w:val="auto"/>
              </w:rPr>
            </w:pPr>
          </w:p>
        </w:tc>
        <w:tc>
          <w:tcPr>
            <w:tcW w:w="2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0"/>
        </w:trPr>
        <w:tc>
          <w:tcPr>
            <w:tcW w:w="298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aggregate intrinsic value is based on the difference between the exercise price of the stock option and the closing price of the Company’s common stock on Nasdaq on the last trading day.</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non-vested stock option activity during the thirteen weeks ended March 31, 2024 is as follows: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580" w:type="dxa"/>
            <w:vAlign w:val="bottom"/>
            <w:tcBorders>
              <w:bottom w:val="single" w:sz="8" w:color="CCEEFF"/>
            </w:tcBorders>
          </w:tcPr>
          <w:p>
            <w:pPr>
              <w:spacing w:after="0"/>
              <w:rPr>
                <w:sz w:val="18"/>
                <w:szCs w:val="18"/>
                <w:color w:val="auto"/>
              </w:rPr>
            </w:pPr>
          </w:p>
        </w:tc>
        <w:tc>
          <w:tcPr>
            <w:tcW w:w="232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NUMBER OF OPTIONS</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4840" w:type="dxa"/>
            <w:vAlign w:val="bottom"/>
            <w:tcBorders>
              <w:bottom w:val="single" w:sz="8" w:color="auto"/>
            </w:tcBorders>
          </w:tcPr>
          <w:p>
            <w:pPr>
              <w:jc w:val="right"/>
              <w:ind w:right="599"/>
              <w:spacing w:after="0"/>
              <w:rPr>
                <w:sz w:val="20"/>
                <w:szCs w:val="20"/>
                <w:color w:val="auto"/>
              </w:rPr>
            </w:pPr>
            <w:r>
              <w:rPr>
                <w:rFonts w:ascii="Times New Roman" w:cs="Times New Roman" w:eastAsia="Times New Roman" w:hAnsi="Times New Roman"/>
                <w:sz w:val="16"/>
                <w:szCs w:val="16"/>
                <w:b w:val="1"/>
                <w:bCs w:val="1"/>
                <w:color w:val="auto"/>
              </w:rPr>
              <w:t>WEIGHTED AVERAGE GRANT DATE FAIR VALUE</w:t>
            </w:r>
          </w:p>
        </w:tc>
      </w:tr>
      <w:tr>
        <w:trPr>
          <w:trHeight w:val="213"/>
        </w:trPr>
        <w:tc>
          <w:tcPr>
            <w:tcW w:w="3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Nonvested, December 31, 2023</w:t>
            </w:r>
          </w:p>
        </w:tc>
        <w:tc>
          <w:tcPr>
            <w:tcW w:w="2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1,234,031</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4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7.36</w:t>
            </w:r>
          </w:p>
        </w:tc>
      </w:tr>
      <w:tr>
        <w:trPr>
          <w:trHeight w:val="213"/>
        </w:trPr>
        <w:tc>
          <w:tcPr>
            <w:tcW w:w="3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Vested</w:t>
            </w:r>
          </w:p>
        </w:tc>
        <w:tc>
          <w:tcPr>
            <w:tcW w:w="2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(334,642)</w:t>
            </w:r>
          </w:p>
        </w:tc>
        <w:tc>
          <w:tcPr>
            <w:tcW w:w="500" w:type="dxa"/>
            <w:vAlign w:val="bottom"/>
            <w:tcBorders>
              <w:bottom w:val="single" w:sz="8" w:color="CCEEFF"/>
            </w:tcBorders>
            <w:gridSpan w:val="2"/>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48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6.52</w:t>
            </w:r>
          </w:p>
        </w:tc>
      </w:tr>
      <w:tr>
        <w:trPr>
          <w:trHeight w:val="237"/>
        </w:trPr>
        <w:tc>
          <w:tcPr>
            <w:tcW w:w="3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Nonvested, March 31, 2024</w:t>
            </w:r>
          </w:p>
        </w:tc>
        <w:tc>
          <w:tcPr>
            <w:tcW w:w="2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899,389</w:t>
            </w:r>
          </w:p>
        </w:tc>
        <w:tc>
          <w:tcPr>
            <w:tcW w:w="500" w:type="dxa"/>
            <w:vAlign w:val="bottom"/>
            <w:tcBorders>
              <w:bottom w:val="single" w:sz="8" w:color="CCEEFF"/>
            </w:tcBorders>
            <w:gridSpan w:val="2"/>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4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7.67</w:t>
            </w:r>
          </w:p>
        </w:tc>
      </w:tr>
      <w:tr>
        <w:trPr>
          <w:trHeight w:val="20"/>
        </w:trPr>
        <w:tc>
          <w:tcPr>
            <w:tcW w:w="3580" w:type="dxa"/>
            <w:vAlign w:val="bottom"/>
            <w:tcBorders>
              <w:top w:val="single" w:sz="8" w:color="CCEEFF"/>
            </w:tcBorders>
          </w:tcPr>
          <w:p>
            <w:pPr>
              <w:spacing w:after="0" w:line="20" w:lineRule="exact"/>
              <w:rPr>
                <w:sz w:val="1"/>
                <w:szCs w:val="1"/>
                <w:color w:val="auto"/>
              </w:rPr>
            </w:pPr>
          </w:p>
        </w:tc>
        <w:tc>
          <w:tcPr>
            <w:tcW w:w="2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4840" w:type="dxa"/>
            <w:vAlign w:val="bottom"/>
            <w:tcBorders>
              <w:top w:val="single" w:sz="8" w:color="CCEEFF"/>
            </w:tcBorders>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Restricted stock units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thirteen weeks ended March 31, 2024, a total of 418,251 restricted stock units (“RSU”) were granted. Of the total RSUs granted, 346,655 will vest ratably over a period of three years from grant date, the remaining 71,596 will vest 50% on the second anniversary of the grant date and 50% on the third anniversary of grant date. A summary of the Company’s RSU activity during the thirteen weeks ended March 31, 2024 is as follows:</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54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58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WEIGHTED AVERAGE GRANT</w:t>
            </w:r>
          </w:p>
        </w:tc>
        <w:tc>
          <w:tcPr>
            <w:tcW w:w="200" w:type="dxa"/>
            <w:vAlign w:val="bottom"/>
          </w:tcPr>
          <w:p>
            <w:pPr>
              <w:spacing w:after="0"/>
              <w:rPr>
                <w:sz w:val="16"/>
                <w:szCs w:val="16"/>
                <w:color w:val="auto"/>
              </w:rPr>
            </w:pPr>
          </w:p>
        </w:tc>
        <w:tc>
          <w:tcPr>
            <w:tcW w:w="2300" w:type="dxa"/>
            <w:vAlign w:val="bottom"/>
          </w:tcPr>
          <w:p>
            <w:pPr>
              <w:jc w:val="center"/>
              <w:ind w:right="117"/>
              <w:spacing w:after="0"/>
              <w:rPr>
                <w:sz w:val="20"/>
                <w:szCs w:val="20"/>
                <w:color w:val="auto"/>
              </w:rPr>
            </w:pPr>
            <w:r>
              <w:rPr>
                <w:rFonts w:ascii="Times New Roman" w:cs="Times New Roman" w:eastAsia="Times New Roman" w:hAnsi="Times New Roman"/>
                <w:sz w:val="16"/>
                <w:szCs w:val="16"/>
                <w:b w:val="1"/>
                <w:bCs w:val="1"/>
                <w:color w:val="auto"/>
              </w:rPr>
              <w:t>AGGREGATE INTRINSIC</w:t>
            </w:r>
          </w:p>
        </w:tc>
        <w:tc>
          <w:tcPr>
            <w:tcW w:w="0" w:type="dxa"/>
            <w:vAlign w:val="bottom"/>
          </w:tcPr>
          <w:p>
            <w:pPr>
              <w:spacing w:after="0"/>
              <w:rPr>
                <w:sz w:val="1"/>
                <w:szCs w:val="1"/>
                <w:color w:val="auto"/>
              </w:rPr>
            </w:pPr>
          </w:p>
        </w:tc>
      </w:tr>
      <w:tr>
        <w:trPr>
          <w:trHeight w:val="162"/>
        </w:trPr>
        <w:tc>
          <w:tcPr>
            <w:tcW w:w="3540" w:type="dxa"/>
            <w:vAlign w:val="bottom"/>
          </w:tcPr>
          <w:p>
            <w:pPr>
              <w:spacing w:after="0"/>
              <w:rPr>
                <w:sz w:val="14"/>
                <w:szCs w:val="14"/>
                <w:color w:val="auto"/>
              </w:rPr>
            </w:pPr>
          </w:p>
        </w:tc>
        <w:tc>
          <w:tcPr>
            <w:tcW w:w="2500" w:type="dxa"/>
            <w:vAlign w:val="bottom"/>
            <w:vMerge w:val="restart"/>
          </w:tcPr>
          <w:p>
            <w:pPr>
              <w:ind w:left="160"/>
              <w:spacing w:after="0"/>
              <w:rPr>
                <w:sz w:val="20"/>
                <w:szCs w:val="20"/>
                <w:color w:val="auto"/>
              </w:rPr>
            </w:pPr>
            <w:r>
              <w:rPr>
                <w:rFonts w:ascii="Times New Roman" w:cs="Times New Roman" w:eastAsia="Times New Roman" w:hAnsi="Times New Roman"/>
                <w:sz w:val="16"/>
                <w:szCs w:val="16"/>
                <w:b w:val="1"/>
                <w:bCs w:val="1"/>
                <w:color w:val="auto"/>
              </w:rPr>
              <w:t>RESTRICTED STOCK UNITS</w:t>
            </w:r>
          </w:p>
        </w:tc>
        <w:tc>
          <w:tcPr>
            <w:tcW w:w="120" w:type="dxa"/>
            <w:vAlign w:val="bottom"/>
          </w:tcPr>
          <w:p>
            <w:pPr>
              <w:spacing w:after="0"/>
              <w:rPr>
                <w:sz w:val="14"/>
                <w:szCs w:val="14"/>
                <w:color w:val="auto"/>
              </w:rPr>
            </w:pPr>
          </w:p>
        </w:tc>
        <w:tc>
          <w:tcPr>
            <w:tcW w:w="2580" w:type="dxa"/>
            <w:vAlign w:val="bottom"/>
            <w:gridSpan w:val="3"/>
            <w:vMerge w:val="continue"/>
          </w:tcPr>
          <w:p>
            <w:pPr>
              <w:spacing w:after="0"/>
              <w:rPr>
                <w:sz w:val="14"/>
                <w:szCs w:val="14"/>
                <w:color w:val="auto"/>
              </w:rPr>
            </w:pPr>
          </w:p>
        </w:tc>
        <w:tc>
          <w:tcPr>
            <w:tcW w:w="200" w:type="dxa"/>
            <w:vAlign w:val="bottom"/>
          </w:tcPr>
          <w:p>
            <w:pPr>
              <w:spacing w:after="0"/>
              <w:rPr>
                <w:sz w:val="14"/>
                <w:szCs w:val="14"/>
                <w:color w:val="auto"/>
              </w:rPr>
            </w:pPr>
          </w:p>
        </w:tc>
        <w:tc>
          <w:tcPr>
            <w:tcW w:w="2300" w:type="dxa"/>
            <w:vAlign w:val="bottom"/>
          </w:tcPr>
          <w:p>
            <w:pPr>
              <w:jc w:val="center"/>
              <w:ind w:right="157"/>
              <w:spacing w:after="0" w:line="162" w:lineRule="exact"/>
              <w:rPr>
                <w:sz w:val="20"/>
                <w:szCs w:val="20"/>
                <w:color w:val="auto"/>
              </w:rPr>
            </w:pPr>
            <w:r>
              <w:rPr>
                <w:rFonts w:ascii="Times New Roman" w:cs="Times New Roman" w:eastAsia="Times New Roman" w:hAnsi="Times New Roman"/>
                <w:sz w:val="16"/>
                <w:szCs w:val="16"/>
                <w:b w:val="1"/>
                <w:bCs w:val="1"/>
                <w:color w:val="auto"/>
                <w:w w:val="96"/>
              </w:rPr>
              <w:t>VALUE</w:t>
            </w:r>
          </w:p>
        </w:tc>
        <w:tc>
          <w:tcPr>
            <w:tcW w:w="0" w:type="dxa"/>
            <w:vAlign w:val="bottom"/>
          </w:tcPr>
          <w:p>
            <w:pPr>
              <w:spacing w:after="0"/>
              <w:rPr>
                <w:sz w:val="1"/>
                <w:szCs w:val="1"/>
                <w:color w:val="auto"/>
              </w:rPr>
            </w:pPr>
          </w:p>
        </w:tc>
      </w:tr>
      <w:tr>
        <w:trPr>
          <w:trHeight w:val="214"/>
        </w:trPr>
        <w:tc>
          <w:tcPr>
            <w:tcW w:w="3540" w:type="dxa"/>
            <w:vAlign w:val="bottom"/>
            <w:tcBorders>
              <w:bottom w:val="single" w:sz="8" w:color="CCEEFF"/>
            </w:tcBorders>
          </w:tcPr>
          <w:p>
            <w:pPr>
              <w:spacing w:after="0"/>
              <w:rPr>
                <w:sz w:val="18"/>
                <w:szCs w:val="18"/>
                <w:color w:val="auto"/>
              </w:rPr>
            </w:pPr>
          </w:p>
        </w:tc>
        <w:tc>
          <w:tcPr>
            <w:tcW w:w="250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DATE FAIR VALUE</w:t>
            </w:r>
          </w:p>
        </w:tc>
        <w:tc>
          <w:tcPr>
            <w:tcW w:w="4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300" w:type="dxa"/>
            <w:vAlign w:val="bottom"/>
            <w:tcBorders>
              <w:bottom w:val="single" w:sz="8" w:color="auto"/>
            </w:tcBorders>
          </w:tcPr>
          <w:p>
            <w:pPr>
              <w:jc w:val="center"/>
              <w:ind w:right="117"/>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0" w:type="dxa"/>
            <w:vAlign w:val="bottom"/>
          </w:tcPr>
          <w:p>
            <w:pPr>
              <w:spacing w:after="0"/>
              <w:rPr>
                <w:sz w:val="1"/>
                <w:szCs w:val="1"/>
                <w:color w:val="auto"/>
              </w:rPr>
            </w:pPr>
          </w:p>
        </w:tc>
      </w:tr>
      <w:tr>
        <w:trPr>
          <w:trHeight w:val="211"/>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Outstanding, December 31, 2023</w:t>
            </w:r>
          </w:p>
        </w:tc>
        <w:tc>
          <w:tcPr>
            <w:tcW w:w="2500" w:type="dxa"/>
            <w:vAlign w:val="bottom"/>
            <w:shd w:val="clear" w:color="auto" w:fill="CCEEFF"/>
          </w:tcPr>
          <w:p>
            <w:pPr>
              <w:jc w:val="center"/>
              <w:ind w:left="1759"/>
              <w:spacing w:after="0"/>
              <w:rPr>
                <w:sz w:val="20"/>
                <w:szCs w:val="20"/>
                <w:color w:val="auto"/>
              </w:rPr>
            </w:pPr>
            <w:r>
              <w:rPr>
                <w:rFonts w:ascii="Times New Roman" w:cs="Times New Roman" w:eastAsia="Times New Roman" w:hAnsi="Times New Roman"/>
                <w:sz w:val="16"/>
                <w:szCs w:val="16"/>
                <w:color w:val="auto"/>
              </w:rPr>
              <w:t>521,042</w:t>
            </w:r>
          </w:p>
        </w:tc>
        <w:tc>
          <w:tcPr>
            <w:tcW w:w="120" w:type="dxa"/>
            <w:vAlign w:val="bottom"/>
            <w:shd w:val="clear" w:color="auto" w:fill="CCEEFF"/>
          </w:tcPr>
          <w:p>
            <w:pPr>
              <w:spacing w:after="0"/>
              <w:rPr>
                <w:sz w:val="18"/>
                <w:szCs w:val="18"/>
                <w:color w:val="auto"/>
              </w:rPr>
            </w:pPr>
          </w:p>
        </w:tc>
        <w:tc>
          <w:tcPr>
            <w:tcW w:w="2000" w:type="dxa"/>
            <w:vAlign w:val="bottom"/>
            <w:shd w:val="clear" w:color="auto" w:fill="CCEEFF"/>
          </w:tcPr>
          <w:p>
            <w:pPr>
              <w:jc w:val="right"/>
              <w:ind w:right="1839"/>
              <w:spacing w:after="0"/>
              <w:rPr>
                <w:sz w:val="20"/>
                <w:szCs w:val="20"/>
                <w:color w:val="auto"/>
              </w:rPr>
            </w:pPr>
            <w:r>
              <w:rPr>
                <w:rFonts w:ascii="Times New Roman" w:cs="Times New Roman" w:eastAsia="Times New Roman" w:hAnsi="Times New Roman"/>
                <w:sz w:val="16"/>
                <w:szCs w:val="16"/>
                <w:color w:val="auto"/>
                <w:w w:val="74"/>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2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10,473</w:t>
            </w:r>
          </w:p>
        </w:tc>
        <w:tc>
          <w:tcPr>
            <w:tcW w:w="0" w:type="dxa"/>
            <w:vAlign w:val="bottom"/>
          </w:tcPr>
          <w:p>
            <w:pPr>
              <w:spacing w:after="0"/>
              <w:rPr>
                <w:sz w:val="1"/>
                <w:szCs w:val="1"/>
                <w:color w:val="auto"/>
              </w:rPr>
            </w:pPr>
          </w:p>
        </w:tc>
      </w:tr>
      <w:tr>
        <w:trPr>
          <w:trHeight w:val="213"/>
        </w:trPr>
        <w:tc>
          <w:tcPr>
            <w:tcW w:w="3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Granted</w:t>
            </w:r>
          </w:p>
        </w:tc>
        <w:tc>
          <w:tcPr>
            <w:tcW w:w="2500" w:type="dxa"/>
            <w:vAlign w:val="bottom"/>
          </w:tcPr>
          <w:p>
            <w:pPr>
              <w:jc w:val="center"/>
              <w:ind w:left="1759"/>
              <w:spacing w:after="0"/>
              <w:rPr>
                <w:sz w:val="20"/>
                <w:szCs w:val="20"/>
                <w:color w:val="auto"/>
              </w:rPr>
            </w:pPr>
            <w:r>
              <w:rPr>
                <w:rFonts w:ascii="Times New Roman" w:cs="Times New Roman" w:eastAsia="Times New Roman" w:hAnsi="Times New Roman"/>
                <w:sz w:val="16"/>
                <w:szCs w:val="16"/>
                <w:color w:val="auto"/>
              </w:rPr>
              <w:t>418,251</w:t>
            </w:r>
          </w:p>
        </w:tc>
        <w:tc>
          <w:tcPr>
            <w:tcW w:w="2120" w:type="dxa"/>
            <w:vAlign w:val="bottom"/>
            <w:gridSpan w:val="2"/>
          </w:tcPr>
          <w:p>
            <w:pPr>
              <w:jc w:val="right"/>
              <w:ind w:right="1839"/>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24.79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Vested</w:t>
            </w:r>
          </w:p>
        </w:tc>
        <w:tc>
          <w:tcPr>
            <w:tcW w:w="2500" w:type="dxa"/>
            <w:vAlign w:val="bottom"/>
            <w:tcBorders>
              <w:bottom w:val="single" w:sz="8" w:color="auto"/>
            </w:tcBorders>
            <w:shd w:val="clear" w:color="auto" w:fill="CCEEFF"/>
          </w:tcPr>
          <w:p>
            <w:pPr>
              <w:jc w:val="center"/>
              <w:ind w:left="1739"/>
              <w:spacing w:after="0"/>
              <w:rPr>
                <w:sz w:val="20"/>
                <w:szCs w:val="20"/>
                <w:color w:val="auto"/>
              </w:rPr>
            </w:pPr>
            <w:r>
              <w:rPr>
                <w:rFonts w:ascii="Times New Roman" w:cs="Times New Roman" w:eastAsia="Times New Roman" w:hAnsi="Times New Roman"/>
                <w:sz w:val="16"/>
                <w:szCs w:val="16"/>
                <w:color w:val="auto"/>
              </w:rPr>
              <w:t>(161,859)</w:t>
            </w:r>
          </w:p>
        </w:tc>
        <w:tc>
          <w:tcPr>
            <w:tcW w:w="2120" w:type="dxa"/>
            <w:vAlign w:val="bottom"/>
            <w:gridSpan w:val="2"/>
            <w:shd w:val="clear" w:color="auto" w:fill="CCEEFF"/>
          </w:tcPr>
          <w:p>
            <w:pPr>
              <w:jc w:val="right"/>
              <w:ind w:right="1839"/>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Outstanding, March 31, 2024</w:t>
            </w:r>
          </w:p>
        </w:tc>
        <w:tc>
          <w:tcPr>
            <w:tcW w:w="2500" w:type="dxa"/>
            <w:vAlign w:val="bottom"/>
            <w:tcBorders>
              <w:bottom w:val="single" w:sz="8" w:color="auto"/>
            </w:tcBorders>
          </w:tcPr>
          <w:p>
            <w:pPr>
              <w:jc w:val="center"/>
              <w:ind w:left="1759"/>
              <w:spacing w:after="0"/>
              <w:rPr>
                <w:sz w:val="20"/>
                <w:szCs w:val="20"/>
                <w:color w:val="auto"/>
              </w:rPr>
            </w:pPr>
            <w:r>
              <w:rPr>
                <w:rFonts w:ascii="Times New Roman" w:cs="Times New Roman" w:eastAsia="Times New Roman" w:hAnsi="Times New Roman"/>
                <w:sz w:val="16"/>
                <w:szCs w:val="16"/>
                <w:color w:val="auto"/>
              </w:rPr>
              <w:t>777,434</w:t>
            </w:r>
          </w:p>
        </w:tc>
        <w:tc>
          <w:tcPr>
            <w:tcW w:w="2120" w:type="dxa"/>
            <w:vAlign w:val="bottom"/>
            <w:gridSpan w:val="2"/>
          </w:tcPr>
          <w:p>
            <w:pPr>
              <w:jc w:val="right"/>
              <w:ind w:right="1839"/>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20.63</w:t>
            </w:r>
          </w:p>
        </w:tc>
        <w:tc>
          <w:tcPr>
            <w:tcW w:w="100" w:type="dxa"/>
            <w:vAlign w:val="bottom"/>
          </w:tcPr>
          <w:p>
            <w:pPr>
              <w:spacing w:after="0"/>
              <w:rPr>
                <w:sz w:val="18"/>
                <w:szCs w:val="18"/>
                <w:color w:val="auto"/>
              </w:rPr>
            </w:pPr>
          </w:p>
        </w:tc>
        <w:tc>
          <w:tcPr>
            <w:tcW w:w="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19,140</w:t>
            </w:r>
          </w:p>
        </w:tc>
        <w:tc>
          <w:tcPr>
            <w:tcW w:w="0" w:type="dxa"/>
            <w:vAlign w:val="bottom"/>
          </w:tcPr>
          <w:p>
            <w:pPr>
              <w:spacing w:after="0"/>
              <w:rPr>
                <w:sz w:val="1"/>
                <w:szCs w:val="1"/>
                <w:color w:val="auto"/>
              </w:rPr>
            </w:pPr>
          </w:p>
        </w:tc>
      </w:tr>
      <w:tr>
        <w:trPr>
          <w:trHeight w:val="21"/>
        </w:trPr>
        <w:tc>
          <w:tcPr>
            <w:tcW w:w="3540" w:type="dxa"/>
            <w:vAlign w:val="bottom"/>
          </w:tcPr>
          <w:p>
            <w:pPr>
              <w:spacing w:after="0" w:line="20" w:lineRule="exact"/>
              <w:rPr>
                <w:sz w:val="1"/>
                <w:szCs w:val="1"/>
                <w:color w:val="auto"/>
              </w:rPr>
            </w:pPr>
          </w:p>
        </w:tc>
        <w:tc>
          <w:tcPr>
            <w:tcW w:w="2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aggregate intrinsic value is based on the closing price of the Company’s common stock on Nasdaq of $24.62 and $20.10 on March 28, 2024 and December 29, 2023, the last trading days for the periods, respectively.</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Stock-based compensation expense was $1.9 million and $1.5 million during the thirteen weeks ended March 31, 2024 and March 26, 2023, respectively.</w:t>
      </w:r>
    </w:p>
    <w:p>
      <w:pPr>
        <w:spacing w:after="0" w:line="11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total related income tax benefit for stock-based compensation expense was $1.3 million and $0.2 million during the thirteen weeks ended March 31, 2024 and March 26, 2023, respectively.</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FIRST WATCH RESTAURANT GROUP,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Unrecognized stock-based compensation expense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represents unrecognized stock-based compensation expense and the remaining weighted average vesting period as of March 31, 2024:</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5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800" w:type="dxa"/>
            <w:vAlign w:val="bottom"/>
          </w:tcPr>
          <w:p>
            <w:pPr>
              <w:jc w:val="center"/>
              <w:ind w:right="615"/>
              <w:spacing w:after="0"/>
              <w:rPr>
                <w:sz w:val="20"/>
                <w:szCs w:val="20"/>
                <w:color w:val="auto"/>
              </w:rPr>
            </w:pPr>
            <w:r>
              <w:rPr>
                <w:rFonts w:ascii="Times New Roman" w:cs="Times New Roman" w:eastAsia="Times New Roman" w:hAnsi="Times New Roman"/>
                <w:sz w:val="16"/>
                <w:szCs w:val="16"/>
                <w:b w:val="1"/>
                <w:bCs w:val="1"/>
                <w:color w:val="auto"/>
              </w:rPr>
              <w:t>UNRECOGNIZED STOCK-BASED</w:t>
            </w:r>
          </w:p>
        </w:tc>
        <w:tc>
          <w:tcPr>
            <w:tcW w:w="220" w:type="dxa"/>
            <w:vAlign w:val="bottom"/>
          </w:tcPr>
          <w:p>
            <w:pPr>
              <w:spacing w:after="0"/>
              <w:rPr>
                <w:sz w:val="16"/>
                <w:szCs w:val="16"/>
                <w:color w:val="auto"/>
              </w:rPr>
            </w:pPr>
          </w:p>
        </w:tc>
        <w:tc>
          <w:tcPr>
            <w:tcW w:w="3660" w:type="dxa"/>
            <w:vAlign w:val="bottom"/>
            <w:gridSpan w:val="4"/>
          </w:tcPr>
          <w:p>
            <w:pPr>
              <w:jc w:val="center"/>
              <w:ind w:right="356"/>
              <w:spacing w:after="0"/>
              <w:rPr>
                <w:sz w:val="20"/>
                <w:szCs w:val="20"/>
                <w:color w:val="auto"/>
              </w:rPr>
            </w:pPr>
            <w:r>
              <w:rPr>
                <w:rFonts w:ascii="Times New Roman" w:cs="Times New Roman" w:eastAsia="Times New Roman" w:hAnsi="Times New Roman"/>
                <w:sz w:val="16"/>
                <w:szCs w:val="16"/>
                <w:b w:val="1"/>
                <w:bCs w:val="1"/>
                <w:color w:val="auto"/>
              </w:rPr>
              <w:t>REMAINING WEIGHTED AVERAGE</w:t>
            </w:r>
          </w:p>
        </w:tc>
      </w:tr>
      <w:tr>
        <w:trPr>
          <w:trHeight w:val="162"/>
        </w:trPr>
        <w:tc>
          <w:tcPr>
            <w:tcW w:w="25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800" w:type="dxa"/>
            <w:vAlign w:val="bottom"/>
          </w:tcPr>
          <w:p>
            <w:pPr>
              <w:jc w:val="center"/>
              <w:ind w:right="615"/>
              <w:spacing w:after="0" w:line="162" w:lineRule="exact"/>
              <w:rPr>
                <w:sz w:val="20"/>
                <w:szCs w:val="20"/>
                <w:color w:val="auto"/>
              </w:rPr>
            </w:pPr>
            <w:r>
              <w:rPr>
                <w:rFonts w:ascii="Times New Roman" w:cs="Times New Roman" w:eastAsia="Times New Roman" w:hAnsi="Times New Roman"/>
                <w:sz w:val="16"/>
                <w:szCs w:val="16"/>
                <w:b w:val="1"/>
                <w:bCs w:val="1"/>
                <w:color w:val="auto"/>
                <w:w w:val="99"/>
              </w:rPr>
              <w:t>COMPENSATION EXPENSE</w:t>
            </w:r>
          </w:p>
        </w:tc>
        <w:tc>
          <w:tcPr>
            <w:tcW w:w="220" w:type="dxa"/>
            <w:vAlign w:val="bottom"/>
          </w:tcPr>
          <w:p>
            <w:pPr>
              <w:spacing w:after="0"/>
              <w:rPr>
                <w:sz w:val="14"/>
                <w:szCs w:val="14"/>
                <w:color w:val="auto"/>
              </w:rPr>
            </w:pPr>
          </w:p>
        </w:tc>
        <w:tc>
          <w:tcPr>
            <w:tcW w:w="3660" w:type="dxa"/>
            <w:vAlign w:val="bottom"/>
            <w:gridSpan w:val="4"/>
          </w:tcPr>
          <w:p>
            <w:pPr>
              <w:jc w:val="center"/>
              <w:ind w:right="376"/>
              <w:spacing w:after="0" w:line="162" w:lineRule="exact"/>
              <w:rPr>
                <w:sz w:val="20"/>
                <w:szCs w:val="20"/>
                <w:color w:val="auto"/>
              </w:rPr>
            </w:pPr>
            <w:r>
              <w:rPr>
                <w:rFonts w:ascii="Times New Roman" w:cs="Times New Roman" w:eastAsia="Times New Roman" w:hAnsi="Times New Roman"/>
                <w:sz w:val="16"/>
                <w:szCs w:val="16"/>
                <w:b w:val="1"/>
                <w:bCs w:val="1"/>
                <w:color w:val="auto"/>
              </w:rPr>
              <w:t>VESTING PERIOD</w:t>
            </w:r>
          </w:p>
        </w:tc>
      </w:tr>
      <w:tr>
        <w:trPr>
          <w:trHeight w:val="214"/>
        </w:trPr>
        <w:tc>
          <w:tcPr>
            <w:tcW w:w="25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800" w:type="dxa"/>
            <w:vAlign w:val="bottom"/>
          </w:tcPr>
          <w:p>
            <w:pPr>
              <w:jc w:val="center"/>
              <w:ind w:right="615"/>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20" w:type="dxa"/>
            <w:vAlign w:val="bottom"/>
          </w:tcPr>
          <w:p>
            <w:pPr>
              <w:spacing w:after="0"/>
              <w:rPr>
                <w:sz w:val="18"/>
                <w:szCs w:val="18"/>
                <w:color w:val="auto"/>
              </w:rPr>
            </w:pPr>
          </w:p>
        </w:tc>
        <w:tc>
          <w:tcPr>
            <w:tcW w:w="2000" w:type="dxa"/>
            <w:vAlign w:val="bottom"/>
            <w:gridSpan w:val="3"/>
          </w:tcPr>
          <w:p>
            <w:pPr>
              <w:jc w:val="center"/>
              <w:ind w:left="1139"/>
              <w:spacing w:after="0"/>
              <w:rPr>
                <w:sz w:val="20"/>
                <w:szCs w:val="20"/>
                <w:color w:val="auto"/>
              </w:rPr>
            </w:pPr>
            <w:r>
              <w:rPr>
                <w:rFonts w:ascii="Times New Roman" w:cs="Times New Roman" w:eastAsia="Times New Roman" w:hAnsi="Times New Roman"/>
                <w:sz w:val="16"/>
                <w:szCs w:val="16"/>
                <w:i w:val="1"/>
                <w:iCs w:val="1"/>
                <w:color w:val="auto"/>
              </w:rPr>
              <w:t>(in years)</w:t>
            </w:r>
          </w:p>
        </w:tc>
        <w:tc>
          <w:tcPr>
            <w:tcW w:w="1660" w:type="dxa"/>
            <w:vAlign w:val="bottom"/>
          </w:tcPr>
          <w:p>
            <w:pPr>
              <w:spacing w:after="0"/>
              <w:rPr>
                <w:sz w:val="18"/>
                <w:szCs w:val="18"/>
                <w:color w:val="auto"/>
              </w:rPr>
            </w:pPr>
          </w:p>
        </w:tc>
      </w:tr>
      <w:tr>
        <w:trPr>
          <w:trHeight w:val="231"/>
        </w:trPr>
        <w:tc>
          <w:tcPr>
            <w:tcW w:w="2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 options</w:t>
            </w:r>
          </w:p>
        </w:tc>
        <w:tc>
          <w:tcPr>
            <w:tcW w:w="104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3800" w:type="dxa"/>
            <w:vAlign w:val="bottom"/>
            <w:shd w:val="clear" w:color="auto" w:fill="CCEEFF"/>
          </w:tcPr>
          <w:p>
            <w:pPr>
              <w:jc w:val="right"/>
              <w:ind w:right="315"/>
              <w:spacing w:after="0"/>
              <w:rPr>
                <w:sz w:val="20"/>
                <w:szCs w:val="20"/>
                <w:color w:val="auto"/>
              </w:rPr>
            </w:pPr>
            <w:r>
              <w:rPr>
                <w:rFonts w:ascii="Times New Roman" w:cs="Times New Roman" w:eastAsia="Times New Roman" w:hAnsi="Times New Roman"/>
                <w:sz w:val="18"/>
                <w:szCs w:val="18"/>
                <w:color w:val="auto"/>
              </w:rPr>
              <w:t>2,567</w:t>
            </w:r>
          </w:p>
        </w:tc>
        <w:tc>
          <w:tcPr>
            <w:tcW w:w="220" w:type="dxa"/>
            <w:vAlign w:val="bottom"/>
            <w:shd w:val="clear" w:color="auto" w:fill="CCEEFF"/>
          </w:tcPr>
          <w:p>
            <w:pPr>
              <w:spacing w:after="0"/>
              <w:rPr>
                <w:sz w:val="20"/>
                <w:szCs w:val="20"/>
                <w:color w:val="auto"/>
              </w:rPr>
            </w:pPr>
          </w:p>
        </w:tc>
        <w:tc>
          <w:tcPr>
            <w:tcW w:w="16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r>
      <w:tr>
        <w:trPr>
          <w:trHeight w:val="234"/>
        </w:trPr>
        <w:tc>
          <w:tcPr>
            <w:tcW w:w="2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Restricted stock units</w:t>
            </w:r>
          </w:p>
        </w:tc>
        <w:tc>
          <w:tcPr>
            <w:tcW w:w="10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3800" w:type="dxa"/>
            <w:vAlign w:val="bottom"/>
          </w:tcPr>
          <w:p>
            <w:pPr>
              <w:jc w:val="right"/>
              <w:ind w:right="315"/>
              <w:spacing w:after="0"/>
              <w:rPr>
                <w:sz w:val="20"/>
                <w:szCs w:val="20"/>
                <w:color w:val="auto"/>
              </w:rPr>
            </w:pPr>
            <w:r>
              <w:rPr>
                <w:rFonts w:ascii="Times New Roman" w:cs="Times New Roman" w:eastAsia="Times New Roman" w:hAnsi="Times New Roman"/>
                <w:sz w:val="18"/>
                <w:szCs w:val="18"/>
                <w:color w:val="auto"/>
              </w:rPr>
              <w:t>15,187</w:t>
            </w:r>
          </w:p>
        </w:tc>
        <w:tc>
          <w:tcPr>
            <w:tcW w:w="2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670"/>
        </w:trPr>
        <w:tc>
          <w:tcPr>
            <w:tcW w:w="2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11.  Income Taxes</w:t>
            </w:r>
          </w:p>
        </w:tc>
        <w:tc>
          <w:tcPr>
            <w:tcW w:w="104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345"/>
        </w:trPr>
        <w:tc>
          <w:tcPr>
            <w:tcW w:w="25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60" w:type="dxa"/>
            <w:vAlign w:val="bottom"/>
            <w:gridSpan w:val="4"/>
          </w:tcPr>
          <w:p>
            <w:pPr>
              <w:jc w:val="right"/>
              <w:ind w:right="816"/>
              <w:spacing w:after="0"/>
              <w:rPr>
                <w:sz w:val="20"/>
                <w:szCs w:val="20"/>
                <w:color w:val="auto"/>
              </w:rPr>
            </w:pPr>
            <w:r>
              <w:rPr>
                <w:rFonts w:ascii="Times New Roman" w:cs="Times New Roman" w:eastAsia="Times New Roman" w:hAnsi="Times New Roman"/>
                <w:sz w:val="16"/>
                <w:szCs w:val="16"/>
                <w:b w:val="1"/>
                <w:bCs w:val="1"/>
                <w:color w:val="auto"/>
              </w:rPr>
              <w:t>THIRTEEN WEEKS ENDED</w:t>
            </w:r>
          </w:p>
        </w:tc>
      </w:tr>
      <w:tr>
        <w:trPr>
          <w:trHeight w:val="219"/>
        </w:trPr>
        <w:tc>
          <w:tcPr>
            <w:tcW w:w="252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040" w:type="dxa"/>
            <w:vAlign w:val="bottom"/>
          </w:tcPr>
          <w:p>
            <w:pPr>
              <w:spacing w:after="0"/>
              <w:rPr>
                <w:sz w:val="19"/>
                <w:szCs w:val="19"/>
                <w:color w:val="auto"/>
              </w:rPr>
            </w:pPr>
          </w:p>
        </w:tc>
        <w:tc>
          <w:tcPr>
            <w:tcW w:w="3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6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MARCH 31, 2024</w:t>
            </w:r>
          </w:p>
        </w:tc>
        <w:tc>
          <w:tcPr>
            <w:tcW w:w="240" w:type="dxa"/>
            <w:vAlign w:val="bottom"/>
          </w:tcPr>
          <w:p>
            <w:pPr>
              <w:spacing w:after="0"/>
              <w:rPr>
                <w:sz w:val="19"/>
                <w:szCs w:val="19"/>
                <w:color w:val="auto"/>
              </w:rPr>
            </w:pPr>
          </w:p>
        </w:tc>
        <w:tc>
          <w:tcPr>
            <w:tcW w:w="1660" w:type="dxa"/>
            <w:vAlign w:val="bottom"/>
          </w:tcPr>
          <w:p>
            <w:pPr>
              <w:jc w:val="right"/>
              <w:ind w:right="236"/>
              <w:spacing w:after="0"/>
              <w:rPr>
                <w:sz w:val="20"/>
                <w:szCs w:val="20"/>
                <w:color w:val="auto"/>
              </w:rPr>
            </w:pPr>
            <w:r>
              <w:rPr>
                <w:rFonts w:ascii="Times New Roman" w:cs="Times New Roman" w:eastAsia="Times New Roman" w:hAnsi="Times New Roman"/>
                <w:sz w:val="16"/>
                <w:szCs w:val="16"/>
                <w:b w:val="1"/>
                <w:bCs w:val="1"/>
                <w:color w:val="auto"/>
              </w:rPr>
              <w:t>MARCH 26, 2023</w:t>
            </w:r>
          </w:p>
        </w:tc>
      </w:tr>
      <w:tr>
        <w:trPr>
          <w:trHeight w:val="212"/>
        </w:trPr>
        <w:tc>
          <w:tcPr>
            <w:tcW w:w="25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1040" w:type="dxa"/>
            <w:vAlign w:val="bottom"/>
            <w:tcBorders>
              <w:top w:val="single" w:sz="8" w:color="CCEEFF"/>
            </w:tcBorders>
            <w:shd w:val="clear" w:color="auto" w:fill="CCEEFF"/>
          </w:tcPr>
          <w:p>
            <w:pPr>
              <w:spacing w:after="0"/>
              <w:rPr>
                <w:sz w:val="18"/>
                <w:szCs w:val="18"/>
                <w:color w:val="auto"/>
              </w:rPr>
            </w:pPr>
          </w:p>
        </w:tc>
        <w:tc>
          <w:tcPr>
            <w:tcW w:w="38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10,013</w:t>
            </w: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Borders>
              <w:top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6"/>
                <w:szCs w:val="16"/>
                <w:color w:val="auto"/>
              </w:rPr>
              <w:t>13,918</w:t>
            </w:r>
          </w:p>
        </w:tc>
      </w:tr>
      <w:tr>
        <w:trPr>
          <w:trHeight w:val="213"/>
        </w:trPr>
        <w:tc>
          <w:tcPr>
            <w:tcW w:w="2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tax expense</w:t>
            </w:r>
          </w:p>
        </w:tc>
        <w:tc>
          <w:tcPr>
            <w:tcW w:w="104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(2,799)</w:t>
            </w:r>
          </w:p>
        </w:tc>
        <w:tc>
          <w:tcPr>
            <w:tcW w:w="8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Pr>
          <w:p>
            <w:pPr>
              <w:jc w:val="right"/>
              <w:ind w:right="76"/>
              <w:spacing w:after="0"/>
              <w:rPr>
                <w:sz w:val="20"/>
                <w:szCs w:val="20"/>
                <w:color w:val="auto"/>
              </w:rPr>
            </w:pPr>
            <w:r>
              <w:rPr>
                <w:rFonts w:ascii="Times New Roman" w:cs="Times New Roman" w:eastAsia="Times New Roman" w:hAnsi="Times New Roman"/>
                <w:sz w:val="16"/>
                <w:szCs w:val="16"/>
                <w:color w:val="auto"/>
              </w:rPr>
              <w:t>(4,558)</w:t>
            </w:r>
          </w:p>
        </w:tc>
      </w:tr>
      <w:tr>
        <w:trPr>
          <w:trHeight w:val="219"/>
        </w:trPr>
        <w:tc>
          <w:tcPr>
            <w:tcW w:w="2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Effective income tax rate</w:t>
            </w:r>
          </w:p>
        </w:tc>
        <w:tc>
          <w:tcPr>
            <w:tcW w:w="1040" w:type="dxa"/>
            <w:vAlign w:val="bottom"/>
            <w:shd w:val="clear" w:color="auto" w:fill="CCEEFF"/>
          </w:tcPr>
          <w:p>
            <w:pPr>
              <w:spacing w:after="0"/>
              <w:rPr>
                <w:sz w:val="19"/>
                <w:szCs w:val="19"/>
                <w:color w:val="auto"/>
              </w:rPr>
            </w:pPr>
          </w:p>
        </w:tc>
        <w:tc>
          <w:tcPr>
            <w:tcW w:w="38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28.0 %</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32.7 %</w:t>
            </w:r>
          </w:p>
        </w:tc>
      </w:tr>
    </w:tbl>
    <w:p>
      <w:pPr>
        <w:spacing w:after="0" w:line="1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effective income tax rate for the thirteen weeks ended March 31, 2024 was 28.0% as compared to 32.7% for the thirteen weeks ended March 26, 2023. The change in the effective income tax rates was primarily due to (i) the change in the valuation allowance on deferred tax assets, (ii) the benefit of tax credits for FICA taxes on certain employees’ tips and (iii) impact of executive stock-based compensation.</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effective income tax rates for the thirteen weeks ended March 31, 2024 and March 26, 2023 were different than the blended federal and state statutory rate primarily due to (i) the change in the valuation allowance, (ii) the benefit of tax credits for FICA taxes on certain employees’ tips and (iii) the impacts of executive stock-based compensation.</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Valuation allowance</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Management evaluates quarterly whether the resulting deferred tax assets are realizable given the Company’s earnings history. Based on the available evidence, the Company does not meet the more likely than not standard related to the realization of a portion of the deferred tax assets as of March 31, 2024. Accordingly, the Company has established a valuation allowance on the portion of deferred tax assets deemed not realizable, including state charitable contribution carryovers, various state loss carryforwards and various federal tax credit carryforwards.</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Management continues to monitor and evaluate the rationale for recording a valuation allowance for deferred tax assets. As the Company’s future taxable earnings increase and deferred tax assets are utilized, it is possible that a portion of the valuation allowance will no longer be needed. Release of any valuation allowance would result in the recognition of certain deferred tax assets and a decrease to income tax expense in the period of the release. The timing and amount of any release related to future taxable income is currently indeterminable.</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Contingent consideration liability</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Certain federal loss carryforwards, state loss carryforwards and general business credits were accumulated from operations prior to the August 2017 merger through which the Company became majority owned by Advent. To the extent that these credits and carryforwards are utilized to reduce taxes payable, the Company is required to pay the previous stockholders an amount equal to tax savings. A contingent consideration liability of $1.2 million was initially recognized for expected payments to be made to the previous stockholders based on this requirement. In subsequent years, this liability was adjusted for payments made to previous stockholders and for the estimated future use of tax credits and carryforwards. This requirement lapses with respect to any tax year, or portion thereof, beginning after December 31, 2024, or if a change in control event occurs.</w:t>
      </w:r>
    </w:p>
    <w:p>
      <w:pPr>
        <w:spacing w:after="0" w:line="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the thirteen weeks ended March 31, 2024, Advent sold common stock of the Company through a secondary public offering. As a result, Advent no longer controls a majority of the Company’s issued and outstanding shares of common stock, creating a change of control event as defined in the merger agreement. A reduction of the contingent consideration liability of $0.6 million was recognized in Transaction expenses, net to release the contingent consideration liability for any tax years not filed. As of March 31, 2024, the remaining contingent consideration liability balance of $0.4 million related to tax returns that have been filed is included in accrued liabilities.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FIRST WATCH RESTAURANT GROUP,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323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right="8280" w:firstLine="8"/>
        <w:spacing w:after="0" w:line="377" w:lineRule="auto"/>
        <w:tabs>
          <w:tab w:leader="none" w:pos="405"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 Legal Proceedings</w:t>
      </w:r>
    </w:p>
    <w:p>
      <w:pPr>
        <w:spacing w:after="0" w:line="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is subject to legal proceedings, claims and liabilities that arise in the ordinary course of business. The amount of the anticipated liability with respect to these matters was not material as of March 31, 2024. In the event any litigation losses become probable and estimable, the Company will recognize any anticipated losses.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Unclaimed Property</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is subject to unclaimed or abandoned property (escheat) laws which require it to turn over to state governmental authorities the property of others held by the Company that has been unclaimed for specified periods of time. Property subject to escheat laws generally relates to uncashed checks, trade accounts receivable credits and unredeemed gift card balances. During the first quarter of 2022, the Company received a letter from the Delaware Secretary of State inviting the Company to participate in the Delaware Secretary of State’s Abandoned or Unclaimed Property Voluntary Disclosure Agreement Program to avoid being sent an audit notice by the Delaware Department of Finance. On August 31, 2022, the Company was accepted into Delaware’s Voluntary Disclosure Agreement Program, entitling it to certain benefits and protections offered to participants in the program. The Company intends to work in good faith to complete a review of its books and records related to unclaimed or abandoned property during the periods required under the program. The Company will continue to examine its options regarding the escheat laws of Delaware including completing Delaware’s Voluntary Disclosure Agreement Program or proceeding to audit. In the fourth quarter of 2023, the Company recorded $0.8 million in General and administrative expenses for estimated probable losses that might arise from this matter. As of March 31, 2024, this amount is included in the Accrued liabilities. The Company may ultimately be subject to greater losses.</w:t>
      </w:r>
    </w:p>
    <w:p>
      <w:pPr>
        <w:spacing w:after="0" w:line="8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Management believes the Company is not currently required to remit any amounts relating to future unredeemed gift cards to states as the Company’s subsidiary that is the issuer of our gift cards was re-domiciled in Florida, which exempts gift cards from the abandoned and unclaimed property laws.</w:t>
      </w:r>
    </w:p>
    <w:p>
      <w:pPr>
        <w:spacing w:after="0" w:line="266"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13.</w:t>
      </w:r>
      <w:r>
        <w:rPr>
          <w:sz w:val="20"/>
          <w:szCs w:val="20"/>
          <w:color w:val="auto"/>
        </w:rPr>
        <w:tab/>
      </w:r>
      <w:r>
        <w:rPr>
          <w:rFonts w:ascii="Times New Roman" w:cs="Times New Roman" w:eastAsia="Times New Roman" w:hAnsi="Times New Roman"/>
          <w:sz w:val="17"/>
          <w:szCs w:val="17"/>
          <w:b w:val="1"/>
          <w:bCs w:val="1"/>
          <w:color w:val="auto"/>
        </w:rPr>
        <w:t>Net Income Per Common Share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computations of basic and diluted net income per common share:</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500" w:type="dxa"/>
            <w:vAlign w:val="bottom"/>
            <w:gridSpan w:val="4"/>
          </w:tcPr>
          <w:p>
            <w:pPr>
              <w:jc w:val="right"/>
              <w:ind w:right="719"/>
              <w:spacing w:after="0"/>
              <w:rPr>
                <w:sz w:val="20"/>
                <w:szCs w:val="20"/>
                <w:color w:val="auto"/>
              </w:rPr>
            </w:pPr>
            <w:r>
              <w:rPr>
                <w:rFonts w:ascii="Times New Roman" w:cs="Times New Roman" w:eastAsia="Times New Roman" w:hAnsi="Times New Roman"/>
                <w:sz w:val="16"/>
                <w:szCs w:val="16"/>
                <w:b w:val="1"/>
                <w:bCs w:val="1"/>
                <w:color w:val="auto"/>
              </w:rPr>
              <w:t>THIRTEEN WEEKS ENDED</w:t>
            </w:r>
          </w:p>
        </w:tc>
      </w:tr>
      <w:tr>
        <w:trPr>
          <w:trHeight w:val="219"/>
        </w:trPr>
        <w:tc>
          <w:tcPr>
            <w:tcW w:w="756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 except share and per share data)</w:t>
            </w:r>
          </w:p>
        </w:tc>
        <w:tc>
          <w:tcPr>
            <w:tcW w:w="180" w:type="dxa"/>
            <w:vAlign w:val="bottom"/>
          </w:tcPr>
          <w:p>
            <w:pPr>
              <w:spacing w:after="0"/>
              <w:rPr>
                <w:sz w:val="19"/>
                <w:szCs w:val="19"/>
                <w:color w:val="auto"/>
              </w:rPr>
            </w:pPr>
          </w:p>
        </w:tc>
        <w:tc>
          <w:tcPr>
            <w:tcW w:w="170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MARCH 31, 2024</w:t>
            </w:r>
          </w:p>
        </w:tc>
        <w:tc>
          <w:tcPr>
            <w:tcW w:w="200" w:type="dxa"/>
            <w:vAlign w:val="bottom"/>
          </w:tcPr>
          <w:p>
            <w:pPr>
              <w:spacing w:after="0"/>
              <w:rPr>
                <w:sz w:val="19"/>
                <w:szCs w:val="19"/>
                <w:color w:val="auto"/>
              </w:rPr>
            </w:pPr>
          </w:p>
        </w:tc>
        <w:tc>
          <w:tcPr>
            <w:tcW w:w="160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MARCH 26, 2023</w:t>
            </w:r>
          </w:p>
        </w:tc>
      </w:tr>
      <w:tr>
        <w:trPr>
          <w:trHeight w:val="199"/>
        </w:trPr>
        <w:tc>
          <w:tcPr>
            <w:tcW w:w="75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Numerator:</w:t>
            </w:r>
          </w:p>
        </w:tc>
        <w:tc>
          <w:tcPr>
            <w:tcW w:w="180" w:type="dxa"/>
            <w:vAlign w:val="bottom"/>
            <w:tcBorders>
              <w:top w:val="single" w:sz="8" w:color="auto"/>
            </w:tcBorders>
            <w:shd w:val="clear" w:color="auto" w:fill="CCEEFF"/>
          </w:tcPr>
          <w:p>
            <w:pPr>
              <w:spacing w:after="0"/>
              <w:rPr>
                <w:sz w:val="17"/>
                <w:szCs w:val="17"/>
                <w:color w:val="auto"/>
              </w:rPr>
            </w:pPr>
          </w:p>
        </w:tc>
        <w:tc>
          <w:tcPr>
            <w:tcW w:w="16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600" w:type="dxa"/>
            <w:vAlign w:val="bottom"/>
            <w:tcBorders>
              <w:top w:val="single" w:sz="8" w:color="auto"/>
            </w:tcBorders>
            <w:shd w:val="clear" w:color="auto" w:fill="CCEEFF"/>
          </w:tcPr>
          <w:p>
            <w:pPr>
              <w:spacing w:after="0"/>
              <w:rPr>
                <w:sz w:val="17"/>
                <w:szCs w:val="17"/>
                <w:color w:val="auto"/>
              </w:rPr>
            </w:pPr>
          </w:p>
        </w:tc>
      </w:tr>
      <w:tr>
        <w:trPr>
          <w:trHeight w:val="213"/>
        </w:trPr>
        <w:tc>
          <w:tcPr>
            <w:tcW w:w="756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Net income</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7,214</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9,360</w:t>
            </w:r>
          </w:p>
        </w:tc>
      </w:tr>
      <w:tr>
        <w:trPr>
          <w:trHeight w:val="219"/>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Denominator:</w:t>
            </w: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r>
      <w:tr>
        <w:trPr>
          <w:trHeight w:val="213"/>
        </w:trPr>
        <w:tc>
          <w:tcPr>
            <w:tcW w:w="756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Weighted average common shares outstanding - basic</w:t>
            </w:r>
          </w:p>
        </w:tc>
        <w:tc>
          <w:tcPr>
            <w:tcW w:w="1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60,012,790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59,243,430</w:t>
            </w:r>
          </w:p>
        </w:tc>
      </w:tr>
      <w:tr>
        <w:trPr>
          <w:trHeight w:val="219"/>
        </w:trPr>
        <w:tc>
          <w:tcPr>
            <w:tcW w:w="75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Weighted average common shares outstanding - diluted</w:t>
            </w: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62,476,379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60,597,729</w:t>
            </w:r>
          </w:p>
        </w:tc>
      </w:tr>
      <w:tr>
        <w:trPr>
          <w:trHeight w:val="213"/>
        </w:trPr>
        <w:tc>
          <w:tcPr>
            <w:tcW w:w="7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 per common share - basic</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0.12</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0.16</w:t>
            </w:r>
          </w:p>
        </w:tc>
      </w:tr>
      <w:tr>
        <w:trPr>
          <w:trHeight w:val="219"/>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per common share - diluted</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0.15</w:t>
            </w:r>
          </w:p>
        </w:tc>
      </w:tr>
      <w:tr>
        <w:trPr>
          <w:trHeight w:val="213"/>
        </w:trPr>
        <w:tc>
          <w:tcPr>
            <w:tcW w:w="7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 options outstanding not included in diluted net income per common share as their effect is anti-dilutive</w:t>
            </w:r>
          </w:p>
        </w:tc>
        <w:tc>
          <w:tcPr>
            <w:tcW w:w="1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12,552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1,118,816</w:t>
            </w:r>
          </w:p>
        </w:tc>
      </w:tr>
      <w:tr>
        <w:trPr>
          <w:trHeight w:val="219"/>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Restricted stock units outstanding not included in diluted net income per share as their effect is anti-dilutive</w:t>
            </w: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114,904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bl>
    <w:p>
      <w:pPr>
        <w:spacing w:after="0" w:line="18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Diluted net income per common share is calculated by adjusting the weighted average shares outstanding for the theoretical effect of potential common shares that would be issued for stock option awards outstanding and unvested as of the respective periods using the treasury method.</w:t>
      </w:r>
    </w:p>
    <w:p>
      <w:pPr>
        <w:spacing w:after="0" w:line="266" w:lineRule="exact"/>
        <w:rPr>
          <w:sz w:val="20"/>
          <w:szCs w:val="20"/>
          <w:color w:val="auto"/>
        </w:rPr>
      </w:pPr>
    </w:p>
    <w:p>
      <w:pPr>
        <w:ind w:right="9380" w:firstLine="8"/>
        <w:spacing w:after="0" w:line="400" w:lineRule="auto"/>
        <w:tabs>
          <w:tab w:leader="none" w:pos="405" w:val="left"/>
        </w:tabs>
        <w:numPr>
          <w:ilvl w:val="0"/>
          <w:numId w:val="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Subsequent Events Business Acquisitions</w:t>
      </w: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On April 15, 2024, the Company acquired 21 operating restaurants from a franchisee, together with the associated assets, including, but not limited to, franchise and development rights for cash of approximately $75.0 million. The purchase price will be allocated to the assets acquired and liabilities assumed as the information necessary to complete the fair value analysis is obtained. The acquisition was funded by borrowings under the Credit Facility. See Note 7, </w:t>
      </w:r>
      <w:r>
        <w:rPr>
          <w:rFonts w:ascii="Times New Roman" w:cs="Times New Roman" w:eastAsia="Times New Roman" w:hAnsi="Times New Roman"/>
          <w:sz w:val="18"/>
          <w:szCs w:val="18"/>
          <w:i w:val="1"/>
          <w:iCs w:val="1"/>
          <w:color w:val="auto"/>
        </w:rPr>
        <w:t>Debt.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Statement</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the unaudited interim consolidated financial statements and notes thereto included in Part I, Item 1 of this Form 10-Q and our audited consolidated financial statements and notes included in our 2023 Form 10-K. As discussed in “Cautionary Note Regarding Forward-Looking Statements,” the following discussion and analysis contains forward-looking statements that involve risks and uncertainties. Our actual results may materially differ from those discussed in such forward-looking statements. Factors that could cause or contribute to these differences include, but are not limited to, those identified in our 2023 Form 10-K, including under “Item 1A. Risk Factors” and “Item 7. Management’s Discussion and Analysis of Financial Condition and Results of Operations” and in “Part II, Item 1A. Risk Factors” of this Form 10-Q.</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First Watch is an award-winning Daytime Dining concept serving made-to-order breakfast, brunch and lunch using fresh ingredients. A recipient of hundreds of local “Best Breakfast” and “Best Brunch” accolades, First Watch’s award-winning chef-driven menu includes elevated executions of classic favorites for breakfast, brunch and lunch. In 2023, First Watch was named a Top 100 Most Loved Workplace® in Newsweek by the Best Practice Institute for the second consecutive year. On October 1, 2021, the Company’s common stock began trading on Nasdaq under the ticker symbol “FWRG.”</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operates and franchises restaurants in 29 states under the “First Watch” trade name and as of March 31, 2024, the Company had 432 company-owned restaurants and 99 franchise-owned restaurants.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Financial highlights for the thirteen weeks ended March 31, 2024 (“first quarter of 2024”) as compared, unless otherwise indicated below, to the thirteen weeks ended March 26, 2023 (“first quarter of 2023”), reflected the continued momentum of our strong operating performance and include the following:</w:t>
      </w:r>
    </w:p>
    <w:p>
      <w:pPr>
        <w:spacing w:after="0" w:line="189" w:lineRule="exact"/>
        <w:rPr>
          <w:sz w:val="20"/>
          <w:szCs w:val="20"/>
          <w:color w:val="auto"/>
        </w:rPr>
      </w:pPr>
    </w:p>
    <w:p>
      <w:pPr>
        <w:ind w:left="580" w:hanging="410"/>
        <w:spacing w:after="0"/>
        <w:tabs>
          <w:tab w:leader="none" w:pos="58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Total revenues increased 14.7% to $242.4 million in the first quarter of 2024 from $211.4 million in the first quarter of 2023</w:t>
      </w:r>
    </w:p>
    <w:p>
      <w:pPr>
        <w:spacing w:after="0" w:line="27" w:lineRule="exact"/>
        <w:rPr>
          <w:rFonts w:ascii="Times New Roman" w:cs="Times New Roman" w:eastAsia="Times New Roman" w:hAnsi="Times New Roman"/>
          <w:sz w:val="18"/>
          <w:szCs w:val="18"/>
          <w:b w:val="1"/>
          <w:bCs w:val="1"/>
          <w:color w:val="auto"/>
        </w:rPr>
      </w:pPr>
    </w:p>
    <w:p>
      <w:pPr>
        <w:ind w:left="580" w:hanging="410"/>
        <w:spacing w:after="0"/>
        <w:tabs>
          <w:tab w:leader="none" w:pos="58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System-wide sales increased 9.4% to $289.6 million in the first quarter of 2024 from $264.7 million in the first quarter of 2023</w:t>
      </w:r>
    </w:p>
    <w:p>
      <w:pPr>
        <w:spacing w:after="0" w:line="9" w:lineRule="exact"/>
        <w:rPr>
          <w:rFonts w:ascii="Times New Roman" w:cs="Times New Roman" w:eastAsia="Times New Roman" w:hAnsi="Times New Roman"/>
          <w:sz w:val="18"/>
          <w:szCs w:val="18"/>
          <w:b w:val="1"/>
          <w:bCs w:val="1"/>
          <w:color w:val="auto"/>
        </w:rPr>
      </w:pPr>
    </w:p>
    <w:p>
      <w:pPr>
        <w:ind w:left="580" w:hanging="410"/>
        <w:spacing w:after="0"/>
        <w:tabs>
          <w:tab w:leader="none" w:pos="5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Same-restaurant sales growth of 0.5%*</w:t>
      </w:r>
    </w:p>
    <w:p>
      <w:pPr>
        <w:spacing w:after="0" w:line="9" w:lineRule="exact"/>
        <w:rPr>
          <w:rFonts w:ascii="Times New Roman" w:cs="Times New Roman" w:eastAsia="Times New Roman" w:hAnsi="Times New Roman"/>
          <w:sz w:val="18"/>
          <w:szCs w:val="18"/>
          <w:color w:val="auto"/>
        </w:rPr>
      </w:pPr>
    </w:p>
    <w:p>
      <w:pPr>
        <w:ind w:left="580" w:hanging="410"/>
        <w:spacing w:after="0"/>
        <w:tabs>
          <w:tab w:leader="none" w:pos="5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Same-restaurant traffic growth of (4.5)%*</w:t>
      </w:r>
    </w:p>
    <w:p>
      <w:pPr>
        <w:spacing w:after="0" w:line="9" w:lineRule="exact"/>
        <w:rPr>
          <w:rFonts w:ascii="Times New Roman" w:cs="Times New Roman" w:eastAsia="Times New Roman" w:hAnsi="Times New Roman"/>
          <w:sz w:val="18"/>
          <w:szCs w:val="18"/>
          <w:color w:val="auto"/>
        </w:rPr>
      </w:pPr>
    </w:p>
    <w:p>
      <w:pPr>
        <w:ind w:left="580" w:hanging="410"/>
        <w:spacing w:after="0"/>
        <w:tabs>
          <w:tab w:leader="none" w:pos="5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from operations margin decreased to 5.1% during the first quarter of 2024 from 7.4% in the first quarter of 2023</w:t>
      </w:r>
    </w:p>
    <w:p>
      <w:pPr>
        <w:spacing w:after="0" w:line="9" w:lineRule="exact"/>
        <w:rPr>
          <w:rFonts w:ascii="Times New Roman" w:cs="Times New Roman" w:eastAsia="Times New Roman" w:hAnsi="Times New Roman"/>
          <w:sz w:val="18"/>
          <w:szCs w:val="18"/>
          <w:color w:val="auto"/>
        </w:rPr>
      </w:pPr>
    </w:p>
    <w:p>
      <w:pPr>
        <w:ind w:left="580" w:hanging="410"/>
        <w:spacing w:after="0"/>
        <w:tabs>
          <w:tab w:leader="none" w:pos="5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Restaurant level operating profit margin** decreased to 20.8% in the first quarter of 2024 from 21.2% in the first quarter of 2023</w:t>
      </w:r>
    </w:p>
    <w:p>
      <w:pPr>
        <w:spacing w:after="0" w:line="9" w:lineRule="exact"/>
        <w:rPr>
          <w:rFonts w:ascii="Times New Roman" w:cs="Times New Roman" w:eastAsia="Times New Roman" w:hAnsi="Times New Roman"/>
          <w:sz w:val="18"/>
          <w:szCs w:val="18"/>
          <w:color w:val="auto"/>
        </w:rPr>
      </w:pPr>
    </w:p>
    <w:p>
      <w:pPr>
        <w:ind w:left="580" w:hanging="410"/>
        <w:spacing w:after="0" w:line="250" w:lineRule="auto"/>
        <w:tabs>
          <w:tab w:leader="none" w:pos="57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income decreased to $7.2 million, or $0.12 per diluted share, in the first quarter of 2024 from $9.4 million, or $0.15 per diluted share in the first quarter of 2023</w:t>
      </w:r>
    </w:p>
    <w:p>
      <w:pPr>
        <w:ind w:left="580" w:hanging="410"/>
        <w:spacing w:after="0"/>
        <w:tabs>
          <w:tab w:leader="none" w:pos="5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increased to $28.6 million in the first quarter of 2024 from $27.4 million in the first quarter of 2023</w:t>
      </w:r>
    </w:p>
    <w:p>
      <w:pPr>
        <w:spacing w:after="0" w:line="9" w:lineRule="exact"/>
        <w:rPr>
          <w:rFonts w:ascii="Times New Roman" w:cs="Times New Roman" w:eastAsia="Times New Roman" w:hAnsi="Times New Roman"/>
          <w:sz w:val="18"/>
          <w:szCs w:val="18"/>
          <w:color w:val="auto"/>
        </w:rPr>
      </w:pPr>
    </w:p>
    <w:p>
      <w:pPr>
        <w:ind w:left="580" w:hanging="410"/>
        <w:spacing w:after="0" w:line="250" w:lineRule="auto"/>
        <w:tabs>
          <w:tab w:leader="none" w:pos="57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Opened 9 system-wide restaurants in 8 states resulting in a total of 531 system-wide restaurants (432 company-owned and 99 franchise-owned) across 29 states</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___________________</w:t>
      </w:r>
    </w:p>
    <w:p>
      <w:pPr>
        <w:spacing w:after="0" w:line="8"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6"/>
          <w:szCs w:val="16"/>
          <w:color w:val="auto"/>
        </w:rPr>
        <w:t>*Comparing the thirteen-week periods ended March 31, 2024 and April 2, 2023 in order to compare like-for-like periods. See “Key Performance Indicators” for additional information.</w:t>
      </w:r>
    </w:p>
    <w:p>
      <w:pPr>
        <w:spacing w:after="0" w:line="1" w:lineRule="exact"/>
        <w:rPr>
          <w:sz w:val="20"/>
          <w:szCs w:val="20"/>
          <w:color w:val="auto"/>
        </w:rPr>
      </w:pPr>
    </w:p>
    <w:p>
      <w:pPr>
        <w:ind w:left="220" w:hanging="212"/>
        <w:spacing w:after="0"/>
        <w:tabs>
          <w:tab w:leader="none" w:pos="22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See </w:t>
      </w:r>
      <w:r>
        <w:rPr>
          <w:rFonts w:ascii="Times New Roman" w:cs="Times New Roman" w:eastAsia="Times New Roman" w:hAnsi="Times New Roman"/>
          <w:sz w:val="16"/>
          <w:szCs w:val="16"/>
          <w:i w:val="1"/>
          <w:iCs w:val="1"/>
          <w:color w:val="auto"/>
        </w:rPr>
        <w:t>Non-GAAP Financial Measures Reconciliations</w:t>
      </w:r>
      <w:r>
        <w:rPr>
          <w:rFonts w:ascii="Times New Roman" w:cs="Times New Roman" w:eastAsia="Times New Roman" w:hAnsi="Times New Roman"/>
          <w:sz w:val="16"/>
          <w:szCs w:val="16"/>
          <w:color w:val="auto"/>
        </w:rPr>
        <w:t xml:space="preserve"> section below.</w:t>
      </w: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Trends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restaurant industry’s casual dining segment experienced a traffic decline of 6.0% in the first calendar quarter this year (as measured by Black Box Intelligence) versus the first quarter of the previous year as many national full-service restaurant systems were met with unexpectedly harsh weather in January 2024 combined with sustained consumer pull-back that ran throughout the quarter. Despite the conditions, the Company’s same-restaurant sales growth was 0.5% due primarily to carried price of 4.4% and positive mix, partially offset by negative same-restaurant traffic growth of 4.5%.</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Commodity inflation of 2.9% in the first quarter of 2024 was due principally to increases in our cost of eggs, avocados and blueberries and partially offset by a decline in the cost of coffee. Management estimates 2024 commodity inflation will range between 2.0% to 4.0%.</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first quarter of 2024, restaurant-level labor experienced approximately 5.0% inflation. In 2024, we currently expect restaurant-level labor inflation of 5.0% to 7.0%.</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Performance Indicators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Throughout “Management’s Discussion and Analysis of Financial Condition and Results of Operations” we commonly discuss the following key operating metrics which we believe will drive our financial results and long-term growth model. We believe these metrics are useful to investors because management uses these metrics to evaluate performance and assess the growth of our business as well as the effectiveness of our marketing and operational strategies.</w:t>
      </w:r>
    </w:p>
    <w:p>
      <w:pPr>
        <w:spacing w:after="0" w:line="20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New Restaurant Openings </w:t>
      </w:r>
      <w:r>
        <w:rPr>
          <w:rFonts w:ascii="Times New Roman" w:cs="Times New Roman" w:eastAsia="Times New Roman" w:hAnsi="Times New Roman"/>
          <w:sz w:val="18"/>
          <w:szCs w:val="18"/>
          <w:color w:val="auto"/>
        </w:rPr>
        <w:t>(“NROs”): the number of new company-owned First Watch restaurants commencing operations during the period. Management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reviews the number of new restaurants to assess new restaurant growth and company-owned restaurant sales.</w:t>
      </w:r>
    </w:p>
    <w:p>
      <w:pPr>
        <w:spacing w:after="0" w:line="182"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Franchise-owned New Restaurant Openings </w:t>
      </w:r>
      <w:r>
        <w:rPr>
          <w:rFonts w:ascii="Times New Roman" w:cs="Times New Roman" w:eastAsia="Times New Roman" w:hAnsi="Times New Roman"/>
          <w:sz w:val="18"/>
          <w:szCs w:val="18"/>
          <w:color w:val="auto"/>
        </w:rPr>
        <w:t>(“Franchise-owned NROs”): the number of new franchise-owned First Watch restaurants commencing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operations during the period.</w:t>
      </w:r>
    </w:p>
    <w:p>
      <w:pPr>
        <w:spacing w:after="0" w:line="18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Same-Restaurant Sales Growth</w:t>
      </w:r>
      <w:r>
        <w:rPr>
          <w:rFonts w:ascii="Times New Roman" w:cs="Times New Roman" w:eastAsia="Times New Roman" w:hAnsi="Times New Roman"/>
          <w:sz w:val="18"/>
          <w:szCs w:val="18"/>
          <w:color w:val="auto"/>
        </w:rPr>
        <w:t>: the percentage change in year-over-year restaurant sales (excluding gift card breakage) for the comparable restaurant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base, which we define as the number of company-owned First Watch branded restaurants open for 18 months or longer as of the beginning of the fiscal year (“Comparable Restaurant Base”). For the first quarter of 2024, this operating metric compares the first fiscal quarter ended March 31, 2024 with the thirteen-week period ended April 2, 2023, versus the fiscal quarter ended March 26, 2023, in order to compare like-for-like periods. For the thirteen weeks ended March 31, 2024 and April 2, 2023, there were 344 restaurants and 328 restaurants, respectively in our Comparable Restaurant Base. Measuring our same-restaurant sales growth allows management to evaluate the performance of our existing restaurant base. We believe this measure is useful for investors to provide a consistent comparison of restaurant sales results and trends across periods within our core, established restaurant base, unaffected by results of store openings, closings, and other transitional changes.</w:t>
      </w:r>
    </w:p>
    <w:p>
      <w:pPr>
        <w:spacing w:after="0" w:line="21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Same-Restaurant Traffic Growth</w:t>
      </w:r>
      <w:r>
        <w:rPr>
          <w:rFonts w:ascii="Times New Roman" w:cs="Times New Roman" w:eastAsia="Times New Roman" w:hAnsi="Times New Roman"/>
          <w:sz w:val="18"/>
          <w:szCs w:val="18"/>
          <w:color w:val="auto"/>
        </w:rPr>
        <w:t>: the percentage change in traffic counts for the thirteen weeks ended March 31, 2024 as compared to the thirteen-week</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period ended April 2, 2023 using the Comparable Restaurant Base. Measuring our same-restaurant traffic growth allows management to evaluate the performance of our existing restaurant base. We believe this measure is useful for investors because an increase in same-restaurant traffic provides an indicator as to the development of our brand and the effectiveness of our marketing strategy.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System-wide restaurants</w:t>
      </w:r>
      <w:r>
        <w:rPr>
          <w:rFonts w:ascii="Times New Roman" w:cs="Times New Roman" w:eastAsia="Times New Roman" w:hAnsi="Times New Roman"/>
          <w:sz w:val="18"/>
          <w:szCs w:val="18"/>
          <w:color w:val="auto"/>
        </w:rPr>
        <w:t>: the total number of restaurants, including all company-owned and franchise-owned restaurants.</w:t>
      </w:r>
    </w:p>
    <w:p>
      <w:pPr>
        <w:spacing w:after="0" w:line="252"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System-wide sales</w:t>
      </w:r>
      <w:r>
        <w:rPr>
          <w:rFonts w:ascii="Times New Roman" w:cs="Times New Roman" w:eastAsia="Times New Roman" w:hAnsi="Times New Roman"/>
          <w:sz w:val="18"/>
          <w:szCs w:val="18"/>
          <w:color w:val="auto"/>
        </w:rPr>
        <w:t>: consists of restaurant sales from our company-owned restaurants and franchise-owned restaurants. We do not recognize the restaurant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sales from our franchise-owned restaurants as revenue.</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25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To supplement the consolidated financial statements, which are prepared in accordance with accounting principles generally accepted in the United States of America (“GAAP”), we use the following non-GAAP measures, which present operating results on an adjusted basis: (i) Adjusted EBITDA, (ii) Adjusted EBITDA margin, (iii) Restaurant level operating profit and (iv) Restaurant level operating profit margin. Our presentation of these non-GAAP measures includes isolating the effects of some items that are either nonrecurring in nature or vary from period to period without any correlation to our ongoing core operating performance. These supplemental measures of performance are not required by or presented in accordance with GAAP. Management believes these non-GAAP measures provide investors with additional visibility into our operations, facilitate analysis and comparisons of our ongoing business operations because they exclude items that may not be indicative of our ongoing operating performance, help to identify operational trends and allow for greater transparency with respect to key metrics used by management in our financial and operational decision making. Our non-GAAP measures may not be comparable to similarly titled measures used by other companies and have important limitations as analytical tools. These non-GAAP measures should not be considered in isolation or as substitutes for analysis of our results as reported under GAAP as they may not provide a complete understanding of our performance. These non-GAAP measures should be reviewed in conjunction with our consolidated financial statements prepared in accordance with GAAP.</w:t>
      </w:r>
    </w:p>
    <w:p>
      <w:pPr>
        <w:spacing w:after="0" w:line="21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use Adjusted EBITDA and Adjusted EBITDA margin (i) as factors in evaluating management’s performance when determining incentive compensation, (ii) to evaluate our operating results and the effectiveness of our business strategies and (iii) internally as benchmarks to compare our performance to that of our competitors.</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use Restaurant level operating profit and Restaurant level operating profit margin (i) to evaluate the performance and profitability of each operating restaurant, individually and in the aggregate and (ii) to make decisions regarding future spending and other operational decisions.</w:t>
      </w:r>
    </w:p>
    <w:p>
      <w:pPr>
        <w:spacing w:after="0" w:line="18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Adjusted EBITDA</w:t>
      </w:r>
      <w:r>
        <w:rPr>
          <w:rFonts w:ascii="Times New Roman" w:cs="Times New Roman" w:eastAsia="Times New Roman" w:hAnsi="Times New Roman"/>
          <w:sz w:val="18"/>
          <w:szCs w:val="18"/>
          <w:color w:val="auto"/>
        </w:rPr>
        <w:t>: represents Net income before depreciation and amortization, interest expense, income taxes, and items that we do not consider in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evaluation of ongoing core operating performance as identified in the reconciliation of Net income, the most directly comparable measure in accordance with GAAP, to Adjusted EBITDA, included in the section </w:t>
      </w:r>
      <w:r>
        <w:rPr>
          <w:rFonts w:ascii="Times New Roman" w:cs="Times New Roman" w:eastAsia="Times New Roman" w:hAnsi="Times New Roman"/>
          <w:sz w:val="18"/>
          <w:szCs w:val="18"/>
          <w:i w:val="1"/>
          <w:iCs w:val="1"/>
          <w:color w:val="auto"/>
        </w:rPr>
        <w:t>Non-GAAP Financial Measure Reconciliations</w:t>
      </w:r>
      <w:r>
        <w:rPr>
          <w:rFonts w:ascii="Times New Roman" w:cs="Times New Roman" w:eastAsia="Times New Roman" w:hAnsi="Times New Roman"/>
          <w:sz w:val="18"/>
          <w:szCs w:val="18"/>
          <w:color w:val="auto"/>
        </w:rPr>
        <w:t xml:space="preserve"> below</w:t>
      </w:r>
      <w:r>
        <w:rPr>
          <w:rFonts w:ascii="Times New Roman" w:cs="Times New Roman" w:eastAsia="Times New Roman" w:hAnsi="Times New Roman"/>
          <w:sz w:val="18"/>
          <w:szCs w:val="18"/>
          <w:i w:val="1"/>
          <w:iCs w:val="1"/>
          <w:color w:val="auto"/>
        </w:rPr>
        <w:t>.</w:t>
      </w:r>
    </w:p>
    <w:p>
      <w:pPr>
        <w:spacing w:after="0" w:line="19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Adjusted EBITDA Margin</w:t>
      </w:r>
      <w:r>
        <w:rPr>
          <w:rFonts w:ascii="Times New Roman" w:cs="Times New Roman" w:eastAsia="Times New Roman" w:hAnsi="Times New Roman"/>
          <w:sz w:val="18"/>
          <w:szCs w:val="18"/>
          <w:color w:val="auto"/>
        </w:rPr>
        <w:t>: represents Adjusted EBITDA as a percentage of total revenues. See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Non-GAAP Financial Measure Reconciliations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below for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 reconciliation to Net income margin, the most directly comparable GAAP measure.</w:t>
      </w:r>
    </w:p>
    <w:p>
      <w:pPr>
        <w:spacing w:after="0" w:line="18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Restaurant Level Operating Profit</w:t>
      </w:r>
      <w:r>
        <w:rPr>
          <w:rFonts w:ascii="Times New Roman" w:cs="Times New Roman" w:eastAsia="Times New Roman" w:hAnsi="Times New Roman"/>
          <w:sz w:val="18"/>
          <w:szCs w:val="18"/>
          <w:color w:val="auto"/>
        </w:rPr>
        <w:t>: represents restaurant sales, less restaurant operating expenses, which include food and beverage costs, labor and other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related expenses, other restaurant operating expenses, pre-opening expenses and occupancy expenses. Restaurant level operating profit excludes corporate-level expenses and other items that we do not consider in the evaluation of the ongoing core operating performance of our restaurants as identified in the reconciliation of Income from operations, the most directly comparable GAAP measure, to Restaurant level operating profit, included in the section </w:t>
      </w:r>
      <w:r>
        <w:rPr>
          <w:rFonts w:ascii="Times New Roman" w:cs="Times New Roman" w:eastAsia="Times New Roman" w:hAnsi="Times New Roman"/>
          <w:sz w:val="18"/>
          <w:szCs w:val="18"/>
          <w:i w:val="1"/>
          <w:iCs w:val="1"/>
          <w:color w:val="auto"/>
        </w:rPr>
        <w:t xml:space="preserve">Non-GAAP Financial Measure Reconciliations </w:t>
      </w:r>
      <w:r>
        <w:rPr>
          <w:rFonts w:ascii="Times New Roman" w:cs="Times New Roman" w:eastAsia="Times New Roman" w:hAnsi="Times New Roman"/>
          <w:sz w:val="18"/>
          <w:szCs w:val="18"/>
          <w:color w:val="auto"/>
        </w:rPr>
        <w:t>below.</w:t>
      </w:r>
    </w:p>
    <w:p>
      <w:pPr>
        <w:spacing w:after="0" w:line="20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Restaurant Level Operating Profit Margin</w:t>
      </w:r>
      <w:r>
        <w:rPr>
          <w:rFonts w:ascii="Times New Roman" w:cs="Times New Roman" w:eastAsia="Times New Roman" w:hAnsi="Times New Roman"/>
          <w:sz w:val="18"/>
          <w:szCs w:val="18"/>
          <w:color w:val="auto"/>
        </w:rPr>
        <w:t>: represents Restaurant level operating profit as a percentage of restaurant sales. See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Non-GAAP Financial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 xml:space="preserve">Measure Reconciliations </w:t>
      </w:r>
      <w:r>
        <w:rPr>
          <w:rFonts w:ascii="Times New Roman" w:cs="Times New Roman" w:eastAsia="Times New Roman" w:hAnsi="Times New Roman"/>
          <w:sz w:val="18"/>
          <w:szCs w:val="18"/>
          <w:color w:val="auto"/>
        </w:rPr>
        <w:t>below for a reconciliation to Income from operations margin, the most directly comparable GAAP measure.</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Selected Operating Data</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60" w:type="dxa"/>
            <w:vAlign w:val="bottom"/>
            <w:gridSpan w:val="4"/>
          </w:tcPr>
          <w:p>
            <w:pPr>
              <w:jc w:val="right"/>
              <w:ind w:right="819"/>
              <w:spacing w:after="0"/>
              <w:rPr>
                <w:sz w:val="20"/>
                <w:szCs w:val="20"/>
                <w:color w:val="auto"/>
              </w:rPr>
            </w:pPr>
            <w:r>
              <w:rPr>
                <w:rFonts w:ascii="Times New Roman" w:cs="Times New Roman" w:eastAsia="Times New Roman" w:hAnsi="Times New Roman"/>
                <w:sz w:val="16"/>
                <w:szCs w:val="16"/>
                <w:b w:val="1"/>
                <w:bCs w:val="1"/>
                <w:color w:val="auto"/>
              </w:rPr>
              <w:t>THIRTEEN WEEKS ENDED</w:t>
            </w:r>
          </w:p>
        </w:tc>
      </w:tr>
      <w:tr>
        <w:trPr>
          <w:trHeight w:val="219"/>
        </w:trPr>
        <w:tc>
          <w:tcPr>
            <w:tcW w:w="7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6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MARCH 31, 2024</w:t>
            </w:r>
          </w:p>
        </w:tc>
        <w:tc>
          <w:tcPr>
            <w:tcW w:w="220" w:type="dxa"/>
            <w:vAlign w:val="bottom"/>
          </w:tcPr>
          <w:p>
            <w:pPr>
              <w:spacing w:after="0"/>
              <w:rPr>
                <w:sz w:val="19"/>
                <w:szCs w:val="19"/>
                <w:color w:val="auto"/>
              </w:rPr>
            </w:pPr>
          </w:p>
        </w:tc>
        <w:tc>
          <w:tcPr>
            <w:tcW w:w="1680" w:type="dxa"/>
            <w:vAlign w:val="bottom"/>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MARCH 26, 2023</w:t>
            </w:r>
          </w:p>
        </w:tc>
      </w:tr>
      <w:tr>
        <w:trPr>
          <w:trHeight w:val="213"/>
        </w:trPr>
        <w:tc>
          <w:tcPr>
            <w:tcW w:w="7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System-wide sales (in thousands)</w:t>
            </w: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289,581</w:t>
            </w: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264,719</w:t>
            </w:r>
          </w:p>
        </w:tc>
      </w:tr>
      <w:tr>
        <w:trPr>
          <w:trHeight w:val="213"/>
        </w:trPr>
        <w:tc>
          <w:tcPr>
            <w:tcW w:w="7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System-wide restaurants</w:t>
            </w:r>
          </w:p>
        </w:tc>
        <w:tc>
          <w:tcPr>
            <w:tcW w:w="22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531</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484</w:t>
            </w:r>
          </w:p>
        </w:tc>
      </w:tr>
      <w:tr>
        <w:trPr>
          <w:trHeight w:val="219"/>
        </w:trPr>
        <w:tc>
          <w:tcPr>
            <w:tcW w:w="7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Company-owned</w:t>
            </w:r>
          </w:p>
        </w:tc>
        <w:tc>
          <w:tcPr>
            <w:tcW w:w="22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432</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370</w:t>
            </w:r>
          </w:p>
        </w:tc>
      </w:tr>
      <w:tr>
        <w:trPr>
          <w:trHeight w:val="213"/>
        </w:trPr>
        <w:tc>
          <w:tcPr>
            <w:tcW w:w="73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Franchise-owned</w:t>
            </w:r>
          </w:p>
        </w:tc>
        <w:tc>
          <w:tcPr>
            <w:tcW w:w="22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w:t>
            </w:r>
          </w:p>
        </w:tc>
      </w:tr>
      <w:tr>
        <w:trPr>
          <w:trHeight w:val="219"/>
        </w:trPr>
        <w:tc>
          <w:tcPr>
            <w:tcW w:w="7360" w:type="dxa"/>
            <w:vAlign w:val="bottom"/>
            <w:shd w:val="clear" w:color="auto" w:fill="CCEEFF"/>
          </w:tcPr>
          <w:p>
            <w:pPr>
              <w:ind w:left="20"/>
              <w:spacing w:after="0" w:line="219" w:lineRule="exact"/>
              <w:rPr>
                <w:sz w:val="20"/>
                <w:szCs w:val="20"/>
                <w:color w:val="auto"/>
              </w:rPr>
            </w:pPr>
            <w:r>
              <w:rPr>
                <w:rFonts w:ascii="Times New Roman" w:cs="Times New Roman" w:eastAsia="Times New Roman" w:hAnsi="Times New Roman"/>
                <w:sz w:val="16"/>
                <w:szCs w:val="16"/>
                <w:color w:val="auto"/>
              </w:rPr>
              <w:t xml:space="preserve">Same-restaurant sales growth </w:t>
            </w:r>
            <w:r>
              <w:rPr>
                <w:rFonts w:ascii="Times New Roman" w:cs="Times New Roman" w:eastAsia="Times New Roman" w:hAnsi="Times New Roman"/>
                <w:sz w:val="21"/>
                <w:szCs w:val="21"/>
                <w:color w:val="auto"/>
                <w:vertAlign w:val="superscript"/>
              </w:rPr>
              <w:t>(1)</w:t>
            </w:r>
          </w:p>
        </w:tc>
        <w:tc>
          <w:tcPr>
            <w:tcW w:w="22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0.5 %</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12.9 %</w:t>
            </w:r>
          </w:p>
        </w:tc>
      </w:tr>
      <w:tr>
        <w:trPr>
          <w:trHeight w:val="216"/>
        </w:trPr>
        <w:tc>
          <w:tcPr>
            <w:tcW w:w="736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Same-restaurant traffic growth </w:t>
            </w:r>
            <w:r>
              <w:rPr>
                <w:rFonts w:ascii="Times New Roman" w:cs="Times New Roman" w:eastAsia="Times New Roman" w:hAnsi="Times New Roman"/>
                <w:sz w:val="21"/>
                <w:szCs w:val="21"/>
                <w:color w:val="auto"/>
                <w:vertAlign w:val="superscript"/>
              </w:rPr>
              <w:t>(1)</w:t>
            </w:r>
          </w:p>
        </w:tc>
        <w:tc>
          <w:tcPr>
            <w:tcW w:w="22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5.1 %</w:t>
            </w:r>
          </w:p>
        </w:tc>
      </w:tr>
      <w:tr>
        <w:trPr>
          <w:trHeight w:val="216"/>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from operations (in thousands)</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12,286</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15,331</w:t>
            </w:r>
          </w:p>
        </w:tc>
      </w:tr>
      <w:tr>
        <w:trPr>
          <w:trHeight w:val="213"/>
        </w:trPr>
        <w:tc>
          <w:tcPr>
            <w:tcW w:w="73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Income from operations margin</w:t>
            </w:r>
          </w:p>
        </w:tc>
        <w:tc>
          <w:tcPr>
            <w:tcW w:w="22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5.1 %</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7.4 %</w:t>
            </w:r>
          </w:p>
        </w:tc>
      </w:tr>
      <w:tr>
        <w:trPr>
          <w:trHeight w:val="219"/>
        </w:trPr>
        <w:tc>
          <w:tcPr>
            <w:tcW w:w="7360" w:type="dxa"/>
            <w:vAlign w:val="bottom"/>
            <w:shd w:val="clear" w:color="auto" w:fill="CCEEFF"/>
          </w:tcPr>
          <w:p>
            <w:pPr>
              <w:ind w:left="20"/>
              <w:spacing w:after="0" w:line="219" w:lineRule="exact"/>
              <w:rPr>
                <w:sz w:val="20"/>
                <w:szCs w:val="20"/>
                <w:color w:val="auto"/>
              </w:rPr>
            </w:pPr>
            <w:r>
              <w:rPr>
                <w:rFonts w:ascii="Times New Roman" w:cs="Times New Roman" w:eastAsia="Times New Roman" w:hAnsi="Times New Roman"/>
                <w:sz w:val="16"/>
                <w:szCs w:val="16"/>
                <w:color w:val="auto"/>
              </w:rPr>
              <w:t xml:space="preserve">Restaurant level operating profit (in thousands) </w:t>
            </w:r>
            <w:r>
              <w:rPr>
                <w:rFonts w:ascii="Times New Roman" w:cs="Times New Roman" w:eastAsia="Times New Roman" w:hAnsi="Times New Roman"/>
                <w:sz w:val="21"/>
                <w:szCs w:val="21"/>
                <w:color w:val="auto"/>
                <w:vertAlign w:val="superscript"/>
              </w:rPr>
              <w:t>(2)</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49,862</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44,102</w:t>
            </w:r>
          </w:p>
        </w:tc>
      </w:tr>
      <w:tr>
        <w:trPr>
          <w:trHeight w:val="216"/>
        </w:trPr>
        <w:tc>
          <w:tcPr>
            <w:tcW w:w="7360" w:type="dxa"/>
            <w:vAlign w:val="bottom"/>
          </w:tcPr>
          <w:p>
            <w:pPr>
              <w:ind w:left="360"/>
              <w:spacing w:after="0" w:line="216" w:lineRule="exact"/>
              <w:rPr>
                <w:sz w:val="20"/>
                <w:szCs w:val="20"/>
                <w:color w:val="auto"/>
              </w:rPr>
            </w:pPr>
            <w:r>
              <w:rPr>
                <w:rFonts w:ascii="Times New Roman" w:cs="Times New Roman" w:eastAsia="Times New Roman" w:hAnsi="Times New Roman"/>
                <w:sz w:val="16"/>
                <w:szCs w:val="16"/>
                <w:color w:val="auto"/>
              </w:rPr>
              <w:t xml:space="preserve">Restaurant level operating profit margin </w:t>
            </w:r>
            <w:r>
              <w:rPr>
                <w:rFonts w:ascii="Times New Roman" w:cs="Times New Roman" w:eastAsia="Times New Roman" w:hAnsi="Times New Roman"/>
                <w:sz w:val="21"/>
                <w:szCs w:val="21"/>
                <w:color w:val="auto"/>
                <w:vertAlign w:val="superscript"/>
              </w:rPr>
              <w:t>(2)</w:t>
            </w:r>
          </w:p>
        </w:tc>
        <w:tc>
          <w:tcPr>
            <w:tcW w:w="22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20.8 %</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21.2 %</w:t>
            </w:r>
          </w:p>
        </w:tc>
      </w:tr>
      <w:tr>
        <w:trPr>
          <w:trHeight w:val="216"/>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(in thousands)</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7,214</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9,360</w:t>
            </w:r>
          </w:p>
        </w:tc>
      </w:tr>
      <w:tr>
        <w:trPr>
          <w:trHeight w:val="213"/>
        </w:trPr>
        <w:tc>
          <w:tcPr>
            <w:tcW w:w="73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Net income margin</w:t>
            </w:r>
          </w:p>
        </w:tc>
        <w:tc>
          <w:tcPr>
            <w:tcW w:w="22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3.0 %</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4.4 %</w:t>
            </w:r>
          </w:p>
        </w:tc>
      </w:tr>
      <w:tr>
        <w:trPr>
          <w:trHeight w:val="219"/>
        </w:trPr>
        <w:tc>
          <w:tcPr>
            <w:tcW w:w="7360" w:type="dxa"/>
            <w:vAlign w:val="bottom"/>
            <w:shd w:val="clear" w:color="auto" w:fill="CCEEFF"/>
          </w:tcPr>
          <w:p>
            <w:pPr>
              <w:ind w:left="20"/>
              <w:spacing w:after="0" w:line="219" w:lineRule="exact"/>
              <w:rPr>
                <w:sz w:val="20"/>
                <w:szCs w:val="20"/>
                <w:color w:val="auto"/>
              </w:rPr>
            </w:pPr>
            <w:r>
              <w:rPr>
                <w:rFonts w:ascii="Times New Roman" w:cs="Times New Roman" w:eastAsia="Times New Roman" w:hAnsi="Times New Roman"/>
                <w:sz w:val="16"/>
                <w:szCs w:val="16"/>
                <w:color w:val="auto"/>
              </w:rPr>
              <w:t xml:space="preserve">Adjusted EBITDA (in thousands) </w:t>
            </w:r>
            <w:r>
              <w:rPr>
                <w:rFonts w:ascii="Times New Roman" w:cs="Times New Roman" w:eastAsia="Times New Roman" w:hAnsi="Times New Roman"/>
                <w:sz w:val="21"/>
                <w:szCs w:val="21"/>
                <w:color w:val="auto"/>
                <w:vertAlign w:val="superscript"/>
              </w:rPr>
              <w:t>(3)</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28,590</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27,413</w:t>
            </w:r>
          </w:p>
        </w:tc>
      </w:tr>
      <w:tr>
        <w:trPr>
          <w:trHeight w:val="281"/>
        </w:trPr>
        <w:tc>
          <w:tcPr>
            <w:tcW w:w="73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 xml:space="preserve">Adjusted EBITDA margin </w:t>
            </w:r>
            <w:r>
              <w:rPr>
                <w:rFonts w:ascii="Times New Roman" w:cs="Times New Roman" w:eastAsia="Times New Roman" w:hAnsi="Times New Roman"/>
                <w:sz w:val="21"/>
                <w:szCs w:val="21"/>
                <w:color w:val="auto"/>
                <w:vertAlign w:val="superscript"/>
              </w:rPr>
              <w:t>(3)</w:t>
            </w:r>
          </w:p>
        </w:tc>
        <w:tc>
          <w:tcPr>
            <w:tcW w:w="220" w:type="dxa"/>
            <w:vAlign w:val="bottom"/>
          </w:tcPr>
          <w:p>
            <w:pPr>
              <w:spacing w:after="0"/>
              <w:rPr>
                <w:sz w:val="24"/>
                <w:szCs w:val="24"/>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11.8 %</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13.0 %</w:t>
            </w:r>
          </w:p>
        </w:tc>
      </w:tr>
    </w:tbl>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w:t>
      </w:r>
    </w:p>
    <w:p>
      <w:pPr>
        <w:spacing w:after="0" w:line="23" w:lineRule="exact"/>
        <w:rPr>
          <w:sz w:val="20"/>
          <w:szCs w:val="20"/>
          <w:color w:val="auto"/>
        </w:rPr>
      </w:pPr>
    </w:p>
    <w:p>
      <w:pPr>
        <w:ind w:firstLine="8"/>
        <w:spacing w:after="0" w:line="248" w:lineRule="auto"/>
        <w:tabs>
          <w:tab w:leader="none" w:pos="243"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Comparing the thirteen-week period ended March 31, 2024 with the thirteen-week period ended April 2, 2023 in order to compare like-for-like periods. See “Key Performance Indicators” for additional information.</w:t>
      </w:r>
    </w:p>
    <w:p>
      <w:pPr>
        <w:spacing w:after="0" w:line="1" w:lineRule="exact"/>
        <w:rPr>
          <w:rFonts w:ascii="Times New Roman" w:cs="Times New Roman" w:eastAsia="Times New Roman" w:hAnsi="Times New Roman"/>
          <w:sz w:val="16"/>
          <w:szCs w:val="16"/>
          <w:color w:val="auto"/>
        </w:rPr>
      </w:pPr>
    </w:p>
    <w:p>
      <w:pPr>
        <w:ind w:right="20" w:firstLine="8"/>
        <w:spacing w:after="0" w:line="255" w:lineRule="auto"/>
        <w:tabs>
          <w:tab w:leader="none" w:pos="253"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Reconciliations from Income from operations and Income from operations margin, the most comparable GAAP measures, to Restaurant level operating profit and Restaurant level operating profit margin, are set forth in the schedules within the </w:t>
      </w:r>
      <w:r>
        <w:rPr>
          <w:rFonts w:ascii="Times New Roman" w:cs="Times New Roman" w:eastAsia="Times New Roman" w:hAnsi="Times New Roman"/>
          <w:sz w:val="16"/>
          <w:szCs w:val="16"/>
          <w:i w:val="1"/>
          <w:iCs w:val="1"/>
          <w:color w:val="auto"/>
        </w:rPr>
        <w:t>Non-GAAP Financial Measures Reconciliations</w:t>
      </w:r>
      <w:r>
        <w:rPr>
          <w:rFonts w:ascii="Times New Roman" w:cs="Times New Roman" w:eastAsia="Times New Roman" w:hAnsi="Times New Roman"/>
          <w:sz w:val="16"/>
          <w:szCs w:val="16"/>
          <w:color w:val="auto"/>
        </w:rPr>
        <w:t xml:space="preserve"> section below.</w:t>
      </w:r>
    </w:p>
    <w:p>
      <w:pPr>
        <w:ind w:firstLine="8"/>
        <w:spacing w:after="0" w:line="270" w:lineRule="auto"/>
        <w:tabs>
          <w:tab w:leader="none" w:pos="238"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Reconciliations from Net income and Net income margin, the most comparable GAAP measures, to Adjusted EBITDA and Adjusted EBITDA margin, are set forth in the schedules within the </w:t>
      </w:r>
      <w:r>
        <w:rPr>
          <w:rFonts w:ascii="Times New Roman" w:cs="Times New Roman" w:eastAsia="Times New Roman" w:hAnsi="Times New Roman"/>
          <w:sz w:val="16"/>
          <w:szCs w:val="16"/>
          <w:i w:val="1"/>
          <w:iCs w:val="1"/>
          <w:color w:val="auto"/>
        </w:rPr>
        <w:t>Non-GAAP Financial Measures Reconciliations</w:t>
      </w:r>
      <w:r>
        <w:rPr>
          <w:rFonts w:ascii="Times New Roman" w:cs="Times New Roman" w:eastAsia="Times New Roman" w:hAnsi="Times New Roman"/>
          <w:sz w:val="16"/>
          <w:szCs w:val="16"/>
          <w:color w:val="auto"/>
        </w:rPr>
        <w:t xml:space="preserve"> section below.</w:t>
      </w: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83"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following table summarizes our results of operations and the percentages of certain items in relation to Total revenues or, where indicated, Restaurant sales for the thirteen weeks ended March 31, 2024 and March 26, 2023:</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2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300" w:type="dxa"/>
            <w:vAlign w:val="bottom"/>
            <w:tcBorders>
              <w:bottom w:val="single" w:sz="8" w:color="auto"/>
            </w:tcBorders>
            <w:gridSpan w:val="6"/>
          </w:tcPr>
          <w:p>
            <w:pPr>
              <w:spacing w:after="0"/>
              <w:rPr>
                <w:sz w:val="20"/>
                <w:szCs w:val="20"/>
                <w:color w:val="auto"/>
              </w:rPr>
            </w:pPr>
            <w:r>
              <w:rPr>
                <w:rFonts w:ascii="Times New Roman" w:cs="Times New Roman" w:eastAsia="Times New Roman" w:hAnsi="Times New Roman"/>
                <w:sz w:val="16"/>
                <w:szCs w:val="16"/>
                <w:b w:val="1"/>
                <w:bCs w:val="1"/>
                <w:color w:val="auto"/>
              </w:rPr>
              <w:t>THIRTEEN WEEKS ENDED</w:t>
            </w:r>
          </w:p>
        </w:tc>
        <w:tc>
          <w:tcPr>
            <w:tcW w:w="760" w:type="dxa"/>
            <w:vAlign w:val="bottom"/>
            <w:tcBorders>
              <w:bottom w:val="single" w:sz="8" w:color="auto"/>
            </w:tcBorders>
          </w:tcPr>
          <w:p>
            <w:pPr>
              <w:spacing w:after="0"/>
              <w:rPr>
                <w:sz w:val="18"/>
                <w:szCs w:val="18"/>
                <w:color w:val="auto"/>
              </w:rPr>
            </w:pPr>
          </w:p>
        </w:tc>
      </w:tr>
      <w:tr>
        <w:trPr>
          <w:trHeight w:val="214"/>
        </w:trPr>
        <w:tc>
          <w:tcPr>
            <w:tcW w:w="720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00" w:type="dxa"/>
            <w:vAlign w:val="bottom"/>
          </w:tcPr>
          <w:p>
            <w:pPr>
              <w:spacing w:after="0"/>
              <w:rPr>
                <w:sz w:val="18"/>
                <w:szCs w:val="18"/>
                <w:color w:val="auto"/>
              </w:rPr>
            </w:pPr>
          </w:p>
        </w:tc>
        <w:tc>
          <w:tcPr>
            <w:tcW w:w="1860" w:type="dxa"/>
            <w:vAlign w:val="bottom"/>
            <w:gridSpan w:val="4"/>
          </w:tcPr>
          <w:p>
            <w:pPr>
              <w:ind w:left="180"/>
              <w:spacing w:after="0"/>
              <w:rPr>
                <w:sz w:val="20"/>
                <w:szCs w:val="20"/>
                <w:color w:val="auto"/>
              </w:rPr>
            </w:pPr>
            <w:r>
              <w:rPr>
                <w:rFonts w:ascii="Times New Roman" w:cs="Times New Roman" w:eastAsia="Times New Roman" w:hAnsi="Times New Roman"/>
                <w:sz w:val="16"/>
                <w:szCs w:val="16"/>
                <w:b w:val="1"/>
                <w:bCs w:val="1"/>
                <w:color w:val="auto"/>
              </w:rPr>
              <w:t>MARCH 31, 2024</w:t>
            </w:r>
          </w:p>
        </w:tc>
        <w:tc>
          <w:tcPr>
            <w:tcW w:w="200" w:type="dxa"/>
            <w:vAlign w:val="bottom"/>
          </w:tcPr>
          <w:p>
            <w:pPr>
              <w:spacing w:after="0"/>
              <w:rPr>
                <w:sz w:val="18"/>
                <w:szCs w:val="18"/>
                <w:color w:val="auto"/>
              </w:rPr>
            </w:pPr>
          </w:p>
        </w:tc>
        <w:tc>
          <w:tcPr>
            <w:tcW w:w="1780" w:type="dxa"/>
            <w:vAlign w:val="bottom"/>
            <w:gridSpan w:val="4"/>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MARCH 26, 2023</w:t>
            </w:r>
          </w:p>
        </w:tc>
      </w:tr>
      <w:tr>
        <w:trPr>
          <w:trHeight w:val="198"/>
        </w:trPr>
        <w:tc>
          <w:tcPr>
            <w:tcW w:w="7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Revenues</w:t>
            </w:r>
          </w:p>
        </w:tc>
        <w:tc>
          <w:tcPr>
            <w:tcW w:w="20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r>
      <w:tr>
        <w:trPr>
          <w:trHeight w:val="213"/>
        </w:trPr>
        <w:tc>
          <w:tcPr>
            <w:tcW w:w="7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Restaurant sales</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239,308</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98.7 %</w:t>
            </w:r>
          </w:p>
        </w:tc>
        <w:tc>
          <w:tcPr>
            <w:tcW w:w="8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207,968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98.4 %</w:t>
            </w:r>
          </w:p>
        </w:tc>
      </w:tr>
      <w:tr>
        <w:trPr>
          <w:trHeight w:val="219"/>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Franchise revenues</w:t>
            </w:r>
          </w:p>
        </w:tc>
        <w:tc>
          <w:tcPr>
            <w:tcW w:w="20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3,141</w:t>
            </w:r>
          </w:p>
        </w:tc>
        <w:tc>
          <w:tcPr>
            <w:tcW w:w="100" w:type="dxa"/>
            <w:vAlign w:val="bottom"/>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1.3 %</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3,438</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1.6 %</w:t>
            </w:r>
          </w:p>
        </w:tc>
      </w:tr>
      <w:tr>
        <w:trPr>
          <w:trHeight w:val="207"/>
        </w:trPr>
        <w:tc>
          <w:tcPr>
            <w:tcW w:w="72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Total revenues</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242,449</w:t>
            </w:r>
          </w:p>
        </w:tc>
        <w:tc>
          <w:tcPr>
            <w:tcW w:w="1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80" w:type="dxa"/>
            <w:vAlign w:val="bottom"/>
          </w:tcPr>
          <w:p>
            <w:pPr>
              <w:spacing w:after="0"/>
              <w:rPr>
                <w:sz w:val="17"/>
                <w:szCs w:val="17"/>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211,406</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100.0 %</w:t>
            </w:r>
          </w:p>
        </w:tc>
      </w:tr>
      <w:tr>
        <w:trPr>
          <w:trHeight w:val="219"/>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costs and expenses</w:t>
            </w: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r>
      <w:tr>
        <w:trPr>
          <w:trHeight w:val="216"/>
        </w:trPr>
        <w:tc>
          <w:tcPr>
            <w:tcW w:w="720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Restaurant operating expenses </w:t>
            </w:r>
            <w:r>
              <w:rPr>
                <w:rFonts w:ascii="Times New Roman" w:cs="Times New Roman" w:eastAsia="Times New Roman" w:hAnsi="Times New Roman"/>
                <w:sz w:val="21"/>
                <w:szCs w:val="21"/>
                <w:color w:val="auto"/>
                <w:vertAlign w:val="superscript"/>
              </w:rPr>
              <w:t>(1)</w:t>
            </w:r>
            <w:r>
              <w:rPr>
                <w:rFonts w:ascii="Times New Roman" w:cs="Times New Roman" w:eastAsia="Times New Roman" w:hAnsi="Times New Roman"/>
                <w:sz w:val="16"/>
                <w:szCs w:val="16"/>
                <w:color w:val="auto"/>
              </w:rPr>
              <w:t xml:space="preserve"> (exclusive of depreciation and amortization shown below):</w:t>
            </w: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6"/>
        </w:trPr>
        <w:tc>
          <w:tcPr>
            <w:tcW w:w="7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Food and beverage costs</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52,184</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21.8 %</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46,627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22.4 %</w:t>
            </w:r>
          </w:p>
        </w:tc>
      </w:tr>
      <w:tr>
        <w:trPr>
          <w:trHeight w:val="213"/>
        </w:trPr>
        <w:tc>
          <w:tcPr>
            <w:tcW w:w="72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Labor and other related expenses</w:t>
            </w: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79,735</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33.3 %</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68,573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33.0 %</w:t>
            </w:r>
          </w:p>
        </w:tc>
      </w:tr>
      <w:tr>
        <w:trPr>
          <w:trHeight w:val="219"/>
        </w:trPr>
        <w:tc>
          <w:tcPr>
            <w:tcW w:w="7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Other restaurant operating expenses</w:t>
            </w: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36,792</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15.4 %</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31,696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15.2 %</w:t>
            </w:r>
          </w:p>
        </w:tc>
      </w:tr>
      <w:tr>
        <w:trPr>
          <w:trHeight w:val="213"/>
        </w:trPr>
        <w:tc>
          <w:tcPr>
            <w:tcW w:w="72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Occupancy expenses</w:t>
            </w: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19,168</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8.0 %</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15,934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7.7 %</w:t>
            </w:r>
          </w:p>
        </w:tc>
      </w:tr>
      <w:tr>
        <w:trPr>
          <w:trHeight w:val="219"/>
        </w:trPr>
        <w:tc>
          <w:tcPr>
            <w:tcW w:w="7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Pre-opening expenses</w:t>
            </w: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1,567</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0.7 %</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0.5 %</w:t>
            </w:r>
          </w:p>
        </w:tc>
      </w:tr>
      <w:tr>
        <w:trPr>
          <w:trHeight w:val="213"/>
        </w:trPr>
        <w:tc>
          <w:tcPr>
            <w:tcW w:w="7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General and administrative expenses</w:t>
            </w: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27,658</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11.4 %</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22,705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10.7 %</w:t>
            </w:r>
          </w:p>
        </w:tc>
      </w:tr>
      <w:tr>
        <w:trPr>
          <w:trHeight w:val="219"/>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12,271</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5.1 %</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9,117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4.3 %</w:t>
            </w:r>
          </w:p>
        </w:tc>
      </w:tr>
      <w:tr>
        <w:trPr>
          <w:trHeight w:val="213"/>
        </w:trPr>
        <w:tc>
          <w:tcPr>
            <w:tcW w:w="7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Impairments and loss on disposal of assets</w:t>
            </w: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w:t>
            </w:r>
          </w:p>
        </w:tc>
        <w:tc>
          <w:tcPr>
            <w:tcW w:w="1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 %</w:t>
            </w: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0.1 %</w:t>
            </w:r>
          </w:p>
        </w:tc>
      </w:tr>
      <w:tr>
        <w:trPr>
          <w:trHeight w:val="219"/>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Transaction expenses, net</w:t>
            </w:r>
          </w:p>
        </w:tc>
        <w:tc>
          <w:tcPr>
            <w:tcW w:w="20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669</w:t>
            </w:r>
          </w:p>
        </w:tc>
        <w:tc>
          <w:tcPr>
            <w:tcW w:w="100" w:type="dxa"/>
            <w:vAlign w:val="bottom"/>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0.3 %</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0.1 %</w:t>
            </w:r>
          </w:p>
        </w:tc>
      </w:tr>
      <w:tr>
        <w:trPr>
          <w:trHeight w:val="207"/>
        </w:trPr>
        <w:tc>
          <w:tcPr>
            <w:tcW w:w="72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Total operating costs and expenses</w:t>
            </w:r>
          </w:p>
        </w:tc>
        <w:tc>
          <w:tcPr>
            <w:tcW w:w="2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230,163</w:t>
            </w:r>
          </w:p>
        </w:tc>
        <w:tc>
          <w:tcPr>
            <w:tcW w:w="10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94.9 %</w:t>
            </w:r>
          </w:p>
        </w:tc>
        <w:tc>
          <w:tcPr>
            <w:tcW w:w="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196,075</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92.7 %</w:t>
            </w:r>
          </w:p>
        </w:tc>
      </w:tr>
      <w:tr>
        <w:trPr>
          <w:trHeight w:val="212"/>
        </w:trPr>
        <w:tc>
          <w:tcPr>
            <w:tcW w:w="7200" w:type="dxa"/>
            <w:vAlign w:val="bottom"/>
            <w:shd w:val="clear" w:color="auto" w:fill="CCEEFF"/>
          </w:tcPr>
          <w:p>
            <w:pPr>
              <w:ind w:left="20"/>
              <w:spacing w:after="0" w:line="213" w:lineRule="exact"/>
              <w:rPr>
                <w:sz w:val="20"/>
                <w:szCs w:val="20"/>
                <w:color w:val="auto"/>
              </w:rPr>
            </w:pPr>
            <w:r>
              <w:rPr>
                <w:rFonts w:ascii="Times New Roman" w:cs="Times New Roman" w:eastAsia="Times New Roman" w:hAnsi="Times New Roman"/>
                <w:sz w:val="16"/>
                <w:szCs w:val="16"/>
                <w:color w:val="auto"/>
              </w:rPr>
              <w:t xml:space="preserve">Income from operations </w:t>
            </w:r>
            <w:r>
              <w:rPr>
                <w:rFonts w:ascii="Times New Roman" w:cs="Times New Roman" w:eastAsia="Times New Roman" w:hAnsi="Times New Roman"/>
                <w:sz w:val="21"/>
                <w:szCs w:val="21"/>
                <w:color w:val="auto"/>
                <w:vertAlign w:val="superscript"/>
              </w:rPr>
              <w:t>(1)</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12,286</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5.1 %</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15,331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7.4 %</w:t>
            </w:r>
          </w:p>
        </w:tc>
      </w:tr>
      <w:tr>
        <w:trPr>
          <w:trHeight w:val="213"/>
        </w:trPr>
        <w:tc>
          <w:tcPr>
            <w:tcW w:w="7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(2,599)</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(1,907)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(0.9)%</w:t>
            </w:r>
          </w:p>
        </w:tc>
      </w:tr>
      <w:tr>
        <w:trPr>
          <w:trHeight w:val="219"/>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income, net</w:t>
            </w:r>
          </w:p>
        </w:tc>
        <w:tc>
          <w:tcPr>
            <w:tcW w:w="20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326</w:t>
            </w:r>
          </w:p>
        </w:tc>
        <w:tc>
          <w:tcPr>
            <w:tcW w:w="100" w:type="dxa"/>
            <w:vAlign w:val="bottom"/>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0.1 %</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494</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0.2 %</w:t>
            </w:r>
          </w:p>
        </w:tc>
      </w:tr>
      <w:tr>
        <w:trPr>
          <w:trHeight w:val="207"/>
        </w:trPr>
        <w:tc>
          <w:tcPr>
            <w:tcW w:w="72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Income before income taxes</w:t>
            </w:r>
          </w:p>
        </w:tc>
        <w:tc>
          <w:tcPr>
            <w:tcW w:w="2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10,013</w:t>
            </w:r>
          </w:p>
        </w:tc>
        <w:tc>
          <w:tcPr>
            <w:tcW w:w="1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4.1 %</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13,918</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6.6 %</w:t>
            </w:r>
          </w:p>
        </w:tc>
      </w:tr>
      <w:tr>
        <w:trPr>
          <w:trHeight w:val="219"/>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expense</w:t>
            </w:r>
          </w:p>
        </w:tc>
        <w:tc>
          <w:tcPr>
            <w:tcW w:w="20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(2,799)</w:t>
            </w:r>
          </w:p>
        </w:tc>
        <w:tc>
          <w:tcPr>
            <w:tcW w:w="100" w:type="dxa"/>
            <w:vAlign w:val="bottom"/>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(4,558)</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r>
      <w:tr>
        <w:trPr>
          <w:trHeight w:val="207"/>
        </w:trPr>
        <w:tc>
          <w:tcPr>
            <w:tcW w:w="72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w:t>
            </w: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7,214</w:t>
            </w:r>
          </w:p>
        </w:tc>
        <w:tc>
          <w:tcPr>
            <w:tcW w:w="100" w:type="dxa"/>
            <w:vAlign w:val="bottom"/>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3.0 %</w:t>
            </w:r>
          </w:p>
        </w:tc>
        <w:tc>
          <w:tcPr>
            <w:tcW w:w="80" w:type="dxa"/>
            <w:vAlign w:val="bottom"/>
          </w:tcPr>
          <w:p>
            <w:pPr>
              <w:spacing w:after="0"/>
              <w:rPr>
                <w:sz w:val="17"/>
                <w:szCs w:val="17"/>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9,360</w:t>
            </w: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4.4 %</w:t>
            </w:r>
          </w:p>
        </w:tc>
      </w:tr>
      <w:tr>
        <w:trPr>
          <w:trHeight w:val="23"/>
        </w:trPr>
        <w:tc>
          <w:tcPr>
            <w:tcW w:w="72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 As a percentage of restaurant sales.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Restaurant Sales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Restaurant sales represent the aggregate sales of food and beverages, net of discounts, at company-owned restaurants. Restaurant sales in any period are directly influenced by the number of operating weeks in the period, the number of open restaurants, customer traffic and average check. Average check growth is driven by our menu price increases and changes to our menu mix.</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2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3460" w:type="dxa"/>
            <w:vAlign w:val="bottom"/>
            <w:tcBorders>
              <w:bottom w:val="single" w:sz="8" w:color="auto"/>
            </w:tcBorders>
            <w:gridSpan w:val="4"/>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THIRTEEN WEEKS ENDED</w:t>
            </w:r>
          </w:p>
        </w:tc>
        <w:tc>
          <w:tcPr>
            <w:tcW w:w="1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r>
      <w:tr>
        <w:trPr>
          <w:trHeight w:val="214"/>
        </w:trPr>
        <w:tc>
          <w:tcPr>
            <w:tcW w:w="624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80" w:type="dxa"/>
            <w:vAlign w:val="bottom"/>
          </w:tcPr>
          <w:p>
            <w:pPr>
              <w:spacing w:after="0"/>
              <w:rPr>
                <w:sz w:val="18"/>
                <w:szCs w:val="18"/>
                <w:color w:val="auto"/>
              </w:rPr>
            </w:pPr>
          </w:p>
        </w:tc>
        <w:tc>
          <w:tcPr>
            <w:tcW w:w="168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MARCH 31, 2024</w:t>
            </w:r>
          </w:p>
        </w:tc>
        <w:tc>
          <w:tcPr>
            <w:tcW w:w="200" w:type="dxa"/>
            <w:vAlign w:val="bottom"/>
          </w:tcPr>
          <w:p>
            <w:pPr>
              <w:spacing w:after="0"/>
              <w:rPr>
                <w:sz w:val="18"/>
                <w:szCs w:val="18"/>
                <w:color w:val="auto"/>
              </w:rPr>
            </w:pPr>
          </w:p>
        </w:tc>
        <w:tc>
          <w:tcPr>
            <w:tcW w:w="158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MARCH 26, 2023</w:t>
            </w:r>
          </w:p>
        </w:tc>
        <w:tc>
          <w:tcPr>
            <w:tcW w:w="100" w:type="dxa"/>
            <w:vAlign w:val="bottom"/>
          </w:tcPr>
          <w:p>
            <w:pPr>
              <w:spacing w:after="0"/>
              <w:rPr>
                <w:sz w:val="18"/>
                <w:szCs w:val="18"/>
                <w:color w:val="auto"/>
              </w:rPr>
            </w:pPr>
          </w:p>
        </w:tc>
        <w:tc>
          <w:tcPr>
            <w:tcW w:w="1260" w:type="dxa"/>
            <w:vAlign w:val="bottom"/>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Change</w:t>
            </w:r>
          </w:p>
        </w:tc>
      </w:tr>
      <w:tr>
        <w:trPr>
          <w:trHeight w:val="198"/>
        </w:trPr>
        <w:tc>
          <w:tcPr>
            <w:tcW w:w="6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Restaurant sales:</w:t>
            </w:r>
          </w:p>
        </w:tc>
        <w:tc>
          <w:tcPr>
            <w:tcW w:w="180" w:type="dxa"/>
            <w:vAlign w:val="bottom"/>
            <w:tcBorders>
              <w:top w:val="single" w:sz="8" w:color="auto"/>
            </w:tcBorders>
            <w:shd w:val="clear" w:color="auto" w:fill="CCEEFF"/>
          </w:tcPr>
          <w:p>
            <w:pPr>
              <w:spacing w:after="0"/>
              <w:rPr>
                <w:sz w:val="17"/>
                <w:szCs w:val="17"/>
                <w:color w:val="auto"/>
              </w:rPr>
            </w:pPr>
          </w:p>
        </w:tc>
        <w:tc>
          <w:tcPr>
            <w:tcW w:w="16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17"/>
                <w:szCs w:val="17"/>
                <w:color w:val="auto"/>
              </w:rPr>
            </w:pPr>
          </w:p>
        </w:tc>
      </w:tr>
      <w:tr>
        <w:trPr>
          <w:trHeight w:val="213"/>
        </w:trPr>
        <w:tc>
          <w:tcPr>
            <w:tcW w:w="62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In-restaurant dining sales</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195,199</w:t>
            </w:r>
          </w:p>
        </w:tc>
        <w:tc>
          <w:tcPr>
            <w:tcW w:w="8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169,229</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15.3 %</w:t>
            </w:r>
          </w:p>
        </w:tc>
      </w:tr>
      <w:tr>
        <w:trPr>
          <w:trHeight w:val="219"/>
        </w:trPr>
        <w:tc>
          <w:tcPr>
            <w:tcW w:w="6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Third-party delivery sales</w:t>
            </w: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25,935</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22,314</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16.2 %</w:t>
            </w:r>
          </w:p>
        </w:tc>
      </w:tr>
      <w:tr>
        <w:trPr>
          <w:trHeight w:val="213"/>
        </w:trPr>
        <w:tc>
          <w:tcPr>
            <w:tcW w:w="62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Take-out sales</w:t>
            </w:r>
          </w:p>
        </w:tc>
        <w:tc>
          <w:tcPr>
            <w:tcW w:w="18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18,174</w:t>
            </w: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16,425</w:t>
            </w:r>
          </w:p>
        </w:tc>
        <w:tc>
          <w:tcPr>
            <w:tcW w:w="13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10.6 %</w:t>
            </w:r>
          </w:p>
        </w:tc>
      </w:tr>
      <w:tr>
        <w:trPr>
          <w:trHeight w:val="237"/>
        </w:trPr>
        <w:tc>
          <w:tcPr>
            <w:tcW w:w="6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Restaurant sales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239,308</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207,968</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15.1 %</w:t>
            </w:r>
          </w:p>
        </w:tc>
      </w:tr>
      <w:tr>
        <w:trPr>
          <w:trHeight w:val="20"/>
        </w:trPr>
        <w:tc>
          <w:tcPr>
            <w:tcW w:w="6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r>
    </w:tbl>
    <w:p>
      <w:pPr>
        <w:spacing w:after="0" w:line="3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increase in total restaurant sales during the thirteen weeks ended March 31, 2024 as compared to the same period in the prior year was primarily due to $30.7 million from our NROs and acquired restaurants between March 26, 2023 and March 31, 2024, and $1.6 million from restaurants not in the comparable restaurant base, partially offset by the negative impact from the one week shift in the fiscal calendar associated with same-restaurant sales.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Franchise Revenues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Franchise revenues are comprised of sales-based royalty fees, system fund contributions and the amortization of upfront initial franchise fees, which are recognized as revenue on a straight-line basis over the term of the franchise agreement. Franchise revenues in any period are directly influenced by the number of open franchise-owned restaurants.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2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3460" w:type="dxa"/>
            <w:vAlign w:val="bottom"/>
            <w:tcBorders>
              <w:bottom w:val="single" w:sz="8" w:color="auto"/>
            </w:tcBorders>
            <w:gridSpan w:val="4"/>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THIRTEEN WEEKS ENDED</w:t>
            </w:r>
          </w:p>
        </w:tc>
        <w:tc>
          <w:tcPr>
            <w:tcW w:w="1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r>
      <w:tr>
        <w:trPr>
          <w:trHeight w:val="214"/>
        </w:trPr>
        <w:tc>
          <w:tcPr>
            <w:tcW w:w="624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80" w:type="dxa"/>
            <w:vAlign w:val="bottom"/>
          </w:tcPr>
          <w:p>
            <w:pPr>
              <w:spacing w:after="0"/>
              <w:rPr>
                <w:sz w:val="18"/>
                <w:szCs w:val="18"/>
                <w:color w:val="auto"/>
              </w:rPr>
            </w:pPr>
          </w:p>
        </w:tc>
        <w:tc>
          <w:tcPr>
            <w:tcW w:w="168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MARCH 31, 2024</w:t>
            </w:r>
          </w:p>
        </w:tc>
        <w:tc>
          <w:tcPr>
            <w:tcW w:w="200" w:type="dxa"/>
            <w:vAlign w:val="bottom"/>
          </w:tcPr>
          <w:p>
            <w:pPr>
              <w:spacing w:after="0"/>
              <w:rPr>
                <w:sz w:val="18"/>
                <w:szCs w:val="18"/>
                <w:color w:val="auto"/>
              </w:rPr>
            </w:pPr>
          </w:p>
        </w:tc>
        <w:tc>
          <w:tcPr>
            <w:tcW w:w="158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MARCH 26, 2023</w:t>
            </w:r>
          </w:p>
        </w:tc>
        <w:tc>
          <w:tcPr>
            <w:tcW w:w="100" w:type="dxa"/>
            <w:vAlign w:val="bottom"/>
          </w:tcPr>
          <w:p>
            <w:pPr>
              <w:spacing w:after="0"/>
              <w:rPr>
                <w:sz w:val="18"/>
                <w:szCs w:val="18"/>
                <w:color w:val="auto"/>
              </w:rPr>
            </w:pPr>
          </w:p>
        </w:tc>
        <w:tc>
          <w:tcPr>
            <w:tcW w:w="1260" w:type="dxa"/>
            <w:vAlign w:val="bottom"/>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Change</w:t>
            </w:r>
          </w:p>
        </w:tc>
      </w:tr>
      <w:tr>
        <w:trPr>
          <w:trHeight w:val="198"/>
        </w:trPr>
        <w:tc>
          <w:tcPr>
            <w:tcW w:w="6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Franchise revenues:</w:t>
            </w:r>
          </w:p>
        </w:tc>
        <w:tc>
          <w:tcPr>
            <w:tcW w:w="180" w:type="dxa"/>
            <w:vAlign w:val="bottom"/>
            <w:tcBorders>
              <w:top w:val="single" w:sz="8" w:color="auto"/>
            </w:tcBorders>
            <w:shd w:val="clear" w:color="auto" w:fill="CCEEFF"/>
          </w:tcPr>
          <w:p>
            <w:pPr>
              <w:spacing w:after="0"/>
              <w:rPr>
                <w:sz w:val="17"/>
                <w:szCs w:val="17"/>
                <w:color w:val="auto"/>
              </w:rPr>
            </w:pPr>
          </w:p>
        </w:tc>
        <w:tc>
          <w:tcPr>
            <w:tcW w:w="16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17"/>
                <w:szCs w:val="17"/>
                <w:color w:val="auto"/>
              </w:rPr>
            </w:pPr>
          </w:p>
        </w:tc>
      </w:tr>
      <w:tr>
        <w:trPr>
          <w:trHeight w:val="213"/>
        </w:trPr>
        <w:tc>
          <w:tcPr>
            <w:tcW w:w="62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Royalty and system fund contributions</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3,009</w:t>
            </w:r>
          </w:p>
        </w:tc>
        <w:tc>
          <w:tcPr>
            <w:tcW w:w="8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3,361</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(10.5)%</w:t>
            </w:r>
          </w:p>
        </w:tc>
      </w:tr>
      <w:tr>
        <w:trPr>
          <w:trHeight w:val="219"/>
        </w:trPr>
        <w:tc>
          <w:tcPr>
            <w:tcW w:w="6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Initial fees</w:t>
            </w: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32.5 %</w:t>
            </w:r>
          </w:p>
        </w:tc>
      </w:tr>
      <w:tr>
        <w:trPr>
          <w:trHeight w:val="213"/>
        </w:trPr>
        <w:tc>
          <w:tcPr>
            <w:tcW w:w="62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Business acquisitions - franchise revenues recognized</w:t>
            </w:r>
          </w:p>
        </w:tc>
        <w:tc>
          <w:tcPr>
            <w:tcW w:w="18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100.0 %</w:t>
            </w:r>
          </w:p>
        </w:tc>
      </w:tr>
      <w:tr>
        <w:trPr>
          <w:trHeight w:val="210"/>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Franchise revenues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3,141</w:t>
            </w: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3,438</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w:t>
            </w:r>
          </w:p>
        </w:tc>
      </w:tr>
    </w:tbl>
    <w:p>
      <w:pPr>
        <w:spacing w:after="0" w:line="2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decrease in franchise revenues during the thirteen weeks ended March 31, 2024 as compared to the same period in the prior year was primarily due to the acquisition of 24 franchise-owned restaurants over the past year, partially offset by franchise revenues from the 10 franchise-owned NROs between March 26, 2023 and March 31, 2024.</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Food and Beverage Costs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components of food and beverage costs at company-owned restaurants are variable by nature, change with sales volume, are impacted by product mix and are subject to increases or decreases in commodity costs.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0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3700" w:type="dxa"/>
            <w:vAlign w:val="bottom"/>
            <w:tcBorders>
              <w:bottom w:val="single" w:sz="8" w:color="auto"/>
            </w:tcBorders>
            <w:gridSpan w:val="5"/>
          </w:tcPr>
          <w:p>
            <w:pPr>
              <w:ind w:left="1320"/>
              <w:spacing w:after="0"/>
              <w:rPr>
                <w:sz w:val="20"/>
                <w:szCs w:val="20"/>
                <w:color w:val="auto"/>
              </w:rPr>
            </w:pPr>
            <w:r>
              <w:rPr>
                <w:rFonts w:ascii="Times New Roman" w:cs="Times New Roman" w:eastAsia="Times New Roman" w:hAnsi="Times New Roman"/>
                <w:sz w:val="16"/>
                <w:szCs w:val="16"/>
                <w:b w:val="1"/>
                <w:bCs w:val="1"/>
                <w:color w:val="auto"/>
              </w:rPr>
              <w:t>THIRTEEN WEEKS ENDED</w:t>
            </w:r>
          </w:p>
        </w:tc>
        <w:tc>
          <w:tcPr>
            <w:tcW w:w="1260" w:type="dxa"/>
            <w:vAlign w:val="bottom"/>
            <w:tcBorders>
              <w:bottom w:val="single" w:sz="8" w:color="auto"/>
            </w:tcBorders>
          </w:tcPr>
          <w:p>
            <w:pPr>
              <w:spacing w:after="0"/>
              <w:rPr>
                <w:sz w:val="18"/>
                <w:szCs w:val="18"/>
                <w:color w:val="auto"/>
              </w:rPr>
            </w:pPr>
          </w:p>
        </w:tc>
      </w:tr>
      <w:tr>
        <w:trPr>
          <w:trHeight w:val="214"/>
        </w:trPr>
        <w:tc>
          <w:tcPr>
            <w:tcW w:w="606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20" w:type="dxa"/>
            <w:vAlign w:val="bottom"/>
          </w:tcPr>
          <w:p>
            <w:pPr>
              <w:spacing w:after="0"/>
              <w:rPr>
                <w:sz w:val="18"/>
                <w:szCs w:val="18"/>
                <w:color w:val="auto"/>
              </w:rPr>
            </w:pPr>
          </w:p>
        </w:tc>
        <w:tc>
          <w:tcPr>
            <w:tcW w:w="174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MARCH 31, 2024</w:t>
            </w:r>
          </w:p>
        </w:tc>
        <w:tc>
          <w:tcPr>
            <w:tcW w:w="220" w:type="dxa"/>
            <w:vAlign w:val="bottom"/>
          </w:tcPr>
          <w:p>
            <w:pPr>
              <w:spacing w:after="0"/>
              <w:rPr>
                <w:sz w:val="18"/>
                <w:szCs w:val="18"/>
                <w:color w:val="auto"/>
              </w:rPr>
            </w:pPr>
          </w:p>
        </w:tc>
        <w:tc>
          <w:tcPr>
            <w:tcW w:w="174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MARCH 26, 2023</w:t>
            </w:r>
          </w:p>
        </w:tc>
        <w:tc>
          <w:tcPr>
            <w:tcW w:w="1260" w:type="dxa"/>
            <w:vAlign w:val="bottom"/>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Change</w:t>
            </w:r>
          </w:p>
        </w:tc>
      </w:tr>
      <w:tr>
        <w:trPr>
          <w:trHeight w:val="211"/>
        </w:trPr>
        <w:tc>
          <w:tcPr>
            <w:tcW w:w="6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Food and beverage costs</w:t>
            </w: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52,184</w:t>
            </w: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46,627</w:t>
            </w:r>
          </w:p>
        </w:tc>
        <w:tc>
          <w:tcPr>
            <w:tcW w:w="10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11.9 %</w:t>
            </w:r>
          </w:p>
        </w:tc>
      </w:tr>
      <w:tr>
        <w:trPr>
          <w:trHeight w:val="210"/>
        </w:trPr>
        <w:tc>
          <w:tcPr>
            <w:tcW w:w="6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As a percentage of restaurant sales</w:t>
            </w:r>
          </w:p>
        </w:tc>
        <w:tc>
          <w:tcPr>
            <w:tcW w:w="2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21.8 %</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22.4 %</w:t>
            </w: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(0.6)%</w:t>
            </w:r>
          </w:p>
        </w:tc>
      </w:tr>
    </w:tbl>
    <w:p>
      <w:pPr>
        <w:spacing w:after="0" w:line="31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Food and beverage costs as a percent of restaurant sales decreased during the thirteen weeks ended March 31, 2024 as compared to the same period in the prior year primarily due to carried pricing in excess of commodity inflation.</w:t>
      </w:r>
    </w:p>
    <w:p>
      <w:pPr>
        <w:ind w:right="20"/>
        <w:spacing w:after="0" w:line="243" w:lineRule="auto"/>
        <w:rPr>
          <w:sz w:val="20"/>
          <w:szCs w:val="20"/>
          <w:color w:val="auto"/>
        </w:rPr>
      </w:pPr>
      <w:r>
        <w:rPr>
          <w:rFonts w:ascii="Times New Roman" w:cs="Times New Roman" w:eastAsia="Times New Roman" w:hAnsi="Times New Roman"/>
          <w:sz w:val="18"/>
          <w:szCs w:val="18"/>
          <w:color w:val="auto"/>
        </w:rPr>
        <w:t>Food and beverage costs increased during the thirteen weeks ended March 31, 2024 as compared to the same period in the prior year primarily as a result of (i) the increase in restaurant sales and (ii) 40 NROs between March 26, 2023 and March 31, 2024.</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Labor and Other Related Expenses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Labor and other related expenses are variable by nature and include hourly and management wages, bonuses, payroll taxes, workers’ compensation expense and employee benefits. Factors that influence labor costs include minimum wage and payroll tax legislation, health care costs, the number and performance of our company-owned restaurants and increased competition for qualified staff.</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0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3700" w:type="dxa"/>
            <w:vAlign w:val="bottom"/>
            <w:tcBorders>
              <w:bottom w:val="single" w:sz="8" w:color="auto"/>
            </w:tcBorders>
            <w:gridSpan w:val="5"/>
          </w:tcPr>
          <w:p>
            <w:pPr>
              <w:ind w:left="1320"/>
              <w:spacing w:after="0"/>
              <w:rPr>
                <w:sz w:val="20"/>
                <w:szCs w:val="20"/>
                <w:color w:val="auto"/>
              </w:rPr>
            </w:pPr>
            <w:r>
              <w:rPr>
                <w:rFonts w:ascii="Times New Roman" w:cs="Times New Roman" w:eastAsia="Times New Roman" w:hAnsi="Times New Roman"/>
                <w:sz w:val="16"/>
                <w:szCs w:val="16"/>
                <w:b w:val="1"/>
                <w:bCs w:val="1"/>
                <w:color w:val="auto"/>
              </w:rPr>
              <w:t>THIRTEEN WEEKS ENDED</w:t>
            </w:r>
          </w:p>
        </w:tc>
        <w:tc>
          <w:tcPr>
            <w:tcW w:w="1260" w:type="dxa"/>
            <w:vAlign w:val="bottom"/>
            <w:tcBorders>
              <w:bottom w:val="single" w:sz="8" w:color="auto"/>
            </w:tcBorders>
          </w:tcPr>
          <w:p>
            <w:pPr>
              <w:spacing w:after="0"/>
              <w:rPr>
                <w:sz w:val="18"/>
                <w:szCs w:val="18"/>
                <w:color w:val="auto"/>
              </w:rPr>
            </w:pPr>
          </w:p>
        </w:tc>
      </w:tr>
      <w:tr>
        <w:trPr>
          <w:trHeight w:val="214"/>
        </w:trPr>
        <w:tc>
          <w:tcPr>
            <w:tcW w:w="606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20" w:type="dxa"/>
            <w:vAlign w:val="bottom"/>
          </w:tcPr>
          <w:p>
            <w:pPr>
              <w:spacing w:after="0"/>
              <w:rPr>
                <w:sz w:val="18"/>
                <w:szCs w:val="18"/>
                <w:color w:val="auto"/>
              </w:rPr>
            </w:pPr>
          </w:p>
        </w:tc>
        <w:tc>
          <w:tcPr>
            <w:tcW w:w="174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MARCH 31, 2024</w:t>
            </w:r>
          </w:p>
        </w:tc>
        <w:tc>
          <w:tcPr>
            <w:tcW w:w="220" w:type="dxa"/>
            <w:vAlign w:val="bottom"/>
          </w:tcPr>
          <w:p>
            <w:pPr>
              <w:spacing w:after="0"/>
              <w:rPr>
                <w:sz w:val="18"/>
                <w:szCs w:val="18"/>
                <w:color w:val="auto"/>
              </w:rPr>
            </w:pPr>
          </w:p>
        </w:tc>
        <w:tc>
          <w:tcPr>
            <w:tcW w:w="174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MARCH 26, 2023</w:t>
            </w:r>
          </w:p>
        </w:tc>
        <w:tc>
          <w:tcPr>
            <w:tcW w:w="1260" w:type="dxa"/>
            <w:vAlign w:val="bottom"/>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Change</w:t>
            </w:r>
          </w:p>
        </w:tc>
      </w:tr>
      <w:tr>
        <w:trPr>
          <w:trHeight w:val="211"/>
        </w:trPr>
        <w:tc>
          <w:tcPr>
            <w:tcW w:w="6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Labor and other related expenses</w:t>
            </w: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79,735</w:t>
            </w: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68,573</w:t>
            </w:r>
          </w:p>
        </w:tc>
        <w:tc>
          <w:tcPr>
            <w:tcW w:w="10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16.3 %</w:t>
            </w:r>
          </w:p>
        </w:tc>
      </w:tr>
      <w:tr>
        <w:trPr>
          <w:trHeight w:val="210"/>
        </w:trPr>
        <w:tc>
          <w:tcPr>
            <w:tcW w:w="6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As a percentage of restaurant sales</w:t>
            </w:r>
          </w:p>
        </w:tc>
        <w:tc>
          <w:tcPr>
            <w:tcW w:w="2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33.3 %</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33.0 %</w:t>
            </w: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0.3 %</w:t>
            </w:r>
          </w:p>
        </w:tc>
      </w:tr>
    </w:tbl>
    <w:p>
      <w:pPr>
        <w:spacing w:after="0" w:line="2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Labor and other related expenses as a percentage of restaurant sales increased during the thirteen weeks ended March 31, 2024 as compared to the same period in the prior year primarily as a result of average hourly labor wage increases and carrying more managers to staff NROs. This was partially offset by more efficient hourly labor and by the increase in menu prices.</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increase in labor and other related expenses during the thirteen weeks ended March 31, 2024 as compared to the same period in the prior year was primarily due to (i) average hourly labor wage increases, (ii) 40 NROs between March 26, 2023 and March 31, 2024 and (iii) carrying more managers to staff NROs.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Restaurant Operating Expenses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Other restaurant operating expenses consist of marketing and advertising expenses, utilities, insurance and other operating variable expenses incidental to operating company-owned restaurants, such as operating supplies (including paper products, menus and to-go supplies), credit card fees, repairs and maintenance, and third-party delivery services fees.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0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3700" w:type="dxa"/>
            <w:vAlign w:val="bottom"/>
            <w:tcBorders>
              <w:bottom w:val="single" w:sz="8" w:color="auto"/>
            </w:tcBorders>
            <w:gridSpan w:val="5"/>
          </w:tcPr>
          <w:p>
            <w:pPr>
              <w:ind w:left="1320"/>
              <w:spacing w:after="0"/>
              <w:rPr>
                <w:sz w:val="20"/>
                <w:szCs w:val="20"/>
                <w:color w:val="auto"/>
              </w:rPr>
            </w:pPr>
            <w:r>
              <w:rPr>
                <w:rFonts w:ascii="Times New Roman" w:cs="Times New Roman" w:eastAsia="Times New Roman" w:hAnsi="Times New Roman"/>
                <w:sz w:val="16"/>
                <w:szCs w:val="16"/>
                <w:b w:val="1"/>
                <w:bCs w:val="1"/>
                <w:color w:val="auto"/>
              </w:rPr>
              <w:t>THIRTEEN WEEKS ENDED</w:t>
            </w:r>
          </w:p>
        </w:tc>
        <w:tc>
          <w:tcPr>
            <w:tcW w:w="1260" w:type="dxa"/>
            <w:vAlign w:val="bottom"/>
            <w:tcBorders>
              <w:bottom w:val="single" w:sz="8" w:color="auto"/>
            </w:tcBorders>
          </w:tcPr>
          <w:p>
            <w:pPr>
              <w:spacing w:after="0"/>
              <w:rPr>
                <w:sz w:val="18"/>
                <w:szCs w:val="18"/>
                <w:color w:val="auto"/>
              </w:rPr>
            </w:pPr>
          </w:p>
        </w:tc>
      </w:tr>
      <w:tr>
        <w:trPr>
          <w:trHeight w:val="214"/>
        </w:trPr>
        <w:tc>
          <w:tcPr>
            <w:tcW w:w="606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20" w:type="dxa"/>
            <w:vAlign w:val="bottom"/>
          </w:tcPr>
          <w:p>
            <w:pPr>
              <w:spacing w:after="0"/>
              <w:rPr>
                <w:sz w:val="18"/>
                <w:szCs w:val="18"/>
                <w:color w:val="auto"/>
              </w:rPr>
            </w:pPr>
          </w:p>
        </w:tc>
        <w:tc>
          <w:tcPr>
            <w:tcW w:w="174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MARCH 31, 2024</w:t>
            </w:r>
          </w:p>
        </w:tc>
        <w:tc>
          <w:tcPr>
            <w:tcW w:w="220" w:type="dxa"/>
            <w:vAlign w:val="bottom"/>
          </w:tcPr>
          <w:p>
            <w:pPr>
              <w:spacing w:after="0"/>
              <w:rPr>
                <w:sz w:val="18"/>
                <w:szCs w:val="18"/>
                <w:color w:val="auto"/>
              </w:rPr>
            </w:pPr>
          </w:p>
        </w:tc>
        <w:tc>
          <w:tcPr>
            <w:tcW w:w="174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MARCH 26, 2023</w:t>
            </w:r>
          </w:p>
        </w:tc>
        <w:tc>
          <w:tcPr>
            <w:tcW w:w="1260" w:type="dxa"/>
            <w:vAlign w:val="bottom"/>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Change</w:t>
            </w:r>
          </w:p>
        </w:tc>
      </w:tr>
      <w:tr>
        <w:trPr>
          <w:trHeight w:val="211"/>
        </w:trPr>
        <w:tc>
          <w:tcPr>
            <w:tcW w:w="6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restaurant operating expenses</w:t>
            </w: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36,792</w:t>
            </w: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31,696</w:t>
            </w:r>
          </w:p>
        </w:tc>
        <w:tc>
          <w:tcPr>
            <w:tcW w:w="10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16.1 %</w:t>
            </w:r>
          </w:p>
        </w:tc>
      </w:tr>
      <w:tr>
        <w:trPr>
          <w:trHeight w:val="210"/>
        </w:trPr>
        <w:tc>
          <w:tcPr>
            <w:tcW w:w="6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As a percentage of restaurant sales</w:t>
            </w:r>
          </w:p>
        </w:tc>
        <w:tc>
          <w:tcPr>
            <w:tcW w:w="2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15.4 %</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15.2 %</w:t>
            </w: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0.2 %</w:t>
            </w:r>
          </w:p>
        </w:tc>
      </w:tr>
    </w:tbl>
    <w:p>
      <w:pPr>
        <w:spacing w:after="0" w:line="2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Other restaurant operating expenses as a percentage of restaurant sales during the thirteen weeks ended March 31, 2024 was higher than the same period in the prior year primarily due to higher repair and maintenance expense partially offset by favorable to-go supplies costs.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increase in other restaurant operating expenses during the thirteen weeks ended March 31, 2024 as compared to the same period in the prior year was mainly due to the increase in restaurant sales and restaurant growth, including restaurants we acquired from our franchisees, driving increases of (i) $2.1 million related to repairs and maintenance, utilities, licensing/permits, marketing and other operating expenses, (ii) $1.2 million in credit card fees, (iii) $1.0 million in operating supplies expense and (iv) $0.8 million in third-party delivery service fees.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Occupancy Expenses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Occupancy expenses primarily consist of rent expense, property insurance, common area expenses and property taxes.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0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3700" w:type="dxa"/>
            <w:vAlign w:val="bottom"/>
            <w:tcBorders>
              <w:bottom w:val="single" w:sz="8" w:color="auto"/>
            </w:tcBorders>
            <w:gridSpan w:val="5"/>
          </w:tcPr>
          <w:p>
            <w:pPr>
              <w:ind w:left="1320"/>
              <w:spacing w:after="0"/>
              <w:rPr>
                <w:sz w:val="20"/>
                <w:szCs w:val="20"/>
                <w:color w:val="auto"/>
              </w:rPr>
            </w:pPr>
            <w:r>
              <w:rPr>
                <w:rFonts w:ascii="Times New Roman" w:cs="Times New Roman" w:eastAsia="Times New Roman" w:hAnsi="Times New Roman"/>
                <w:sz w:val="16"/>
                <w:szCs w:val="16"/>
                <w:b w:val="1"/>
                <w:bCs w:val="1"/>
                <w:color w:val="auto"/>
              </w:rPr>
              <w:t>THIRTEEN WEEKS ENDED</w:t>
            </w:r>
          </w:p>
        </w:tc>
        <w:tc>
          <w:tcPr>
            <w:tcW w:w="1260" w:type="dxa"/>
            <w:vAlign w:val="bottom"/>
            <w:tcBorders>
              <w:bottom w:val="single" w:sz="8" w:color="auto"/>
            </w:tcBorders>
          </w:tcPr>
          <w:p>
            <w:pPr>
              <w:spacing w:after="0"/>
              <w:rPr>
                <w:sz w:val="18"/>
                <w:szCs w:val="18"/>
                <w:color w:val="auto"/>
              </w:rPr>
            </w:pPr>
          </w:p>
        </w:tc>
      </w:tr>
      <w:tr>
        <w:trPr>
          <w:trHeight w:val="214"/>
        </w:trPr>
        <w:tc>
          <w:tcPr>
            <w:tcW w:w="606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20" w:type="dxa"/>
            <w:vAlign w:val="bottom"/>
          </w:tcPr>
          <w:p>
            <w:pPr>
              <w:spacing w:after="0"/>
              <w:rPr>
                <w:sz w:val="18"/>
                <w:szCs w:val="18"/>
                <w:color w:val="auto"/>
              </w:rPr>
            </w:pPr>
          </w:p>
        </w:tc>
        <w:tc>
          <w:tcPr>
            <w:tcW w:w="174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MARCH 31, 2024</w:t>
            </w:r>
          </w:p>
        </w:tc>
        <w:tc>
          <w:tcPr>
            <w:tcW w:w="220" w:type="dxa"/>
            <w:vAlign w:val="bottom"/>
          </w:tcPr>
          <w:p>
            <w:pPr>
              <w:spacing w:after="0"/>
              <w:rPr>
                <w:sz w:val="18"/>
                <w:szCs w:val="18"/>
                <w:color w:val="auto"/>
              </w:rPr>
            </w:pPr>
          </w:p>
        </w:tc>
        <w:tc>
          <w:tcPr>
            <w:tcW w:w="174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MARCH 26, 2023</w:t>
            </w:r>
          </w:p>
        </w:tc>
        <w:tc>
          <w:tcPr>
            <w:tcW w:w="1260" w:type="dxa"/>
            <w:vAlign w:val="bottom"/>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Change</w:t>
            </w:r>
          </w:p>
        </w:tc>
      </w:tr>
      <w:tr>
        <w:trPr>
          <w:trHeight w:val="211"/>
        </w:trPr>
        <w:tc>
          <w:tcPr>
            <w:tcW w:w="6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Occupancy expenses</w:t>
            </w: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19,168</w:t>
            </w: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15,934</w:t>
            </w:r>
          </w:p>
        </w:tc>
        <w:tc>
          <w:tcPr>
            <w:tcW w:w="10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20.3 %</w:t>
            </w:r>
          </w:p>
        </w:tc>
      </w:tr>
      <w:tr>
        <w:trPr>
          <w:trHeight w:val="210"/>
        </w:trPr>
        <w:tc>
          <w:tcPr>
            <w:tcW w:w="6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As a percentage of restaurant sales</w:t>
            </w:r>
          </w:p>
        </w:tc>
        <w:tc>
          <w:tcPr>
            <w:tcW w:w="2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8.0 %</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7.7 %</w:t>
            </w: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0.3 %</w:t>
            </w:r>
          </w:p>
        </w:tc>
      </w:tr>
    </w:tbl>
    <w:p>
      <w:pPr>
        <w:spacing w:after="0" w:line="28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a percentage of restaurant sales, the increase in occupancy expenses for the thirteen weeks ended March 31, 2024 as compared to the same period in the prior year was primarily due to higher cash rent expense.</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increase in occupancy expenses during the thirteen weeks ended March 31, 2024 as compared to the same period in the prior year was primarily due to the increase in the number of company-owned restaurants.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Pre-opening Expenses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Pre-opening expenses are costs incurred to open new company-owned restaurants. Pre-opening expenses include pre-opening rent expense, which is recognized during the period between the date of possession of the restaurant facility and the restaurant opening date. In addition, pre-opening expenses include manager salaries, recruiting expenses, employee payroll and training costs, which are recognized in the period in which the expense was incurred. Pre-opening expenses can fluctuate from period to period, based on the number and timing of new company-owned restaurant openings.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2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3540" w:type="dxa"/>
            <w:vAlign w:val="bottom"/>
            <w:tcBorders>
              <w:bottom w:val="single" w:sz="8" w:color="auto"/>
            </w:tcBorders>
            <w:gridSpan w:val="5"/>
          </w:tcPr>
          <w:p>
            <w:pPr>
              <w:ind w:left="1280"/>
              <w:spacing w:after="0"/>
              <w:rPr>
                <w:sz w:val="20"/>
                <w:szCs w:val="20"/>
                <w:color w:val="auto"/>
              </w:rPr>
            </w:pPr>
            <w:r>
              <w:rPr>
                <w:rFonts w:ascii="Times New Roman" w:cs="Times New Roman" w:eastAsia="Times New Roman" w:hAnsi="Times New Roman"/>
                <w:sz w:val="16"/>
                <w:szCs w:val="16"/>
                <w:b w:val="1"/>
                <w:bCs w:val="1"/>
                <w:color w:val="auto"/>
              </w:rPr>
              <w:t>THIRTEEN WEEKS ENDED</w:t>
            </w:r>
          </w:p>
        </w:tc>
        <w:tc>
          <w:tcPr>
            <w:tcW w:w="1280" w:type="dxa"/>
            <w:vAlign w:val="bottom"/>
            <w:tcBorders>
              <w:bottom w:val="single" w:sz="8" w:color="auto"/>
            </w:tcBorders>
          </w:tcPr>
          <w:p>
            <w:pPr>
              <w:spacing w:after="0"/>
              <w:rPr>
                <w:sz w:val="18"/>
                <w:szCs w:val="18"/>
                <w:color w:val="auto"/>
              </w:rPr>
            </w:pPr>
          </w:p>
        </w:tc>
      </w:tr>
      <w:tr>
        <w:trPr>
          <w:trHeight w:val="214"/>
        </w:trPr>
        <w:tc>
          <w:tcPr>
            <w:tcW w:w="624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80" w:type="dxa"/>
            <w:vAlign w:val="bottom"/>
          </w:tcPr>
          <w:p>
            <w:pPr>
              <w:spacing w:after="0"/>
              <w:rPr>
                <w:sz w:val="18"/>
                <w:szCs w:val="18"/>
                <w:color w:val="auto"/>
              </w:rPr>
            </w:pPr>
          </w:p>
        </w:tc>
        <w:tc>
          <w:tcPr>
            <w:tcW w:w="168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MARCH 27, 2022</w:t>
            </w:r>
          </w:p>
        </w:tc>
        <w:tc>
          <w:tcPr>
            <w:tcW w:w="180" w:type="dxa"/>
            <w:vAlign w:val="bottom"/>
          </w:tcPr>
          <w:p>
            <w:pPr>
              <w:spacing w:after="0"/>
              <w:rPr>
                <w:sz w:val="18"/>
                <w:szCs w:val="18"/>
                <w:color w:val="auto"/>
              </w:rPr>
            </w:pPr>
          </w:p>
        </w:tc>
        <w:tc>
          <w:tcPr>
            <w:tcW w:w="168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MARCH 28, 2021</w:t>
            </w:r>
          </w:p>
        </w:tc>
        <w:tc>
          <w:tcPr>
            <w:tcW w:w="1280" w:type="dxa"/>
            <w:vAlign w:val="bottom"/>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Change</w:t>
            </w:r>
          </w:p>
        </w:tc>
      </w:tr>
      <w:tr>
        <w:trPr>
          <w:trHeight w:val="211"/>
        </w:trPr>
        <w:tc>
          <w:tcPr>
            <w:tcW w:w="6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Pre-opening expenses</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1,567</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1,036</w:t>
            </w:r>
          </w:p>
        </w:tc>
        <w:tc>
          <w:tcPr>
            <w:tcW w:w="10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51.3 %</w:t>
            </w:r>
          </w:p>
        </w:tc>
      </w:tr>
    </w:tbl>
    <w:p>
      <w:pPr>
        <w:spacing w:after="0" w:line="2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increase in pre-opening expenses during the thirteen weeks ended March 31, 2024 as compared to the same period in the prior year was primarily due to pre-opening rent expense related to the increase in the number of restaurants opened and under construction.</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primarily consist of costs associated with our corporate and administrative functions that support restaurant development and operations including marketing and advertising costs incurred as well as legal fees, professional fees, stock-based compensation and expenses associated with being a public company, including costs associated with our compliance with the Sarbanes-Oxley Act. General and administrative expenses are impacted by changes in our employee headcount and costs related to strategic and growth initiatives.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2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3560" w:type="dxa"/>
            <w:vAlign w:val="bottom"/>
            <w:tcBorders>
              <w:bottom w:val="single" w:sz="8" w:color="auto"/>
            </w:tcBorders>
            <w:gridSpan w:val="5"/>
          </w:tcPr>
          <w:p>
            <w:pPr>
              <w:ind w:left="1280"/>
              <w:spacing w:after="0"/>
              <w:rPr>
                <w:sz w:val="20"/>
                <w:szCs w:val="20"/>
                <w:color w:val="auto"/>
              </w:rPr>
            </w:pPr>
            <w:r>
              <w:rPr>
                <w:rFonts w:ascii="Times New Roman" w:cs="Times New Roman" w:eastAsia="Times New Roman" w:hAnsi="Times New Roman"/>
                <w:sz w:val="16"/>
                <w:szCs w:val="16"/>
                <w:b w:val="1"/>
                <w:bCs w:val="1"/>
                <w:color w:val="auto"/>
              </w:rPr>
              <w:t>THIRTEEN WEEKS ENDED</w:t>
            </w:r>
          </w:p>
        </w:tc>
        <w:tc>
          <w:tcPr>
            <w:tcW w:w="1260" w:type="dxa"/>
            <w:vAlign w:val="bottom"/>
            <w:tcBorders>
              <w:bottom w:val="single" w:sz="8" w:color="auto"/>
            </w:tcBorders>
          </w:tcPr>
          <w:p>
            <w:pPr>
              <w:spacing w:after="0"/>
              <w:rPr>
                <w:sz w:val="18"/>
                <w:szCs w:val="18"/>
                <w:color w:val="auto"/>
              </w:rPr>
            </w:pPr>
          </w:p>
        </w:tc>
      </w:tr>
      <w:tr>
        <w:trPr>
          <w:trHeight w:val="214"/>
        </w:trPr>
        <w:tc>
          <w:tcPr>
            <w:tcW w:w="624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80" w:type="dxa"/>
            <w:vAlign w:val="bottom"/>
          </w:tcPr>
          <w:p>
            <w:pPr>
              <w:spacing w:after="0"/>
              <w:rPr>
                <w:sz w:val="18"/>
                <w:szCs w:val="18"/>
                <w:color w:val="auto"/>
              </w:rPr>
            </w:pPr>
          </w:p>
        </w:tc>
        <w:tc>
          <w:tcPr>
            <w:tcW w:w="168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MARCH 31, 2024</w:t>
            </w:r>
          </w:p>
        </w:tc>
        <w:tc>
          <w:tcPr>
            <w:tcW w:w="200" w:type="dxa"/>
            <w:vAlign w:val="bottom"/>
          </w:tcPr>
          <w:p>
            <w:pPr>
              <w:spacing w:after="0"/>
              <w:rPr>
                <w:sz w:val="18"/>
                <w:szCs w:val="18"/>
                <w:color w:val="auto"/>
              </w:rPr>
            </w:pPr>
          </w:p>
        </w:tc>
        <w:tc>
          <w:tcPr>
            <w:tcW w:w="168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MARCH 26, 2023</w:t>
            </w:r>
          </w:p>
        </w:tc>
        <w:tc>
          <w:tcPr>
            <w:tcW w:w="1260" w:type="dxa"/>
            <w:vAlign w:val="bottom"/>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Change</w:t>
            </w:r>
          </w:p>
        </w:tc>
      </w:tr>
      <w:tr>
        <w:trPr>
          <w:trHeight w:val="211"/>
        </w:trPr>
        <w:tc>
          <w:tcPr>
            <w:tcW w:w="6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General and administrative expenses</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27,658</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22,705</w:t>
            </w:r>
          </w:p>
        </w:tc>
        <w:tc>
          <w:tcPr>
            <w:tcW w:w="10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21.8 %</w:t>
            </w:r>
          </w:p>
        </w:tc>
      </w:tr>
    </w:tbl>
    <w:p>
      <w:pPr>
        <w:spacing w:after="0" w:line="1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increase in general and administrative expenses during the thirteen weeks ended March 31, 2024 as compared to the same period in the prior year was mainly due to (i) $2.8 million in compensation expense from wage increases and additional employee headcount to support growth and (ii) $2.1 million increase in consulting, information technology, marketing and other miscellaneous expenses.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Depreciation and Amortization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Depreciation and amortization consists of the depreciation of fixed assets, including leasehold improvements, fixtures and equipment and the amortization of definite-lived intangible assets, which are primarily comprised of franchise rights. Franchise rights includes rights which arose from the purchase price allocation in connection with the merger agreement through which the Company was acquired by funds affiliated with or managed by Advent International, L.P. (“Advent”) in August 2017, as well as reacquired rights from our acquisitions of franchise-owned restaurants.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140" w:type="dxa"/>
            <w:vAlign w:val="bottom"/>
            <w:gridSpan w:val="5"/>
          </w:tcPr>
          <w:p>
            <w:pPr>
              <w:ind w:left="120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66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8"/>
        </w:trPr>
        <w:tc>
          <w:tcPr>
            <w:tcW w:w="666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160" w:type="dxa"/>
            <w:vAlign w:val="bottom"/>
          </w:tcPr>
          <w:p>
            <w:pPr>
              <w:spacing w:after="0"/>
              <w:rPr>
                <w:sz w:val="18"/>
                <w:szCs w:val="18"/>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MARCH 26, 2023</w:t>
            </w:r>
          </w:p>
        </w:tc>
        <w:tc>
          <w:tcPr>
            <w:tcW w:w="1280" w:type="dxa"/>
            <w:vAlign w:val="bottom"/>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0" w:type="dxa"/>
            <w:vAlign w:val="bottom"/>
          </w:tcPr>
          <w:p>
            <w:pPr>
              <w:spacing w:after="0"/>
              <w:rPr>
                <w:sz w:val="1"/>
                <w:szCs w:val="1"/>
                <w:color w:val="auto"/>
              </w:rPr>
            </w:pPr>
          </w:p>
        </w:tc>
      </w:tr>
      <w:tr>
        <w:trPr>
          <w:trHeight w:val="211"/>
        </w:trPr>
        <w:tc>
          <w:tcPr>
            <w:tcW w:w="6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top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6"/>
                <w:szCs w:val="16"/>
                <w:color w:val="auto"/>
              </w:rPr>
              <w:t>12,271</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9,117</w:t>
            </w:r>
          </w:p>
        </w:tc>
        <w:tc>
          <w:tcPr>
            <w:tcW w:w="10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34.6 %</w:t>
            </w:r>
          </w:p>
        </w:tc>
        <w:tc>
          <w:tcPr>
            <w:tcW w:w="0" w:type="dxa"/>
            <w:vAlign w:val="bottom"/>
          </w:tcPr>
          <w:p>
            <w:pPr>
              <w:spacing w:after="0"/>
              <w:rPr>
                <w:sz w:val="1"/>
                <w:szCs w:val="1"/>
                <w:color w:val="auto"/>
              </w:rPr>
            </w:pPr>
          </w:p>
        </w:tc>
      </w:tr>
    </w:tbl>
    <w:p>
      <w:pPr>
        <w:spacing w:after="0" w:line="27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increase in depreciation and amortization during the thirteen weeks ended March 31, 2024 as compared to the same period in the prior year was primarily due to incremental depreciation of capital expenditures associated with NROs.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Transaction Expenses, Net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Transaction expenses, net include (i) revaluations of contingent consideration payable to previous stockholders for tax savings generated through the use of federal and state loss carryforwards and general business credits that had been accumulated from operations prior to our acquisition by Advent in August 2017, (ii) gains or losses associated with lease or contract terminations, (iii) costs incurred in connection with the acquisition of franchise-owned restaurants, (iv) costs related to restaurant closures and (v) costs related to certain equity offerings.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2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3560" w:type="dxa"/>
            <w:vAlign w:val="bottom"/>
            <w:tcBorders>
              <w:bottom w:val="single" w:sz="8" w:color="auto"/>
            </w:tcBorders>
            <w:gridSpan w:val="5"/>
          </w:tcPr>
          <w:p>
            <w:pPr>
              <w:ind w:left="1280"/>
              <w:spacing w:after="0"/>
              <w:rPr>
                <w:sz w:val="20"/>
                <w:szCs w:val="20"/>
                <w:color w:val="auto"/>
              </w:rPr>
            </w:pPr>
            <w:r>
              <w:rPr>
                <w:rFonts w:ascii="Times New Roman" w:cs="Times New Roman" w:eastAsia="Times New Roman" w:hAnsi="Times New Roman"/>
                <w:sz w:val="16"/>
                <w:szCs w:val="16"/>
                <w:b w:val="1"/>
                <w:bCs w:val="1"/>
                <w:color w:val="auto"/>
              </w:rPr>
              <w:t>THIRTEEN WEEKS ENDED</w:t>
            </w:r>
          </w:p>
        </w:tc>
        <w:tc>
          <w:tcPr>
            <w:tcW w:w="1260" w:type="dxa"/>
            <w:vAlign w:val="bottom"/>
            <w:tcBorders>
              <w:bottom w:val="single" w:sz="8" w:color="auto"/>
            </w:tcBorders>
          </w:tcPr>
          <w:p>
            <w:pPr>
              <w:spacing w:after="0"/>
              <w:rPr>
                <w:sz w:val="18"/>
                <w:szCs w:val="18"/>
                <w:color w:val="auto"/>
              </w:rPr>
            </w:pPr>
          </w:p>
        </w:tc>
      </w:tr>
      <w:tr>
        <w:trPr>
          <w:trHeight w:val="214"/>
        </w:trPr>
        <w:tc>
          <w:tcPr>
            <w:tcW w:w="624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80" w:type="dxa"/>
            <w:vAlign w:val="bottom"/>
          </w:tcPr>
          <w:p>
            <w:pPr>
              <w:spacing w:after="0"/>
              <w:rPr>
                <w:sz w:val="18"/>
                <w:szCs w:val="18"/>
                <w:color w:val="auto"/>
              </w:rPr>
            </w:pPr>
          </w:p>
        </w:tc>
        <w:tc>
          <w:tcPr>
            <w:tcW w:w="168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MARCH 31, 2024</w:t>
            </w:r>
          </w:p>
        </w:tc>
        <w:tc>
          <w:tcPr>
            <w:tcW w:w="200" w:type="dxa"/>
            <w:vAlign w:val="bottom"/>
          </w:tcPr>
          <w:p>
            <w:pPr>
              <w:spacing w:after="0"/>
              <w:rPr>
                <w:sz w:val="18"/>
                <w:szCs w:val="18"/>
                <w:color w:val="auto"/>
              </w:rPr>
            </w:pPr>
          </w:p>
        </w:tc>
        <w:tc>
          <w:tcPr>
            <w:tcW w:w="168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MARCH 26, 2023</w:t>
            </w:r>
          </w:p>
        </w:tc>
        <w:tc>
          <w:tcPr>
            <w:tcW w:w="1260" w:type="dxa"/>
            <w:vAlign w:val="bottom"/>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Change</w:t>
            </w:r>
          </w:p>
        </w:tc>
      </w:tr>
      <w:tr>
        <w:trPr>
          <w:trHeight w:val="211"/>
        </w:trPr>
        <w:tc>
          <w:tcPr>
            <w:tcW w:w="6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Transaction expenses, net</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top w:val="single" w:sz="8" w:color="auto"/>
            </w:tcBorders>
            <w:shd w:val="clear" w:color="auto" w:fill="CCEEFF"/>
          </w:tcPr>
          <w:p>
            <w:pPr>
              <w:ind w:left="1280"/>
              <w:spacing w:after="0"/>
              <w:rPr>
                <w:sz w:val="20"/>
                <w:szCs w:val="20"/>
                <w:color w:val="auto"/>
              </w:rPr>
            </w:pPr>
            <w:r>
              <w:rPr>
                <w:rFonts w:ascii="Times New Roman" w:cs="Times New Roman" w:eastAsia="Times New Roman" w:hAnsi="Times New Roman"/>
                <w:sz w:val="16"/>
                <w:szCs w:val="16"/>
                <w:color w:val="auto"/>
              </w:rPr>
              <w:t>669</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w:t>
            </w:r>
          </w:p>
        </w:tc>
        <w:tc>
          <w:tcPr>
            <w:tcW w:w="10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164.4 %</w:t>
            </w:r>
          </w:p>
        </w:tc>
      </w:tr>
    </w:tbl>
    <w:p>
      <w:pPr>
        <w:spacing w:after="0" w:line="2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thirteen weeks ended March 31, 2024, Transaction expenses, net included increases of (i) $0.5 million on costs incurred in connection with a secondary equity offering and (ii) $0.3 million on costs incurred in connection with acquisitions. This increase was partially offset by a $0.6 million contingent consideration liability release.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from Operations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0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3700" w:type="dxa"/>
            <w:vAlign w:val="bottom"/>
            <w:tcBorders>
              <w:bottom w:val="single" w:sz="8" w:color="auto"/>
            </w:tcBorders>
            <w:gridSpan w:val="5"/>
          </w:tcPr>
          <w:p>
            <w:pPr>
              <w:ind w:left="1320"/>
              <w:spacing w:after="0"/>
              <w:rPr>
                <w:sz w:val="20"/>
                <w:szCs w:val="20"/>
                <w:color w:val="auto"/>
              </w:rPr>
            </w:pPr>
            <w:r>
              <w:rPr>
                <w:rFonts w:ascii="Times New Roman" w:cs="Times New Roman" w:eastAsia="Times New Roman" w:hAnsi="Times New Roman"/>
                <w:sz w:val="16"/>
                <w:szCs w:val="16"/>
                <w:b w:val="1"/>
                <w:bCs w:val="1"/>
                <w:color w:val="auto"/>
              </w:rPr>
              <w:t>THIRTEEN WEEKS ENDED</w:t>
            </w:r>
          </w:p>
        </w:tc>
        <w:tc>
          <w:tcPr>
            <w:tcW w:w="1260" w:type="dxa"/>
            <w:vAlign w:val="bottom"/>
            <w:tcBorders>
              <w:bottom w:val="single" w:sz="8" w:color="auto"/>
            </w:tcBorders>
          </w:tcPr>
          <w:p>
            <w:pPr>
              <w:spacing w:after="0"/>
              <w:rPr>
                <w:sz w:val="18"/>
                <w:szCs w:val="18"/>
                <w:color w:val="auto"/>
              </w:rPr>
            </w:pPr>
          </w:p>
        </w:tc>
      </w:tr>
      <w:tr>
        <w:trPr>
          <w:trHeight w:val="214"/>
        </w:trPr>
        <w:tc>
          <w:tcPr>
            <w:tcW w:w="606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20" w:type="dxa"/>
            <w:vAlign w:val="bottom"/>
          </w:tcPr>
          <w:p>
            <w:pPr>
              <w:spacing w:after="0"/>
              <w:rPr>
                <w:sz w:val="18"/>
                <w:szCs w:val="18"/>
                <w:color w:val="auto"/>
              </w:rPr>
            </w:pPr>
          </w:p>
        </w:tc>
        <w:tc>
          <w:tcPr>
            <w:tcW w:w="174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MARCH 31, 2024</w:t>
            </w:r>
          </w:p>
        </w:tc>
        <w:tc>
          <w:tcPr>
            <w:tcW w:w="220" w:type="dxa"/>
            <w:vAlign w:val="bottom"/>
          </w:tcPr>
          <w:p>
            <w:pPr>
              <w:spacing w:after="0"/>
              <w:rPr>
                <w:sz w:val="18"/>
                <w:szCs w:val="18"/>
                <w:color w:val="auto"/>
              </w:rPr>
            </w:pPr>
          </w:p>
        </w:tc>
        <w:tc>
          <w:tcPr>
            <w:tcW w:w="174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MARCH 26, 2023</w:t>
            </w:r>
          </w:p>
        </w:tc>
        <w:tc>
          <w:tcPr>
            <w:tcW w:w="1260" w:type="dxa"/>
            <w:vAlign w:val="bottom"/>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Change</w:t>
            </w:r>
          </w:p>
        </w:tc>
      </w:tr>
      <w:tr>
        <w:trPr>
          <w:trHeight w:val="211"/>
        </w:trPr>
        <w:tc>
          <w:tcPr>
            <w:tcW w:w="6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from operations</w:t>
            </w: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12,286</w:t>
            </w: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15,331</w:t>
            </w:r>
          </w:p>
        </w:tc>
        <w:tc>
          <w:tcPr>
            <w:tcW w:w="10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w:t>
            </w:r>
          </w:p>
        </w:tc>
      </w:tr>
      <w:tr>
        <w:trPr>
          <w:trHeight w:val="210"/>
        </w:trPr>
        <w:tc>
          <w:tcPr>
            <w:tcW w:w="6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As a percentage of restaurant sales</w:t>
            </w:r>
          </w:p>
        </w:tc>
        <w:tc>
          <w:tcPr>
            <w:tcW w:w="2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5.1 %</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7.4 %</w:t>
            </w: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w:t>
            </w:r>
          </w:p>
        </w:tc>
      </w:tr>
    </w:tbl>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Income from operations margin decreased during the thirteen weeks ended March 31, 2024 as compared to the same period in the prior year primarily due to (i) the increase in general and administrative expenses mainly due to wage increases and additional employee headcount to support growth, (ii) the increase in depreciation and amortization as a percent of sales and (iii) the increase in restaurant-level wages and staffing. This decrease was partially offset by menu price increases.</w:t>
      </w:r>
    </w:p>
    <w:p>
      <w:pPr>
        <w:spacing w:after="0" w:line="193" w:lineRule="exact"/>
        <w:rPr>
          <w:sz w:val="20"/>
          <w:szCs w:val="20"/>
          <w:color w:val="auto"/>
        </w:rPr>
      </w:pPr>
    </w:p>
    <w:p>
      <w:pPr>
        <w:ind w:right="20"/>
        <w:spacing w:after="0" w:line="245" w:lineRule="auto"/>
        <w:rPr>
          <w:sz w:val="20"/>
          <w:szCs w:val="20"/>
          <w:color w:val="auto"/>
        </w:rPr>
      </w:pPr>
      <w:r>
        <w:rPr>
          <w:rFonts w:ascii="Times New Roman" w:cs="Times New Roman" w:eastAsia="Times New Roman" w:hAnsi="Times New Roman"/>
          <w:sz w:val="18"/>
          <w:szCs w:val="18"/>
          <w:color w:val="auto"/>
        </w:rPr>
        <w:t>Income from operations decreased during the thirteen weeks ended March 31, 2024 as compared to the same period in the prior year primarily due to (i) the increase in restaurant-level wages and staffing, (ii) higher general and administrative expenses mainly attributable to wage increases and additional employee headcount to support growth and (iii) higher depreciation and amortization expense driven by our restaurant growth and acquisitions of certain franchise-owned restaurants, partially offset by an increase in restaurant sales.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expense primarily consists of interest and fees on our outstanding debt and the amortization expense for debt discount and deferred issuance costs.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520" w:type="dxa"/>
            <w:vAlign w:val="bottom"/>
            <w:gridSpan w:val="5"/>
          </w:tcPr>
          <w:p>
            <w:pPr>
              <w:ind w:left="136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24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gridSpan w:val="2"/>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3"/>
        </w:trPr>
        <w:tc>
          <w:tcPr>
            <w:tcW w:w="624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6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220" w:type="dxa"/>
            <w:vAlign w:val="bottom"/>
          </w:tcPr>
          <w:p>
            <w:pPr>
              <w:spacing w:after="0"/>
              <w:rPr>
                <w:sz w:val="16"/>
                <w:szCs w:val="16"/>
                <w:color w:val="auto"/>
              </w:rPr>
            </w:pPr>
          </w:p>
        </w:tc>
        <w:tc>
          <w:tcPr>
            <w:tcW w:w="16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MARCH 26, 2023</w:t>
            </w:r>
          </w:p>
        </w:tc>
        <w:tc>
          <w:tcPr>
            <w:tcW w:w="1260" w:type="dxa"/>
            <w:vAlign w:val="bottom"/>
          </w:tcPr>
          <w:p>
            <w:pPr>
              <w:jc w:val="right"/>
              <w:ind w:right="324"/>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13"/>
        </w:trPr>
        <w:tc>
          <w:tcPr>
            <w:tcW w:w="6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Borders>
              <w:top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6"/>
                <w:szCs w:val="16"/>
                <w:color w:val="auto"/>
              </w:rPr>
              <w:t>2,599</w:t>
            </w: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1,907</w:t>
            </w:r>
          </w:p>
        </w:tc>
        <w:tc>
          <w:tcPr>
            <w:tcW w:w="10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36.3 %</w:t>
            </w:r>
          </w:p>
        </w:tc>
        <w:tc>
          <w:tcPr>
            <w:tcW w:w="0" w:type="dxa"/>
            <w:vAlign w:val="bottom"/>
          </w:tcPr>
          <w:p>
            <w:pPr>
              <w:spacing w:after="0"/>
              <w:rPr>
                <w:sz w:val="1"/>
                <w:szCs w:val="1"/>
                <w:color w:val="auto"/>
              </w:rPr>
            </w:pPr>
          </w:p>
        </w:tc>
      </w:tr>
    </w:tbl>
    <w:p>
      <w:pPr>
        <w:spacing w:after="0" w:line="30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increase in interest expense during the thirteen weeks ended March 31, 2024 as compared to the same period in the prior year was primarily due to (i) increased borrowings and (ii) higher interest rates.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Net</w:t>
      </w:r>
    </w:p>
    <w:p>
      <w:pPr>
        <w:spacing w:after="0" w:line="25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Other income, net includes items deemed to be non-operating based on management’s assessment of the nature of the item in relation to our core operations.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2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3560" w:type="dxa"/>
            <w:vAlign w:val="bottom"/>
            <w:tcBorders>
              <w:bottom w:val="single" w:sz="8" w:color="auto"/>
            </w:tcBorders>
            <w:gridSpan w:val="5"/>
          </w:tcPr>
          <w:p>
            <w:pPr>
              <w:ind w:left="1280"/>
              <w:spacing w:after="0"/>
              <w:rPr>
                <w:sz w:val="20"/>
                <w:szCs w:val="20"/>
                <w:color w:val="auto"/>
              </w:rPr>
            </w:pPr>
            <w:r>
              <w:rPr>
                <w:rFonts w:ascii="Times New Roman" w:cs="Times New Roman" w:eastAsia="Times New Roman" w:hAnsi="Times New Roman"/>
                <w:sz w:val="16"/>
                <w:szCs w:val="16"/>
                <w:b w:val="1"/>
                <w:bCs w:val="1"/>
                <w:color w:val="auto"/>
              </w:rPr>
              <w:t>THIRTEEN WEEKS ENDED</w:t>
            </w:r>
          </w:p>
        </w:tc>
        <w:tc>
          <w:tcPr>
            <w:tcW w:w="1260" w:type="dxa"/>
            <w:vAlign w:val="bottom"/>
            <w:tcBorders>
              <w:bottom w:val="single" w:sz="8" w:color="auto"/>
            </w:tcBorders>
          </w:tcPr>
          <w:p>
            <w:pPr>
              <w:spacing w:after="0"/>
              <w:rPr>
                <w:sz w:val="18"/>
                <w:szCs w:val="18"/>
                <w:color w:val="auto"/>
              </w:rPr>
            </w:pPr>
          </w:p>
        </w:tc>
      </w:tr>
      <w:tr>
        <w:trPr>
          <w:trHeight w:val="214"/>
        </w:trPr>
        <w:tc>
          <w:tcPr>
            <w:tcW w:w="624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80" w:type="dxa"/>
            <w:vAlign w:val="bottom"/>
          </w:tcPr>
          <w:p>
            <w:pPr>
              <w:spacing w:after="0"/>
              <w:rPr>
                <w:sz w:val="18"/>
                <w:szCs w:val="18"/>
                <w:color w:val="auto"/>
              </w:rPr>
            </w:pPr>
          </w:p>
        </w:tc>
        <w:tc>
          <w:tcPr>
            <w:tcW w:w="168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MARCH 31, 2024</w:t>
            </w:r>
          </w:p>
        </w:tc>
        <w:tc>
          <w:tcPr>
            <w:tcW w:w="200" w:type="dxa"/>
            <w:vAlign w:val="bottom"/>
          </w:tcPr>
          <w:p>
            <w:pPr>
              <w:spacing w:after="0"/>
              <w:rPr>
                <w:sz w:val="18"/>
                <w:szCs w:val="18"/>
                <w:color w:val="auto"/>
              </w:rPr>
            </w:pPr>
          </w:p>
        </w:tc>
        <w:tc>
          <w:tcPr>
            <w:tcW w:w="168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MARCH 26, 2023</w:t>
            </w:r>
          </w:p>
        </w:tc>
        <w:tc>
          <w:tcPr>
            <w:tcW w:w="1260" w:type="dxa"/>
            <w:vAlign w:val="bottom"/>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Change</w:t>
            </w:r>
          </w:p>
        </w:tc>
      </w:tr>
      <w:tr>
        <w:trPr>
          <w:trHeight w:val="211"/>
        </w:trPr>
        <w:tc>
          <w:tcPr>
            <w:tcW w:w="6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income, net</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top w:val="single" w:sz="8" w:color="auto"/>
            </w:tcBorders>
            <w:shd w:val="clear" w:color="auto" w:fill="CCEEFF"/>
          </w:tcPr>
          <w:p>
            <w:pPr>
              <w:ind w:left="1280"/>
              <w:spacing w:after="0"/>
              <w:rPr>
                <w:sz w:val="20"/>
                <w:szCs w:val="20"/>
                <w:color w:val="auto"/>
              </w:rPr>
            </w:pPr>
            <w:r>
              <w:rPr>
                <w:rFonts w:ascii="Times New Roman" w:cs="Times New Roman" w:eastAsia="Times New Roman" w:hAnsi="Times New Roman"/>
                <w:sz w:val="16"/>
                <w:szCs w:val="16"/>
                <w:color w:val="auto"/>
              </w:rPr>
              <w:t>326</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494</w:t>
            </w:r>
          </w:p>
        </w:tc>
        <w:tc>
          <w:tcPr>
            <w:tcW w:w="10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(34.0)%</w:t>
            </w:r>
          </w:p>
        </w:tc>
      </w:tr>
    </w:tbl>
    <w:p>
      <w:pPr>
        <w:spacing w:after="0" w:line="200" w:lineRule="exact"/>
        <w:rPr>
          <w:sz w:val="20"/>
          <w:szCs w:val="20"/>
          <w:color w:val="auto"/>
        </w:rPr>
      </w:pP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decrease in Other income, net during the thirteen weeks ended March 31, 2024 as compared to the same period in the prior year was primarily due to a debt refinancing loss partially offset by higher interest income.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Income tax expense primarily consists of various federal and state taxes.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0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3700" w:type="dxa"/>
            <w:vAlign w:val="bottom"/>
            <w:tcBorders>
              <w:bottom w:val="single" w:sz="8" w:color="auto"/>
            </w:tcBorders>
            <w:gridSpan w:val="5"/>
          </w:tcPr>
          <w:p>
            <w:pPr>
              <w:ind w:left="1320"/>
              <w:spacing w:after="0"/>
              <w:rPr>
                <w:sz w:val="20"/>
                <w:szCs w:val="20"/>
                <w:color w:val="auto"/>
              </w:rPr>
            </w:pPr>
            <w:r>
              <w:rPr>
                <w:rFonts w:ascii="Times New Roman" w:cs="Times New Roman" w:eastAsia="Times New Roman" w:hAnsi="Times New Roman"/>
                <w:sz w:val="16"/>
                <w:szCs w:val="16"/>
                <w:b w:val="1"/>
                <w:bCs w:val="1"/>
                <w:color w:val="auto"/>
              </w:rPr>
              <w:t>THIRTEEN WEEKS ENDED</w:t>
            </w:r>
          </w:p>
        </w:tc>
        <w:tc>
          <w:tcPr>
            <w:tcW w:w="1260" w:type="dxa"/>
            <w:vAlign w:val="bottom"/>
            <w:tcBorders>
              <w:bottom w:val="single" w:sz="8" w:color="auto"/>
            </w:tcBorders>
          </w:tcPr>
          <w:p>
            <w:pPr>
              <w:spacing w:after="0"/>
              <w:rPr>
                <w:sz w:val="18"/>
                <w:szCs w:val="18"/>
                <w:color w:val="auto"/>
              </w:rPr>
            </w:pPr>
          </w:p>
        </w:tc>
      </w:tr>
      <w:tr>
        <w:trPr>
          <w:trHeight w:val="214"/>
        </w:trPr>
        <w:tc>
          <w:tcPr>
            <w:tcW w:w="606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20" w:type="dxa"/>
            <w:vAlign w:val="bottom"/>
          </w:tcPr>
          <w:p>
            <w:pPr>
              <w:spacing w:after="0"/>
              <w:rPr>
                <w:sz w:val="18"/>
                <w:szCs w:val="18"/>
                <w:color w:val="auto"/>
              </w:rPr>
            </w:pPr>
          </w:p>
        </w:tc>
        <w:tc>
          <w:tcPr>
            <w:tcW w:w="174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MARCH 31, 2024</w:t>
            </w:r>
          </w:p>
        </w:tc>
        <w:tc>
          <w:tcPr>
            <w:tcW w:w="220" w:type="dxa"/>
            <w:vAlign w:val="bottom"/>
          </w:tcPr>
          <w:p>
            <w:pPr>
              <w:spacing w:after="0"/>
              <w:rPr>
                <w:sz w:val="18"/>
                <w:szCs w:val="18"/>
                <w:color w:val="auto"/>
              </w:rPr>
            </w:pPr>
          </w:p>
        </w:tc>
        <w:tc>
          <w:tcPr>
            <w:tcW w:w="174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MARCH 26, 2023</w:t>
            </w:r>
          </w:p>
        </w:tc>
        <w:tc>
          <w:tcPr>
            <w:tcW w:w="1260" w:type="dxa"/>
            <w:vAlign w:val="bottom"/>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Change</w:t>
            </w:r>
          </w:p>
        </w:tc>
      </w:tr>
      <w:tr>
        <w:trPr>
          <w:trHeight w:val="211"/>
        </w:trPr>
        <w:tc>
          <w:tcPr>
            <w:tcW w:w="6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expense</w:t>
            </w: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(2,799)</w:t>
            </w: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(4,558)</w:t>
            </w:r>
          </w:p>
        </w:tc>
        <w:tc>
          <w:tcPr>
            <w:tcW w:w="10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(38.6)%</w:t>
            </w:r>
          </w:p>
        </w:tc>
      </w:tr>
      <w:tr>
        <w:trPr>
          <w:trHeight w:val="210"/>
        </w:trPr>
        <w:tc>
          <w:tcPr>
            <w:tcW w:w="6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Effective income tax rate</w:t>
            </w:r>
          </w:p>
        </w:tc>
        <w:tc>
          <w:tcPr>
            <w:tcW w:w="2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28.0 %</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32.7 %</w:t>
            </w: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w:t>
            </w:r>
          </w:p>
        </w:tc>
      </w:tr>
    </w:tbl>
    <w:p>
      <w:pPr>
        <w:spacing w:after="0" w:line="3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decrease in Income tax expense is primarily due to (i) lower pre-tax income and (ii) a change to the effective income tax rate for the thirteen weeks ended March 31, 2024 as compared to the same period in the prior year. The change in effective income tax rate for the thirteen weeks ended March 31, 2024 as compared to the same period in the prior year was primarily due to (i) the change in valuation allowance on deferred tax assets, (ii) the benefit of tax credits for FICA taxes on certain employees’ tips and (iii) the impacts of executive stock-based compensation.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Income</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0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3700" w:type="dxa"/>
            <w:vAlign w:val="bottom"/>
            <w:tcBorders>
              <w:bottom w:val="single" w:sz="8" w:color="auto"/>
            </w:tcBorders>
            <w:gridSpan w:val="5"/>
          </w:tcPr>
          <w:p>
            <w:pPr>
              <w:ind w:left="1320"/>
              <w:spacing w:after="0"/>
              <w:rPr>
                <w:sz w:val="20"/>
                <w:szCs w:val="20"/>
                <w:color w:val="auto"/>
              </w:rPr>
            </w:pPr>
            <w:r>
              <w:rPr>
                <w:rFonts w:ascii="Times New Roman" w:cs="Times New Roman" w:eastAsia="Times New Roman" w:hAnsi="Times New Roman"/>
                <w:sz w:val="16"/>
                <w:szCs w:val="16"/>
                <w:b w:val="1"/>
                <w:bCs w:val="1"/>
                <w:color w:val="auto"/>
              </w:rPr>
              <w:t>THIRTEEN WEEKS ENDED</w:t>
            </w:r>
          </w:p>
        </w:tc>
        <w:tc>
          <w:tcPr>
            <w:tcW w:w="1260" w:type="dxa"/>
            <w:vAlign w:val="bottom"/>
            <w:tcBorders>
              <w:bottom w:val="single" w:sz="8" w:color="auto"/>
            </w:tcBorders>
          </w:tcPr>
          <w:p>
            <w:pPr>
              <w:spacing w:after="0"/>
              <w:rPr>
                <w:sz w:val="18"/>
                <w:szCs w:val="18"/>
                <w:color w:val="auto"/>
              </w:rPr>
            </w:pPr>
          </w:p>
        </w:tc>
      </w:tr>
      <w:tr>
        <w:trPr>
          <w:trHeight w:val="214"/>
        </w:trPr>
        <w:tc>
          <w:tcPr>
            <w:tcW w:w="606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20" w:type="dxa"/>
            <w:vAlign w:val="bottom"/>
          </w:tcPr>
          <w:p>
            <w:pPr>
              <w:spacing w:after="0"/>
              <w:rPr>
                <w:sz w:val="18"/>
                <w:szCs w:val="18"/>
                <w:color w:val="auto"/>
              </w:rPr>
            </w:pPr>
          </w:p>
        </w:tc>
        <w:tc>
          <w:tcPr>
            <w:tcW w:w="174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MARCH 31, 2024</w:t>
            </w:r>
          </w:p>
        </w:tc>
        <w:tc>
          <w:tcPr>
            <w:tcW w:w="220" w:type="dxa"/>
            <w:vAlign w:val="bottom"/>
          </w:tcPr>
          <w:p>
            <w:pPr>
              <w:spacing w:after="0"/>
              <w:rPr>
                <w:sz w:val="18"/>
                <w:szCs w:val="18"/>
                <w:color w:val="auto"/>
              </w:rPr>
            </w:pPr>
          </w:p>
        </w:tc>
        <w:tc>
          <w:tcPr>
            <w:tcW w:w="174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MARCH 26, 2023</w:t>
            </w:r>
          </w:p>
        </w:tc>
        <w:tc>
          <w:tcPr>
            <w:tcW w:w="1260" w:type="dxa"/>
            <w:vAlign w:val="bottom"/>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Change</w:t>
            </w:r>
          </w:p>
        </w:tc>
      </w:tr>
      <w:tr>
        <w:trPr>
          <w:trHeight w:val="211"/>
        </w:trPr>
        <w:tc>
          <w:tcPr>
            <w:tcW w:w="6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7,214</w:t>
            </w: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9,360</w:t>
            </w:r>
          </w:p>
        </w:tc>
        <w:tc>
          <w:tcPr>
            <w:tcW w:w="10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w:t>
            </w:r>
          </w:p>
        </w:tc>
      </w:tr>
      <w:tr>
        <w:trPr>
          <w:trHeight w:val="210"/>
        </w:trPr>
        <w:tc>
          <w:tcPr>
            <w:tcW w:w="6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As a percentage of total revenues</w:t>
            </w:r>
          </w:p>
        </w:tc>
        <w:tc>
          <w:tcPr>
            <w:tcW w:w="2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3.0 %</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4.4 %</w:t>
            </w: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income and Net income margin during the thirteen weeks ended March 31, 2024 decreased as compared to the same period in the prior year primarily due to the decrease in income from operations and increase in interest expense. This was partially offset by the decrease in income tax expense.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Restaurant Level Operating Profit and Restaurant level Operating Profit Margin</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0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3720" w:type="dxa"/>
            <w:vAlign w:val="bottom"/>
            <w:tcBorders>
              <w:bottom w:val="single" w:sz="8" w:color="auto"/>
            </w:tcBorders>
            <w:gridSpan w:val="5"/>
          </w:tcPr>
          <w:p>
            <w:pPr>
              <w:ind w:left="1340"/>
              <w:spacing w:after="0"/>
              <w:rPr>
                <w:sz w:val="20"/>
                <w:szCs w:val="20"/>
                <w:color w:val="auto"/>
              </w:rPr>
            </w:pPr>
            <w:r>
              <w:rPr>
                <w:rFonts w:ascii="Times New Roman" w:cs="Times New Roman" w:eastAsia="Times New Roman" w:hAnsi="Times New Roman"/>
                <w:sz w:val="16"/>
                <w:szCs w:val="16"/>
                <w:b w:val="1"/>
                <w:bCs w:val="1"/>
                <w:color w:val="auto"/>
              </w:rPr>
              <w:t>THIRTEEN WEEKS ENDED</w:t>
            </w:r>
          </w:p>
        </w:tc>
        <w:tc>
          <w:tcPr>
            <w:tcW w:w="1260" w:type="dxa"/>
            <w:vAlign w:val="bottom"/>
            <w:tcBorders>
              <w:bottom w:val="single" w:sz="8" w:color="auto"/>
            </w:tcBorders>
          </w:tcPr>
          <w:p>
            <w:pPr>
              <w:spacing w:after="0"/>
              <w:rPr>
                <w:sz w:val="18"/>
                <w:szCs w:val="18"/>
                <w:color w:val="auto"/>
              </w:rPr>
            </w:pPr>
          </w:p>
        </w:tc>
      </w:tr>
      <w:tr>
        <w:trPr>
          <w:trHeight w:val="214"/>
        </w:trPr>
        <w:tc>
          <w:tcPr>
            <w:tcW w:w="606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00" w:type="dxa"/>
            <w:vAlign w:val="bottom"/>
          </w:tcPr>
          <w:p>
            <w:pPr>
              <w:spacing w:after="0"/>
              <w:rPr>
                <w:sz w:val="18"/>
                <w:szCs w:val="18"/>
                <w:color w:val="auto"/>
              </w:rPr>
            </w:pPr>
          </w:p>
        </w:tc>
        <w:tc>
          <w:tcPr>
            <w:tcW w:w="176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MARCH 31, 2024</w:t>
            </w:r>
          </w:p>
        </w:tc>
        <w:tc>
          <w:tcPr>
            <w:tcW w:w="200" w:type="dxa"/>
            <w:vAlign w:val="bottom"/>
          </w:tcPr>
          <w:p>
            <w:pPr>
              <w:spacing w:after="0"/>
              <w:rPr>
                <w:sz w:val="18"/>
                <w:szCs w:val="18"/>
                <w:color w:val="auto"/>
              </w:rPr>
            </w:pPr>
          </w:p>
        </w:tc>
        <w:tc>
          <w:tcPr>
            <w:tcW w:w="176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MARCH 26, 2023</w:t>
            </w:r>
          </w:p>
        </w:tc>
        <w:tc>
          <w:tcPr>
            <w:tcW w:w="1260" w:type="dxa"/>
            <w:vAlign w:val="bottom"/>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Change</w:t>
            </w:r>
          </w:p>
        </w:tc>
      </w:tr>
      <w:tr>
        <w:trPr>
          <w:trHeight w:val="211"/>
        </w:trPr>
        <w:tc>
          <w:tcPr>
            <w:tcW w:w="6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Restaurant level operating profit</w:t>
            </w: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49,862</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44,102</w:t>
            </w:r>
          </w:p>
        </w:tc>
        <w:tc>
          <w:tcPr>
            <w:tcW w:w="10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13.1 %</w:t>
            </w:r>
          </w:p>
        </w:tc>
      </w:tr>
      <w:tr>
        <w:trPr>
          <w:trHeight w:val="210"/>
        </w:trPr>
        <w:tc>
          <w:tcPr>
            <w:tcW w:w="6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Restaurant level operating profit margin</w:t>
            </w:r>
          </w:p>
        </w:tc>
        <w:tc>
          <w:tcPr>
            <w:tcW w:w="20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20.8 %</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21.2 %</w:t>
            </w: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w:t>
            </w:r>
          </w:p>
        </w:tc>
      </w:tr>
    </w:tbl>
    <w:p>
      <w:pPr>
        <w:spacing w:after="0" w:line="3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Restaurant level operating profit margin during the thirteen weeks ended March 31, 2024 decreased as compared to the same period in the prior year primarily due to sales growth associated with NROs and restaurants acquired between March 26, 2023 and March 31, 2024. This was partially offset by the increase in wages and staffing levels.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Restaurant level operating profit for the thirteen weeks ended March 31, 2024 increased as compared to the same period in the prior year primarily due to</w:t>
      </w:r>
    </w:p>
    <w:p>
      <w:pPr>
        <w:spacing w:after="0" w:line="27" w:lineRule="exact"/>
        <w:rPr>
          <w:sz w:val="20"/>
          <w:szCs w:val="20"/>
          <w:color w:val="auto"/>
        </w:rPr>
      </w:pPr>
    </w:p>
    <w:p>
      <w:pPr>
        <w:ind w:firstLine="8"/>
        <w:spacing w:after="0" w:line="260" w:lineRule="auto"/>
        <w:tabs>
          <w:tab w:leader="none" w:pos="21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growth driven by the increase in menu prices, as well as (ii) 40 NROs between March 26, 2023 and March 31, 2024. This was partially offset by an increase in wages and staffing levels.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EBITDA and Adjusted EBITDA Margin</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0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3700" w:type="dxa"/>
            <w:vAlign w:val="bottom"/>
            <w:tcBorders>
              <w:bottom w:val="single" w:sz="8" w:color="auto"/>
            </w:tcBorders>
            <w:gridSpan w:val="5"/>
          </w:tcPr>
          <w:p>
            <w:pPr>
              <w:ind w:left="1320"/>
              <w:spacing w:after="0"/>
              <w:rPr>
                <w:sz w:val="20"/>
                <w:szCs w:val="20"/>
                <w:color w:val="auto"/>
              </w:rPr>
            </w:pPr>
            <w:r>
              <w:rPr>
                <w:rFonts w:ascii="Times New Roman" w:cs="Times New Roman" w:eastAsia="Times New Roman" w:hAnsi="Times New Roman"/>
                <w:sz w:val="16"/>
                <w:szCs w:val="16"/>
                <w:b w:val="1"/>
                <w:bCs w:val="1"/>
                <w:color w:val="auto"/>
              </w:rPr>
              <w:t>THIRTEEN WEEKS ENDED</w:t>
            </w:r>
          </w:p>
        </w:tc>
        <w:tc>
          <w:tcPr>
            <w:tcW w:w="1260" w:type="dxa"/>
            <w:vAlign w:val="bottom"/>
            <w:tcBorders>
              <w:bottom w:val="single" w:sz="8" w:color="auto"/>
            </w:tcBorders>
          </w:tcPr>
          <w:p>
            <w:pPr>
              <w:spacing w:after="0"/>
              <w:rPr>
                <w:sz w:val="18"/>
                <w:szCs w:val="18"/>
                <w:color w:val="auto"/>
              </w:rPr>
            </w:pPr>
          </w:p>
        </w:tc>
      </w:tr>
      <w:tr>
        <w:trPr>
          <w:trHeight w:val="214"/>
        </w:trPr>
        <w:tc>
          <w:tcPr>
            <w:tcW w:w="606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20" w:type="dxa"/>
            <w:vAlign w:val="bottom"/>
          </w:tcPr>
          <w:p>
            <w:pPr>
              <w:spacing w:after="0"/>
              <w:rPr>
                <w:sz w:val="18"/>
                <w:szCs w:val="18"/>
                <w:color w:val="auto"/>
              </w:rPr>
            </w:pPr>
          </w:p>
        </w:tc>
        <w:tc>
          <w:tcPr>
            <w:tcW w:w="174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MARCH 31, 2024</w:t>
            </w:r>
          </w:p>
        </w:tc>
        <w:tc>
          <w:tcPr>
            <w:tcW w:w="220" w:type="dxa"/>
            <w:vAlign w:val="bottom"/>
          </w:tcPr>
          <w:p>
            <w:pPr>
              <w:spacing w:after="0"/>
              <w:rPr>
                <w:sz w:val="18"/>
                <w:szCs w:val="18"/>
                <w:color w:val="auto"/>
              </w:rPr>
            </w:pPr>
          </w:p>
        </w:tc>
        <w:tc>
          <w:tcPr>
            <w:tcW w:w="174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MARCH 26, 2023</w:t>
            </w:r>
          </w:p>
        </w:tc>
        <w:tc>
          <w:tcPr>
            <w:tcW w:w="1260" w:type="dxa"/>
            <w:vAlign w:val="bottom"/>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Change</w:t>
            </w:r>
          </w:p>
        </w:tc>
      </w:tr>
      <w:tr>
        <w:trPr>
          <w:trHeight w:val="211"/>
        </w:trPr>
        <w:tc>
          <w:tcPr>
            <w:tcW w:w="6060" w:type="dxa"/>
            <w:vAlign w:val="bottom"/>
            <w:tcBorders>
              <w:top w:val="single" w:sz="8" w:color="BFE4FF"/>
            </w:tcBorders>
            <w:shd w:val="clear" w:color="auto" w:fill="BFE4FF"/>
          </w:tcPr>
          <w:p>
            <w:pPr>
              <w:ind w:left="20"/>
              <w:spacing w:after="0"/>
              <w:rPr>
                <w:sz w:val="20"/>
                <w:szCs w:val="20"/>
                <w:color w:val="auto"/>
              </w:rPr>
            </w:pPr>
            <w:r>
              <w:rPr>
                <w:rFonts w:ascii="Times New Roman" w:cs="Times New Roman" w:eastAsia="Times New Roman" w:hAnsi="Times New Roman"/>
                <w:sz w:val="16"/>
                <w:szCs w:val="16"/>
                <w:color w:val="auto"/>
              </w:rPr>
              <w:t>Adjusted EBITDA</w:t>
            </w:r>
          </w:p>
        </w:tc>
        <w:tc>
          <w:tcPr>
            <w:tcW w:w="220" w:type="dxa"/>
            <w:vAlign w:val="bottom"/>
            <w:tcBorders>
              <w:top w:val="single" w:sz="8" w:color="auto"/>
            </w:tcBorders>
            <w:shd w:val="clear" w:color="auto" w:fill="BFE4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Borders>
              <w:top w:val="single" w:sz="8" w:color="auto"/>
            </w:tcBorders>
            <w:shd w:val="clear" w:color="auto" w:fill="BFE4FF"/>
          </w:tcPr>
          <w:p>
            <w:pPr>
              <w:jc w:val="right"/>
              <w:ind w:right="119"/>
              <w:spacing w:after="0"/>
              <w:rPr>
                <w:sz w:val="20"/>
                <w:szCs w:val="20"/>
                <w:color w:val="auto"/>
              </w:rPr>
            </w:pPr>
            <w:r>
              <w:rPr>
                <w:rFonts w:ascii="Times New Roman" w:cs="Times New Roman" w:eastAsia="Times New Roman" w:hAnsi="Times New Roman"/>
                <w:sz w:val="16"/>
                <w:szCs w:val="16"/>
                <w:color w:val="auto"/>
              </w:rPr>
              <w:t>28,590</w:t>
            </w:r>
          </w:p>
        </w:tc>
        <w:tc>
          <w:tcPr>
            <w:tcW w:w="80" w:type="dxa"/>
            <w:vAlign w:val="bottom"/>
            <w:tcBorders>
              <w:top w:val="single" w:sz="8" w:color="BFE4FF"/>
            </w:tcBorders>
            <w:shd w:val="clear" w:color="auto" w:fill="BFE4FF"/>
          </w:tcPr>
          <w:p>
            <w:pPr>
              <w:spacing w:after="0"/>
              <w:rPr>
                <w:sz w:val="18"/>
                <w:szCs w:val="18"/>
                <w:color w:val="auto"/>
              </w:rPr>
            </w:pPr>
          </w:p>
        </w:tc>
        <w:tc>
          <w:tcPr>
            <w:tcW w:w="220" w:type="dxa"/>
            <w:vAlign w:val="bottom"/>
            <w:tcBorders>
              <w:top w:val="single" w:sz="8" w:color="auto"/>
            </w:tcBorders>
            <w:shd w:val="clear" w:color="auto" w:fill="BFE4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Borders>
              <w:top w:val="single" w:sz="8" w:color="auto"/>
            </w:tcBorders>
            <w:shd w:val="clear" w:color="auto" w:fill="BFE4FF"/>
          </w:tcPr>
          <w:p>
            <w:pPr>
              <w:jc w:val="right"/>
              <w:ind w:right="119"/>
              <w:spacing w:after="0"/>
              <w:rPr>
                <w:sz w:val="20"/>
                <w:szCs w:val="20"/>
                <w:color w:val="auto"/>
              </w:rPr>
            </w:pPr>
            <w:r>
              <w:rPr>
                <w:rFonts w:ascii="Times New Roman" w:cs="Times New Roman" w:eastAsia="Times New Roman" w:hAnsi="Times New Roman"/>
                <w:sz w:val="16"/>
                <w:szCs w:val="16"/>
                <w:color w:val="auto"/>
              </w:rPr>
              <w:t>27,413</w:t>
            </w:r>
          </w:p>
        </w:tc>
        <w:tc>
          <w:tcPr>
            <w:tcW w:w="100" w:type="dxa"/>
            <w:vAlign w:val="bottom"/>
            <w:tcBorders>
              <w:top w:val="single" w:sz="8" w:color="BFE4FF"/>
            </w:tcBorders>
            <w:shd w:val="clear" w:color="auto" w:fill="BFE4FF"/>
          </w:tcPr>
          <w:p>
            <w:pPr>
              <w:spacing w:after="0"/>
              <w:rPr>
                <w:sz w:val="18"/>
                <w:szCs w:val="18"/>
                <w:color w:val="auto"/>
              </w:rPr>
            </w:pPr>
          </w:p>
        </w:tc>
        <w:tc>
          <w:tcPr>
            <w:tcW w:w="1260" w:type="dxa"/>
            <w:vAlign w:val="bottom"/>
            <w:tcBorders>
              <w:top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6"/>
                <w:szCs w:val="16"/>
                <w:color w:val="auto"/>
              </w:rPr>
              <w:t>4.3 %</w:t>
            </w:r>
          </w:p>
        </w:tc>
      </w:tr>
      <w:tr>
        <w:trPr>
          <w:trHeight w:val="210"/>
        </w:trPr>
        <w:tc>
          <w:tcPr>
            <w:tcW w:w="6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Adjusted EBITDA margin</w:t>
            </w:r>
          </w:p>
        </w:tc>
        <w:tc>
          <w:tcPr>
            <w:tcW w:w="2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11.8 %</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13.0 %</w:t>
            </w: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r>
    </w:tbl>
    <w:p>
      <w:pPr>
        <w:spacing w:after="0" w:line="2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Adjusted EBITDA increased during the thirteen weeks ended March 31, 2024 as compared to the same period in the prior year primarily due to the increase in restaurant level operating profit. This was partially offset by the increase in general and administrative expenses mainly due to wage increases and additional employee headcount to support our growth.</w:t>
      </w:r>
    </w:p>
    <w:p>
      <w:pPr>
        <w:spacing w:after="0" w:line="189"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Adjusted EBITDA margin declined primarily due to an increase in general and administrative expenses, occupancy and preopening expenses increasing as a percent of sales, partially offset by food and beverage costs decreasing as a percent of sales.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ind w:left="8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color w:val="auto"/>
        </w:rPr>
        <w:t>Non-GAAP Financial Measures Reconciliations</w:t>
      </w:r>
    </w:p>
    <w:p>
      <w:pPr>
        <w:spacing w:after="0" w:line="254" w:lineRule="exact"/>
        <w:rPr>
          <w:sz w:val="20"/>
          <w:szCs w:val="20"/>
          <w:color w:val="auto"/>
        </w:rPr>
      </w:pPr>
    </w:p>
    <w:p>
      <w:pPr>
        <w:ind w:left="8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Adjusted EBITDA and Adjusted EBITDA margin </w:t>
      </w:r>
      <w:r>
        <w:rPr>
          <w:rFonts w:ascii="Times New Roman" w:cs="Times New Roman" w:eastAsia="Times New Roman" w:hAnsi="Times New Roman"/>
          <w:sz w:val="18"/>
          <w:szCs w:val="18"/>
          <w:color w:val="auto"/>
        </w:rPr>
        <w:t>- The following table reconciles Net income and Net income margin, the most directly comparable GAAP</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measures to Adjusted EBITDA and Adjusted EBITDA margin for the periods indicated: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0" w:type="dxa"/>
            <w:vAlign w:val="bottom"/>
          </w:tcPr>
          <w:p>
            <w:pPr>
              <w:spacing w:after="0"/>
              <w:rPr>
                <w:sz w:val="18"/>
                <w:szCs w:val="18"/>
                <w:color w:val="auto"/>
              </w:rPr>
            </w:pPr>
          </w:p>
        </w:tc>
        <w:tc>
          <w:tcPr>
            <w:tcW w:w="73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3660" w:type="dxa"/>
            <w:vAlign w:val="bottom"/>
            <w:tcBorders>
              <w:bottom w:val="single" w:sz="8" w:color="auto"/>
            </w:tcBorders>
            <w:gridSpan w:val="4"/>
          </w:tcPr>
          <w:p>
            <w:pPr>
              <w:jc w:val="right"/>
              <w:ind w:right="799"/>
              <w:spacing w:after="0"/>
              <w:rPr>
                <w:sz w:val="20"/>
                <w:szCs w:val="20"/>
                <w:color w:val="auto"/>
              </w:rPr>
            </w:pPr>
            <w:r>
              <w:rPr>
                <w:rFonts w:ascii="Times New Roman" w:cs="Times New Roman" w:eastAsia="Times New Roman" w:hAnsi="Times New Roman"/>
                <w:sz w:val="16"/>
                <w:szCs w:val="16"/>
                <w:b w:val="1"/>
                <w:bCs w:val="1"/>
                <w:color w:val="auto"/>
              </w:rPr>
              <w:t>THIRTEEN WEEKS ENDED</w:t>
            </w:r>
          </w:p>
        </w:tc>
        <w:tc>
          <w:tcPr>
            <w:tcW w:w="0" w:type="dxa"/>
            <w:vAlign w:val="bottom"/>
          </w:tcPr>
          <w:p>
            <w:pPr>
              <w:spacing w:after="0"/>
              <w:rPr>
                <w:sz w:val="1"/>
                <w:szCs w:val="1"/>
                <w:color w:val="auto"/>
              </w:rPr>
            </w:pPr>
          </w:p>
        </w:tc>
      </w:tr>
      <w:tr>
        <w:trPr>
          <w:trHeight w:val="214"/>
        </w:trPr>
        <w:tc>
          <w:tcPr>
            <w:tcW w:w="60" w:type="dxa"/>
            <w:vAlign w:val="bottom"/>
          </w:tcPr>
          <w:p>
            <w:pPr>
              <w:spacing w:after="0"/>
              <w:rPr>
                <w:sz w:val="18"/>
                <w:szCs w:val="18"/>
                <w:color w:val="auto"/>
              </w:rPr>
            </w:pPr>
          </w:p>
        </w:tc>
        <w:tc>
          <w:tcPr>
            <w:tcW w:w="734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20" w:type="dxa"/>
            <w:vAlign w:val="bottom"/>
          </w:tcPr>
          <w:p>
            <w:pPr>
              <w:spacing w:after="0"/>
              <w:rPr>
                <w:sz w:val="18"/>
                <w:szCs w:val="18"/>
                <w:color w:val="auto"/>
              </w:rPr>
            </w:pPr>
          </w:p>
        </w:tc>
        <w:tc>
          <w:tcPr>
            <w:tcW w:w="176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MARCH 31, 2024</w:t>
            </w:r>
          </w:p>
        </w:tc>
        <w:tc>
          <w:tcPr>
            <w:tcW w:w="220" w:type="dxa"/>
            <w:vAlign w:val="bottom"/>
          </w:tcPr>
          <w:p>
            <w:pPr>
              <w:spacing w:after="0"/>
              <w:rPr>
                <w:sz w:val="18"/>
                <w:szCs w:val="18"/>
                <w:color w:val="auto"/>
              </w:rPr>
            </w:pPr>
          </w:p>
        </w:tc>
        <w:tc>
          <w:tcPr>
            <w:tcW w:w="1680" w:type="dxa"/>
            <w:vAlign w:val="bottom"/>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MARCH 26, 2023</w:t>
            </w:r>
          </w:p>
        </w:tc>
        <w:tc>
          <w:tcPr>
            <w:tcW w:w="0" w:type="dxa"/>
            <w:vAlign w:val="bottom"/>
          </w:tcPr>
          <w:p>
            <w:pPr>
              <w:spacing w:after="0"/>
              <w:rPr>
                <w:sz w:val="1"/>
                <w:szCs w:val="1"/>
                <w:color w:val="auto"/>
              </w:rPr>
            </w:pPr>
          </w:p>
        </w:tc>
      </w:tr>
      <w:tr>
        <w:trPr>
          <w:trHeight w:val="211"/>
        </w:trPr>
        <w:tc>
          <w:tcPr>
            <w:tcW w:w="60" w:type="dxa"/>
            <w:vAlign w:val="bottom"/>
            <w:tcBorders>
              <w:right w:val="single" w:sz="8" w:color="CCEEFF"/>
            </w:tcBorders>
          </w:tcPr>
          <w:p>
            <w:pPr>
              <w:spacing w:after="0"/>
              <w:rPr>
                <w:sz w:val="18"/>
                <w:szCs w:val="18"/>
                <w:color w:val="auto"/>
              </w:rPr>
            </w:pPr>
          </w:p>
        </w:tc>
        <w:tc>
          <w:tcPr>
            <w:tcW w:w="73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income</w:t>
            </w: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7,214</w:t>
            </w: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68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9,360</w:t>
            </w:r>
          </w:p>
        </w:tc>
        <w:tc>
          <w:tcPr>
            <w:tcW w:w="0" w:type="dxa"/>
            <w:vAlign w:val="bottom"/>
          </w:tcPr>
          <w:p>
            <w:pPr>
              <w:spacing w:after="0"/>
              <w:rPr>
                <w:sz w:val="1"/>
                <w:szCs w:val="1"/>
                <w:color w:val="auto"/>
              </w:rPr>
            </w:pPr>
          </w:p>
        </w:tc>
      </w:tr>
      <w:tr>
        <w:trPr>
          <w:trHeight w:val="213"/>
        </w:trPr>
        <w:tc>
          <w:tcPr>
            <w:tcW w:w="60" w:type="dxa"/>
            <w:vAlign w:val="bottom"/>
          </w:tcPr>
          <w:p>
            <w:pPr>
              <w:spacing w:after="0"/>
              <w:rPr>
                <w:sz w:val="18"/>
                <w:szCs w:val="18"/>
                <w:color w:val="auto"/>
              </w:rPr>
            </w:pPr>
          </w:p>
        </w:tc>
        <w:tc>
          <w:tcPr>
            <w:tcW w:w="73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20" w:type="dxa"/>
            <w:vAlign w:val="bottom"/>
          </w:tcPr>
          <w:p>
            <w:pPr>
              <w:spacing w:after="0"/>
              <w:rPr>
                <w:sz w:val="18"/>
                <w:szCs w:val="18"/>
                <w:color w:val="auto"/>
              </w:rPr>
            </w:pPr>
          </w:p>
        </w:tc>
        <w:tc>
          <w:tcPr>
            <w:tcW w:w="16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12,271</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9,117</w:t>
            </w:r>
          </w:p>
        </w:tc>
        <w:tc>
          <w:tcPr>
            <w:tcW w:w="0" w:type="dxa"/>
            <w:vAlign w:val="bottom"/>
          </w:tcPr>
          <w:p>
            <w:pPr>
              <w:spacing w:after="0"/>
              <w:rPr>
                <w:sz w:val="1"/>
                <w:szCs w:val="1"/>
                <w:color w:val="auto"/>
              </w:rPr>
            </w:pPr>
          </w:p>
        </w:tc>
      </w:tr>
      <w:tr>
        <w:trPr>
          <w:trHeight w:val="219"/>
        </w:trPr>
        <w:tc>
          <w:tcPr>
            <w:tcW w:w="60" w:type="dxa"/>
            <w:vAlign w:val="bottom"/>
            <w:tcBorders>
              <w:right w:val="single" w:sz="8" w:color="CCEEFF"/>
            </w:tcBorders>
          </w:tcPr>
          <w:p>
            <w:pPr>
              <w:spacing w:after="0"/>
              <w:rPr>
                <w:sz w:val="19"/>
                <w:szCs w:val="19"/>
                <w:color w:val="auto"/>
              </w:rPr>
            </w:pPr>
          </w:p>
        </w:tc>
        <w:tc>
          <w:tcPr>
            <w:tcW w:w="73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Interest expense</w:t>
            </w:r>
          </w:p>
        </w:tc>
        <w:tc>
          <w:tcPr>
            <w:tcW w:w="220" w:type="dxa"/>
            <w:vAlign w:val="bottom"/>
            <w:shd w:val="clear" w:color="auto" w:fill="CCEEFF"/>
          </w:tcPr>
          <w:p>
            <w:pPr>
              <w:spacing w:after="0"/>
              <w:rPr>
                <w:sz w:val="19"/>
                <w:szCs w:val="19"/>
                <w:color w:val="auto"/>
              </w:rPr>
            </w:pPr>
          </w:p>
        </w:tc>
        <w:tc>
          <w:tcPr>
            <w:tcW w:w="16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2,599</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1,907</w:t>
            </w:r>
          </w:p>
        </w:tc>
        <w:tc>
          <w:tcPr>
            <w:tcW w:w="0" w:type="dxa"/>
            <w:vAlign w:val="bottom"/>
          </w:tcPr>
          <w:p>
            <w:pPr>
              <w:spacing w:after="0"/>
              <w:rPr>
                <w:sz w:val="1"/>
                <w:szCs w:val="1"/>
                <w:color w:val="auto"/>
              </w:rPr>
            </w:pPr>
          </w:p>
        </w:tc>
      </w:tr>
      <w:tr>
        <w:trPr>
          <w:trHeight w:val="213"/>
        </w:trPr>
        <w:tc>
          <w:tcPr>
            <w:tcW w:w="60" w:type="dxa"/>
            <w:vAlign w:val="bottom"/>
          </w:tcPr>
          <w:p>
            <w:pPr>
              <w:spacing w:after="0"/>
              <w:rPr>
                <w:sz w:val="18"/>
                <w:szCs w:val="18"/>
                <w:color w:val="auto"/>
              </w:rPr>
            </w:pPr>
          </w:p>
        </w:tc>
        <w:tc>
          <w:tcPr>
            <w:tcW w:w="73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Income taxes</w:t>
            </w:r>
          </w:p>
        </w:tc>
        <w:tc>
          <w:tcPr>
            <w:tcW w:w="22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2,799</w:t>
            </w:r>
          </w:p>
        </w:tc>
        <w:tc>
          <w:tcPr>
            <w:tcW w:w="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4,558</w:t>
            </w:r>
          </w:p>
        </w:tc>
        <w:tc>
          <w:tcPr>
            <w:tcW w:w="0" w:type="dxa"/>
            <w:vAlign w:val="bottom"/>
          </w:tcPr>
          <w:p>
            <w:pPr>
              <w:spacing w:after="0"/>
              <w:rPr>
                <w:sz w:val="1"/>
                <w:szCs w:val="1"/>
                <w:color w:val="auto"/>
              </w:rPr>
            </w:pPr>
          </w:p>
        </w:tc>
      </w:tr>
      <w:tr>
        <w:trPr>
          <w:trHeight w:val="212"/>
        </w:trPr>
        <w:tc>
          <w:tcPr>
            <w:tcW w:w="60" w:type="dxa"/>
            <w:vAlign w:val="bottom"/>
            <w:tcBorders>
              <w:right w:val="single" w:sz="8" w:color="CCEEFF"/>
            </w:tcBorders>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EBITDA</w:t>
            </w:r>
          </w:p>
        </w:tc>
        <w:tc>
          <w:tcPr>
            <w:tcW w:w="220" w:type="dxa"/>
            <w:vAlign w:val="bottom"/>
            <w:shd w:val="clear" w:color="auto" w:fill="CCEEFF"/>
          </w:tcPr>
          <w:p>
            <w:pPr>
              <w:spacing w:after="0"/>
              <w:rPr>
                <w:sz w:val="18"/>
                <w:szCs w:val="18"/>
                <w:color w:val="auto"/>
              </w:rPr>
            </w:pPr>
          </w:p>
        </w:tc>
        <w:tc>
          <w:tcPr>
            <w:tcW w:w="16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24,883</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24,942</w:t>
            </w: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7340" w:type="dxa"/>
            <w:vAlign w:val="bottom"/>
          </w:tcPr>
          <w:p>
            <w:pPr>
              <w:ind w:left="340"/>
              <w:spacing w:after="0" w:line="216" w:lineRule="exact"/>
              <w:rPr>
                <w:sz w:val="20"/>
                <w:szCs w:val="20"/>
                <w:color w:val="auto"/>
              </w:rPr>
            </w:pPr>
            <w:r>
              <w:rPr>
                <w:rFonts w:ascii="Times New Roman" w:cs="Times New Roman" w:eastAsia="Times New Roman" w:hAnsi="Times New Roman"/>
                <w:sz w:val="16"/>
                <w:szCs w:val="16"/>
                <w:color w:val="auto"/>
              </w:rPr>
              <w:t xml:space="preserve">Strategic costs </w:t>
            </w:r>
            <w:r>
              <w:rPr>
                <w:rFonts w:ascii="Times New Roman" w:cs="Times New Roman" w:eastAsia="Times New Roman" w:hAnsi="Times New Roman"/>
                <w:sz w:val="21"/>
                <w:szCs w:val="21"/>
                <w:color w:val="auto"/>
                <w:vertAlign w:val="superscript"/>
              </w:rPr>
              <w:t>(1)</w:t>
            </w:r>
          </w:p>
        </w:tc>
        <w:tc>
          <w:tcPr>
            <w:tcW w:w="220" w:type="dxa"/>
            <w:vAlign w:val="bottom"/>
          </w:tcPr>
          <w:p>
            <w:pPr>
              <w:spacing w:after="0"/>
              <w:rPr>
                <w:sz w:val="18"/>
                <w:szCs w:val="18"/>
                <w:color w:val="auto"/>
              </w:rPr>
            </w:pPr>
          </w:p>
        </w:tc>
        <w:tc>
          <w:tcPr>
            <w:tcW w:w="16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235</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305</w:t>
            </w:r>
          </w:p>
        </w:tc>
        <w:tc>
          <w:tcPr>
            <w:tcW w:w="0" w:type="dxa"/>
            <w:vAlign w:val="bottom"/>
          </w:tcPr>
          <w:p>
            <w:pPr>
              <w:spacing w:after="0"/>
              <w:rPr>
                <w:sz w:val="1"/>
                <w:szCs w:val="1"/>
                <w:color w:val="auto"/>
              </w:rPr>
            </w:pPr>
          </w:p>
        </w:tc>
      </w:tr>
      <w:tr>
        <w:trPr>
          <w:trHeight w:val="216"/>
        </w:trPr>
        <w:tc>
          <w:tcPr>
            <w:tcW w:w="60" w:type="dxa"/>
            <w:vAlign w:val="bottom"/>
            <w:tcBorders>
              <w:right w:val="single" w:sz="8" w:color="CCEEFF"/>
            </w:tcBorders>
          </w:tcPr>
          <w:p>
            <w:pPr>
              <w:spacing w:after="0"/>
              <w:rPr>
                <w:sz w:val="18"/>
                <w:szCs w:val="18"/>
                <w:color w:val="auto"/>
              </w:rPr>
            </w:pPr>
          </w:p>
        </w:tc>
        <w:tc>
          <w:tcPr>
            <w:tcW w:w="73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Loss on extinguishment and modification of debt</w:t>
            </w:r>
          </w:p>
        </w:tc>
        <w:tc>
          <w:tcPr>
            <w:tcW w:w="220" w:type="dxa"/>
            <w:vAlign w:val="bottom"/>
            <w:shd w:val="clear" w:color="auto" w:fill="CCEEFF"/>
          </w:tcPr>
          <w:p>
            <w:pPr>
              <w:spacing w:after="0"/>
              <w:rPr>
                <w:sz w:val="18"/>
                <w:szCs w:val="18"/>
                <w:color w:val="auto"/>
              </w:rPr>
            </w:pPr>
          </w:p>
        </w:tc>
        <w:tc>
          <w:tcPr>
            <w:tcW w:w="16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428</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7340" w:type="dxa"/>
            <w:vAlign w:val="bottom"/>
          </w:tcPr>
          <w:p>
            <w:pPr>
              <w:ind w:left="340"/>
              <w:spacing w:after="0" w:line="216" w:lineRule="exact"/>
              <w:rPr>
                <w:sz w:val="20"/>
                <w:szCs w:val="20"/>
                <w:color w:val="auto"/>
              </w:rPr>
            </w:pPr>
            <w:r>
              <w:rPr>
                <w:rFonts w:ascii="Times New Roman" w:cs="Times New Roman" w:eastAsia="Times New Roman" w:hAnsi="Times New Roman"/>
                <w:sz w:val="16"/>
                <w:szCs w:val="16"/>
                <w:color w:val="auto"/>
              </w:rPr>
              <w:t xml:space="preserve">Stock-based compensation </w:t>
            </w:r>
            <w:r>
              <w:rPr>
                <w:rFonts w:ascii="Times New Roman" w:cs="Times New Roman" w:eastAsia="Times New Roman" w:hAnsi="Times New Roman"/>
                <w:sz w:val="21"/>
                <w:szCs w:val="21"/>
                <w:color w:val="auto"/>
                <w:vertAlign w:val="superscript"/>
              </w:rPr>
              <w:t>(2)</w:t>
            </w:r>
          </w:p>
        </w:tc>
        <w:tc>
          <w:tcPr>
            <w:tcW w:w="220" w:type="dxa"/>
            <w:vAlign w:val="bottom"/>
          </w:tcPr>
          <w:p>
            <w:pPr>
              <w:spacing w:after="0"/>
              <w:rPr>
                <w:sz w:val="18"/>
                <w:szCs w:val="18"/>
                <w:color w:val="auto"/>
              </w:rPr>
            </w:pPr>
          </w:p>
        </w:tc>
        <w:tc>
          <w:tcPr>
            <w:tcW w:w="16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1,866</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1,497</w:t>
            </w:r>
          </w:p>
        </w:tc>
        <w:tc>
          <w:tcPr>
            <w:tcW w:w="0" w:type="dxa"/>
            <w:vAlign w:val="bottom"/>
          </w:tcPr>
          <w:p>
            <w:pPr>
              <w:spacing w:after="0"/>
              <w:rPr>
                <w:sz w:val="1"/>
                <w:szCs w:val="1"/>
                <w:color w:val="auto"/>
              </w:rPr>
            </w:pPr>
          </w:p>
        </w:tc>
      </w:tr>
      <w:tr>
        <w:trPr>
          <w:trHeight w:val="216"/>
        </w:trPr>
        <w:tc>
          <w:tcPr>
            <w:tcW w:w="60" w:type="dxa"/>
            <w:vAlign w:val="bottom"/>
            <w:tcBorders>
              <w:right w:val="single" w:sz="8" w:color="CCEEFF"/>
            </w:tcBorders>
          </w:tcPr>
          <w:p>
            <w:pPr>
              <w:spacing w:after="0"/>
              <w:rPr>
                <w:sz w:val="18"/>
                <w:szCs w:val="18"/>
                <w:color w:val="auto"/>
              </w:rPr>
            </w:pPr>
          </w:p>
        </w:tc>
        <w:tc>
          <w:tcPr>
            <w:tcW w:w="7340" w:type="dxa"/>
            <w:vAlign w:val="bottom"/>
            <w:shd w:val="clear" w:color="auto" w:fill="CCEEFF"/>
          </w:tcPr>
          <w:p>
            <w:pPr>
              <w:ind w:left="340"/>
              <w:spacing w:after="0" w:line="216" w:lineRule="exact"/>
              <w:rPr>
                <w:sz w:val="20"/>
                <w:szCs w:val="20"/>
                <w:color w:val="auto"/>
              </w:rPr>
            </w:pPr>
            <w:r>
              <w:rPr>
                <w:rFonts w:ascii="Times New Roman" w:cs="Times New Roman" w:eastAsia="Times New Roman" w:hAnsi="Times New Roman"/>
                <w:sz w:val="16"/>
                <w:szCs w:val="16"/>
                <w:color w:val="auto"/>
              </w:rPr>
              <w:t xml:space="preserve">Delaware Voluntary Disclosure Agreement Program </w:t>
            </w:r>
            <w:r>
              <w:rPr>
                <w:rFonts w:ascii="Times New Roman" w:cs="Times New Roman" w:eastAsia="Times New Roman" w:hAnsi="Times New Roman"/>
                <w:sz w:val="21"/>
                <w:szCs w:val="21"/>
                <w:color w:val="auto"/>
                <w:vertAlign w:val="superscript"/>
              </w:rPr>
              <w:t>(3)</w:t>
            </w:r>
          </w:p>
        </w:tc>
        <w:tc>
          <w:tcPr>
            <w:tcW w:w="220" w:type="dxa"/>
            <w:vAlign w:val="bottom"/>
            <w:shd w:val="clear" w:color="auto" w:fill="CCEEFF"/>
          </w:tcPr>
          <w:p>
            <w:pPr>
              <w:spacing w:after="0"/>
              <w:rPr>
                <w:sz w:val="18"/>
                <w:szCs w:val="18"/>
                <w:color w:val="auto"/>
              </w:rPr>
            </w:pPr>
          </w:p>
        </w:tc>
        <w:tc>
          <w:tcPr>
            <w:tcW w:w="16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8</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367</w:t>
            </w: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7340" w:type="dxa"/>
            <w:vAlign w:val="bottom"/>
          </w:tcPr>
          <w:p>
            <w:pPr>
              <w:ind w:left="340"/>
              <w:spacing w:after="0" w:line="216" w:lineRule="exact"/>
              <w:rPr>
                <w:sz w:val="20"/>
                <w:szCs w:val="20"/>
                <w:color w:val="auto"/>
              </w:rPr>
            </w:pPr>
            <w:r>
              <w:rPr>
                <w:rFonts w:ascii="Times New Roman" w:cs="Times New Roman" w:eastAsia="Times New Roman" w:hAnsi="Times New Roman"/>
                <w:sz w:val="16"/>
                <w:szCs w:val="16"/>
                <w:color w:val="auto"/>
              </w:rPr>
              <w:t xml:space="preserve">Transaction expenses, net </w:t>
            </w:r>
            <w:r>
              <w:rPr>
                <w:rFonts w:ascii="Times New Roman" w:cs="Times New Roman" w:eastAsia="Times New Roman" w:hAnsi="Times New Roman"/>
                <w:sz w:val="21"/>
                <w:szCs w:val="21"/>
                <w:color w:val="auto"/>
                <w:vertAlign w:val="superscript"/>
              </w:rPr>
              <w:t>(4)</w:t>
            </w:r>
          </w:p>
        </w:tc>
        <w:tc>
          <w:tcPr>
            <w:tcW w:w="220" w:type="dxa"/>
            <w:vAlign w:val="bottom"/>
          </w:tcPr>
          <w:p>
            <w:pPr>
              <w:spacing w:after="0"/>
              <w:rPr>
                <w:sz w:val="18"/>
                <w:szCs w:val="18"/>
                <w:color w:val="auto"/>
              </w:rPr>
            </w:pPr>
          </w:p>
        </w:tc>
        <w:tc>
          <w:tcPr>
            <w:tcW w:w="16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669</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253</w:t>
            </w:r>
          </w:p>
        </w:tc>
        <w:tc>
          <w:tcPr>
            <w:tcW w:w="0" w:type="dxa"/>
            <w:vAlign w:val="bottom"/>
          </w:tcPr>
          <w:p>
            <w:pPr>
              <w:spacing w:after="0"/>
              <w:rPr>
                <w:sz w:val="1"/>
                <w:szCs w:val="1"/>
                <w:color w:val="auto"/>
              </w:rPr>
            </w:pPr>
          </w:p>
        </w:tc>
      </w:tr>
      <w:tr>
        <w:trPr>
          <w:trHeight w:val="216"/>
        </w:trPr>
        <w:tc>
          <w:tcPr>
            <w:tcW w:w="60" w:type="dxa"/>
            <w:vAlign w:val="bottom"/>
            <w:tcBorders>
              <w:right w:val="single" w:sz="8" w:color="CCEEFF"/>
            </w:tcBorders>
          </w:tcPr>
          <w:p>
            <w:pPr>
              <w:spacing w:after="0"/>
              <w:rPr>
                <w:sz w:val="18"/>
                <w:szCs w:val="18"/>
                <w:color w:val="auto"/>
              </w:rPr>
            </w:pPr>
          </w:p>
        </w:tc>
        <w:tc>
          <w:tcPr>
            <w:tcW w:w="7340" w:type="dxa"/>
            <w:vAlign w:val="bottom"/>
            <w:shd w:val="clear" w:color="auto" w:fill="CCEEFF"/>
          </w:tcPr>
          <w:p>
            <w:pPr>
              <w:ind w:left="340"/>
              <w:spacing w:after="0" w:line="216" w:lineRule="exact"/>
              <w:rPr>
                <w:sz w:val="20"/>
                <w:szCs w:val="20"/>
                <w:color w:val="auto"/>
              </w:rPr>
            </w:pPr>
            <w:r>
              <w:rPr>
                <w:rFonts w:ascii="Times New Roman" w:cs="Times New Roman" w:eastAsia="Times New Roman" w:hAnsi="Times New Roman"/>
                <w:sz w:val="16"/>
                <w:szCs w:val="16"/>
                <w:color w:val="auto"/>
              </w:rPr>
              <w:t xml:space="preserve">Insurance proceeds in connection with natural disasters, net </w:t>
            </w:r>
            <w:r>
              <w:rPr>
                <w:rFonts w:ascii="Times New Roman" w:cs="Times New Roman" w:eastAsia="Times New Roman" w:hAnsi="Times New Roman"/>
                <w:sz w:val="21"/>
                <w:szCs w:val="21"/>
                <w:color w:val="auto"/>
                <w:vertAlign w:val="superscript"/>
              </w:rPr>
              <w:t>(5)</w:t>
            </w:r>
          </w:p>
        </w:tc>
        <w:tc>
          <w:tcPr>
            <w:tcW w:w="22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168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(141)</w:t>
            </w: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7340" w:type="dxa"/>
            <w:vAlign w:val="bottom"/>
          </w:tcPr>
          <w:p>
            <w:pPr>
              <w:ind w:left="340"/>
              <w:spacing w:after="0" w:line="216" w:lineRule="exact"/>
              <w:rPr>
                <w:sz w:val="20"/>
                <w:szCs w:val="20"/>
                <w:color w:val="auto"/>
              </w:rPr>
            </w:pPr>
            <w:r>
              <w:rPr>
                <w:rFonts w:ascii="Times New Roman" w:cs="Times New Roman" w:eastAsia="Times New Roman" w:hAnsi="Times New Roman"/>
                <w:sz w:val="16"/>
                <w:szCs w:val="16"/>
                <w:color w:val="auto"/>
              </w:rPr>
              <w:t xml:space="preserve">Impairments and loss on disposal of assets </w:t>
            </w:r>
            <w:r>
              <w:rPr>
                <w:rFonts w:ascii="Times New Roman" w:cs="Times New Roman" w:eastAsia="Times New Roman" w:hAnsi="Times New Roman"/>
                <w:sz w:val="21"/>
                <w:szCs w:val="21"/>
                <w:color w:val="auto"/>
                <w:vertAlign w:val="superscript"/>
              </w:rPr>
              <w:t>(6)</w:t>
            </w:r>
          </w:p>
        </w:tc>
        <w:tc>
          <w:tcPr>
            <w:tcW w:w="220" w:type="dxa"/>
            <w:vAlign w:val="bottom"/>
          </w:tcPr>
          <w:p>
            <w:pPr>
              <w:spacing w:after="0"/>
              <w:rPr>
                <w:sz w:val="18"/>
                <w:szCs w:val="18"/>
                <w:color w:val="auto"/>
              </w:rPr>
            </w:pPr>
          </w:p>
        </w:tc>
        <w:tc>
          <w:tcPr>
            <w:tcW w:w="16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119</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134</w:t>
            </w:r>
          </w:p>
        </w:tc>
        <w:tc>
          <w:tcPr>
            <w:tcW w:w="0" w:type="dxa"/>
            <w:vAlign w:val="bottom"/>
          </w:tcPr>
          <w:p>
            <w:pPr>
              <w:spacing w:after="0"/>
              <w:rPr>
                <w:sz w:val="1"/>
                <w:szCs w:val="1"/>
                <w:color w:val="auto"/>
              </w:rPr>
            </w:pPr>
          </w:p>
        </w:tc>
      </w:tr>
      <w:tr>
        <w:trPr>
          <w:trHeight w:val="216"/>
        </w:trPr>
        <w:tc>
          <w:tcPr>
            <w:tcW w:w="60" w:type="dxa"/>
            <w:vAlign w:val="bottom"/>
            <w:tcBorders>
              <w:right w:val="single" w:sz="8" w:color="CCEEFF"/>
            </w:tcBorders>
          </w:tcPr>
          <w:p>
            <w:pPr>
              <w:spacing w:after="0"/>
              <w:rPr>
                <w:sz w:val="18"/>
                <w:szCs w:val="18"/>
                <w:color w:val="auto"/>
              </w:rPr>
            </w:pPr>
          </w:p>
        </w:tc>
        <w:tc>
          <w:tcPr>
            <w:tcW w:w="7340" w:type="dxa"/>
            <w:vAlign w:val="bottom"/>
            <w:shd w:val="clear" w:color="auto" w:fill="CCEEFF"/>
          </w:tcPr>
          <w:p>
            <w:pPr>
              <w:ind w:left="340"/>
              <w:spacing w:after="0" w:line="216" w:lineRule="exact"/>
              <w:rPr>
                <w:sz w:val="20"/>
                <w:szCs w:val="20"/>
                <w:color w:val="auto"/>
              </w:rPr>
            </w:pPr>
            <w:r>
              <w:rPr>
                <w:rFonts w:ascii="Times New Roman" w:cs="Times New Roman" w:eastAsia="Times New Roman" w:hAnsi="Times New Roman"/>
                <w:sz w:val="16"/>
                <w:szCs w:val="16"/>
                <w:color w:val="auto"/>
              </w:rPr>
              <w:t xml:space="preserve">Recruiting and relocation costs </w:t>
            </w:r>
            <w:r>
              <w:rPr>
                <w:rFonts w:ascii="Times New Roman" w:cs="Times New Roman" w:eastAsia="Times New Roman" w:hAnsi="Times New Roman"/>
                <w:sz w:val="21"/>
                <w:szCs w:val="21"/>
                <w:color w:val="auto"/>
                <w:vertAlign w:val="superscript"/>
              </w:rPr>
              <w:t>(7)</w:t>
            </w:r>
          </w:p>
        </w:tc>
        <w:tc>
          <w:tcPr>
            <w:tcW w:w="220" w:type="dxa"/>
            <w:vAlign w:val="bottom"/>
            <w:shd w:val="clear" w:color="auto" w:fill="CCEEFF"/>
          </w:tcPr>
          <w:p>
            <w:pPr>
              <w:spacing w:after="0"/>
              <w:rPr>
                <w:sz w:val="18"/>
                <w:szCs w:val="18"/>
                <w:color w:val="auto"/>
              </w:rPr>
            </w:pPr>
          </w:p>
        </w:tc>
        <w:tc>
          <w:tcPr>
            <w:tcW w:w="16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204</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30</w:t>
            </w: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7340" w:type="dxa"/>
            <w:vAlign w:val="bottom"/>
            <w:tcBorders>
              <w:bottom w:val="single" w:sz="8" w:color="CCEEFF"/>
            </w:tcBorders>
          </w:tcPr>
          <w:p>
            <w:pPr>
              <w:ind w:left="340"/>
              <w:spacing w:after="0" w:line="216" w:lineRule="exact"/>
              <w:rPr>
                <w:sz w:val="20"/>
                <w:szCs w:val="20"/>
                <w:color w:val="auto"/>
              </w:rPr>
            </w:pPr>
            <w:r>
              <w:rPr>
                <w:rFonts w:ascii="Times New Roman" w:cs="Times New Roman" w:eastAsia="Times New Roman" w:hAnsi="Times New Roman"/>
                <w:sz w:val="16"/>
                <w:szCs w:val="16"/>
                <w:color w:val="auto"/>
              </w:rPr>
              <w:t xml:space="preserve">Severance costs </w:t>
            </w:r>
            <w:r>
              <w:rPr>
                <w:rFonts w:ascii="Times New Roman" w:cs="Times New Roman" w:eastAsia="Times New Roman" w:hAnsi="Times New Roman"/>
                <w:sz w:val="21"/>
                <w:szCs w:val="21"/>
                <w:color w:val="auto"/>
                <w:vertAlign w:val="superscript"/>
              </w:rPr>
              <w:t>(8)</w:t>
            </w:r>
          </w:p>
        </w:tc>
        <w:tc>
          <w:tcPr>
            <w:tcW w:w="22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178</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26</w:t>
            </w:r>
          </w:p>
        </w:tc>
        <w:tc>
          <w:tcPr>
            <w:tcW w:w="0" w:type="dxa"/>
            <w:vAlign w:val="bottom"/>
          </w:tcPr>
          <w:p>
            <w:pPr>
              <w:spacing w:after="0"/>
              <w:rPr>
                <w:sz w:val="1"/>
                <w:szCs w:val="1"/>
                <w:color w:val="auto"/>
              </w:rPr>
            </w:pPr>
          </w:p>
        </w:tc>
      </w:tr>
      <w:tr>
        <w:trPr>
          <w:trHeight w:val="232"/>
        </w:trPr>
        <w:tc>
          <w:tcPr>
            <w:tcW w:w="60" w:type="dxa"/>
            <w:vAlign w:val="bottom"/>
            <w:tcBorders>
              <w:right w:val="single" w:sz="8" w:color="CCEEFF"/>
            </w:tcBorders>
          </w:tcPr>
          <w:p>
            <w:pPr>
              <w:spacing w:after="0"/>
              <w:rPr>
                <w:sz w:val="19"/>
                <w:szCs w:val="19"/>
                <w:color w:val="auto"/>
              </w:rPr>
            </w:pPr>
          </w:p>
        </w:tc>
        <w:tc>
          <w:tcPr>
            <w:tcW w:w="73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Adjusted EBITDA</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28,590</w:t>
            </w: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68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27,413</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73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60" w:type="dxa"/>
            <w:vAlign w:val="bottom"/>
          </w:tcPr>
          <w:p>
            <w:pPr>
              <w:spacing w:after="0"/>
              <w:rPr>
                <w:sz w:val="14"/>
                <w:szCs w:val="14"/>
                <w:color w:val="auto"/>
              </w:rPr>
            </w:pPr>
          </w:p>
        </w:tc>
        <w:tc>
          <w:tcPr>
            <w:tcW w:w="7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60" w:type="dxa"/>
            <w:vAlign w:val="bottom"/>
            <w:tcBorders>
              <w:right w:val="single" w:sz="8" w:color="CCEEFF"/>
            </w:tcBorders>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revenues</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242,449</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6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211,406</w:t>
            </w:r>
          </w:p>
        </w:tc>
        <w:tc>
          <w:tcPr>
            <w:tcW w:w="0" w:type="dxa"/>
            <w:vAlign w:val="bottom"/>
          </w:tcPr>
          <w:p>
            <w:pPr>
              <w:spacing w:after="0"/>
              <w:rPr>
                <w:sz w:val="1"/>
                <w:szCs w:val="1"/>
                <w:color w:val="auto"/>
              </w:rPr>
            </w:pPr>
          </w:p>
        </w:tc>
      </w:tr>
      <w:tr>
        <w:trPr>
          <w:trHeight w:val="213"/>
        </w:trPr>
        <w:tc>
          <w:tcPr>
            <w:tcW w:w="60" w:type="dxa"/>
            <w:vAlign w:val="bottom"/>
          </w:tcPr>
          <w:p>
            <w:pPr>
              <w:spacing w:after="0"/>
              <w:rPr>
                <w:sz w:val="18"/>
                <w:szCs w:val="18"/>
                <w:color w:val="auto"/>
              </w:rPr>
            </w:pPr>
          </w:p>
        </w:tc>
        <w:tc>
          <w:tcPr>
            <w:tcW w:w="73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Net income margin</w:t>
            </w:r>
          </w:p>
        </w:tc>
        <w:tc>
          <w:tcPr>
            <w:tcW w:w="22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3.0 %</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4.4 %</w:t>
            </w:r>
          </w:p>
        </w:tc>
        <w:tc>
          <w:tcPr>
            <w:tcW w:w="0" w:type="dxa"/>
            <w:vAlign w:val="bottom"/>
          </w:tcPr>
          <w:p>
            <w:pPr>
              <w:spacing w:after="0"/>
              <w:rPr>
                <w:sz w:val="1"/>
                <w:szCs w:val="1"/>
                <w:color w:val="auto"/>
              </w:rPr>
            </w:pPr>
          </w:p>
        </w:tc>
      </w:tr>
      <w:tr>
        <w:trPr>
          <w:trHeight w:val="219"/>
        </w:trPr>
        <w:tc>
          <w:tcPr>
            <w:tcW w:w="60" w:type="dxa"/>
            <w:vAlign w:val="bottom"/>
            <w:tcBorders>
              <w:right w:val="single" w:sz="8" w:color="CCEEFF"/>
            </w:tcBorders>
          </w:tcPr>
          <w:p>
            <w:pPr>
              <w:spacing w:after="0"/>
              <w:rPr>
                <w:sz w:val="19"/>
                <w:szCs w:val="19"/>
                <w:color w:val="auto"/>
              </w:rPr>
            </w:pPr>
          </w:p>
        </w:tc>
        <w:tc>
          <w:tcPr>
            <w:tcW w:w="73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Adjusted EBITDA margin</w:t>
            </w:r>
          </w:p>
        </w:tc>
        <w:tc>
          <w:tcPr>
            <w:tcW w:w="22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11.8 %</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13.0 %</w:t>
            </w: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7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Borders>
              <w:right w:val="single" w:sz="8" w:color="CCEEFF"/>
            </w:tcBorders>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Additional information</w:t>
            </w:r>
          </w:p>
        </w:tc>
        <w:tc>
          <w:tcPr>
            <w:tcW w:w="22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7"/>
              </w:rPr>
              <w:t>.</w:t>
            </w:r>
          </w:p>
        </w:tc>
        <w:tc>
          <w:tcPr>
            <w:tcW w:w="73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 xml:space="preserve">Deferred rent expense </w:t>
            </w:r>
            <w:r>
              <w:rPr>
                <w:rFonts w:ascii="Times New Roman" w:cs="Times New Roman" w:eastAsia="Times New Roman" w:hAnsi="Times New Roman"/>
                <w:sz w:val="21"/>
                <w:szCs w:val="21"/>
                <w:color w:val="auto"/>
                <w:vertAlign w:val="superscript"/>
              </w:rPr>
              <w:t>(9)</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343</w:t>
            </w:r>
          </w:p>
        </w:tc>
        <w:tc>
          <w:tcPr>
            <w:tcW w:w="80" w:type="dxa"/>
            <w:vAlign w:val="bottom"/>
          </w:tcPr>
          <w:p>
            <w:pPr>
              <w:spacing w:after="0"/>
              <w:rPr>
                <w:sz w:val="23"/>
                <w:szCs w:val="23"/>
                <w:color w:val="auto"/>
              </w:rPr>
            </w:pPr>
          </w:p>
        </w:tc>
        <w:tc>
          <w:tcPr>
            <w:tcW w:w="2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6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584</w:t>
            </w:r>
          </w:p>
        </w:tc>
        <w:tc>
          <w:tcPr>
            <w:tcW w:w="0" w:type="dxa"/>
            <w:vAlign w:val="bottom"/>
          </w:tcPr>
          <w:p>
            <w:pPr>
              <w:spacing w:after="0"/>
              <w:rPr>
                <w:sz w:val="1"/>
                <w:szCs w:val="1"/>
                <w:color w:val="auto"/>
              </w:rPr>
            </w:pPr>
          </w:p>
        </w:tc>
      </w:tr>
      <w:tr>
        <w:trPr>
          <w:trHeight w:val="54"/>
        </w:trPr>
        <w:tc>
          <w:tcPr>
            <w:tcW w:w="60" w:type="dxa"/>
            <w:vAlign w:val="bottom"/>
            <w:vMerge w:val="continue"/>
          </w:tcPr>
          <w:p>
            <w:pPr>
              <w:spacing w:after="0"/>
              <w:rPr>
                <w:sz w:val="4"/>
                <w:szCs w:val="4"/>
                <w:color w:val="auto"/>
              </w:rPr>
            </w:pPr>
          </w:p>
        </w:tc>
        <w:tc>
          <w:tcPr>
            <w:tcW w:w="73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68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680" w:type="dxa"/>
            <w:vAlign w:val="bottom"/>
          </w:tcPr>
          <w:p>
            <w:pPr>
              <w:spacing w:after="0"/>
              <w:rPr>
                <w:sz w:val="4"/>
                <w:szCs w:val="4"/>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8"/>
          <w:szCs w:val="18"/>
          <w:color w:val="auto"/>
        </w:rPr>
        <w:t>_____________________________</w:t>
      </w:r>
    </w:p>
    <w:p>
      <w:pPr>
        <w:spacing w:after="0" w:line="9" w:lineRule="exact"/>
        <w:rPr>
          <w:sz w:val="20"/>
          <w:szCs w:val="20"/>
          <w:color w:val="auto"/>
        </w:rPr>
      </w:pPr>
    </w:p>
    <w:p>
      <w:pPr>
        <w:ind w:left="80" w:firstLine="8"/>
        <w:spacing w:after="0" w:line="249" w:lineRule="auto"/>
        <w:tabs>
          <w:tab w:leader="none" w:pos="326"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costs related to process improvements and strategic initiatives. These costs are recorded within General and administrative expenses on the Consolidated Statements of Operations and Comprehensive Income.</w:t>
      </w:r>
    </w:p>
    <w:p>
      <w:pPr>
        <w:ind w:left="80" w:firstLine="8"/>
        <w:spacing w:after="0" w:line="255" w:lineRule="auto"/>
        <w:tabs>
          <w:tab w:leader="none" w:pos="321"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non-cash, stock-based compensation expense which is recorded within General and administrative expenses on the Consolidated Statements of Operations and Comprehensive Income.</w:t>
      </w:r>
    </w:p>
    <w:p>
      <w:pPr>
        <w:ind w:left="80" w:right="20" w:firstLine="8"/>
        <w:spacing w:after="0" w:line="255" w:lineRule="auto"/>
        <w:tabs>
          <w:tab w:leader="none" w:pos="319"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professional service costs incurred in connection with the Delaware Voluntary Disclosure Agreement Program related to unclaimed or abandoned property. These costs are recorded in General and administrative expenses on the Consolidated Statements of Operations and Comprehensive Income.</w:t>
      </w:r>
    </w:p>
    <w:p>
      <w:pPr>
        <w:ind w:left="80" w:firstLine="8"/>
        <w:spacing w:after="0" w:line="248" w:lineRule="auto"/>
        <w:tabs>
          <w:tab w:leader="none" w:pos="311"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costs incurred in connection with the acquisition of franchise-owned restaurants, expenses related to debt, secondary offering costs and, in 2024, an offsetting gain on release of contingent consideration liability.</w:t>
      </w:r>
    </w:p>
    <w:p>
      <w:pPr>
        <w:spacing w:after="0" w:line="1" w:lineRule="exact"/>
        <w:rPr>
          <w:rFonts w:ascii="Times New Roman" w:cs="Times New Roman" w:eastAsia="Times New Roman" w:hAnsi="Times New Roman"/>
          <w:sz w:val="16"/>
          <w:szCs w:val="16"/>
          <w:color w:val="auto"/>
        </w:rPr>
      </w:pPr>
    </w:p>
    <w:p>
      <w:pPr>
        <w:ind w:left="80" w:firstLine="8"/>
        <w:spacing w:after="0" w:line="255" w:lineRule="auto"/>
        <w:tabs>
          <w:tab w:leader="none" w:pos="315"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insurance recoveries, net of costs incurred, in connection with hurricane damage, which were recorded in Other income, net on the Consolidated Statements of Operations and Comprehensive Income.</w:t>
      </w:r>
    </w:p>
    <w:p>
      <w:pPr>
        <w:ind w:left="80" w:firstLine="8"/>
        <w:spacing w:after="0" w:line="253" w:lineRule="auto"/>
        <w:tabs>
          <w:tab w:leader="none" w:pos="331"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costs related to the disposal of assets due to retirements, replacements or certain restaurant closures. There were no impairments recognized during the periods presented.</w:t>
      </w:r>
    </w:p>
    <w:p>
      <w:pPr>
        <w:ind w:left="80" w:right="20" w:firstLine="8"/>
        <w:spacing w:after="0" w:line="255" w:lineRule="auto"/>
        <w:tabs>
          <w:tab w:leader="none" w:pos="333"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costs incurred for hiring qualified individuals. These costs are recorded within General and administrative expenses on the Consolidated Statements of Operations and Comprehensive Income.</w:t>
      </w:r>
    </w:p>
    <w:p>
      <w:pPr>
        <w:ind w:left="320" w:hanging="232"/>
        <w:spacing w:after="0"/>
        <w:tabs>
          <w:tab w:leader="none" w:pos="32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Severance costs are recorded in General and administrative expenses on the Consolidated Statements of Operations and Comprehensive Income.</w:t>
      </w:r>
    </w:p>
    <w:p>
      <w:pPr>
        <w:spacing w:after="0" w:line="8" w:lineRule="exact"/>
        <w:rPr>
          <w:rFonts w:ascii="Times New Roman" w:cs="Times New Roman" w:eastAsia="Times New Roman" w:hAnsi="Times New Roman"/>
          <w:sz w:val="16"/>
          <w:szCs w:val="16"/>
          <w:color w:val="auto"/>
        </w:rPr>
      </w:pPr>
    </w:p>
    <w:p>
      <w:pPr>
        <w:ind w:left="80" w:firstLine="8"/>
        <w:spacing w:after="0" w:line="270" w:lineRule="auto"/>
        <w:tabs>
          <w:tab w:leader="none" w:pos="321"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the non-cash portion of straight-line rent expense recorded within both Occupancy expenses and General and administrative expenses on the Consolidated Statements of Operations and Comprehensive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43180</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20"/>
          </w:cols>
          <w:pgMar w:left="24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Restaurant level operating profit and Restaurant level operating profit margin </w:t>
      </w:r>
      <w:r>
        <w:rPr>
          <w:rFonts w:ascii="Times New Roman" w:cs="Times New Roman" w:eastAsia="Times New Roman" w:hAnsi="Times New Roman"/>
          <w:sz w:val="18"/>
          <w:szCs w:val="18"/>
          <w:color w:val="auto"/>
        </w:rPr>
        <w:t>- The following table reconciles Income from operations and Income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operations margin, the most comparable GAAP measures to Restaurant level operating profit and Restaurant level operating profit margin for the periods indicated:</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3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3640" w:type="dxa"/>
            <w:vAlign w:val="bottom"/>
            <w:tcBorders>
              <w:bottom w:val="single" w:sz="8" w:color="auto"/>
            </w:tcBorders>
            <w:gridSpan w:val="4"/>
          </w:tcPr>
          <w:p>
            <w:pPr>
              <w:jc w:val="right"/>
              <w:ind w:right="799"/>
              <w:spacing w:after="0"/>
              <w:rPr>
                <w:sz w:val="20"/>
                <w:szCs w:val="20"/>
                <w:color w:val="auto"/>
              </w:rPr>
            </w:pPr>
            <w:r>
              <w:rPr>
                <w:rFonts w:ascii="Times New Roman" w:cs="Times New Roman" w:eastAsia="Times New Roman" w:hAnsi="Times New Roman"/>
                <w:sz w:val="16"/>
                <w:szCs w:val="16"/>
                <w:b w:val="1"/>
                <w:bCs w:val="1"/>
                <w:color w:val="auto"/>
              </w:rPr>
              <w:t>THIRTEEN WEEKS ENDED</w:t>
            </w:r>
          </w:p>
        </w:tc>
      </w:tr>
      <w:tr>
        <w:trPr>
          <w:trHeight w:val="214"/>
        </w:trPr>
        <w:tc>
          <w:tcPr>
            <w:tcW w:w="736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20" w:type="dxa"/>
            <w:vAlign w:val="bottom"/>
          </w:tcPr>
          <w:p>
            <w:pPr>
              <w:spacing w:after="0"/>
              <w:rPr>
                <w:sz w:val="18"/>
                <w:szCs w:val="18"/>
                <w:color w:val="auto"/>
              </w:rPr>
            </w:pPr>
          </w:p>
        </w:tc>
        <w:tc>
          <w:tcPr>
            <w:tcW w:w="176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MARCH 31, 2024</w:t>
            </w:r>
          </w:p>
        </w:tc>
        <w:tc>
          <w:tcPr>
            <w:tcW w:w="200" w:type="dxa"/>
            <w:vAlign w:val="bottom"/>
          </w:tcPr>
          <w:p>
            <w:pPr>
              <w:spacing w:after="0"/>
              <w:rPr>
                <w:sz w:val="18"/>
                <w:szCs w:val="18"/>
                <w:color w:val="auto"/>
              </w:rPr>
            </w:pPr>
          </w:p>
        </w:tc>
        <w:tc>
          <w:tcPr>
            <w:tcW w:w="1680" w:type="dxa"/>
            <w:vAlign w:val="bottom"/>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MARCH 26, 2023</w:t>
            </w:r>
          </w:p>
        </w:tc>
      </w:tr>
      <w:tr>
        <w:trPr>
          <w:trHeight w:val="211"/>
        </w:trPr>
        <w:tc>
          <w:tcPr>
            <w:tcW w:w="7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from operations</w:t>
            </w: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12,286</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15,331</w:t>
            </w:r>
          </w:p>
        </w:tc>
      </w:tr>
      <w:tr>
        <w:trPr>
          <w:trHeight w:val="213"/>
        </w:trPr>
        <w:tc>
          <w:tcPr>
            <w:tcW w:w="73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Less: Franchise revenues</w:t>
            </w:r>
          </w:p>
        </w:tc>
        <w:tc>
          <w:tcPr>
            <w:tcW w:w="220" w:type="dxa"/>
            <w:vAlign w:val="bottom"/>
          </w:tcPr>
          <w:p>
            <w:pPr>
              <w:spacing w:after="0"/>
              <w:rPr>
                <w:sz w:val="18"/>
                <w:szCs w:val="18"/>
                <w:color w:val="auto"/>
              </w:rPr>
            </w:pPr>
          </w:p>
        </w:tc>
        <w:tc>
          <w:tcPr>
            <w:tcW w:w="16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(3,141)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(3,438)</w:t>
            </w:r>
          </w:p>
        </w:tc>
      </w:tr>
      <w:tr>
        <w:trPr>
          <w:trHeight w:val="219"/>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Add:</w:t>
            </w:r>
          </w:p>
        </w:tc>
        <w:tc>
          <w:tcPr>
            <w:tcW w:w="22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r>
      <w:tr>
        <w:trPr>
          <w:trHeight w:val="213"/>
        </w:trPr>
        <w:tc>
          <w:tcPr>
            <w:tcW w:w="73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General and administrative expenses</w:t>
            </w:r>
          </w:p>
        </w:tc>
        <w:tc>
          <w:tcPr>
            <w:tcW w:w="220" w:type="dxa"/>
            <w:vAlign w:val="bottom"/>
          </w:tcPr>
          <w:p>
            <w:pPr>
              <w:spacing w:after="0"/>
              <w:rPr>
                <w:sz w:val="18"/>
                <w:szCs w:val="18"/>
                <w:color w:val="auto"/>
              </w:rPr>
            </w:pPr>
          </w:p>
        </w:tc>
        <w:tc>
          <w:tcPr>
            <w:tcW w:w="16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27,658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22,705</w:t>
            </w:r>
          </w:p>
        </w:tc>
      </w:tr>
      <w:tr>
        <w:trPr>
          <w:trHeight w:val="219"/>
        </w:trPr>
        <w:tc>
          <w:tcPr>
            <w:tcW w:w="7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20" w:type="dxa"/>
            <w:vAlign w:val="bottom"/>
            <w:shd w:val="clear" w:color="auto" w:fill="CCEEFF"/>
          </w:tcPr>
          <w:p>
            <w:pPr>
              <w:spacing w:after="0"/>
              <w:rPr>
                <w:sz w:val="19"/>
                <w:szCs w:val="19"/>
                <w:color w:val="auto"/>
              </w:rPr>
            </w:pPr>
          </w:p>
        </w:tc>
        <w:tc>
          <w:tcPr>
            <w:tcW w:w="16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12,271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9,117</w:t>
            </w:r>
          </w:p>
        </w:tc>
      </w:tr>
      <w:tr>
        <w:trPr>
          <w:trHeight w:val="216"/>
        </w:trPr>
        <w:tc>
          <w:tcPr>
            <w:tcW w:w="7360" w:type="dxa"/>
            <w:vAlign w:val="bottom"/>
          </w:tcPr>
          <w:p>
            <w:pPr>
              <w:ind w:left="360"/>
              <w:spacing w:after="0" w:line="216" w:lineRule="exact"/>
              <w:rPr>
                <w:sz w:val="20"/>
                <w:szCs w:val="20"/>
                <w:color w:val="auto"/>
              </w:rPr>
            </w:pPr>
            <w:r>
              <w:rPr>
                <w:rFonts w:ascii="Times New Roman" w:cs="Times New Roman" w:eastAsia="Times New Roman" w:hAnsi="Times New Roman"/>
                <w:sz w:val="16"/>
                <w:szCs w:val="16"/>
                <w:color w:val="auto"/>
              </w:rPr>
              <w:t xml:space="preserve">Transaction expenses, net </w:t>
            </w:r>
            <w:r>
              <w:rPr>
                <w:rFonts w:ascii="Times New Roman" w:cs="Times New Roman" w:eastAsia="Times New Roman" w:hAnsi="Times New Roman"/>
                <w:sz w:val="21"/>
                <w:szCs w:val="21"/>
                <w:color w:val="auto"/>
                <w:vertAlign w:val="superscript"/>
              </w:rPr>
              <w:t>(1)</w:t>
            </w:r>
          </w:p>
        </w:tc>
        <w:tc>
          <w:tcPr>
            <w:tcW w:w="220" w:type="dxa"/>
            <w:vAlign w:val="bottom"/>
          </w:tcPr>
          <w:p>
            <w:pPr>
              <w:spacing w:after="0"/>
              <w:rPr>
                <w:sz w:val="18"/>
                <w:szCs w:val="18"/>
                <w:color w:val="auto"/>
              </w:rPr>
            </w:pPr>
          </w:p>
        </w:tc>
        <w:tc>
          <w:tcPr>
            <w:tcW w:w="16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669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253</w:t>
            </w:r>
          </w:p>
        </w:tc>
      </w:tr>
      <w:tr>
        <w:trPr>
          <w:trHeight w:val="216"/>
        </w:trPr>
        <w:tc>
          <w:tcPr>
            <w:tcW w:w="7360" w:type="dxa"/>
            <w:vAlign w:val="bottom"/>
            <w:shd w:val="clear" w:color="auto" w:fill="CCEEFF"/>
          </w:tcPr>
          <w:p>
            <w:pPr>
              <w:ind w:left="360"/>
              <w:spacing w:after="0" w:line="216" w:lineRule="exact"/>
              <w:rPr>
                <w:sz w:val="20"/>
                <w:szCs w:val="20"/>
                <w:color w:val="auto"/>
              </w:rPr>
            </w:pPr>
            <w:r>
              <w:rPr>
                <w:rFonts w:ascii="Times New Roman" w:cs="Times New Roman" w:eastAsia="Times New Roman" w:hAnsi="Times New Roman"/>
                <w:sz w:val="16"/>
                <w:szCs w:val="16"/>
                <w:color w:val="auto"/>
              </w:rPr>
              <w:t xml:space="preserve">Impairments and loss on disposal of assets </w:t>
            </w:r>
            <w:r>
              <w:rPr>
                <w:rFonts w:ascii="Times New Roman" w:cs="Times New Roman" w:eastAsia="Times New Roman" w:hAnsi="Times New Roman"/>
                <w:sz w:val="21"/>
                <w:szCs w:val="21"/>
                <w:color w:val="auto"/>
                <w:vertAlign w:val="superscript"/>
              </w:rPr>
              <w:t>(2)</w:t>
            </w:r>
          </w:p>
        </w:tc>
        <w:tc>
          <w:tcPr>
            <w:tcW w:w="22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119</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68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134</w:t>
            </w:r>
          </w:p>
        </w:tc>
      </w:tr>
      <w:tr>
        <w:trPr>
          <w:trHeight w:val="207"/>
        </w:trPr>
        <w:tc>
          <w:tcPr>
            <w:tcW w:w="7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Restaurant level operating profit</w:t>
            </w: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49,862</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44,102</w:t>
            </w:r>
          </w:p>
        </w:tc>
      </w:tr>
      <w:tr>
        <w:trPr>
          <w:trHeight w:val="199"/>
        </w:trPr>
        <w:tc>
          <w:tcPr>
            <w:tcW w:w="7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r>
      <w:tr>
        <w:trPr>
          <w:trHeight w:val="213"/>
        </w:trPr>
        <w:tc>
          <w:tcPr>
            <w:tcW w:w="7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Restaurant sales</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239,308</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207,968</w:t>
            </w:r>
          </w:p>
        </w:tc>
      </w:tr>
      <w:tr>
        <w:trPr>
          <w:trHeight w:val="219"/>
        </w:trPr>
        <w:tc>
          <w:tcPr>
            <w:tcW w:w="7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Income from operations margin</w:t>
            </w:r>
          </w:p>
        </w:tc>
        <w:tc>
          <w:tcPr>
            <w:tcW w:w="2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7.4 %</w:t>
            </w:r>
          </w:p>
        </w:tc>
      </w:tr>
      <w:tr>
        <w:trPr>
          <w:trHeight w:val="213"/>
        </w:trPr>
        <w:tc>
          <w:tcPr>
            <w:tcW w:w="73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Restaurant level operating profit margin</w:t>
            </w:r>
          </w:p>
        </w:tc>
        <w:tc>
          <w:tcPr>
            <w:tcW w:w="2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20.8 %</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21.2 %</w:t>
            </w:r>
          </w:p>
        </w:tc>
      </w:tr>
      <w:tr>
        <w:trPr>
          <w:trHeight w:val="219"/>
        </w:trPr>
        <w:tc>
          <w:tcPr>
            <w:tcW w:w="73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r>
      <w:tr>
        <w:trPr>
          <w:trHeight w:val="213"/>
        </w:trPr>
        <w:tc>
          <w:tcPr>
            <w:tcW w:w="7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Additional information</w:t>
            </w:r>
          </w:p>
        </w:tc>
        <w:tc>
          <w:tcPr>
            <w:tcW w:w="2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9"/>
        </w:trPr>
        <w:tc>
          <w:tcPr>
            <w:tcW w:w="7360" w:type="dxa"/>
            <w:vAlign w:val="bottom"/>
            <w:shd w:val="clear" w:color="auto" w:fill="CCEEFF"/>
          </w:tcPr>
          <w:p>
            <w:pPr>
              <w:ind w:left="360"/>
              <w:spacing w:after="0" w:line="219" w:lineRule="exact"/>
              <w:rPr>
                <w:sz w:val="20"/>
                <w:szCs w:val="20"/>
                <w:color w:val="auto"/>
              </w:rPr>
            </w:pPr>
            <w:r>
              <w:rPr>
                <w:rFonts w:ascii="Times New Roman" w:cs="Times New Roman" w:eastAsia="Times New Roman" w:hAnsi="Times New Roman"/>
                <w:sz w:val="16"/>
                <w:szCs w:val="16"/>
                <w:color w:val="auto"/>
              </w:rPr>
              <w:t xml:space="preserve">Deferred rent expense </w:t>
            </w:r>
            <w:r>
              <w:rPr>
                <w:rFonts w:ascii="Times New Roman" w:cs="Times New Roman" w:eastAsia="Times New Roman" w:hAnsi="Times New Roman"/>
                <w:sz w:val="21"/>
                <w:szCs w:val="21"/>
                <w:color w:val="auto"/>
                <w:vertAlign w:val="superscript"/>
              </w:rPr>
              <w:t>(3)</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293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534</w:t>
            </w: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w:t>
      </w:r>
    </w:p>
    <w:p>
      <w:pPr>
        <w:spacing w:after="0" w:line="27" w:lineRule="exact"/>
        <w:rPr>
          <w:sz w:val="20"/>
          <w:szCs w:val="20"/>
          <w:color w:val="auto"/>
        </w:rPr>
      </w:pPr>
    </w:p>
    <w:p>
      <w:pPr>
        <w:ind w:firstLine="8"/>
        <w:spacing w:after="0"/>
        <w:tabs>
          <w:tab w:leader="none" w:pos="229"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costs incurred in connection with the acquisition of franchise-owned restaurants, expenses related to debt, secondary offering costs and, in 2024, an offsetting gain on release of contingent consideration liability.</w:t>
      </w:r>
    </w:p>
    <w:p>
      <w:pPr>
        <w:ind w:firstLine="8"/>
        <w:spacing w:after="0" w:line="246" w:lineRule="auto"/>
        <w:tabs>
          <w:tab w:leader="none" w:pos="251"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costs related to the disposal of assets due to retirements, replacements or certain restaurant closures. There were no impairments recognized during the periods presented.</w:t>
      </w:r>
    </w:p>
    <w:p>
      <w:pPr>
        <w:ind w:firstLine="8"/>
        <w:spacing w:after="0" w:line="275" w:lineRule="auto"/>
        <w:tabs>
          <w:tab w:leader="none" w:pos="242"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the non-cash portion of straight-line rent expense recorded within Occupancy expenses on the Consolidated Statements of Operations and Comprehensive Income.</w:t>
      </w: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w:t>
      </w:r>
    </w:p>
    <w:p>
      <w:pPr>
        <w:spacing w:after="0" w:line="2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of March 31, 2024, we had cash and cash equivalents of $43.2 million and outstanding borrowings under the Credit Facility of $122.5 million, excluding unamortized debt issuance costs and deferred issuance costs. We had availability under our undrawn revolving credit facility of $102.5 million, of which $1.7 million is reserved under letters of credit, and availability of $125.0 million under our undrawn delayed draw term loan pursuant to our credit agreement, as amended (“Credit Agreement”). Our principal uses of cash include capital expenditures for the development, acquisition or remodeling of restaurants, lease obligations, debt service payments and strategic infrastructure investments. Our working capital requirements are low because our restaurants store very little inventory and our customers pay for their purchases at the time of the sale which frequently precedes our payment terms with suppliers.</w:t>
      </w:r>
    </w:p>
    <w:p>
      <w:pPr>
        <w:spacing w:after="0" w:line="21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believe that our cash flow from operations, availability under our Credit Agreement and available cash and cash equivalents will be sufficient to meet our liquidity needs for at least the next 12 months. We anticipate that to the extent that we require additional liquidity, or should we decide to pursue one or more significant acquisitions, it will be funded first through additional indebtedness and thereafter through the issuance of equity. Although we believe that our current level of total available liquidity is sufficient to meet our short-term and long-term liquidity requirements, we regularly evaluate opportunities to improve our liquidity position in order to enhance financial flexibility.</w:t>
      </w:r>
    </w:p>
    <w:p>
      <w:pPr>
        <w:spacing w:after="0" w:line="21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estimate that our capital expenditures will total approximately $125.0 million to $135.0 million in 2024, not including the capital allocated to franchise acquisitions, which will be invested primarily in new restaurant projects and planned remodels. We plan to fund the capital expenditures primarily with cash generated from our operating activities as well as with borrowings pursuant to our Credit Agreement.</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Summary of Cash Flows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presents a summary of our cash provided by (used in) operating, investing and financing activities for the thirteen weeks ended March 31, 2024 and March 26, 2023:</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5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3500" w:type="dxa"/>
            <w:vAlign w:val="bottom"/>
            <w:tcBorders>
              <w:bottom w:val="single" w:sz="8" w:color="auto"/>
            </w:tcBorders>
            <w:gridSpan w:val="4"/>
          </w:tcPr>
          <w:p>
            <w:pPr>
              <w:jc w:val="right"/>
              <w:ind w:right="719"/>
              <w:spacing w:after="0"/>
              <w:rPr>
                <w:sz w:val="20"/>
                <w:szCs w:val="20"/>
                <w:color w:val="auto"/>
              </w:rPr>
            </w:pPr>
            <w:r>
              <w:rPr>
                <w:rFonts w:ascii="Times New Roman" w:cs="Times New Roman" w:eastAsia="Times New Roman" w:hAnsi="Times New Roman"/>
                <w:sz w:val="16"/>
                <w:szCs w:val="16"/>
                <w:b w:val="1"/>
                <w:bCs w:val="1"/>
                <w:color w:val="auto"/>
              </w:rPr>
              <w:t>THIRTEEN WEEKS ENDED</w:t>
            </w:r>
          </w:p>
        </w:tc>
      </w:tr>
      <w:tr>
        <w:trPr>
          <w:trHeight w:val="214"/>
        </w:trPr>
        <w:tc>
          <w:tcPr>
            <w:tcW w:w="756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80" w:type="dxa"/>
            <w:vAlign w:val="bottom"/>
          </w:tcPr>
          <w:p>
            <w:pPr>
              <w:spacing w:after="0"/>
              <w:rPr>
                <w:sz w:val="18"/>
                <w:szCs w:val="18"/>
                <w:color w:val="auto"/>
              </w:rPr>
            </w:pPr>
          </w:p>
        </w:tc>
        <w:tc>
          <w:tcPr>
            <w:tcW w:w="170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MARCH 31, 2024</w:t>
            </w:r>
          </w:p>
        </w:tc>
        <w:tc>
          <w:tcPr>
            <w:tcW w:w="200" w:type="dxa"/>
            <w:vAlign w:val="bottom"/>
          </w:tcPr>
          <w:p>
            <w:pPr>
              <w:spacing w:after="0"/>
              <w:rPr>
                <w:sz w:val="18"/>
                <w:szCs w:val="18"/>
                <w:color w:val="auto"/>
              </w:rPr>
            </w:pPr>
          </w:p>
        </w:tc>
        <w:tc>
          <w:tcPr>
            <w:tcW w:w="160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MARCH 26, 2023</w:t>
            </w:r>
          </w:p>
        </w:tc>
      </w:tr>
      <w:tr>
        <w:trPr>
          <w:trHeight w:val="211"/>
        </w:trPr>
        <w:tc>
          <w:tcPr>
            <w:tcW w:w="75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provided by operating activities</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24,982</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21,143</w:t>
            </w:r>
          </w:p>
        </w:tc>
      </w:tr>
      <w:tr>
        <w:trPr>
          <w:trHeight w:val="213"/>
        </w:trPr>
        <w:tc>
          <w:tcPr>
            <w:tcW w:w="7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used in investing activities</w:t>
            </w:r>
          </w:p>
        </w:tc>
        <w:tc>
          <w:tcPr>
            <w:tcW w:w="1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(32,002)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(14,441)</w:t>
            </w:r>
          </w:p>
        </w:tc>
      </w:tr>
      <w:tr>
        <w:trPr>
          <w:trHeight w:val="219"/>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provided by (used) in financing activities</w:t>
            </w:r>
          </w:p>
        </w:tc>
        <w:tc>
          <w:tcPr>
            <w:tcW w:w="18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562</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(1,958)</w:t>
            </w:r>
          </w:p>
        </w:tc>
      </w:tr>
      <w:tr>
        <w:trPr>
          <w:trHeight w:val="207"/>
        </w:trPr>
        <w:tc>
          <w:tcPr>
            <w:tcW w:w="7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(decrease) increase in cash and cash equivalents and restricted cash</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(6,458)</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4,744</w:t>
            </w:r>
          </w:p>
        </w:tc>
      </w:tr>
      <w:tr>
        <w:trPr>
          <w:trHeight w:val="23"/>
        </w:trPr>
        <w:tc>
          <w:tcPr>
            <w:tcW w:w="75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bl>
    <w:p>
      <w:pPr>
        <w:spacing w:after="0" w:line="2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Cash provided by operating activities during the thirteen weeks ended March 31, 2024 increased to $25.0 million from $21.1 million during the thirteen weeks ended March 26, 2023 primarily due to (i) the decrease in net income of $(2.1) million, (ii) the impact of non-cash charges of $3.6 million and (iii) the net change in operating assets and liabilities of $2.4 million. The increase in the non-cash charges was primarily driven by (i) the change in depreciation and amortization and (ii) the change in operating lease costs. This increase was partially offset by the change in deferred income taxes. The net change in operating assets and liabilities of $2.4 million was primarily driven by the timing of operational payments.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Cash used in investing activities increased to $(32.0) million during the thirteen weeks ended March 31, 2024 from $(14.4) million during the thirteen weeks ended March 26, 2023 primarily as a result of (i) the increase in capital expenditures of $(14.1) million, (ii) amounts paid during the thirteen weeks ended March 31, 2024 for acquisitions, including contingent consideration payments, of $(3.4) million.</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Cash provided by financing activities of $0.6 million during the thirteen weeks ended March 31, 2024 increased from the $(2.0) million cash used during the thirteen weeks ended March 26, 2023 as a result of (i) proceeds from the exercise of stock options, net of employee taxes paid, of $2.6 million, (ii) proceeds from long-term debt, net of payments made, of $1.9 million, (iii) no payments on the note payable during the thirteen weeks ended March 31, 2024 versus $0.5 million payments made during the thirteen weeks ended March 26, 2023, offset by (iv) $(2.4) million payments of debt discount and deferred issuance costs during the thirteen weeks ended March 31, 2024.</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discussion and analysis of our financial condition and results of operations is based upon the accompanying unaudited interim consolidated financial statements and notes thereto, which have been prepared in accordance with GAAP. The preparation of these unaudited interim consolidated financial statements and related notes requires us to make estimates and assumptions that affect the reported amounts of assets, liabilities, revenue and expenses. Certain of our accounting policies require the application of significant judgment by management in selecting the appropriate assumptions for calculating financial estimates. By their nature, these judgments are subject to an inherent degree of uncertainty. These judgments are based on our historical experience, terms of existing contracts, our evaluation of trends in the industry and information available from other outside sources, as appropriate. We evaluate our estimates and judgments on an on-going basis. Our actual results may differ from these estimates. Judgments and uncertainties affecting the application of those policies may result in materially different amounts being reported under different conditions or using different assumptions. There have been no significant changes to our critical accounting policies as disclosed in “</w:t>
      </w:r>
      <w:r>
        <w:rPr>
          <w:rFonts w:ascii="Times New Roman" w:cs="Times New Roman" w:eastAsia="Times New Roman" w:hAnsi="Times New Roman"/>
          <w:sz w:val="18"/>
          <w:szCs w:val="18"/>
          <w:i w:val="1"/>
          <w:iCs w:val="1"/>
          <w:color w:val="auto"/>
        </w:rPr>
        <w:t>Critical Accounting Estimates</w:t>
      </w:r>
      <w:r>
        <w:rPr>
          <w:rFonts w:ascii="Times New Roman" w:cs="Times New Roman" w:eastAsia="Times New Roman" w:hAnsi="Times New Roman"/>
          <w:sz w:val="18"/>
          <w:szCs w:val="18"/>
          <w:color w:val="auto"/>
        </w:rPr>
        <w:t>” in the 2023 Form 10-K.</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119"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For a discussion of recently issued accounting pronouncements, see Note 2,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 in the accompanying notes to the unaudited interim consolidated financial statements.</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tab/>
        <w:t>Quantitative and Qualitative Disclosures About Market Risk</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We are exposed to interest rate risk through fluctuations in interest rates on our debt obligations. On June 23, 2023, we entered into a variable-to-fixed interest rate swap agreement with two financial institutions to hedge $90.0 million of the $122.5 million outstanding variable rate debt. Under the terms of the interest rate swap agreement, the Company will pay a weighted average fixed rate of 4.16% on the notional amount and will receive payments from the counterparties based on the three-month secured overnight financing rate. Refer to Note 8, </w:t>
      </w:r>
      <w:r>
        <w:rPr>
          <w:rFonts w:ascii="Times New Roman" w:cs="Times New Roman" w:eastAsia="Times New Roman" w:hAnsi="Times New Roman"/>
          <w:sz w:val="18"/>
          <w:szCs w:val="18"/>
          <w:i w:val="1"/>
          <w:iCs w:val="1"/>
          <w:color w:val="auto"/>
        </w:rPr>
        <w:t>Interest Rate Swaps</w:t>
      </w:r>
      <w:r>
        <w:rPr>
          <w:rFonts w:ascii="Times New Roman" w:cs="Times New Roman" w:eastAsia="Times New Roman" w:hAnsi="Times New Roman"/>
          <w:sz w:val="18"/>
          <w:szCs w:val="18"/>
          <w:color w:val="auto"/>
        </w:rPr>
        <w:t>, in the accompanying notes to the unaudited interim consolidated financial statements.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Except as described above, there have been no material changes to our exposure to market risks as disclosed in the 2023 Form 10-K.</w:t>
      </w:r>
    </w:p>
    <w:p>
      <w:pPr>
        <w:spacing w:after="0" w:line="329"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responsible for establishing and maintaining disclosure controls and procedures, as defined in Rules 13a-15(e) and 15d-15(e) under the Securities Exchange Act of 1934, as amended (the “Exchange Act”), that are designed to ensure that information required to be disclosed in our reports filed or submitted under the Exchange Act, such as this Quarterly Report on Form 10-Q, is recorded, processed, summarized and reported within the time periods specified in the SEC’s rules and forms.</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Disclosure controls and procedures also include, without limitation, controls and procedures that are designed to ensure that such information is accumulated and communicated to our management, including our Chief Executive Officer and Chief Financial Officer, as appropriate, to allow timely decisions regarding required disclosure.</w:t>
      </w:r>
    </w:p>
    <w:p>
      <w:pPr>
        <w:spacing w:after="0" w:line="20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Chief Financial Officer, has evaluated the effectiveness of our disclosure controls and procedures as of the end of the period covered by this Quarterly Report on Form 10-Q. Due to the material weaknesses in our internal control over financial reporting discussed below, our Chief Executive Officer and Chief Financial Officer concluded that, as of March 31, 2024, our disclosure controls and procedures were not effective. In light of this fact, our management has performed additional analyses, reconciliations, and other post-closing procedures and has concluded that, notwithstanding the material weaknesses in our internal control over financial reporting, the consolidated financial statements for the periods covered by and included in this Quarterly Report on Form 10-Q fairly present, in all material respects, our financial position, results of operations and cash flows for the periods presented in conformity with GAAP.</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Previously Identified Material Weaknesses</w:t>
      </w:r>
    </w:p>
    <w:p>
      <w:pPr>
        <w:spacing w:after="0" w:line="243"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 material weakness is a deficiency, or a combination of deficiencies, in internal control over financial reporting, such that there is a reasonable possibility that a material misstatement of annual or interim financial statements would not be prevented or detected on a timely basis.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Refer to the management report on internal control over financial reporting in Part II - Item 9A of the 2023 Form 10-K filed with SEC on March 5, 2024 for a discussion of the material weaknesses that continue to exist as of March 31, 2024.</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Remediation Efforts</w:t>
      </w:r>
    </w:p>
    <w:p>
      <w:pPr>
        <w:spacing w:after="0" w:line="243"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We continue to implement measures designed to improve the Company’s internal control over financial reporting to address and remediate the previously identified material weaknesses. To date, such measures include the following:</w:t>
      </w:r>
    </w:p>
    <w:p>
      <w:pPr>
        <w:spacing w:after="0" w:line="203" w:lineRule="exact"/>
        <w:rPr>
          <w:sz w:val="20"/>
          <w:szCs w:val="20"/>
          <w:color w:val="auto"/>
        </w:rPr>
      </w:pPr>
    </w:p>
    <w:p>
      <w:pPr>
        <w:ind w:left="660" w:hanging="328"/>
        <w:spacing w:after="0" w:line="261"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Hired new and reassigned existing financial reporting, accounting, and information technology leadership with public company experience to enhance public company financial reporting, technical accounting, and information technology services and solutions.</w:t>
      </w:r>
    </w:p>
    <w:p>
      <w:pPr>
        <w:ind w:left="660" w:hanging="328"/>
        <w:spacing w:after="0" w:line="250"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Augmented financial reporting capabilities by staffing professionals with knowledge and experience in income tax, internal audit, information technology, and legal.</w:t>
      </w:r>
    </w:p>
    <w:p>
      <w:pPr>
        <w:jc w:val="both"/>
        <w:ind w:left="660" w:hanging="328"/>
        <w:spacing w:after="0" w:line="250"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Established various policies, including a formal delegation of authority policy defining the protocols for reviewing and authorizing commitments, contracts, invoices, and transactions as well as a comprehensive set of information technology policies to govern the Company’s information technology practices.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Formalized certain roles and reviewed responsibilities, including ensuring appropriate segregation of duties.</w:t>
      </w:r>
    </w:p>
    <w:p>
      <w:pPr>
        <w:spacing w:after="0" w:line="9"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and implemented period-end financial reporting controls, such as controls over the preparation and review of account reconciliations, financial statement disclosures, and the consolidated financial statements, including controls around classification of cash flows and disclosure of noncash items, as well as establishing a formal management Disclosure Committee to review the draft financial statements and disclosures prior to release, including a sub-certification process from various functional groups.</w:t>
      </w:r>
    </w:p>
    <w:p>
      <w:pPr>
        <w:spacing w:after="0" w:line="1"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Enhanced access restrictions for certain users over general ledger journal entries and designed new processes to further segregate journal entry creation from journal entry approval authority.</w:t>
      </w:r>
    </w:p>
    <w:p>
      <w:pPr>
        <w:ind w:left="660" w:hanging="328"/>
        <w:spacing w:after="0" w:line="260"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and implemented controls over the accounting for income taxes to ensure the appropriate recording of deferred income taxes, income taxes and related disclosures.</w:t>
      </w:r>
    </w:p>
    <w:p>
      <w:pPr>
        <w:spacing w:after="0" w:line="2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While the material weaknesses previously disclosed have not yet been remediated as of March 31, 2024, management is devoting substantial resources to the ongoing remediation efforts. As we continue to evaluate and work to improve our internal control over financial reporting, we may take additional measures to address control deficiencies, or we may modify certain of the remediation measures described above. The material weaknesses will not be considered remediated until the applicable controls operate for a sufficient period of time and management has concluded, through testing, that these controls are designed and operating effectively.</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There have been no changes in our internal control over financial reporting during the fiscal quarter ended March 31, 2024 that have materially affected, or are reasonably likely to materially affect, the Company’s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333"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From time to time, we are involved in various claims and legal actions that arise in the ordinary course of business. We currently do not believe that the ultimate resolution of any of these actions, individually or taken in the aggregate, will have a material adverse effect on our financial position, results of operations, liquidity or capital resources. A significant increase in the number of claims or an increase in amounts owing under successful claims could materially adversely affect our business, financial condition, results of operations and cash flows. See Note 12,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in the accompanying notes to the unaudited interim consolidated financial statements.</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to the other information discussed in this report, please consider the factors described in Part I, Item 1A., “Risk Factors” in our 2023 Form 10-K which could materially affect our business, financial condition or future results. The information presented below updates, and should be read in conjunction with, the risk factors disclosed in our 2023 Form 10-K. We are making the below updates to reflect that, due to Advent’s sales of our common stock on March 12, 2024, we are no longer considered a “controlled company” under Nasdaq listing rules. Except as presented below, there have been no material changes to the risk factors disclosed in our 2023 Form 10-K, but these are not the only risks facing our Company. Additional risks and uncertainties not currently known to us or that we currently deem to be immaterial also may adversely affect our business, financial condition or results of operations.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risk factor has been updated:</w:t>
      </w:r>
    </w:p>
    <w:p>
      <w:pPr>
        <w:spacing w:after="0" w:line="24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the ownership of our common stock continues to be highly concentrated, it may prevent you and other minority stockholders from influencing significant corporate decisions and may result in conflicts of interest. Although we are no longer a “controlled company” within the meaning of the rules of the Nasdaq, Advent will continue to exert substantial influence over us.</w:t>
      </w:r>
    </w:p>
    <w:p>
      <w:pPr>
        <w:spacing w:after="0" w:line="2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Advent indirectly beneficially owns approximately 45% of our outstanding common stock. Although we are no longer a “controlled company” within the meaning of the Nasdaq listing rules, Advent indirectly beneficially owns shares sufficient to significantly influence all matters requiring stockholder votes, including: the election of directors; mergers, consolidations and acquisitions; the sale of all or substantially all of our assets and other decisions affecting our capital structure; amendments to our certificate of incorporation or our bylaws; and our winding up and dissolution.</w:t>
      </w:r>
    </w:p>
    <w:p>
      <w:pPr>
        <w:spacing w:after="0" w:line="20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This concentration of ownership may delay, deter or prevent acts that would be favored by our other stockholders. The interests of Advent may not always coincide with our interests or the interests of our other stockholders. This concentration of ownership may also have the effect of delaying, preventing or deterring a change in control of us. Also, Advent may seek to cause us to take courses of action that, in its judgment, could enhance its investment in us, but which might involve risks to our other stockholders or adversely affect us or our other stockholders. As a result, the market price of our common stock could decline or stockholders might not receive a premium over the then-current market price of our common stock upon a change in control. In addition, this concentration of share ownership may adversely affect the trading price of our common stock because investors may perceive disadvantages in owning shares in a company with significant stockholders.</w:t>
      </w:r>
    </w:p>
    <w:p>
      <w:pPr>
        <w:spacing w:after="0" w:line="212"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Unregistered Sales of Equity Securities and Use of Proceeds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48"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tab/>
        <w:t>Defaults Upon Senior Securities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48"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5.</w:t>
        <w:tab/>
        <w:t>Other Information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Insider Adoption or Termination of Trading Arrangements:</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During the fiscal quarter ended March 31, 2024, none of our directors or officers adopted or terminated a “Rule 10b5-1 trading arrangement” or “non-Rule 10b5-1 trading arrangement,” as those terms are defined in Regulation S-K, Item 408, except as described in the table below:</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Character of Trading</w:t>
            </w:r>
          </w:p>
        </w:tc>
        <w:tc>
          <w:tcPr>
            <w:tcW w:w="248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Aggregate Number of Shares of</w:t>
            </w:r>
          </w:p>
        </w:tc>
        <w:tc>
          <w:tcPr>
            <w:tcW w:w="2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3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 &amp; Title</w:t>
            </w:r>
          </w:p>
        </w:tc>
        <w:tc>
          <w:tcPr>
            <w:tcW w:w="11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Date Adopted</w:t>
            </w:r>
          </w:p>
        </w:tc>
        <w:tc>
          <w:tcPr>
            <w:tcW w:w="1660" w:type="dxa"/>
            <w:vAlign w:val="bottom"/>
            <w:gridSpan w:val="2"/>
            <w:vMerge w:val="continue"/>
          </w:tcPr>
          <w:p>
            <w:pPr>
              <w:spacing w:after="0"/>
              <w:rPr>
                <w:sz w:val="12"/>
                <w:szCs w:val="12"/>
                <w:color w:val="auto"/>
              </w:rPr>
            </w:pPr>
          </w:p>
        </w:tc>
        <w:tc>
          <w:tcPr>
            <w:tcW w:w="2480" w:type="dxa"/>
            <w:vAlign w:val="bottom"/>
            <w:gridSpan w:val="2"/>
          </w:tcPr>
          <w:p>
            <w:pPr>
              <w:ind w:left="20"/>
              <w:spacing w:after="0" w:line="146" w:lineRule="exact"/>
              <w:rPr>
                <w:sz w:val="20"/>
                <w:szCs w:val="20"/>
                <w:color w:val="auto"/>
              </w:rPr>
            </w:pPr>
            <w:r>
              <w:rPr>
                <w:rFonts w:ascii="Times New Roman" w:cs="Times New Roman" w:eastAsia="Times New Roman" w:hAnsi="Times New Roman"/>
                <w:sz w:val="14"/>
                <w:szCs w:val="14"/>
                <w:b w:val="1"/>
                <w:bCs w:val="1"/>
                <w:color w:val="auto"/>
              </w:rPr>
              <w:t>Common Stock to be Sold Pursuant to</w:t>
            </w:r>
          </w:p>
        </w:tc>
        <w:tc>
          <w:tcPr>
            <w:tcW w:w="2200" w:type="dxa"/>
            <w:vAlign w:val="bottom"/>
            <w:gridSpan w:val="2"/>
            <w:vMerge w:val="restart"/>
          </w:tcPr>
          <w:p>
            <w:pPr>
              <w:ind w:left="680"/>
              <w:spacing w:after="0"/>
              <w:rPr>
                <w:sz w:val="20"/>
                <w:szCs w:val="20"/>
                <w:color w:val="auto"/>
              </w:rPr>
            </w:pPr>
            <w:r>
              <w:rPr>
                <w:rFonts w:ascii="Times New Roman" w:cs="Times New Roman" w:eastAsia="Times New Roman" w:hAnsi="Times New Roman"/>
                <w:sz w:val="14"/>
                <w:szCs w:val="14"/>
                <w:b w:val="1"/>
                <w:bCs w:val="1"/>
                <w:color w:val="auto"/>
              </w:rPr>
              <w:t>Duration (2)</w:t>
            </w:r>
          </w:p>
        </w:tc>
        <w:tc>
          <w:tcPr>
            <w:tcW w:w="0" w:type="dxa"/>
            <w:vAlign w:val="bottom"/>
          </w:tcPr>
          <w:p>
            <w:pPr>
              <w:spacing w:after="0"/>
              <w:rPr>
                <w:sz w:val="1"/>
                <w:szCs w:val="1"/>
                <w:color w:val="auto"/>
              </w:rPr>
            </w:pPr>
          </w:p>
        </w:tc>
      </w:tr>
      <w:tr>
        <w:trPr>
          <w:trHeight w:val="198"/>
        </w:trPr>
        <w:tc>
          <w:tcPr>
            <w:tcW w:w="3800" w:type="dxa"/>
            <w:vAlign w:val="bottom"/>
            <w:gridSpan w:val="2"/>
            <w:vMerge w:val="continue"/>
          </w:tcPr>
          <w:p>
            <w:pPr>
              <w:spacing w:after="0"/>
              <w:rPr>
                <w:sz w:val="17"/>
                <w:szCs w:val="17"/>
                <w:color w:val="auto"/>
              </w:rPr>
            </w:pPr>
          </w:p>
        </w:tc>
        <w:tc>
          <w:tcPr>
            <w:tcW w:w="1100" w:type="dxa"/>
            <w:vAlign w:val="bottom"/>
            <w:gridSpan w:val="2"/>
            <w:vMerge w:val="continue"/>
          </w:tcPr>
          <w:p>
            <w:pPr>
              <w:spacing w:after="0"/>
              <w:rPr>
                <w:sz w:val="17"/>
                <w:szCs w:val="17"/>
                <w:color w:val="auto"/>
              </w:rPr>
            </w:pPr>
          </w:p>
        </w:tc>
        <w:tc>
          <w:tcPr>
            <w:tcW w:w="166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Arrangement (1)</w:t>
            </w:r>
          </w:p>
        </w:tc>
        <w:tc>
          <w:tcPr>
            <w:tcW w:w="2480" w:type="dxa"/>
            <w:vAlign w:val="bottom"/>
            <w:gridSpan w:val="2"/>
          </w:tcPr>
          <w:p>
            <w:pPr>
              <w:ind w:left="520"/>
              <w:spacing w:after="0"/>
              <w:rPr>
                <w:sz w:val="20"/>
                <w:szCs w:val="20"/>
                <w:color w:val="auto"/>
              </w:rPr>
            </w:pPr>
            <w:r>
              <w:rPr>
                <w:rFonts w:ascii="Times New Roman" w:cs="Times New Roman" w:eastAsia="Times New Roman" w:hAnsi="Times New Roman"/>
                <w:sz w:val="14"/>
                <w:szCs w:val="14"/>
                <w:b w:val="1"/>
                <w:bCs w:val="1"/>
                <w:color w:val="auto"/>
              </w:rPr>
              <w:t>Trading Arrangement</w:t>
            </w:r>
          </w:p>
        </w:tc>
        <w:tc>
          <w:tcPr>
            <w:tcW w:w="220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3700" w:type="dxa"/>
            <w:vAlign w:val="bottom"/>
            <w:tcBorders>
              <w:top w:val="single" w:sz="8" w:color="auto"/>
            </w:tcBorders>
            <w:shd w:val="clear" w:color="auto" w:fill="CCEEFF"/>
          </w:tcPr>
          <w:p>
            <w:pPr>
              <w:ind w:left="20"/>
              <w:spacing w:after="0" w:line="174" w:lineRule="exact"/>
              <w:rPr>
                <w:sz w:val="20"/>
                <w:szCs w:val="20"/>
                <w:color w:val="auto"/>
              </w:rPr>
            </w:pPr>
            <w:r>
              <w:rPr>
                <w:rFonts w:ascii="Times New Roman" w:cs="Times New Roman" w:eastAsia="Times New Roman" w:hAnsi="Times New Roman"/>
                <w:sz w:val="18"/>
                <w:szCs w:val="18"/>
                <w:color w:val="auto"/>
              </w:rPr>
              <w:t xml:space="preserve">Christoper A. Tomasso, </w:t>
            </w:r>
            <w:r>
              <w:rPr>
                <w:rFonts w:ascii="Times New Roman" w:cs="Times New Roman" w:eastAsia="Times New Roman" w:hAnsi="Times New Roman"/>
                <w:sz w:val="18"/>
                <w:szCs w:val="18"/>
                <w:i w:val="1"/>
                <w:iCs w:val="1"/>
                <w:color w:val="auto"/>
              </w:rPr>
              <w:t>President and Chief</w:t>
            </w:r>
          </w:p>
        </w:tc>
        <w:tc>
          <w:tcPr>
            <w:tcW w:w="100" w:type="dxa"/>
            <w:vAlign w:val="bottom"/>
            <w:tcBorders>
              <w:top w:val="single" w:sz="8" w:color="CCEEFF"/>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jc w:val="center"/>
              <w:spacing w:after="0" w:line="174" w:lineRule="exact"/>
              <w:rPr>
                <w:sz w:val="20"/>
                <w:szCs w:val="20"/>
                <w:color w:val="auto"/>
              </w:rPr>
            </w:pPr>
            <w:r>
              <w:rPr>
                <w:rFonts w:ascii="Times New Roman" w:cs="Times New Roman" w:eastAsia="Times New Roman" w:hAnsi="Times New Roman"/>
                <w:sz w:val="18"/>
                <w:szCs w:val="18"/>
                <w:color w:val="auto"/>
                <w:w w:val="99"/>
              </w:rPr>
              <w:t>3/8/2024</w:t>
            </w:r>
          </w:p>
        </w:tc>
        <w:tc>
          <w:tcPr>
            <w:tcW w:w="80" w:type="dxa"/>
            <w:vAlign w:val="bottom"/>
            <w:tcBorders>
              <w:top w:val="single" w:sz="8" w:color="CCEEFF"/>
            </w:tcBorders>
            <w:shd w:val="clear" w:color="auto" w:fill="CCEEFF"/>
          </w:tcPr>
          <w:p>
            <w:pPr>
              <w:spacing w:after="0"/>
              <w:rPr>
                <w:sz w:val="15"/>
                <w:szCs w:val="15"/>
                <w:color w:val="auto"/>
              </w:rPr>
            </w:pPr>
          </w:p>
        </w:tc>
        <w:tc>
          <w:tcPr>
            <w:tcW w:w="1560" w:type="dxa"/>
            <w:vAlign w:val="bottom"/>
            <w:tcBorders>
              <w:top w:val="single" w:sz="8" w:color="auto"/>
            </w:tcBorders>
            <w:shd w:val="clear" w:color="auto" w:fill="CCEEFF"/>
          </w:tcPr>
          <w:p>
            <w:pPr>
              <w:ind w:left="20"/>
              <w:spacing w:after="0" w:line="174" w:lineRule="exact"/>
              <w:rPr>
                <w:sz w:val="20"/>
                <w:szCs w:val="20"/>
                <w:color w:val="auto"/>
              </w:rPr>
            </w:pPr>
            <w:r>
              <w:rPr>
                <w:rFonts w:ascii="Times New Roman" w:cs="Times New Roman" w:eastAsia="Times New Roman" w:hAnsi="Times New Roman"/>
                <w:sz w:val="18"/>
                <w:szCs w:val="18"/>
                <w:color w:val="auto"/>
              </w:rPr>
              <w:t>Rule 10b5-1 Trading</w:t>
            </w:r>
          </w:p>
        </w:tc>
        <w:tc>
          <w:tcPr>
            <w:tcW w:w="100" w:type="dxa"/>
            <w:vAlign w:val="bottom"/>
            <w:tcBorders>
              <w:top w:val="single" w:sz="8" w:color="CCEEFF"/>
            </w:tcBorders>
            <w:shd w:val="clear" w:color="auto" w:fill="CCEEFF"/>
          </w:tcPr>
          <w:p>
            <w:pPr>
              <w:spacing w:after="0"/>
              <w:rPr>
                <w:sz w:val="15"/>
                <w:szCs w:val="15"/>
                <w:color w:val="auto"/>
              </w:rPr>
            </w:pPr>
          </w:p>
        </w:tc>
        <w:tc>
          <w:tcPr>
            <w:tcW w:w="2380" w:type="dxa"/>
            <w:vAlign w:val="bottom"/>
            <w:tcBorders>
              <w:top w:val="single" w:sz="8" w:color="auto"/>
            </w:tcBorders>
            <w:shd w:val="clear" w:color="auto" w:fill="CCEEFF"/>
          </w:tcPr>
          <w:p>
            <w:pPr>
              <w:ind w:left="20"/>
              <w:spacing w:after="0" w:line="174" w:lineRule="exact"/>
              <w:rPr>
                <w:sz w:val="20"/>
                <w:szCs w:val="20"/>
                <w:color w:val="auto"/>
              </w:rPr>
            </w:pPr>
            <w:r>
              <w:rPr>
                <w:rFonts w:ascii="Times New Roman" w:cs="Times New Roman" w:eastAsia="Times New Roman" w:hAnsi="Times New Roman"/>
                <w:sz w:val="18"/>
                <w:szCs w:val="18"/>
                <w:color w:val="auto"/>
              </w:rPr>
              <w:t>Up to 405,000 shares to be sold</w:t>
            </w:r>
          </w:p>
        </w:tc>
        <w:tc>
          <w:tcPr>
            <w:tcW w:w="100" w:type="dxa"/>
            <w:vAlign w:val="bottom"/>
            <w:tcBorders>
              <w:top w:val="single" w:sz="8" w:color="CCEEFF"/>
            </w:tcBorders>
            <w:shd w:val="clear" w:color="auto" w:fill="CCEEFF"/>
          </w:tcPr>
          <w:p>
            <w:pPr>
              <w:spacing w:after="0"/>
              <w:rPr>
                <w:sz w:val="15"/>
                <w:szCs w:val="15"/>
                <w:color w:val="auto"/>
              </w:rPr>
            </w:pPr>
          </w:p>
        </w:tc>
        <w:tc>
          <w:tcPr>
            <w:tcW w:w="2100" w:type="dxa"/>
            <w:vAlign w:val="bottom"/>
            <w:tcBorders>
              <w:top w:val="single" w:sz="8" w:color="auto"/>
            </w:tcBorders>
            <w:shd w:val="clear" w:color="auto" w:fill="CCEEFF"/>
          </w:tcPr>
          <w:p>
            <w:pPr>
              <w:jc w:val="right"/>
              <w:ind w:right="596"/>
              <w:spacing w:after="0" w:line="174" w:lineRule="exact"/>
              <w:rPr>
                <w:sz w:val="20"/>
                <w:szCs w:val="20"/>
                <w:color w:val="auto"/>
              </w:rPr>
            </w:pPr>
            <w:r>
              <w:rPr>
                <w:rFonts w:ascii="Times New Roman" w:cs="Times New Roman" w:eastAsia="Times New Roman" w:hAnsi="Times New Roman"/>
                <w:sz w:val="18"/>
                <w:szCs w:val="18"/>
                <w:color w:val="auto"/>
              </w:rPr>
              <w:t>6/17/2025</w:t>
            </w: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Executive Officer</w:t>
            </w:r>
          </w:p>
        </w:tc>
        <w:tc>
          <w:tcPr>
            <w:tcW w:w="10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Arrangement</w:t>
            </w:r>
          </w:p>
        </w:tc>
        <w:tc>
          <w:tcPr>
            <w:tcW w:w="2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21"/>
                <w:szCs w:val="21"/>
                <w:color w:val="auto"/>
              </w:rPr>
            </w:pPr>
          </w:p>
        </w:tc>
        <w:tc>
          <w:tcPr>
            <w:tcW w:w="2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380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 xml:space="preserve">Jay Wolszczak, </w:t>
            </w:r>
            <w:r>
              <w:rPr>
                <w:rFonts w:ascii="Times New Roman" w:cs="Times New Roman" w:eastAsia="Times New Roman" w:hAnsi="Times New Roman"/>
                <w:sz w:val="18"/>
                <w:szCs w:val="18"/>
                <w:i w:val="1"/>
                <w:iCs w:val="1"/>
                <w:color w:val="auto"/>
              </w:rPr>
              <w:t>Chief Legal Officer, General</w:t>
            </w:r>
          </w:p>
        </w:tc>
        <w:tc>
          <w:tcPr>
            <w:tcW w:w="10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3/6/2024</w:t>
            </w:r>
          </w:p>
        </w:tc>
        <w:tc>
          <w:tcPr>
            <w:tcW w:w="80" w:type="dxa"/>
            <w:vAlign w:val="bottom"/>
          </w:tcPr>
          <w:p>
            <w:pPr>
              <w:spacing w:after="0"/>
              <w:rPr>
                <w:sz w:val="15"/>
                <w:szCs w:val="15"/>
                <w:color w:val="auto"/>
              </w:rPr>
            </w:pPr>
          </w:p>
        </w:tc>
        <w:tc>
          <w:tcPr>
            <w:tcW w:w="166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Rule 10b5-1 Trading</w:t>
            </w:r>
          </w:p>
        </w:tc>
        <w:tc>
          <w:tcPr>
            <w:tcW w:w="248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Up to 45,000 shares to be sold</w:t>
            </w:r>
          </w:p>
        </w:tc>
        <w:tc>
          <w:tcPr>
            <w:tcW w:w="2100" w:type="dxa"/>
            <w:vAlign w:val="bottom"/>
          </w:tcPr>
          <w:p>
            <w:pPr>
              <w:jc w:val="right"/>
              <w:ind w:right="636"/>
              <w:spacing w:after="0" w:line="176" w:lineRule="exact"/>
              <w:rPr>
                <w:sz w:val="20"/>
                <w:szCs w:val="20"/>
                <w:color w:val="auto"/>
              </w:rPr>
            </w:pPr>
            <w:r>
              <w:rPr>
                <w:rFonts w:ascii="Times New Roman" w:cs="Times New Roman" w:eastAsia="Times New Roman" w:hAnsi="Times New Roman"/>
                <w:sz w:val="18"/>
                <w:szCs w:val="18"/>
                <w:color w:val="auto"/>
              </w:rPr>
              <w:t>3/6/2025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380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Counsel &amp; Secretary</w:t>
            </w: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Arrangement</w:t>
            </w:r>
          </w:p>
        </w:tc>
        <w:tc>
          <w:tcPr>
            <w:tcW w:w="2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w:t>
      </w:r>
    </w:p>
    <w:p>
      <w:pPr>
        <w:spacing w:after="0" w:line="27" w:lineRule="exact"/>
        <w:rPr>
          <w:sz w:val="20"/>
          <w:szCs w:val="20"/>
          <w:color w:val="auto"/>
        </w:rPr>
      </w:pPr>
    </w:p>
    <w:p>
      <w:pPr>
        <w:ind w:firstLine="8"/>
        <w:spacing w:after="0" w:line="250" w:lineRule="auto"/>
        <w:tabs>
          <w:tab w:leader="none" w:pos="2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trading arrangement marked as a “Rule 10b5-1 Trading Arrangement” is intended to satisfy the affirmative defense of Rule 10b5-1(c), as amended (the “Rule”).</w:t>
      </w:r>
    </w:p>
    <w:p>
      <w:pPr>
        <w:jc w:val="both"/>
        <w:ind w:firstLine="8"/>
        <w:spacing w:after="0" w:line="250" w:lineRule="auto"/>
        <w:tabs>
          <w:tab w:leader="none" w:pos="2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trading arrangement permits transactions through and including the earliest to occur of (i) the completion of all purchases or sales or the expiration of all of the orders relating to such trades, or (ii) the date listed in the table. Trading arrangements marked as a “Rule 10b5-1 Trading Arrangement” only permits transactions upon the expiration of the applicable mandatory cooling-off period under the Rule.</w:t>
      </w:r>
    </w:p>
    <w:p>
      <w:pPr>
        <w:spacing w:after="0" w:line="1" w:lineRule="exact"/>
        <w:rPr>
          <w:rFonts w:ascii="Times New Roman" w:cs="Times New Roman" w:eastAsia="Times New Roman" w:hAnsi="Times New Roman"/>
          <w:sz w:val="18"/>
          <w:szCs w:val="18"/>
          <w:color w:val="auto"/>
        </w:rPr>
      </w:pPr>
    </w:p>
    <w:p>
      <w:pPr>
        <w:jc w:val="both"/>
        <w:ind w:firstLine="8"/>
        <w:spacing w:after="0" w:line="250" w:lineRule="auto"/>
        <w:tabs>
          <w:tab w:leader="none" w:pos="276"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Tomasso’s trading plan provides for the sale of up to 405,000 shares on a quarterly basis as follows: (i) Up to 150,000 shares during the first quarterly period beginning on the later of June 17, 2024 or the end of the applicable mandatory cooling-off period and ending September 6, 2024, (ii) up to 150,000 shares during the second quarterly period beginning September 9, 2024 and ending December 9, 2024, (iii) up to 150,000 shares during the third quarterly period beginning December 10, 2024 and ending March 10, 2025, and (iv) up to 150,000 shares during the fourth quarterly period beginning March 11, 2025 and ending June 13, 2025. The sales in each quarterly period are subject to limit prices.</w:t>
      </w:r>
    </w:p>
    <w:p>
      <w:pPr>
        <w:spacing w:after="0" w:line="1"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Wolszczak’s trading plan provides for the sale of up to 45,000 shares after the applicable mandatory cooling-off period subject to limit prices.</w:t>
      </w:r>
    </w:p>
    <w:p>
      <w:pPr>
        <w:spacing w:after="0" w:line="200" w:lineRule="exact"/>
        <w:rPr>
          <w:sz w:val="20"/>
          <w:szCs w:val="20"/>
          <w:color w:val="auto"/>
        </w:rPr>
      </w:pPr>
    </w:p>
    <w:p>
      <w:pPr>
        <w:spacing w:after="0" w:line="205"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Exhibits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exhibits listed in the Exhibits index to this Form 10-Q are incorporated herein by reference.</w:t>
      </w: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100" w:type="dxa"/>
            <w:vAlign w:val="bottom"/>
            <w:vMerge w:val="restart"/>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120" w:type="dxa"/>
            <w:vAlign w:val="bottom"/>
            <w:gridSpan w:val="5"/>
            <w:vMerge w:val="restart"/>
          </w:tcPr>
          <w:p>
            <w:pPr>
              <w:ind w:left="15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00" w:type="dxa"/>
            <w:vAlign w:val="bottom"/>
            <w:vMerge w:val="restart"/>
          </w:tcPr>
          <w:p>
            <w:pPr>
              <w:spacing w:after="0"/>
              <w:rPr>
                <w:sz w:val="13"/>
                <w:szCs w:val="13"/>
                <w:color w:val="auto"/>
              </w:rPr>
            </w:pPr>
          </w:p>
        </w:tc>
        <w:tc>
          <w:tcPr>
            <w:tcW w:w="378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FILINGS REFERENCED FOR INCORPORATION BY</w:t>
            </w:r>
          </w:p>
        </w:tc>
        <w:tc>
          <w:tcPr>
            <w:tcW w:w="0" w:type="dxa"/>
            <w:vAlign w:val="bottom"/>
          </w:tcPr>
          <w:p>
            <w:pPr>
              <w:spacing w:after="0"/>
              <w:rPr>
                <w:sz w:val="1"/>
                <w:szCs w:val="1"/>
                <w:color w:val="auto"/>
              </w:rPr>
            </w:pPr>
          </w:p>
        </w:tc>
      </w:tr>
      <w:tr>
        <w:trPr>
          <w:trHeight w:val="195"/>
        </w:trPr>
        <w:tc>
          <w:tcPr>
            <w:tcW w:w="78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5120" w:type="dxa"/>
            <w:vAlign w:val="bottom"/>
            <w:tcBorders>
              <w:bottom w:val="single" w:sz="8" w:color="auto"/>
            </w:tcBorders>
            <w:gridSpan w:val="5"/>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3780" w:type="dxa"/>
            <w:vAlign w:val="bottom"/>
            <w:tcBorders>
              <w:bottom w:val="single" w:sz="8" w:color="auto"/>
            </w:tcBorders>
          </w:tcPr>
          <w:p>
            <w:pPr>
              <w:ind w:left="1440"/>
              <w:spacing w:after="0"/>
              <w:rPr>
                <w:sz w:val="20"/>
                <w:szCs w:val="20"/>
                <w:color w:val="auto"/>
              </w:rPr>
            </w:pPr>
            <w:r>
              <w:rPr>
                <w:rFonts w:ascii="Times New Roman" w:cs="Times New Roman" w:eastAsia="Times New Roman" w:hAnsi="Times New Roman"/>
                <w:sz w:val="14"/>
                <w:szCs w:val="14"/>
                <w:b w:val="1"/>
                <w:bCs w:val="1"/>
                <w:color w:val="auto"/>
              </w:rPr>
              <w:t>REFERENCE</w:t>
            </w:r>
          </w:p>
        </w:tc>
        <w:tc>
          <w:tcPr>
            <w:tcW w:w="0" w:type="dxa"/>
            <w:vAlign w:val="bottom"/>
          </w:tcPr>
          <w:p>
            <w:pPr>
              <w:spacing w:after="0"/>
              <w:rPr>
                <w:sz w:val="1"/>
                <w:szCs w:val="1"/>
                <w:color w:val="auto"/>
              </w:rPr>
            </w:pPr>
          </w:p>
        </w:tc>
      </w:tr>
      <w:tr>
        <w:trPr>
          <w:trHeight w:val="228"/>
        </w:trPr>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56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Certification of the Chief Executive Officer pursuant to Section 302 of the Sarbanes-</w:t>
            </w:r>
          </w:p>
        </w:tc>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Filed herewith</w:t>
            </w:r>
          </w:p>
        </w:tc>
        <w:tc>
          <w:tcPr>
            <w:tcW w:w="0" w:type="dxa"/>
            <w:vAlign w:val="bottom"/>
          </w:tcPr>
          <w:p>
            <w:pPr>
              <w:spacing w:after="0"/>
              <w:rPr>
                <w:sz w:val="1"/>
                <w:szCs w:val="1"/>
                <w:color w:val="auto"/>
              </w:rPr>
            </w:pPr>
          </w:p>
        </w:tc>
      </w:tr>
      <w:tr>
        <w:trPr>
          <w:trHeight w:val="155"/>
        </w:trPr>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40" w:type="dxa"/>
            <w:vAlign w:val="bottom"/>
            <w:tcBorders>
              <w:top w:val="single" w:sz="8" w:color="0000FF"/>
              <w:bottom w:val="single" w:sz="8" w:color="0000FF"/>
            </w:tcBorders>
            <w:gridSpan w:val="2"/>
          </w:tcPr>
          <w:p>
            <w:pPr>
              <w:spacing w:after="0" w:line="156" w:lineRule="exact"/>
              <w:rPr>
                <w:sz w:val="20"/>
                <w:szCs w:val="20"/>
                <w:color w:val="auto"/>
              </w:rPr>
            </w:pPr>
            <w:r>
              <w:rPr>
                <w:rFonts w:ascii="Times New Roman" w:cs="Times New Roman" w:eastAsia="Times New Roman" w:hAnsi="Times New Roman"/>
                <w:sz w:val="18"/>
                <w:szCs w:val="18"/>
                <w:color w:val="0000FF"/>
                <w:w w:val="98"/>
              </w:rPr>
              <w:t>Oxley Act of 2002</w:t>
            </w:r>
          </w:p>
        </w:tc>
        <w:tc>
          <w:tcPr>
            <w:tcW w:w="4760" w:type="dxa"/>
            <w:vAlign w:val="bottom"/>
            <w:tcBorders>
              <w:top w:val="single" w:sz="8" w:color="0000FF"/>
            </w:tcBorders>
            <w:gridSpan w:val="3"/>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gridSpan w:val="2"/>
          </w:tcPr>
          <w:p>
            <w:pPr>
              <w:spacing w:after="0"/>
              <w:rPr>
                <w:sz w:val="13"/>
                <w:szCs w:val="13"/>
                <w:color w:val="auto"/>
              </w:rPr>
            </w:pPr>
          </w:p>
        </w:tc>
        <w:tc>
          <w:tcPr>
            <w:tcW w:w="3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56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Certification of the Chief Financial Officer pursuant to Section 302 of the Sarbanes-</w:t>
            </w:r>
          </w:p>
        </w:tc>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Filed herewith</w:t>
            </w:r>
          </w:p>
        </w:tc>
        <w:tc>
          <w:tcPr>
            <w:tcW w:w="0" w:type="dxa"/>
            <w:vAlign w:val="bottom"/>
          </w:tcPr>
          <w:p>
            <w:pPr>
              <w:spacing w:after="0"/>
              <w:rPr>
                <w:sz w:val="1"/>
                <w:szCs w:val="1"/>
                <w:color w:val="auto"/>
              </w:rPr>
            </w:pPr>
          </w:p>
        </w:tc>
      </w:tr>
      <w:tr>
        <w:trPr>
          <w:trHeight w:val="155"/>
        </w:trPr>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40" w:type="dxa"/>
            <w:vAlign w:val="bottom"/>
            <w:tcBorders>
              <w:top w:val="single" w:sz="8" w:color="0000FF"/>
              <w:bottom w:val="single" w:sz="8" w:color="0000FF"/>
            </w:tcBorders>
            <w:gridSpan w:val="2"/>
          </w:tcPr>
          <w:p>
            <w:pPr>
              <w:spacing w:after="0" w:line="156" w:lineRule="exact"/>
              <w:rPr>
                <w:sz w:val="20"/>
                <w:szCs w:val="20"/>
                <w:color w:val="auto"/>
              </w:rPr>
            </w:pPr>
            <w:r>
              <w:rPr>
                <w:rFonts w:ascii="Times New Roman" w:cs="Times New Roman" w:eastAsia="Times New Roman" w:hAnsi="Times New Roman"/>
                <w:sz w:val="18"/>
                <w:szCs w:val="18"/>
                <w:color w:val="0000FF"/>
                <w:w w:val="98"/>
              </w:rPr>
              <w:t>Oxley Act of 2002</w:t>
            </w:r>
          </w:p>
        </w:tc>
        <w:tc>
          <w:tcPr>
            <w:tcW w:w="4700" w:type="dxa"/>
            <w:vAlign w:val="bottom"/>
            <w:tcBorders>
              <w:top w:val="single" w:sz="8" w:color="0000FF"/>
            </w:tcBorders>
            <w:gridSpan w:val="2"/>
          </w:tcPr>
          <w:p>
            <w:pPr>
              <w:spacing w:after="0"/>
              <w:rPr>
                <w:sz w:val="13"/>
                <w:szCs w:val="13"/>
                <w:color w:val="auto"/>
              </w:rPr>
            </w:pPr>
          </w:p>
        </w:tc>
        <w:tc>
          <w:tcPr>
            <w:tcW w:w="180" w:type="dxa"/>
            <w:vAlign w:val="bottom"/>
            <w:gridSpan w:val="2"/>
          </w:tcPr>
          <w:p>
            <w:pPr>
              <w:spacing w:after="0"/>
              <w:rPr>
                <w:sz w:val="13"/>
                <w:szCs w:val="13"/>
                <w:color w:val="auto"/>
              </w:rPr>
            </w:pPr>
          </w:p>
        </w:tc>
        <w:tc>
          <w:tcPr>
            <w:tcW w:w="340" w:type="dxa"/>
            <w:vAlign w:val="bottom"/>
            <w:gridSpan w:val="2"/>
          </w:tcPr>
          <w:p>
            <w:pPr>
              <w:spacing w:after="0"/>
              <w:rPr>
                <w:sz w:val="13"/>
                <w:szCs w:val="13"/>
                <w:color w:val="auto"/>
              </w:rPr>
            </w:pPr>
          </w:p>
        </w:tc>
        <w:tc>
          <w:tcPr>
            <w:tcW w:w="3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32.1*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56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Certification of Chief Executive Officer and Chief Financial Officer pursuant to 18</w:t>
            </w:r>
          </w:p>
        </w:tc>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Furnished herewith</w:t>
            </w:r>
          </w:p>
        </w:tc>
        <w:tc>
          <w:tcPr>
            <w:tcW w:w="0" w:type="dxa"/>
            <w:vAlign w:val="bottom"/>
          </w:tcPr>
          <w:p>
            <w:pPr>
              <w:spacing w:after="0"/>
              <w:rPr>
                <w:sz w:val="1"/>
                <w:szCs w:val="1"/>
                <w:color w:val="auto"/>
              </w:rPr>
            </w:pPr>
          </w:p>
        </w:tc>
      </w:tr>
      <w:tr>
        <w:trPr>
          <w:trHeight w:val="155"/>
        </w:trPr>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960" w:type="dxa"/>
            <w:vAlign w:val="bottom"/>
            <w:tcBorders>
              <w:top w:val="single" w:sz="8" w:color="0000FF"/>
            </w:tcBorders>
            <w:gridSpan w:val="3"/>
          </w:tcPr>
          <w:p>
            <w:pPr>
              <w:spacing w:after="0" w:line="156" w:lineRule="exact"/>
              <w:rPr>
                <w:sz w:val="20"/>
                <w:szCs w:val="20"/>
                <w:color w:val="auto"/>
              </w:rPr>
            </w:pPr>
            <w:r>
              <w:rPr>
                <w:rFonts w:ascii="Times New Roman" w:cs="Times New Roman" w:eastAsia="Times New Roman" w:hAnsi="Times New Roman"/>
                <w:sz w:val="18"/>
                <w:szCs w:val="18"/>
                <w:color w:val="0000FF"/>
                <w:w w:val="98"/>
              </w:rPr>
              <w:t>U.S.C. Section 1350, as adopted pursuant to Section 906 of the Sarbanes-Oxley Act</w:t>
            </w:r>
          </w:p>
        </w:tc>
        <w:tc>
          <w:tcPr>
            <w:tcW w:w="600" w:type="dxa"/>
            <w:vAlign w:val="bottom"/>
            <w:gridSpan w:val="5"/>
          </w:tcPr>
          <w:p>
            <w:pPr>
              <w:ind w:left="120"/>
              <w:spacing w:after="0" w:line="156" w:lineRule="exact"/>
              <w:rPr>
                <w:sz w:val="20"/>
                <w:szCs w:val="20"/>
                <w:color w:val="auto"/>
              </w:rPr>
            </w:pPr>
            <w:r>
              <w:rPr>
                <w:rFonts w:ascii="Times New Roman" w:cs="Times New Roman" w:eastAsia="Times New Roman" w:hAnsi="Times New Roman"/>
                <w:sz w:val="18"/>
                <w:szCs w:val="18"/>
                <w:color w:val="0000FF"/>
              </w:rPr>
              <w:t>of</w:t>
            </w:r>
          </w:p>
        </w:tc>
        <w:tc>
          <w:tcPr>
            <w:tcW w:w="3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Borders>
              <w:top w:val="single" w:sz="8" w:color="0000FF"/>
              <w:bottom w:val="single" w:sz="8" w:color="0000FF"/>
            </w:tcBorders>
          </w:tcPr>
          <w:p>
            <w:pPr>
              <w:spacing w:after="0" w:line="169" w:lineRule="exact"/>
              <w:rPr>
                <w:sz w:val="20"/>
                <w:szCs w:val="20"/>
                <w:color w:val="auto"/>
              </w:rPr>
            </w:pPr>
            <w:r>
              <w:rPr>
                <w:rFonts w:ascii="Times New Roman" w:cs="Times New Roman" w:eastAsia="Times New Roman" w:hAnsi="Times New Roman"/>
                <w:sz w:val="18"/>
                <w:szCs w:val="18"/>
                <w:color w:val="0000FF"/>
                <w:w w:val="88"/>
              </w:rPr>
              <w:t>2002</w:t>
            </w:r>
          </w:p>
        </w:tc>
        <w:tc>
          <w:tcPr>
            <w:tcW w:w="1000" w:type="dxa"/>
            <w:vAlign w:val="bottom"/>
            <w:tcBorders>
              <w:top w:val="single" w:sz="8" w:color="0000FF"/>
            </w:tcBorders>
          </w:tcPr>
          <w:p>
            <w:pPr>
              <w:spacing w:after="0"/>
              <w:rPr>
                <w:sz w:val="14"/>
                <w:szCs w:val="14"/>
                <w:color w:val="auto"/>
              </w:rPr>
            </w:pPr>
          </w:p>
        </w:tc>
        <w:tc>
          <w:tcPr>
            <w:tcW w:w="462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120" w:type="dxa"/>
            <w:vAlign w:val="bottom"/>
            <w:tcBorders>
              <w:top w:val="single" w:sz="8" w:color="0000FF"/>
            </w:tcBorders>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101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56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The financial information from First Watch Restaurant Group, Inc.’s Quarterly Report on</w:t>
            </w:r>
          </w:p>
        </w:tc>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Filed herewith</w:t>
            </w:r>
          </w:p>
        </w:tc>
        <w:tc>
          <w:tcPr>
            <w:tcW w:w="0" w:type="dxa"/>
            <w:vAlign w:val="bottom"/>
          </w:tcPr>
          <w:p>
            <w:pPr>
              <w:spacing w:after="0"/>
              <w:rPr>
                <w:sz w:val="1"/>
                <w:szCs w:val="1"/>
                <w:color w:val="auto"/>
              </w:rPr>
            </w:pPr>
          </w:p>
        </w:tc>
      </w:tr>
      <w:tr>
        <w:trPr>
          <w:trHeight w:val="203"/>
        </w:trPr>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560" w:type="dxa"/>
            <w:vAlign w:val="bottom"/>
            <w:gridSpan w:val="8"/>
          </w:tcPr>
          <w:p>
            <w:pPr>
              <w:spacing w:after="0" w:line="202" w:lineRule="exact"/>
              <w:rPr>
                <w:sz w:val="20"/>
                <w:szCs w:val="20"/>
                <w:color w:val="auto"/>
              </w:rPr>
            </w:pPr>
            <w:r>
              <w:rPr>
                <w:rFonts w:ascii="Times New Roman" w:cs="Times New Roman" w:eastAsia="Times New Roman" w:hAnsi="Times New Roman"/>
                <w:sz w:val="18"/>
                <w:szCs w:val="18"/>
                <w:color w:val="auto"/>
              </w:rPr>
              <w:t>Form 10-Q for the first fiscal quarter ended March 31, 2024, filed on May 7, 2024,</w:t>
            </w:r>
          </w:p>
        </w:tc>
        <w:tc>
          <w:tcPr>
            <w:tcW w:w="3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56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formatted in Inline Extensible Business Reporting Language (“iXBRL”)</w:t>
            </w:r>
          </w:p>
        </w:tc>
        <w:tc>
          <w:tcPr>
            <w:tcW w:w="3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104</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56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Cover Page Interactive Date File (formatted as iXBRL and contained in Exhibit 101)</w:t>
            </w:r>
          </w:p>
        </w:tc>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Filed herewith</w:t>
            </w: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w:t>
      </w:r>
    </w:p>
    <w:p>
      <w:pPr>
        <w:spacing w:after="0" w:line="27" w:lineRule="exact"/>
        <w:rPr>
          <w:sz w:val="20"/>
          <w:szCs w:val="20"/>
          <w:color w:val="auto"/>
        </w:rPr>
      </w:pPr>
    </w:p>
    <w:p>
      <w:pPr>
        <w:jc w:val="both"/>
        <w:ind w:firstLine="8"/>
        <w:spacing w:after="0" w:line="254" w:lineRule="auto"/>
        <w:tabs>
          <w:tab w:leader="none" w:pos="124"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certification is not deemed to be “filed” for purposes of Section 18 of the Exchange Act, or otherwise subject to the liability of that section. This certification will not be deemed to be incorporated by reference into any filing under the Securities Act or the Exchange Act, except to the extent that the registrant specifically incorporates them by reference.</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9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 on May 7, 2024.</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8"/>
          <w:szCs w:val="18"/>
          <w:b w:val="1"/>
          <w:bCs w:val="1"/>
          <w:color w:val="auto"/>
        </w:rPr>
        <w:t>FIRST WATCH RESTAURANT GROUP, INC.</w:t>
      </w:r>
    </w:p>
    <w:p>
      <w:pPr>
        <w:spacing w:after="0" w:line="283" w:lineRule="exact"/>
        <w:rPr>
          <w:sz w:val="20"/>
          <w:szCs w:val="20"/>
          <w:color w:val="auto"/>
        </w:rPr>
      </w:pPr>
    </w:p>
    <w:tbl>
      <w:tblPr>
        <w:tblLayout w:type="fixed"/>
        <w:tblInd w:w="5880" w:type="dxa"/>
        <w:tblCellMar>
          <w:top w:w="0" w:type="dxa"/>
          <w:left w:w="0" w:type="dxa"/>
          <w:bottom w:w="0" w:type="dxa"/>
          <w:right w:w="0" w:type="dxa"/>
        </w:tblCellMar>
      </w:tblPr>
      <w:tr>
        <w:trPr>
          <w:trHeight w:val="23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Christopher A. Tomasso</w:t>
            </w:r>
          </w:p>
        </w:tc>
      </w:tr>
      <w:tr>
        <w:trPr>
          <w:trHeight w:val="218"/>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Christopher A. Tomasso</w:t>
            </w:r>
          </w:p>
        </w:tc>
      </w:tr>
      <w:tr>
        <w:trPr>
          <w:trHeight w:val="180"/>
        </w:trPr>
        <w:tc>
          <w:tcPr>
            <w:tcW w:w="720" w:type="dxa"/>
            <w:vAlign w:val="bottom"/>
          </w:tcPr>
          <w:p>
            <w:pPr>
              <w:spacing w:after="0"/>
              <w:rPr>
                <w:sz w:val="15"/>
                <w:szCs w:val="15"/>
                <w:color w:val="auto"/>
              </w:rPr>
            </w:pPr>
          </w:p>
        </w:tc>
        <w:tc>
          <w:tcPr>
            <w:tcW w:w="464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President, Chief Executive Officer and Director (Principal</w:t>
            </w:r>
          </w:p>
        </w:tc>
      </w:tr>
      <w:tr>
        <w:trPr>
          <w:trHeight w:val="243"/>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Executive Officer)</w:t>
            </w:r>
          </w:p>
        </w:tc>
      </w:tr>
      <w:tr>
        <w:trPr>
          <w:trHeight w:val="486"/>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Mel Hope</w:t>
            </w:r>
          </w:p>
        </w:tc>
      </w:tr>
      <w:tr>
        <w:trPr>
          <w:trHeight w:val="218"/>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Mel Hope</w:t>
            </w:r>
          </w:p>
        </w:tc>
      </w:tr>
      <w:tr>
        <w:trPr>
          <w:trHeight w:val="180"/>
        </w:trPr>
        <w:tc>
          <w:tcPr>
            <w:tcW w:w="720" w:type="dxa"/>
            <w:vAlign w:val="bottom"/>
          </w:tcPr>
          <w:p>
            <w:pPr>
              <w:spacing w:after="0"/>
              <w:rPr>
                <w:sz w:val="15"/>
                <w:szCs w:val="15"/>
                <w:color w:val="auto"/>
              </w:rPr>
            </w:pPr>
          </w:p>
        </w:tc>
        <w:tc>
          <w:tcPr>
            <w:tcW w:w="464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Chief Financial Officer (Principal Financial Officer and</w:t>
            </w:r>
          </w:p>
        </w:tc>
      </w:tr>
      <w:tr>
        <w:trPr>
          <w:trHeight w:val="243"/>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240"/>
          </w:cols>
          <w:pgMar w:left="320" w:top="121" w:right="339" w:bottom="1440" w:gutter="0" w:footer="0" w:header="0"/>
        </w:sectPr>
      </w:pPr>
    </w:p>
    <w:bookmarkStart w:id="36" w:name="page37"/>
    <w:bookmarkEnd w:id="36"/>
    <w:p>
      <w:pPr>
        <w:ind w:left="10360"/>
        <w:spacing w:after="0"/>
        <w:rPr>
          <w:sz w:val="20"/>
          <w:szCs w:val="20"/>
          <w:color w:val="auto"/>
        </w:rPr>
      </w:pPr>
      <w:r>
        <w:rPr>
          <w:rFonts w:ascii="Times New Roman" w:cs="Times New Roman" w:eastAsia="Times New Roman" w:hAnsi="Times New Roman"/>
          <w:sz w:val="17"/>
          <w:szCs w:val="17"/>
          <w:b w:val="1"/>
          <w:bCs w:val="1"/>
          <w:color w:val="auto"/>
        </w:rPr>
        <w:t>Exhibit 31.1</w:t>
      </w:r>
    </w:p>
    <w:p>
      <w:pPr>
        <w:spacing w:after="0" w:line="250" w:lineRule="exact"/>
        <w:rPr>
          <w:sz w:val="20"/>
          <w:szCs w:val="20"/>
          <w:color w:val="auto"/>
        </w:rPr>
      </w:pPr>
    </w:p>
    <w:p>
      <w:pPr>
        <w:jc w:val="center"/>
        <w:ind w:left="340" w:right="200"/>
        <w:spacing w:after="0" w:line="302" w:lineRule="auto"/>
        <w:rPr>
          <w:sz w:val="20"/>
          <w:szCs w:val="20"/>
          <w:color w:val="auto"/>
        </w:rPr>
      </w:pPr>
      <w:r>
        <w:rPr>
          <w:rFonts w:ascii="Times New Roman" w:cs="Times New Roman" w:eastAsia="Times New Roman" w:hAnsi="Times New Roman"/>
          <w:sz w:val="17"/>
          <w:szCs w:val="17"/>
          <w:b w:val="1"/>
          <w:bCs w:val="1"/>
          <w:color w:val="auto"/>
        </w:rPr>
        <w:t>Certification of Principal Executive Officer Pursuant to Exchange Act Rule 13a-14(a)/15d-14(a) as Adopted Pursuant to Section 302 of the Sarbanes-Oxley Act of 2002</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Christopher A. Tomasso, certify that:</w:t>
      </w:r>
    </w:p>
    <w:p>
      <w:pPr>
        <w:spacing w:after="0" w:line="183" w:lineRule="exact"/>
        <w:rPr>
          <w:sz w:val="20"/>
          <w:szCs w:val="20"/>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I have reviewed this Quarterly Report on Form 10-Q of First Watch Restaurant Group, Inc.;</w:t>
      </w:r>
    </w:p>
    <w:p>
      <w:pPr>
        <w:spacing w:after="0" w:line="184" w:lineRule="exact"/>
        <w:rPr>
          <w:rFonts w:ascii="Times New Roman" w:cs="Times New Roman" w:eastAsia="Times New Roman" w:hAnsi="Times New Roman"/>
          <w:sz w:val="18"/>
          <w:szCs w:val="18"/>
          <w:color w:val="auto"/>
        </w:rPr>
      </w:pPr>
    </w:p>
    <w:p>
      <w:pPr>
        <w:ind w:left="660" w:hanging="328"/>
        <w:spacing w:after="0" w:line="267"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2" w:lineRule="exact"/>
        <w:rPr>
          <w:rFonts w:ascii="Times New Roman" w:cs="Times New Roman" w:eastAsia="Times New Roman" w:hAnsi="Times New Roman"/>
          <w:sz w:val="18"/>
          <w:szCs w:val="18"/>
          <w:color w:val="auto"/>
        </w:rPr>
      </w:pPr>
    </w:p>
    <w:p>
      <w:pPr>
        <w:ind w:left="660" w:hanging="328"/>
        <w:spacing w:after="0" w:line="267"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9" w:lineRule="exact"/>
        <w:rPr>
          <w:rFonts w:ascii="Times New Roman" w:cs="Times New Roman" w:eastAsia="Times New Roman" w:hAnsi="Times New Roman"/>
          <w:sz w:val="18"/>
          <w:szCs w:val="18"/>
          <w:color w:val="auto"/>
        </w:rPr>
      </w:pPr>
    </w:p>
    <w:p>
      <w:pPr>
        <w:jc w:val="both"/>
        <w:ind w:left="660" w:hanging="328"/>
        <w:spacing w:after="0" w:line="273" w:lineRule="auto"/>
        <w:tabs>
          <w:tab w:leader="none" w:pos="653"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9" w:lineRule="exact"/>
        <w:rPr>
          <w:rFonts w:ascii="Times New Roman" w:cs="Times New Roman" w:eastAsia="Times New Roman" w:hAnsi="Times New Roman"/>
          <w:sz w:val="17"/>
          <w:szCs w:val="17"/>
          <w:color w:val="auto"/>
        </w:rPr>
      </w:pPr>
    </w:p>
    <w:p>
      <w:pPr>
        <w:jc w:val="both"/>
        <w:ind w:left="980" w:hanging="324"/>
        <w:spacing w:after="0" w:line="257" w:lineRule="auto"/>
        <w:tabs>
          <w:tab w:leader="none" w:pos="977"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9" w:lineRule="exact"/>
        <w:rPr>
          <w:rFonts w:ascii="Times New Roman" w:cs="Times New Roman" w:eastAsia="Times New Roman" w:hAnsi="Times New Roman"/>
          <w:sz w:val="18"/>
          <w:szCs w:val="18"/>
          <w:color w:val="auto"/>
        </w:rPr>
      </w:pPr>
    </w:p>
    <w:p>
      <w:pPr>
        <w:jc w:val="both"/>
        <w:ind w:left="980" w:hanging="324"/>
        <w:spacing w:after="0" w:line="273" w:lineRule="auto"/>
        <w:tabs>
          <w:tab w:leader="none" w:pos="977" w:val="left"/>
        </w:tabs>
        <w:numPr>
          <w:ilvl w:val="1"/>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9" w:lineRule="exact"/>
        <w:rPr>
          <w:rFonts w:ascii="Times New Roman" w:cs="Times New Roman" w:eastAsia="Times New Roman" w:hAnsi="Times New Roman"/>
          <w:sz w:val="17"/>
          <w:szCs w:val="17"/>
          <w:color w:val="auto"/>
        </w:rPr>
      </w:pPr>
    </w:p>
    <w:p>
      <w:pPr>
        <w:ind w:left="980" w:right="20" w:hanging="324"/>
        <w:spacing w:after="0" w:line="267" w:lineRule="auto"/>
        <w:tabs>
          <w:tab w:leader="none" w:pos="977"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2" w:lineRule="exact"/>
        <w:rPr>
          <w:rFonts w:ascii="Times New Roman" w:cs="Times New Roman" w:eastAsia="Times New Roman" w:hAnsi="Times New Roman"/>
          <w:sz w:val="18"/>
          <w:szCs w:val="18"/>
          <w:color w:val="auto"/>
        </w:rPr>
      </w:pPr>
    </w:p>
    <w:p>
      <w:pPr>
        <w:jc w:val="both"/>
        <w:ind w:left="980" w:hanging="324"/>
        <w:spacing w:after="0" w:line="265" w:lineRule="auto"/>
        <w:tabs>
          <w:tab w:leader="none" w:pos="974"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6" w:lineRule="exact"/>
        <w:rPr>
          <w:rFonts w:ascii="Times New Roman" w:cs="Times New Roman" w:eastAsia="Times New Roman" w:hAnsi="Times New Roman"/>
          <w:sz w:val="18"/>
          <w:szCs w:val="18"/>
          <w:color w:val="auto"/>
        </w:rPr>
      </w:pPr>
    </w:p>
    <w:p>
      <w:pPr>
        <w:ind w:left="660" w:hanging="328"/>
        <w:spacing w:after="0" w:line="267"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9" w:lineRule="exact"/>
        <w:rPr>
          <w:rFonts w:ascii="Times New Roman" w:cs="Times New Roman" w:eastAsia="Times New Roman" w:hAnsi="Times New Roman"/>
          <w:sz w:val="18"/>
          <w:szCs w:val="18"/>
          <w:color w:val="auto"/>
        </w:rPr>
      </w:pPr>
    </w:p>
    <w:p>
      <w:pPr>
        <w:ind w:left="980" w:right="20" w:hanging="324"/>
        <w:spacing w:after="0" w:line="281" w:lineRule="auto"/>
        <w:tabs>
          <w:tab w:leader="none" w:pos="967" w:val="left"/>
        </w:tabs>
        <w:numPr>
          <w:ilvl w:val="1"/>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2" w:lineRule="exact"/>
        <w:rPr>
          <w:rFonts w:ascii="Times New Roman" w:cs="Times New Roman" w:eastAsia="Times New Roman" w:hAnsi="Times New Roman"/>
          <w:sz w:val="17"/>
          <w:szCs w:val="17"/>
          <w:color w:val="auto"/>
        </w:rPr>
      </w:pPr>
    </w:p>
    <w:p>
      <w:pPr>
        <w:ind w:left="980" w:hanging="324"/>
        <w:spacing w:after="0" w:line="281" w:lineRule="auto"/>
        <w:tabs>
          <w:tab w:leader="none" w:pos="977" w:val="left"/>
        </w:tabs>
        <w:numPr>
          <w:ilvl w:val="1"/>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May 7, 2024</w:t>
      </w:r>
    </w:p>
    <w:p>
      <w:pPr>
        <w:spacing w:after="0" w:line="169"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7"/>
          <w:szCs w:val="17"/>
          <w:u w:val="single" w:color="auto"/>
          <w:color w:val="auto"/>
        </w:rPr>
        <w:t>/s/ Christopher A. Tomasso</w:t>
      </w:r>
    </w:p>
    <w:p>
      <w:pPr>
        <w:spacing w:after="0" w:line="27"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7"/>
          <w:szCs w:val="17"/>
          <w:color w:val="auto"/>
        </w:rPr>
        <w:t>Christopher A. Tomasso</w:t>
      </w:r>
    </w:p>
    <w:p>
      <w:pPr>
        <w:spacing w:after="0" w:line="19"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7"/>
          <w:szCs w:val="17"/>
          <w:color w:val="auto"/>
        </w:rPr>
        <w:t>Chief Executive Officer</w:t>
      </w:r>
    </w:p>
    <w:p>
      <w:pPr>
        <w:spacing w:after="0" w:line="7"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7"/>
          <w:szCs w:val="17"/>
          <w:color w:val="auto"/>
        </w:rPr>
        <w:t>(Principal Executive Officer)</w:t>
      </w:r>
    </w:p>
    <w:p>
      <w:pPr>
        <w:sectPr>
          <w:pgSz w:w="11900" w:h="16838" w:orient="portrait"/>
          <w:cols w:equalWidth="0" w:num="1">
            <w:col w:w="11240"/>
          </w:cols>
          <w:pgMar w:left="320" w:top="1410" w:right="339" w:bottom="1440" w:gutter="0" w:footer="0" w:header="0"/>
        </w:sectPr>
      </w:pPr>
    </w:p>
    <w:bookmarkStart w:id="37" w:name="page38"/>
    <w:bookmarkEnd w:id="37"/>
    <w:p>
      <w:pPr>
        <w:jc w:val="right"/>
        <w:spacing w:after="0"/>
        <w:rPr>
          <w:sz w:val="20"/>
          <w:szCs w:val="20"/>
          <w:color w:val="auto"/>
        </w:rPr>
      </w:pPr>
      <w:r>
        <w:rPr>
          <w:rFonts w:ascii="Times New Roman" w:cs="Times New Roman" w:eastAsia="Times New Roman" w:hAnsi="Times New Roman"/>
          <w:sz w:val="17"/>
          <w:szCs w:val="17"/>
          <w:b w:val="1"/>
          <w:bCs w:val="1"/>
          <w:color w:val="auto"/>
        </w:rPr>
        <w:t>Exhibit 31.2</w:t>
      </w: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of Principal Financial Officer Pursuant to Exchange Act Rule 13a-14(a)/15d-14(a) as Adopted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Pursuant to Section 302 of the Sarbanes-Oxley Act of 2002</w:t>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Mel Hope, certify that:</w:t>
      </w:r>
    </w:p>
    <w:p>
      <w:pPr>
        <w:spacing w:after="0" w:line="183" w:lineRule="exact"/>
        <w:rPr>
          <w:sz w:val="20"/>
          <w:szCs w:val="20"/>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I have reviewed this Quarterly Report on Form 10-Q of First Watch Restaurant Group, Inc.;</w:t>
      </w:r>
    </w:p>
    <w:p>
      <w:pPr>
        <w:spacing w:after="0" w:line="184" w:lineRule="exact"/>
        <w:rPr>
          <w:rFonts w:ascii="Times New Roman" w:cs="Times New Roman" w:eastAsia="Times New Roman" w:hAnsi="Times New Roman"/>
          <w:sz w:val="18"/>
          <w:szCs w:val="18"/>
          <w:color w:val="auto"/>
        </w:rPr>
      </w:pPr>
    </w:p>
    <w:p>
      <w:pPr>
        <w:ind w:left="660" w:hanging="328"/>
        <w:spacing w:after="0" w:line="267"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2" w:lineRule="exact"/>
        <w:rPr>
          <w:rFonts w:ascii="Times New Roman" w:cs="Times New Roman" w:eastAsia="Times New Roman" w:hAnsi="Times New Roman"/>
          <w:sz w:val="18"/>
          <w:szCs w:val="18"/>
          <w:color w:val="auto"/>
        </w:rPr>
      </w:pPr>
    </w:p>
    <w:p>
      <w:pPr>
        <w:ind w:left="660" w:hanging="328"/>
        <w:spacing w:after="0" w:line="267"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9" w:lineRule="exact"/>
        <w:rPr>
          <w:rFonts w:ascii="Times New Roman" w:cs="Times New Roman" w:eastAsia="Times New Roman" w:hAnsi="Times New Roman"/>
          <w:sz w:val="18"/>
          <w:szCs w:val="18"/>
          <w:color w:val="auto"/>
        </w:rPr>
      </w:pPr>
    </w:p>
    <w:p>
      <w:pPr>
        <w:jc w:val="both"/>
        <w:ind w:left="660" w:hanging="328"/>
        <w:spacing w:after="0" w:line="273" w:lineRule="auto"/>
        <w:tabs>
          <w:tab w:leader="none" w:pos="653"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9" w:lineRule="exact"/>
        <w:rPr>
          <w:rFonts w:ascii="Times New Roman" w:cs="Times New Roman" w:eastAsia="Times New Roman" w:hAnsi="Times New Roman"/>
          <w:sz w:val="17"/>
          <w:szCs w:val="17"/>
          <w:color w:val="auto"/>
        </w:rPr>
      </w:pPr>
    </w:p>
    <w:p>
      <w:pPr>
        <w:jc w:val="both"/>
        <w:ind w:left="980" w:hanging="324"/>
        <w:spacing w:after="0" w:line="257" w:lineRule="auto"/>
        <w:tabs>
          <w:tab w:leader="none" w:pos="977"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9" w:lineRule="exact"/>
        <w:rPr>
          <w:rFonts w:ascii="Times New Roman" w:cs="Times New Roman" w:eastAsia="Times New Roman" w:hAnsi="Times New Roman"/>
          <w:sz w:val="18"/>
          <w:szCs w:val="18"/>
          <w:color w:val="auto"/>
        </w:rPr>
      </w:pPr>
    </w:p>
    <w:p>
      <w:pPr>
        <w:jc w:val="both"/>
        <w:ind w:left="980" w:hanging="324"/>
        <w:spacing w:after="0" w:line="273" w:lineRule="auto"/>
        <w:tabs>
          <w:tab w:leader="none" w:pos="977" w:val="left"/>
        </w:tabs>
        <w:numPr>
          <w:ilvl w:val="1"/>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9" w:lineRule="exact"/>
        <w:rPr>
          <w:rFonts w:ascii="Times New Roman" w:cs="Times New Roman" w:eastAsia="Times New Roman" w:hAnsi="Times New Roman"/>
          <w:sz w:val="17"/>
          <w:szCs w:val="17"/>
          <w:color w:val="auto"/>
        </w:rPr>
      </w:pPr>
    </w:p>
    <w:p>
      <w:pPr>
        <w:ind w:left="980" w:right="20" w:hanging="324"/>
        <w:spacing w:after="0" w:line="267" w:lineRule="auto"/>
        <w:tabs>
          <w:tab w:leader="none" w:pos="977"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2" w:lineRule="exact"/>
        <w:rPr>
          <w:rFonts w:ascii="Times New Roman" w:cs="Times New Roman" w:eastAsia="Times New Roman" w:hAnsi="Times New Roman"/>
          <w:sz w:val="18"/>
          <w:szCs w:val="18"/>
          <w:color w:val="auto"/>
        </w:rPr>
      </w:pPr>
    </w:p>
    <w:p>
      <w:pPr>
        <w:jc w:val="both"/>
        <w:ind w:left="980" w:hanging="324"/>
        <w:spacing w:after="0" w:line="265" w:lineRule="auto"/>
        <w:tabs>
          <w:tab w:leader="none" w:pos="974"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6" w:lineRule="exact"/>
        <w:rPr>
          <w:rFonts w:ascii="Times New Roman" w:cs="Times New Roman" w:eastAsia="Times New Roman" w:hAnsi="Times New Roman"/>
          <w:sz w:val="18"/>
          <w:szCs w:val="18"/>
          <w:color w:val="auto"/>
        </w:rPr>
      </w:pPr>
    </w:p>
    <w:p>
      <w:pPr>
        <w:ind w:left="660" w:hanging="328"/>
        <w:spacing w:after="0" w:line="267"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9" w:lineRule="exact"/>
        <w:rPr>
          <w:rFonts w:ascii="Times New Roman" w:cs="Times New Roman" w:eastAsia="Times New Roman" w:hAnsi="Times New Roman"/>
          <w:sz w:val="18"/>
          <w:szCs w:val="18"/>
          <w:color w:val="auto"/>
        </w:rPr>
      </w:pPr>
    </w:p>
    <w:p>
      <w:pPr>
        <w:ind w:left="980" w:right="20" w:hanging="324"/>
        <w:spacing w:after="0" w:line="298" w:lineRule="auto"/>
        <w:tabs>
          <w:tab w:leader="none" w:pos="967" w:val="left"/>
        </w:tabs>
        <w:numPr>
          <w:ilvl w:val="1"/>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5" w:lineRule="exact"/>
        <w:rPr>
          <w:rFonts w:ascii="Times New Roman" w:cs="Times New Roman" w:eastAsia="Times New Roman" w:hAnsi="Times New Roman"/>
          <w:sz w:val="17"/>
          <w:szCs w:val="17"/>
          <w:color w:val="auto"/>
        </w:rPr>
      </w:pPr>
    </w:p>
    <w:p>
      <w:pPr>
        <w:ind w:left="980" w:hanging="324"/>
        <w:spacing w:after="0" w:line="281" w:lineRule="auto"/>
        <w:tabs>
          <w:tab w:leader="none" w:pos="977" w:val="left"/>
        </w:tabs>
        <w:numPr>
          <w:ilvl w:val="1"/>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May 7, 2024</w:t>
      </w:r>
    </w:p>
    <w:p>
      <w:pPr>
        <w:spacing w:after="0" w:line="156"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7"/>
          <w:szCs w:val="17"/>
          <w:u w:val="single" w:color="auto"/>
          <w:color w:val="auto"/>
        </w:rPr>
        <w:t>/s/ Mel Hope</w:t>
      </w:r>
    </w:p>
    <w:p>
      <w:pPr>
        <w:spacing w:after="0" w:line="25"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7"/>
          <w:szCs w:val="17"/>
          <w:color w:val="auto"/>
        </w:rPr>
        <w:t>Mel Hope</w:t>
      </w:r>
    </w:p>
    <w:p>
      <w:pPr>
        <w:spacing w:after="0" w:line="9"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7"/>
          <w:szCs w:val="17"/>
          <w:color w:val="auto"/>
        </w:rPr>
        <w:t>Chief Financial Officer</w:t>
      </w:r>
    </w:p>
    <w:p>
      <w:pPr>
        <w:spacing w:after="0" w:line="21"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7"/>
          <w:szCs w:val="17"/>
          <w:color w:val="auto"/>
        </w:rPr>
        <w:t>(Principal Financial Officer)</w:t>
      </w:r>
    </w:p>
    <w:p>
      <w:pPr>
        <w:sectPr>
          <w:pgSz w:w="11900" w:h="16838" w:orient="portrait"/>
          <w:cols w:equalWidth="0" w:num="1">
            <w:col w:w="11240"/>
          </w:cols>
          <w:pgMar w:left="320" w:top="1410" w:right="339" w:bottom="1440" w:gutter="0" w:footer="0" w:header="0"/>
        </w:sectPr>
      </w:pPr>
    </w:p>
    <w:bookmarkStart w:id="38" w:name="page39"/>
    <w:bookmarkEnd w:id="38"/>
    <w:p>
      <w:pPr>
        <w:ind w:left="10320"/>
        <w:spacing w:after="0"/>
        <w:rPr>
          <w:sz w:val="20"/>
          <w:szCs w:val="20"/>
          <w:color w:val="auto"/>
        </w:rPr>
      </w:pPr>
      <w:r>
        <w:rPr>
          <w:rFonts w:ascii="Times New Roman" w:cs="Times New Roman" w:eastAsia="Times New Roman" w:hAnsi="Times New Roman"/>
          <w:sz w:val="17"/>
          <w:szCs w:val="17"/>
          <w:b w:val="1"/>
          <w:bCs w:val="1"/>
          <w:color w:val="auto"/>
        </w:rPr>
        <w:t>Exhibit 32.1</w:t>
      </w:r>
    </w:p>
    <w:p>
      <w:pPr>
        <w:spacing w:after="0" w:line="264"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 AND PRINCIPAL FINANCIAL OFFICER PURSUANT TO</w:t>
      </w:r>
    </w:p>
    <w:p>
      <w:pPr>
        <w:spacing w:after="0" w:line="31"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 OF THE SARBANES-OXLEY ACT OF 2002</w:t>
      </w:r>
    </w:p>
    <w:p>
      <w:pPr>
        <w:spacing w:after="0" w:line="382"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In connection with the Quarterly Report on Form 10-Q of First Watch Restaurant Group, Inc. (the “Company”) for the period ended March 31, 2024, as filed with the Securities and Exchange Commission on the date hereof (the “Report”), Christopher A. Tomasso, Chief Executive Officer of the Company, and Mel Hope, Chief Financial Officer of the Company, hereby certify, pursuant to 18 U.S.C. Section 1350, as adopted pursuant to Section 906 of the Sarbanes-Oxley Act of 2002, that, to their knowledge:</w:t>
      </w:r>
    </w:p>
    <w:p>
      <w:pPr>
        <w:spacing w:after="0" w:line="105" w:lineRule="exact"/>
        <w:rPr>
          <w:sz w:val="20"/>
          <w:szCs w:val="20"/>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as applicable, of the Securities Exchange Act of 1934; and</w:t>
      </w:r>
    </w:p>
    <w:p>
      <w:pPr>
        <w:spacing w:after="0" w:line="26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7, 2024</w:t>
      </w:r>
    </w:p>
    <w:p>
      <w:pPr>
        <w:spacing w:after="0" w:line="27"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7"/>
          <w:szCs w:val="17"/>
          <w:u w:val="single" w:color="auto"/>
          <w:color w:val="auto"/>
        </w:rPr>
        <w:t>/s/ Christopher A. Tomasso</w:t>
      </w:r>
    </w:p>
    <w:p>
      <w:pPr>
        <w:spacing w:after="0" w:line="1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7"/>
          <w:szCs w:val="17"/>
          <w:color w:val="auto"/>
        </w:rPr>
        <w:t>Christopher A. Tomasso</w:t>
      </w:r>
    </w:p>
    <w:p>
      <w:pPr>
        <w:spacing w:after="0" w:line="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7"/>
          <w:szCs w:val="17"/>
          <w:color w:val="auto"/>
        </w:rPr>
        <w:t>Chief Executive Officer</w:t>
      </w:r>
    </w:p>
    <w:p>
      <w:pPr>
        <w:spacing w:after="0" w:line="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7"/>
          <w:szCs w:val="17"/>
          <w:color w:val="auto"/>
        </w:rPr>
        <w:t>(Principal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7"/>
          <w:szCs w:val="17"/>
          <w:u w:val="single" w:color="auto"/>
          <w:color w:val="auto"/>
        </w:rPr>
        <w:t>/s/ Mel Hope</w:t>
      </w:r>
    </w:p>
    <w:p>
      <w:pPr>
        <w:spacing w:after="0" w:line="2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7"/>
          <w:szCs w:val="17"/>
          <w:color w:val="auto"/>
        </w:rPr>
        <w:t>Mel Hope</w:t>
      </w:r>
    </w:p>
    <w:p>
      <w:pPr>
        <w:spacing w:after="0" w:line="1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7"/>
          <w:szCs w:val="17"/>
          <w:color w:val="auto"/>
        </w:rPr>
        <w:t>Chief Financial Officer</w:t>
      </w:r>
    </w:p>
    <w:p>
      <w:pPr>
        <w:spacing w:after="0" w:line="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7"/>
          <w:szCs w:val="17"/>
          <w:color w:val="auto"/>
        </w:rPr>
        <w:t>(Principal Financial Officer)</w:t>
      </w:r>
    </w:p>
    <w:sectPr>
      <w:pgSz w:w="11900" w:h="16838" w:orient="portrait"/>
      <w:cols w:equalWidth="0" w:num="1">
        <w:col w:w="11240"/>
      </w:cols>
      <w:pgMar w:left="320" w:top="141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abstractNum>
  <w:abstractNum w:abstractNumId="1">
    <w:nsid w:val="216231B"/>
    <w:multiLevelType w:val="hybridMultilevel"/>
    <w:lvl w:ilvl="0">
      <w:lvlJc w:val="left"/>
      <w:lvlText w:val="☐"/>
      <w:numFmt w:val="bullet"/>
      <w:start w:val="1"/>
    </w:lvl>
  </w:abstractNum>
  <w:abstractNum w:abstractNumId="2">
    <w:nsid w:val="1F16E9E8"/>
    <w:multiLevelType w:val="hybridMultilevel"/>
    <w:lvl w:ilvl="0">
      <w:lvlJc w:val="left"/>
      <w:lvlText w:val="%1."/>
      <w:numFmt w:val="decimal"/>
      <w:start w:val="2"/>
    </w:lvl>
  </w:abstractNum>
  <w:abstractNum w:abstractNumId="3">
    <w:nsid w:val="1190CDE7"/>
    <w:multiLevelType w:val="hybridMultilevel"/>
    <w:lvl w:ilvl="0">
      <w:lvlJc w:val="left"/>
      <w:lvlText w:val="(%1)"/>
      <w:numFmt w:val="decimal"/>
      <w:start w:val="1"/>
    </w:lvl>
  </w:abstractNum>
  <w:abstractNum w:abstractNumId="4">
    <w:nsid w:val="66EF438D"/>
    <w:multiLevelType w:val="hybridMultilevel"/>
    <w:lvl w:ilvl="0">
      <w:lvlJc w:val="left"/>
      <w:lvlText w:val="%1."/>
      <w:numFmt w:val="decimal"/>
      <w:start w:val="10"/>
    </w:lvl>
  </w:abstractNum>
  <w:abstractNum w:abstractNumId="5">
    <w:nsid w:val="140E0F76"/>
    <w:multiLevelType w:val="hybridMultilevel"/>
    <w:lvl w:ilvl="0">
      <w:lvlJc w:val="left"/>
      <w:lvlText w:val="%1."/>
      <w:numFmt w:val="decimal"/>
      <w:start w:val="12"/>
    </w:lvl>
  </w:abstractNum>
  <w:abstractNum w:abstractNumId="6">
    <w:nsid w:val="3352255A"/>
    <w:multiLevelType w:val="hybridMultilevel"/>
    <w:lvl w:ilvl="0">
      <w:lvlJc w:val="left"/>
      <w:lvlText w:val="%1."/>
      <w:numFmt w:val="decimal"/>
      <w:start w:val="14"/>
    </w:lvl>
  </w:abstractNum>
  <w:abstractNum w:abstractNumId="7">
    <w:nsid w:val="109CF92E"/>
    <w:multiLevelType w:val="hybridMultilevel"/>
    <w:lvl w:ilvl="0">
      <w:lvlJc w:val="left"/>
      <w:lvlText w:val="•"/>
      <w:numFmt w:val="bullet"/>
      <w:start w:val="1"/>
    </w:lvl>
  </w:abstractNum>
  <w:abstractNum w:abstractNumId="8">
    <w:nsid w:val="DED7263"/>
    <w:multiLevelType w:val="hybridMultilevel"/>
    <w:lvl w:ilvl="0">
      <w:lvlJc w:val="left"/>
      <w:lvlText w:val="**"/>
      <w:numFmt w:val="bullet"/>
      <w:start w:val="1"/>
    </w:lvl>
  </w:abstractNum>
  <w:abstractNum w:abstractNumId="9">
    <w:nsid w:val="7FDCC233"/>
    <w:multiLevelType w:val="hybridMultilevel"/>
    <w:lvl w:ilvl="0">
      <w:lvlJc w:val="left"/>
      <w:lvlText w:val="(%1)"/>
      <w:numFmt w:val="decimal"/>
      <w:start w:val="1"/>
    </w:lvl>
  </w:abstractNum>
  <w:abstractNum w:abstractNumId="10">
    <w:nsid w:val="1BEFD79F"/>
    <w:multiLevelType w:val="hybridMultilevel"/>
    <w:lvl w:ilvl="0">
      <w:lvlJc w:val="left"/>
      <w:lvlText w:val="(%1)"/>
      <w:numFmt w:val="lowerRoman"/>
      <w:start w:val="1"/>
    </w:lvl>
  </w:abstractNum>
  <w:abstractNum w:abstractNumId="11">
    <w:nsid w:val="41A7C4C9"/>
    <w:multiLevelType w:val="hybridMultilevel"/>
    <w:lvl w:ilvl="0">
      <w:lvlJc w:val="left"/>
      <w:lvlText w:val="(%1)"/>
      <w:numFmt w:val="decimal"/>
      <w:start w:val="1"/>
    </w:lvl>
  </w:abstractNum>
  <w:abstractNum w:abstractNumId="12">
    <w:nsid w:val="6B68079A"/>
    <w:multiLevelType w:val="hybridMultilevel"/>
    <w:lvl w:ilvl="0">
      <w:lvlJc w:val="left"/>
      <w:lvlText w:val="(%1)"/>
      <w:numFmt w:val="decimal"/>
      <w:start w:val="1"/>
    </w:lvl>
  </w:abstractNum>
  <w:abstractNum w:abstractNumId="13">
    <w:nsid w:val="4E6AFB66"/>
    <w:multiLevelType w:val="hybridMultilevel"/>
    <w:lvl w:ilvl="0">
      <w:lvlJc w:val="left"/>
      <w:lvlText w:val="•"/>
      <w:numFmt w:val="bullet"/>
      <w:start w:val="1"/>
    </w:lvl>
  </w:abstractNum>
  <w:abstractNum w:abstractNumId="14">
    <w:nsid w:val="25E45D32"/>
    <w:multiLevelType w:val="hybridMultilevel"/>
    <w:lvl w:ilvl="0">
      <w:lvlJc w:val="left"/>
      <w:lvlText w:val="(%1)"/>
      <w:numFmt w:val="decimal"/>
      <w:start w:val="1"/>
    </w:lvl>
  </w:abstractNum>
  <w:abstractNum w:abstractNumId="15">
    <w:nsid w:val="519B500D"/>
    <w:multiLevelType w:val="hybridMultilevel"/>
    <w:lvl w:ilvl="0">
      <w:lvlJc w:val="left"/>
      <w:lvlText w:val="*"/>
      <w:numFmt w:val="bullet"/>
      <w:start w:val="1"/>
    </w:lvl>
  </w:abstractNum>
  <w:abstractNum w:abstractNumId="16">
    <w:nsid w:val="431BD7B7"/>
    <w:multiLevelType w:val="hybridMultilevel"/>
    <w:lvl w:ilvl="0">
      <w:lvlJc w:val="left"/>
      <w:lvlText w:val="%1."/>
      <w:numFmt w:val="decimal"/>
      <w:start w:val="1"/>
    </w:lvl>
    <w:lvl w:ilvl="1">
      <w:lvlJc w:val="left"/>
      <w:lvlText w:val="(%2)"/>
      <w:numFmt w:val="lowerLetter"/>
      <w:start w:val="1"/>
    </w:lvl>
  </w:abstractNum>
  <w:abstractNum w:abstractNumId="17">
    <w:nsid w:val="3F2DBA31"/>
    <w:multiLevelType w:val="hybridMultilevel"/>
    <w:lvl w:ilvl="0">
      <w:lvlJc w:val="left"/>
      <w:lvlText w:val="%1."/>
      <w:numFmt w:val="decimal"/>
      <w:start w:val="1"/>
    </w:lvl>
    <w:lvl w:ilvl="1">
      <w:lvlJc w:val="left"/>
      <w:lvlText w:val="(%2)"/>
      <w:numFmt w:val="lowerLetter"/>
      <w:start w:val="1"/>
    </w:lvl>
  </w:abstractNum>
  <w:abstractNum w:abstractNumId="18">
    <w:nsid w:val="7C83E45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2024-05-07T06:15:23Z</dcterms:created>
  <dcterms:modified xsi:type="dcterms:W3CDTF">2024-05-07T06:15:23Z</dcterms:modified>
</cp:coreProperties>
</file>