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04" w:lineRule="exact"/>
        <w:rPr>
          <w:sz w:val="24"/>
          <w:szCs w:val="24"/>
          <w:color w:val="auto"/>
        </w:rPr>
      </w:pPr>
    </w:p>
    <w:p>
      <w:pPr>
        <w:ind w:left="380" w:hanging="278"/>
        <w:spacing w:after="0"/>
        <w:tabs>
          <w:tab w:leader="none" w:pos="3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96"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26, 2022</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11" w:lineRule="exact"/>
        <w:rPr>
          <w:sz w:val="24"/>
          <w:szCs w:val="24"/>
          <w:color w:val="auto"/>
        </w:rPr>
      </w:pPr>
    </w:p>
    <w:p>
      <w:pPr>
        <w:ind w:left="380" w:hanging="278"/>
        <w:spacing w:after="0"/>
        <w:tabs>
          <w:tab w:leader="none" w:pos="3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8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 to ______</w:t>
      </w:r>
    </w:p>
    <w:p>
      <w:pPr>
        <w:spacing w:after="0" w:line="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001-40866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51435</wp:posOffset>
            </wp:positionV>
            <wp:extent cx="1714500" cy="900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9004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First Watch Restaurant Group, Inc.</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932" w:right="339" w:bottom="1440" w:gutter="0" w:footer="0" w:header="0"/>
        </w:sectPr>
      </w:pPr>
    </w:p>
    <w:p>
      <w:pPr>
        <w:spacing w:after="0" w:line="80"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82-4271369</w:t>
      </w:r>
    </w:p>
    <w:p>
      <w:pPr>
        <w:spacing w:after="0" w:line="65" w:lineRule="exact"/>
        <w:rPr>
          <w:sz w:val="24"/>
          <w:szCs w:val="24"/>
          <w:color w:val="auto"/>
        </w:rPr>
      </w:pPr>
    </w:p>
    <w:p>
      <w:pPr>
        <w:sectPr>
          <w:pgSz w:w="11900" w:h="16838" w:orient="portrait"/>
          <w:cols w:equalWidth="0" w:num="2">
            <w:col w:w="8460" w:space="720"/>
            <w:col w:w="2060"/>
          </w:cols>
          <w:pgMar w:left="320" w:top="932" w:right="339" w:bottom="1440" w:gutter="0" w:footer="0" w:header="0"/>
          <w:type w:val="continuous"/>
        </w:sect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16"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47" w:lineRule="exact"/>
        <w:rPr>
          <w:sz w:val="24"/>
          <w:szCs w:val="24"/>
          <w:color w:val="auto"/>
        </w:rPr>
      </w:pPr>
    </w:p>
    <w:p>
      <w:pPr>
        <w:sectPr>
          <w:pgSz w:w="11900" w:h="16838" w:orient="portrait"/>
          <w:cols w:equalWidth="0" w:num="2">
            <w:col w:w="7600" w:space="720"/>
            <w:col w:w="2920"/>
          </w:cols>
          <w:pgMar w:left="320" w:top="932" w:right="339" w:bottom="1440" w:gutter="0" w:footer="0" w:header="0"/>
          <w:type w:val="continuous"/>
        </w:sectPr>
      </w:pPr>
    </w:p>
    <w:p>
      <w:pPr>
        <w:jc w:val="center"/>
        <w:ind w:left="500"/>
        <w:spacing w:after="0"/>
        <w:rPr>
          <w:sz w:val="20"/>
          <w:szCs w:val="20"/>
          <w:color w:val="auto"/>
        </w:rPr>
      </w:pPr>
      <w:r>
        <w:rPr>
          <w:rFonts w:ascii="Times New Roman" w:cs="Times New Roman" w:eastAsia="Times New Roman" w:hAnsi="Times New Roman"/>
          <w:sz w:val="17"/>
          <w:szCs w:val="17"/>
          <w:b w:val="1"/>
          <w:bCs w:val="1"/>
          <w:color w:val="auto"/>
        </w:rPr>
        <w:t>8725 Pendery Place, Suite 201, Bradenton, FL 34201</w:t>
      </w:r>
    </w:p>
    <w:p>
      <w:pPr>
        <w:spacing w:after="0" w:line="65" w:lineRule="exact"/>
        <w:rPr>
          <w:sz w:val="24"/>
          <w:szCs w:val="24"/>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240"/>
          </w:cols>
          <w:pgMar w:left="320" w:top="932" w:right="339" w:bottom="1440" w:gutter="0" w:footer="0" w:header="0"/>
          <w:type w:val="continuous"/>
        </w:sectPr>
      </w:pP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(941) 907-9800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04" w:lineRule="exact"/>
        <w:rPr>
          <w:sz w:val="24"/>
          <w:szCs w:val="24"/>
          <w:color w:val="auto"/>
        </w:rPr>
      </w:pPr>
    </w:p>
    <w:tbl>
      <w:tblPr>
        <w:tblLayout w:type="fixed"/>
        <w:tblInd w:w="1000" w:type="dxa"/>
        <w:tblCellMar>
          <w:top w:w="0" w:type="dxa"/>
          <w:left w:w="0" w:type="dxa"/>
          <w:bottom w:w="0" w:type="dxa"/>
          <w:right w:w="0" w:type="dxa"/>
        </w:tblCellMar>
      </w:tblPr>
      <w:tr>
        <w:trPr>
          <w:trHeight w:val="225"/>
        </w:trPr>
        <w:tc>
          <w:tcPr>
            <w:tcW w:w="336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8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7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0" w:type="dxa"/>
            <w:vAlign w:val="bottom"/>
          </w:tcPr>
          <w:p>
            <w:pPr>
              <w:spacing w:after="0"/>
              <w:rPr>
                <w:sz w:val="1"/>
                <w:szCs w:val="1"/>
                <w:color w:val="auto"/>
              </w:rPr>
            </w:pPr>
          </w:p>
        </w:tc>
      </w:tr>
      <w:tr>
        <w:trPr>
          <w:trHeight w:val="189"/>
        </w:trPr>
        <w:tc>
          <w:tcPr>
            <w:tcW w:w="3360" w:type="dxa"/>
            <w:vAlign w:val="bottom"/>
            <w:vMerge w:val="restart"/>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w:t>
            </w:r>
          </w:p>
        </w:tc>
        <w:tc>
          <w:tcPr>
            <w:tcW w:w="2840" w:type="dxa"/>
            <w:vAlign w:val="bottom"/>
            <w:vMerge w:val="restart"/>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FWRG</w:t>
            </w:r>
          </w:p>
        </w:tc>
        <w:tc>
          <w:tcPr>
            <w:tcW w:w="3760" w:type="dxa"/>
            <w:vAlign w:val="bottom"/>
          </w:tcPr>
          <w:p>
            <w:pPr>
              <w:jc w:val="center"/>
              <w:ind w:left="4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38"/>
        </w:trPr>
        <w:tc>
          <w:tcPr>
            <w:tcW w:w="3360" w:type="dxa"/>
            <w:vAlign w:val="bottom"/>
            <w:vMerge w:val="continue"/>
          </w:tcPr>
          <w:p>
            <w:pPr>
              <w:spacing w:after="0"/>
              <w:rPr>
                <w:sz w:val="20"/>
                <w:szCs w:val="20"/>
                <w:color w:val="auto"/>
              </w:rPr>
            </w:pPr>
          </w:p>
        </w:tc>
        <w:tc>
          <w:tcPr>
            <w:tcW w:w="2840" w:type="dxa"/>
            <w:vAlign w:val="bottom"/>
            <w:vMerge w:val="continue"/>
          </w:tcPr>
          <w:p>
            <w:pPr>
              <w:spacing w:after="0"/>
              <w:rPr>
                <w:sz w:val="20"/>
                <w:szCs w:val="20"/>
                <w:color w:val="auto"/>
              </w:rPr>
            </w:pPr>
          </w:p>
        </w:tc>
        <w:tc>
          <w:tcPr>
            <w:tcW w:w="376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c>
          <w:tcPr>
            <w:tcW w:w="0" w:type="dxa"/>
            <w:vAlign w:val="bottom"/>
          </w:tcPr>
          <w:p>
            <w:pPr>
              <w:spacing w:after="0"/>
              <w:rPr>
                <w:sz w:val="1"/>
                <w:szCs w:val="1"/>
                <w:color w:val="auto"/>
              </w:rPr>
            </w:pPr>
          </w:p>
        </w:tc>
      </w:tr>
    </w:tbl>
    <w:p>
      <w:pPr>
        <w:spacing w:after="0" w:line="130"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jc w:val="both"/>
        <w:spacing w:after="0" w:line="22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22" w:lineRule="exact"/>
        <w:rPr>
          <w:sz w:val="24"/>
          <w:szCs w:val="24"/>
          <w:color w:val="auto"/>
        </w:rPr>
      </w:pPr>
    </w:p>
    <w:tbl>
      <w:tblPr>
        <w:tblLayout w:type="fixed"/>
        <w:tblInd w:w="20" w:type="dxa"/>
        <w:tblCellMar>
          <w:top w:w="0" w:type="dxa"/>
          <w:left w:w="0" w:type="dxa"/>
          <w:bottom w:w="0" w:type="dxa"/>
          <w:right w:w="0" w:type="dxa"/>
        </w:tblCellMar>
      </w:tblPr>
      <w:tr>
        <w:trPr>
          <w:trHeight w:val="256"/>
        </w:trPr>
        <w:tc>
          <w:tcPr>
            <w:tcW w:w="3640" w:type="dxa"/>
            <w:vAlign w:val="bottom"/>
          </w:tcPr>
          <w:p>
            <w:pPr>
              <w:jc w:val="center"/>
              <w:ind w:right="1930"/>
              <w:spacing w:after="0"/>
              <w:rPr>
                <w:sz w:val="20"/>
                <w:szCs w:val="20"/>
                <w:color w:val="auto"/>
              </w:rPr>
            </w:pPr>
            <w:r>
              <w:rPr>
                <w:rFonts w:ascii="Times New Roman" w:cs="Times New Roman" w:eastAsia="Times New Roman" w:hAnsi="Times New Roman"/>
                <w:sz w:val="18"/>
                <w:szCs w:val="18"/>
                <w:color w:val="auto"/>
              </w:rPr>
              <w:t>Large accelerated filer</w:t>
            </w:r>
          </w:p>
        </w:tc>
        <w:tc>
          <w:tcPr>
            <w:tcW w:w="2300" w:type="dxa"/>
            <w:vAlign w:val="bottom"/>
          </w:tcPr>
          <w:p>
            <w:pPr>
              <w:ind w:left="2040"/>
              <w:spacing w:after="0" w:line="181" w:lineRule="exact"/>
              <w:rPr>
                <w:sz w:val="20"/>
                <w:szCs w:val="20"/>
                <w:color w:val="auto"/>
              </w:rPr>
            </w:pPr>
            <w:r>
              <w:rPr>
                <w:rFonts w:ascii="MS PGothic" w:cs="MS PGothic" w:eastAsia="MS PGothic" w:hAnsi="MS PGothic"/>
                <w:sz w:val="18"/>
                <w:szCs w:val="18"/>
                <w:color w:val="auto"/>
              </w:rPr>
              <w:t>☐</w:t>
            </w: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Accelerated filer</w:t>
            </w:r>
          </w:p>
        </w:tc>
        <w:tc>
          <w:tcPr>
            <w:tcW w:w="162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6"/>
        </w:trPr>
        <w:tc>
          <w:tcPr>
            <w:tcW w:w="3640" w:type="dxa"/>
            <w:vAlign w:val="bottom"/>
          </w:tcPr>
          <w:p>
            <w:pPr>
              <w:jc w:val="center"/>
              <w:ind w:right="1950"/>
              <w:spacing w:after="0"/>
              <w:rPr>
                <w:sz w:val="20"/>
                <w:szCs w:val="20"/>
                <w:color w:val="auto"/>
              </w:rPr>
            </w:pPr>
            <w:r>
              <w:rPr>
                <w:rFonts w:ascii="Times New Roman" w:cs="Times New Roman" w:eastAsia="Times New Roman" w:hAnsi="Times New Roman"/>
                <w:sz w:val="18"/>
                <w:szCs w:val="18"/>
                <w:color w:val="auto"/>
                <w:w w:val="99"/>
              </w:rPr>
              <w:t>Non-accelerated filer</w:t>
            </w:r>
          </w:p>
        </w:tc>
        <w:tc>
          <w:tcPr>
            <w:tcW w:w="2300" w:type="dxa"/>
            <w:vAlign w:val="bottom"/>
          </w:tcPr>
          <w:p>
            <w:pPr>
              <w:ind w:left="2040"/>
              <w:spacing w:after="0" w:line="181" w:lineRule="exact"/>
              <w:rPr>
                <w:sz w:val="20"/>
                <w:szCs w:val="20"/>
                <w:color w:val="auto"/>
              </w:rPr>
            </w:pPr>
            <w:r>
              <w:rPr>
                <w:rFonts w:ascii="MS PGothic" w:cs="MS PGothic" w:eastAsia="MS PGothic" w:hAnsi="MS PGothic"/>
                <w:sz w:val="18"/>
                <w:szCs w:val="18"/>
                <w:color w:val="auto"/>
              </w:rPr>
              <w:t>☒</w:t>
            </w: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62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6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62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37" w:lineRule="exact"/>
        <w:rPr>
          <w:sz w:val="24"/>
          <w:szCs w:val="24"/>
          <w:color w:val="auto"/>
        </w:rPr>
      </w:pPr>
    </w:p>
    <w:p>
      <w:pPr>
        <w:spacing w:after="0" w:line="22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outstanding 59,080,348 shares of common stock as of August 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424815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4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73"/>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8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41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Cautionary Note Regarding Forward-Looking Statements</w:t>
            </w:r>
          </w:p>
        </w:tc>
        <w:tc>
          <w:tcPr>
            <w:tcW w:w="3240" w:type="dxa"/>
            <w:vAlign w:val="bottom"/>
            <w:gridSpan w:val="2"/>
          </w:tcPr>
          <w:p>
            <w:pPr>
              <w:spacing w:after="0"/>
              <w:rPr>
                <w:sz w:val="18"/>
                <w:szCs w:val="18"/>
                <w:color w:val="auto"/>
              </w:rPr>
            </w:pP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w:t>
            </w:r>
          </w:p>
        </w:tc>
      </w:tr>
      <w:tr>
        <w:trPr>
          <w:trHeight w:val="237"/>
        </w:trPr>
        <w:tc>
          <w:tcPr>
            <w:tcW w:w="416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3240" w:type="dxa"/>
            <w:vAlign w:val="bottom"/>
            <w:gridSpan w:val="2"/>
          </w:tcPr>
          <w:p>
            <w:pPr>
              <w:spacing w:after="0"/>
              <w:rPr>
                <w:sz w:val="20"/>
                <w:szCs w:val="20"/>
                <w:color w:val="auto"/>
              </w:rPr>
            </w:pPr>
          </w:p>
        </w:tc>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1.</w:t>
            </w:r>
          </w:p>
        </w:tc>
        <w:tc>
          <w:tcPr>
            <w:tcW w:w="240" w:type="dxa"/>
            <w:vAlign w:val="bottom"/>
            <w:gridSpan w:val="2"/>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Times New Roman" w:cs="Times New Roman" w:eastAsia="Times New Roman" w:hAnsi="Times New Roman"/>
                <w:sz w:val="18"/>
                <w:szCs w:val="18"/>
                <w:color w:val="0000EE"/>
              </w:rPr>
              <w:t>Financial Statements (Unaudited)</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18</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32</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120" w:type="dxa"/>
            <w:vAlign w:val="bottom"/>
            <w:tcBorders>
              <w:left w:val="single" w:sz="8" w:color="0000FF"/>
            </w:tcBorders>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4.</w:t>
            </w:r>
          </w:p>
        </w:tc>
        <w:tc>
          <w:tcPr>
            <w:tcW w:w="240" w:type="dxa"/>
            <w:vAlign w:val="bottom"/>
            <w:gridSpan w:val="2"/>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33</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507"/>
        </w:trPr>
        <w:tc>
          <w:tcPr>
            <w:tcW w:w="74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1.</w:t>
            </w:r>
          </w:p>
        </w:tc>
        <w:tc>
          <w:tcPr>
            <w:tcW w:w="240" w:type="dxa"/>
            <w:vAlign w:val="bottom"/>
            <w:gridSpan w:val="2"/>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Times New Roman" w:cs="Times New Roman" w:eastAsia="Times New Roman" w:hAnsi="Times New Roman"/>
                <w:sz w:val="18"/>
                <w:szCs w:val="18"/>
                <w:color w:val="0000FF"/>
              </w:rPr>
              <w:t>Legal Proceedings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35</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1A.</w:t>
            </w:r>
          </w:p>
        </w:tc>
        <w:tc>
          <w:tcPr>
            <w:tcW w:w="6640" w:type="dxa"/>
            <w:vAlign w:val="bottom"/>
            <w:gridSpan w:val="11"/>
          </w:tcPr>
          <w:p>
            <w:pPr>
              <w:ind w:left="180"/>
              <w:spacing w:after="0"/>
              <w:rPr>
                <w:sz w:val="20"/>
                <w:szCs w:val="20"/>
                <w:color w:val="auto"/>
              </w:rPr>
            </w:pPr>
            <w:r>
              <w:rPr>
                <w:rFonts w:ascii="Times New Roman" w:cs="Times New Roman" w:eastAsia="Times New Roman" w:hAnsi="Times New Roman"/>
                <w:sz w:val="18"/>
                <w:szCs w:val="18"/>
                <w:color w:val="0000FF"/>
              </w:rPr>
              <w:t>Risk Factors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35</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120" w:type="dxa"/>
            <w:vAlign w:val="bottom"/>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35</w:t>
            </w: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3.</w:t>
            </w:r>
          </w:p>
        </w:tc>
        <w:tc>
          <w:tcPr>
            <w:tcW w:w="240" w:type="dxa"/>
            <w:vAlign w:val="bottom"/>
            <w:gridSpan w:val="2"/>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35</w:t>
            </w: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4140" w:type="dxa"/>
            <w:vAlign w:val="bottom"/>
            <w:gridSpan w:val="4"/>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4.</w:t>
            </w:r>
          </w:p>
        </w:tc>
        <w:tc>
          <w:tcPr>
            <w:tcW w:w="240" w:type="dxa"/>
            <w:vAlign w:val="bottom"/>
            <w:gridSpan w:val="2"/>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35</w:t>
            </w: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4700" w:type="dxa"/>
            <w:vAlign w:val="bottom"/>
            <w:gridSpan w:val="5"/>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5.</w:t>
            </w:r>
          </w:p>
        </w:tc>
        <w:tc>
          <w:tcPr>
            <w:tcW w:w="240" w:type="dxa"/>
            <w:vAlign w:val="bottom"/>
            <w:gridSpan w:val="2"/>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Times New Roman" w:cs="Times New Roman" w:eastAsia="Times New Roman" w:hAnsi="Times New Roman"/>
                <w:sz w:val="18"/>
                <w:szCs w:val="18"/>
                <w:color w:val="0000FF"/>
              </w:rPr>
              <w:t>Other Information</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35</w:t>
            </w: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5140" w:type="dxa"/>
            <w:vAlign w:val="bottom"/>
            <w:gridSpan w:val="6"/>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6.</w:t>
            </w:r>
          </w:p>
        </w:tc>
        <w:tc>
          <w:tcPr>
            <w:tcW w:w="240" w:type="dxa"/>
            <w:vAlign w:val="bottom"/>
            <w:gridSpan w:val="2"/>
          </w:tcPr>
          <w:p>
            <w:pPr>
              <w:spacing w:after="0"/>
              <w:rPr>
                <w:sz w:val="20"/>
                <w:szCs w:val="20"/>
                <w:color w:val="auto"/>
              </w:rPr>
            </w:pPr>
          </w:p>
        </w:tc>
        <w:tc>
          <w:tcPr>
            <w:tcW w:w="6640" w:type="dxa"/>
            <w:vAlign w:val="bottom"/>
            <w:gridSpan w:val="11"/>
          </w:tcPr>
          <w:p>
            <w:pPr>
              <w:ind w:left="180"/>
              <w:spacing w:after="0"/>
              <w:rPr>
                <w:sz w:val="20"/>
                <w:szCs w:val="20"/>
                <w:color w:val="auto"/>
              </w:rPr>
            </w:pPr>
            <w:r>
              <w:rPr>
                <w:rFonts w:ascii="Times New Roman" w:cs="Times New Roman" w:eastAsia="Times New Roman" w:hAnsi="Times New Roman"/>
                <w:sz w:val="18"/>
                <w:szCs w:val="18"/>
                <w:color w:val="0000FF"/>
              </w:rPr>
              <w:t>Exhibits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36</w:t>
            </w: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7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03"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i w:val="1"/>
          <w:iCs w:val="1"/>
          <w:color w:val="auto"/>
        </w:rPr>
        <w:t>This Quarterly Report on Form 10-Q (“Form 10-Q”) contains forward-looking statements within the meaning of the Private Securities Litigation Reform Act of 1995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PSLRA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which are subject to known and unknown risks, uncertainties and other important factors that may cause actual results to be materially different from the statements made herein. All statements other than statements of historical fact are forward-looking statements. Forward-looking statements discuss our current expectations and projections relating to our financial position, results of operations, plans, objectives, future performance and business. You can identify forward-looking statements by the fact that they do not relate strictly to any historical or current facts. These statements may include words such as “aim,” “anticipate,” “believe,” “estimate,” “expect,” “forecast,” “future,” “intend,” “outlook,” “potential,” “project,” “projection,” “plan,” “seek,” “may,” “could,” “would,” “will,” “should,” “can,” “can have,” “likely,” the negatives thereof and other similar expressions. You should evaluate all forward-looking statements made in this Form 10-Q in the context of the risks and uncertainties disclosed herein, including under Part I. Item 2. “Management’s Discussion and Analysis of Financial Condition and Results of Operations” and Part II. Item 1A. “Risk Factors,” and in our other filings with the Securities and Exchange Commission (“SEC”), including under Part I. Item 1A. “Risk Factors” in our Annual Report on Form 10-K as of and for the year ended December 26, 2021 (“2021 Form 10-K”) and in Part II. Item 1A. “Risk Factors” in our Quarterly Report on Form 10-Q as of and for the quarter ended March 27, 2022. The forward-looking statements included in this Form 10-Q are made only as of the date hereof and are expressly qualified in their entirety by these cautionary statements. We undertake no obligation to publicly update or revise any forward-looking statement as a result of new information, future events or otherwise, except as otherwise required by law. All information presented herein is based on our fiscal calendar. Unless otherwise stated, references to particular years, quarters, months or periods refer to our fiscal years and the associated quarters, months and periods of those fiscal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 (Unaudited)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JUNE 26, 2022</w:t>
            </w:r>
          </w:p>
        </w:tc>
        <w:tc>
          <w:tcPr>
            <w:tcW w:w="200" w:type="dxa"/>
            <w:vAlign w:val="bottom"/>
          </w:tcPr>
          <w:p>
            <w:pPr>
              <w:spacing w:after="0"/>
              <w:rPr>
                <w:sz w:val="18"/>
                <w:szCs w:val="18"/>
                <w:color w:val="auto"/>
              </w:rPr>
            </w:pPr>
          </w:p>
        </w:tc>
        <w:tc>
          <w:tcPr>
            <w:tcW w:w="19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26, 2021</w:t>
            </w:r>
          </w:p>
        </w:tc>
        <w:tc>
          <w:tcPr>
            <w:tcW w:w="0" w:type="dxa"/>
            <w:vAlign w:val="bottom"/>
          </w:tcPr>
          <w:p>
            <w:pPr>
              <w:spacing w:after="0"/>
              <w:rPr>
                <w:sz w:val="1"/>
                <w:szCs w:val="1"/>
                <w:color w:val="auto"/>
              </w:rPr>
            </w:pPr>
          </w:p>
        </w:tc>
      </w:tr>
      <w:tr>
        <w:trPr>
          <w:trHeight w:val="199"/>
        </w:trPr>
        <w:tc>
          <w:tcPr>
            <w:tcW w:w="6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20" w:type="dxa"/>
            <w:vAlign w:val="bottom"/>
            <w:tcBorders>
              <w:top w:val="single" w:sz="8" w:color="auto"/>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53,566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51,864</w:t>
            </w:r>
          </w:p>
        </w:tc>
        <w:tc>
          <w:tcPr>
            <w:tcW w:w="0" w:type="dxa"/>
            <w:vAlign w:val="bottom"/>
          </w:tcPr>
          <w:p>
            <w:pPr>
              <w:spacing w:after="0"/>
              <w:rPr>
                <w:sz w:val="1"/>
                <w:szCs w:val="1"/>
                <w:color w:val="auto"/>
              </w:rPr>
            </w:pPr>
          </w:p>
        </w:tc>
      </w:tr>
      <w:tr>
        <w:trPr>
          <w:trHeight w:val="213"/>
        </w:trPr>
        <w:tc>
          <w:tcPr>
            <w:tcW w:w="6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Restricted cash</w:t>
            </w:r>
          </w:p>
        </w:tc>
        <w:tc>
          <w:tcPr>
            <w:tcW w:w="3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4,450</w:t>
            </w:r>
          </w:p>
        </w:tc>
        <w:tc>
          <w:tcPr>
            <w:tcW w:w="0" w:type="dxa"/>
            <w:vAlign w:val="bottom"/>
          </w:tcPr>
          <w:p>
            <w:pPr>
              <w:spacing w:after="0"/>
              <w:rPr>
                <w:sz w:val="1"/>
                <w:szCs w:val="1"/>
                <w:color w:val="auto"/>
              </w:rPr>
            </w:pPr>
          </w:p>
        </w:tc>
      </w:tr>
      <w:tr>
        <w:trPr>
          <w:trHeight w:val="213"/>
        </w:trPr>
        <w:tc>
          <w:tcPr>
            <w:tcW w:w="6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Inventory</w:t>
            </w:r>
          </w:p>
        </w:tc>
        <w:tc>
          <w:tcPr>
            <w:tcW w:w="3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4,023</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Prepaid expenses</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5,677</w:t>
            </w:r>
          </w:p>
        </w:tc>
        <w:tc>
          <w:tcPr>
            <w:tcW w:w="0" w:type="dxa"/>
            <w:vAlign w:val="bottom"/>
          </w:tcPr>
          <w:p>
            <w:pPr>
              <w:spacing w:after="0"/>
              <w:rPr>
                <w:sz w:val="1"/>
                <w:szCs w:val="1"/>
                <w:color w:val="auto"/>
              </w:rPr>
            </w:pPr>
          </w:p>
        </w:tc>
      </w:tr>
      <w:tr>
        <w:trPr>
          <w:trHeight w:val="213"/>
        </w:trPr>
        <w:tc>
          <w:tcPr>
            <w:tcW w:w="69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current assets</w:t>
            </w:r>
          </w:p>
        </w:tc>
        <w:tc>
          <w:tcPr>
            <w:tcW w:w="3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2,837</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1,432</w:t>
            </w:r>
          </w:p>
        </w:tc>
        <w:tc>
          <w:tcPr>
            <w:tcW w:w="0" w:type="dxa"/>
            <w:vAlign w:val="bottom"/>
          </w:tcPr>
          <w:p>
            <w:pPr>
              <w:spacing w:after="0"/>
              <w:rPr>
                <w:sz w:val="1"/>
                <w:szCs w:val="1"/>
                <w:color w:val="auto"/>
              </w:rPr>
            </w:pPr>
          </w:p>
        </w:tc>
      </w:tr>
      <w:tr>
        <w:trPr>
          <w:trHeight w:val="212"/>
        </w:trPr>
        <w:tc>
          <w:tcPr>
            <w:tcW w:w="6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assets</w:t>
            </w:r>
          </w:p>
        </w:tc>
        <w:tc>
          <w:tcPr>
            <w:tcW w:w="3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70,031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67,697</w:t>
            </w:r>
          </w:p>
        </w:tc>
        <w:tc>
          <w:tcPr>
            <w:tcW w:w="0" w:type="dxa"/>
            <w:vAlign w:val="bottom"/>
          </w:tcPr>
          <w:p>
            <w:pPr>
              <w:spacing w:after="0"/>
              <w:rPr>
                <w:sz w:val="1"/>
                <w:szCs w:val="1"/>
                <w:color w:val="auto"/>
              </w:rPr>
            </w:pP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345,219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345,219</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142,894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143,000</w:t>
            </w:r>
          </w:p>
        </w:tc>
        <w:tc>
          <w:tcPr>
            <w:tcW w:w="0" w:type="dxa"/>
            <w:vAlign w:val="bottom"/>
          </w:tcPr>
          <w:p>
            <w:pPr>
              <w:spacing w:after="0"/>
              <w:rPr>
                <w:sz w:val="1"/>
                <w:szCs w:val="1"/>
                <w:color w:val="auto"/>
              </w:rPr>
            </w:pP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343,797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324,995</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fixtures and equipment, net of accumulated depreciation of $130,380 and $115,582, respectively</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177,025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164,695</w:t>
            </w:r>
          </w:p>
        </w:tc>
        <w:tc>
          <w:tcPr>
            <w:tcW w:w="0" w:type="dxa"/>
            <w:vAlign w:val="bottom"/>
          </w:tcPr>
          <w:p>
            <w:pPr>
              <w:spacing w:after="0"/>
              <w:rPr>
                <w:sz w:val="1"/>
                <w:szCs w:val="1"/>
                <w:color w:val="auto"/>
              </w:rPr>
            </w:pPr>
          </w:p>
        </w:tc>
      </w:tr>
      <w:tr>
        <w:trPr>
          <w:trHeight w:val="213"/>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3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1,282</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1,311</w:t>
            </w:r>
          </w:p>
        </w:tc>
        <w:tc>
          <w:tcPr>
            <w:tcW w:w="0" w:type="dxa"/>
            <w:vAlign w:val="bottom"/>
          </w:tcPr>
          <w:p>
            <w:pPr>
              <w:spacing w:after="0"/>
              <w:rPr>
                <w:sz w:val="1"/>
                <w:szCs w:val="1"/>
                <w:color w:val="auto"/>
              </w:rPr>
            </w:pPr>
          </w:p>
        </w:tc>
      </w:tr>
      <w:tr>
        <w:trPr>
          <w:trHeight w:val="237"/>
        </w:trPr>
        <w:tc>
          <w:tcPr>
            <w:tcW w:w="69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assets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1,080,248</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1,046,917</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9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6,986</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11,060</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liabilities</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21,348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15,889</w:t>
            </w:r>
          </w:p>
        </w:tc>
        <w:tc>
          <w:tcPr>
            <w:tcW w:w="0" w:type="dxa"/>
            <w:vAlign w:val="bottom"/>
          </w:tcPr>
          <w:p>
            <w:pPr>
              <w:spacing w:after="0"/>
              <w:rPr>
                <w:sz w:val="1"/>
                <w:szCs w:val="1"/>
                <w:color w:val="auto"/>
              </w:rPr>
            </w:pPr>
          </w:p>
        </w:tc>
      </w:tr>
      <w:tr>
        <w:trPr>
          <w:trHeight w:val="213"/>
        </w:trPr>
        <w:tc>
          <w:tcPr>
            <w:tcW w:w="6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compensation and deferred payroll taxes</w:t>
            </w:r>
          </w:p>
        </w:tc>
        <w:tc>
          <w:tcPr>
            <w:tcW w:w="3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18,973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21,196</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revenues</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4,654</w:t>
            </w:r>
          </w:p>
        </w:tc>
        <w:tc>
          <w:tcPr>
            <w:tcW w:w="0" w:type="dxa"/>
            <w:vAlign w:val="bottom"/>
          </w:tcPr>
          <w:p>
            <w:pPr>
              <w:spacing w:after="0"/>
              <w:rPr>
                <w:sz w:val="1"/>
                <w:szCs w:val="1"/>
                <w:color w:val="auto"/>
              </w:rPr>
            </w:pPr>
          </w:p>
        </w:tc>
      </w:tr>
      <w:tr>
        <w:trPr>
          <w:trHeight w:val="213"/>
        </w:trPr>
        <w:tc>
          <w:tcPr>
            <w:tcW w:w="6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3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37,591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38,186</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3,186</w:t>
            </w:r>
          </w:p>
        </w:tc>
        <w:tc>
          <w:tcPr>
            <w:tcW w:w="0" w:type="dxa"/>
            <w:vAlign w:val="bottom"/>
          </w:tcPr>
          <w:p>
            <w:pPr>
              <w:spacing w:after="0"/>
              <w:rPr>
                <w:sz w:val="1"/>
                <w:szCs w:val="1"/>
                <w:color w:val="auto"/>
              </w:rPr>
            </w:pPr>
          </w:p>
        </w:tc>
      </w:tr>
      <w:tr>
        <w:trPr>
          <w:trHeight w:val="213"/>
        </w:trPr>
        <w:tc>
          <w:tcPr>
            <w:tcW w:w="69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Note payable</w:t>
            </w:r>
          </w:p>
        </w:tc>
        <w:tc>
          <w:tcPr>
            <w:tcW w:w="3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2,352</w:t>
            </w:r>
          </w:p>
        </w:tc>
        <w:tc>
          <w:tcPr>
            <w:tcW w:w="0" w:type="dxa"/>
            <w:vAlign w:val="bottom"/>
          </w:tcPr>
          <w:p>
            <w:pPr>
              <w:spacing w:after="0"/>
              <w:rPr>
                <w:sz w:val="1"/>
                <w:szCs w:val="1"/>
                <w:color w:val="auto"/>
              </w:rPr>
            </w:pPr>
          </w:p>
        </w:tc>
      </w:tr>
      <w:tr>
        <w:trPr>
          <w:trHeight w:val="212"/>
        </w:trPr>
        <w:tc>
          <w:tcPr>
            <w:tcW w:w="6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92,882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96,523</w:t>
            </w:r>
          </w:p>
        </w:tc>
        <w:tc>
          <w:tcPr>
            <w:tcW w:w="0" w:type="dxa"/>
            <w:vAlign w:val="bottom"/>
          </w:tcPr>
          <w:p>
            <w:pPr>
              <w:spacing w:after="0"/>
              <w:rPr>
                <w:sz w:val="1"/>
                <w:szCs w:val="1"/>
                <w:color w:val="auto"/>
              </w:rPr>
            </w:pP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353,777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330,495</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97,180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99,753</w:t>
            </w:r>
          </w:p>
        </w:tc>
        <w:tc>
          <w:tcPr>
            <w:tcW w:w="0" w:type="dxa"/>
            <w:vAlign w:val="bottom"/>
          </w:tcPr>
          <w:p>
            <w:pPr>
              <w:spacing w:after="0"/>
              <w:rPr>
                <w:sz w:val="1"/>
                <w:szCs w:val="1"/>
                <w:color w:val="auto"/>
              </w:rPr>
            </w:pP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3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15,655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12,489</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3,228</w:t>
            </w:r>
          </w:p>
        </w:tc>
        <w:tc>
          <w:tcPr>
            <w:tcW w:w="0" w:type="dxa"/>
            <w:vAlign w:val="bottom"/>
          </w:tcPr>
          <w:p>
            <w:pPr>
              <w:spacing w:after="0"/>
              <w:rPr>
                <w:sz w:val="1"/>
                <w:szCs w:val="1"/>
                <w:color w:val="auto"/>
              </w:rPr>
            </w:pPr>
          </w:p>
        </w:tc>
      </w:tr>
      <w:tr>
        <w:trPr>
          <w:trHeight w:val="207"/>
        </w:trPr>
        <w:tc>
          <w:tcPr>
            <w:tcW w:w="69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liabilities</w:t>
            </w:r>
          </w:p>
        </w:tc>
        <w:tc>
          <w:tcPr>
            <w:tcW w:w="32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563,126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542,488</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9)</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$0.01 par value; 10,000,000 shares authorized; none issued and outstanding</w:t>
            </w:r>
          </w:p>
        </w:tc>
        <w:tc>
          <w:tcPr>
            <w:tcW w:w="32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69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$0.01 par value; 300,000,000 shares authorized; 59,075,562 and 59,048,446 shares issued</w:t>
            </w:r>
          </w:p>
        </w:tc>
        <w:tc>
          <w:tcPr>
            <w:tcW w:w="320" w:type="dxa"/>
            <w:vAlign w:val="bottom"/>
          </w:tcPr>
          <w:p>
            <w:pPr>
              <w:spacing w:after="0"/>
              <w:rPr>
                <w:sz w:val="14"/>
                <w:szCs w:val="14"/>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0" w:type="dxa"/>
            <w:vAlign w:val="bottom"/>
          </w:tcPr>
          <w:p>
            <w:pPr>
              <w:spacing w:after="0"/>
              <w:rPr>
                <w:sz w:val="1"/>
                <w:szCs w:val="1"/>
                <w:color w:val="auto"/>
              </w:rPr>
            </w:pPr>
          </w:p>
        </w:tc>
      </w:tr>
      <w:tr>
        <w:trPr>
          <w:trHeight w:val="213"/>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and outstanding at June 26, 2022 and December 26, 2021, respectively</w:t>
            </w:r>
          </w:p>
        </w:tc>
        <w:tc>
          <w:tcPr>
            <w:tcW w:w="32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614,223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608,878</w:t>
            </w:r>
          </w:p>
        </w:tc>
        <w:tc>
          <w:tcPr>
            <w:tcW w:w="0" w:type="dxa"/>
            <w:vAlign w:val="bottom"/>
          </w:tcPr>
          <w:p>
            <w:pPr>
              <w:spacing w:after="0"/>
              <w:rPr>
                <w:sz w:val="1"/>
                <w:szCs w:val="1"/>
                <w:color w:val="auto"/>
              </w:rPr>
            </w:pPr>
          </w:p>
        </w:tc>
      </w:tr>
      <w:tr>
        <w:trPr>
          <w:trHeight w:val="213"/>
        </w:trPr>
        <w:tc>
          <w:tcPr>
            <w:tcW w:w="69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Accumulated deficit</w:t>
            </w:r>
          </w:p>
        </w:tc>
        <w:tc>
          <w:tcPr>
            <w:tcW w:w="3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(97,692)</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(105,039)</w:t>
            </w: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equity</w:t>
            </w:r>
          </w:p>
        </w:tc>
        <w:tc>
          <w:tcPr>
            <w:tcW w:w="3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517,122</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504,429</w:t>
            </w:r>
          </w:p>
        </w:tc>
        <w:tc>
          <w:tcPr>
            <w:tcW w:w="0" w:type="dxa"/>
            <w:vAlign w:val="bottom"/>
          </w:tcPr>
          <w:p>
            <w:pPr>
              <w:spacing w:after="0"/>
              <w:rPr>
                <w:sz w:val="1"/>
                <w:szCs w:val="1"/>
                <w:color w:val="auto"/>
              </w:rPr>
            </w:pPr>
          </w:p>
        </w:tc>
      </w:tr>
      <w:tr>
        <w:trPr>
          <w:trHeight w:val="212"/>
        </w:trPr>
        <w:tc>
          <w:tcPr>
            <w:tcW w:w="69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1,080,248</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1,046,917</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340" w:right="2060"/>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FIRST WATCH RESTAURANT GROUP, INC. CONSOLIDATED STATEMENTS OF OPERATIONS AND COMPREHENSIVE INCOME </w:t>
      </w:r>
      <w:r>
        <w:rPr>
          <w:rFonts w:ascii="Times New Roman" w:cs="Times New Roman" w:eastAsia="Times New Roman" w:hAnsi="Times New Roman"/>
          <w:sz w:val="18"/>
          <w:szCs w:val="18"/>
          <w:i w:val="1"/>
          <w:iCs w:val="1"/>
          <w:color w:val="auto"/>
        </w:rPr>
        <w:t>(IN THOUSANDS, EXCEPT SHARE AND PER SHARE DATA) (Unaudited)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80" w:type="dxa"/>
            <w:vAlign w:val="bottom"/>
          </w:tcPr>
          <w:p>
            <w:pPr>
              <w:spacing w:after="0"/>
              <w:rPr>
                <w:sz w:val="16"/>
                <w:szCs w:val="16"/>
                <w:color w:val="auto"/>
              </w:rPr>
            </w:pPr>
          </w:p>
        </w:tc>
        <w:tc>
          <w:tcPr>
            <w:tcW w:w="2880" w:type="dxa"/>
            <w:vAlign w:val="bottom"/>
            <w:gridSpan w:val="4"/>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23"/>
        </w:trPr>
        <w:tc>
          <w:tcPr>
            <w:tcW w:w="5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90"/>
        </w:trPr>
        <w:tc>
          <w:tcPr>
            <w:tcW w:w="50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26, 2022</w:t>
            </w: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JUNE 27, 2021</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26, 2022</w:t>
            </w: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JUNE 27, 2021</w:t>
            </w:r>
          </w:p>
        </w:tc>
      </w:tr>
      <w:tr>
        <w:trPr>
          <w:trHeight w:val="202"/>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Restaurant sales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181,682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151,688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352,351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277,054</w:t>
            </w: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revenues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4,078</w:t>
            </w:r>
          </w:p>
        </w:tc>
      </w:tr>
      <w:tr>
        <w:trPr>
          <w:trHeight w:val="207"/>
        </w:trPr>
        <w:tc>
          <w:tcPr>
            <w:tcW w:w="5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revenues</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184,453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153,963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357,565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281,132</w:t>
            </w:r>
          </w:p>
        </w:tc>
      </w:tr>
      <w:tr>
        <w:trPr>
          <w:trHeight w:val="19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costs and expenses:</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162"/>
        </w:trPr>
        <w:tc>
          <w:tcPr>
            <w:tcW w:w="50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Restaurant operating expenses (exclusive of depreciation and amortization</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shown below):</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Food and beverage costs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60,512</w:t>
            </w:r>
          </w:p>
        </w:tc>
      </w:tr>
      <w:tr>
        <w:trPr>
          <w:trHeight w:val="213"/>
        </w:trPr>
        <w:tc>
          <w:tcPr>
            <w:tcW w:w="5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Labor and other related expenses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85,999</w:t>
            </w:r>
          </w:p>
        </w:tc>
      </w:tr>
      <w:tr>
        <w:trPr>
          <w:trHeight w:val="219"/>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restaurant operating expenses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45,443</w:t>
            </w:r>
          </w:p>
        </w:tc>
      </w:tr>
      <w:tr>
        <w:trPr>
          <w:trHeight w:val="213"/>
        </w:trPr>
        <w:tc>
          <w:tcPr>
            <w:tcW w:w="5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Occupancy expenses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27,066</w:t>
            </w:r>
          </w:p>
        </w:tc>
      </w:tr>
      <w:tr>
        <w:trPr>
          <w:trHeight w:val="219"/>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Pre-opening expenses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w:t>
            </w: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27,341</w:t>
            </w: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15,762</w:t>
            </w: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Impairments and loss on disposal of assets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expenses, net</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w:t>
            </w:r>
          </w:p>
        </w:tc>
      </w:tr>
      <w:tr>
        <w:trPr>
          <w:trHeight w:val="207"/>
        </w:trPr>
        <w:tc>
          <w:tcPr>
            <w:tcW w:w="5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operating costs and expenses</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179,400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141,651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344,752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264,975</w:t>
            </w:r>
          </w:p>
        </w:tc>
      </w:tr>
      <w:tr>
        <w:trPr>
          <w:trHeight w:val="212"/>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16,157</w:t>
            </w: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(12,605)</w:t>
            </w: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r>
      <w:tr>
        <w:trPr>
          <w:trHeight w:val="207"/>
        </w:trPr>
        <w:tc>
          <w:tcPr>
            <w:tcW w:w="50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3,873</w:t>
            </w:r>
          </w:p>
        </w:tc>
      </w:tr>
      <w:tr>
        <w:trPr>
          <w:trHeight w:val="21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(2,110)</w:t>
            </w:r>
          </w:p>
        </w:tc>
      </w:tr>
      <w:tr>
        <w:trPr>
          <w:trHeight w:val="212"/>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and total comprehensive income</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7,347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1,763</w:t>
            </w: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83"/>
        </w:trPr>
        <w:tc>
          <w:tcPr>
            <w:tcW w:w="5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common share - basic</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common share - diluted</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number of common shares outstanding - basic</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59,057,991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45,013,784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59,053,219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45,013,784</w:t>
            </w: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number of common shares outstanding - diluted</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59,888,029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45,562,703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59,933,003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45,560,575</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6"/>
                <w:szCs w:val="16"/>
                <w:color w:val="auto"/>
              </w:rPr>
            </w:pPr>
          </w:p>
        </w:tc>
        <w:tc>
          <w:tcPr>
            <w:tcW w:w="2160" w:type="dxa"/>
            <w:vAlign w:val="bottom"/>
            <w:gridSpan w:val="4"/>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5160" w:type="dxa"/>
            <w:vAlign w:val="bottom"/>
          </w:tcPr>
          <w:p>
            <w:pPr>
              <w:spacing w:after="0"/>
              <w:rPr>
                <w:sz w:val="12"/>
                <w:szCs w:val="12"/>
                <w:color w:val="auto"/>
              </w:rPr>
            </w:pPr>
          </w:p>
        </w:tc>
        <w:tc>
          <w:tcPr>
            <w:tcW w:w="216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20" w:type="dxa"/>
            <w:vAlign w:val="bottom"/>
          </w:tcPr>
          <w:p>
            <w:pPr>
              <w:spacing w:after="0"/>
              <w:rPr>
                <w:sz w:val="12"/>
                <w:szCs w:val="12"/>
                <w:color w:val="auto"/>
              </w:rPr>
            </w:pPr>
          </w:p>
        </w:tc>
        <w:tc>
          <w:tcPr>
            <w:tcW w:w="920" w:type="dxa"/>
            <w:vAlign w:val="bottom"/>
          </w:tcPr>
          <w:p>
            <w:pPr>
              <w:jc w:val="right"/>
              <w:ind w:right="319"/>
              <w:spacing w:after="0" w:line="142"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8"/>
        </w:trPr>
        <w:tc>
          <w:tcPr>
            <w:tcW w:w="5160" w:type="dxa"/>
            <w:vAlign w:val="bottom"/>
          </w:tcPr>
          <w:p>
            <w:pPr>
              <w:spacing w:after="0"/>
              <w:rPr>
                <w:sz w:val="18"/>
                <w:szCs w:val="18"/>
                <w:color w:val="auto"/>
              </w:rPr>
            </w:pPr>
          </w:p>
        </w:tc>
        <w:tc>
          <w:tcPr>
            <w:tcW w:w="124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6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Pr>
          <w:p>
            <w:pPr>
              <w:spacing w:after="0"/>
              <w:rPr>
                <w:sz w:val="18"/>
                <w:szCs w:val="18"/>
                <w:color w:val="auto"/>
              </w:rPr>
            </w:pPr>
          </w:p>
        </w:tc>
        <w:tc>
          <w:tcPr>
            <w:tcW w:w="9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1"/>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27, 2022</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59,048,446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611,172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(100,399)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511,363</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2,707</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2,808</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issued upon exercise of stock options, net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0" w:type="dxa"/>
            <w:vAlign w:val="bottom"/>
          </w:tcPr>
          <w:p>
            <w:pPr>
              <w:spacing w:after="0"/>
              <w:rPr>
                <w:sz w:val="1"/>
                <w:szCs w:val="1"/>
                <w:color w:val="auto"/>
              </w:rPr>
            </w:pPr>
          </w:p>
        </w:tc>
      </w:tr>
      <w:tr>
        <w:trPr>
          <w:trHeight w:val="237"/>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26, 2022</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59,075,562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614,223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517,122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6"/>
                <w:szCs w:val="16"/>
                <w:color w:val="auto"/>
              </w:rPr>
            </w:pPr>
          </w:p>
        </w:tc>
        <w:tc>
          <w:tcPr>
            <w:tcW w:w="2160" w:type="dxa"/>
            <w:vAlign w:val="bottom"/>
            <w:gridSpan w:val="4"/>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5160" w:type="dxa"/>
            <w:vAlign w:val="bottom"/>
          </w:tcPr>
          <w:p>
            <w:pPr>
              <w:spacing w:after="0"/>
              <w:rPr>
                <w:sz w:val="12"/>
                <w:szCs w:val="12"/>
                <w:color w:val="auto"/>
              </w:rPr>
            </w:pPr>
          </w:p>
        </w:tc>
        <w:tc>
          <w:tcPr>
            <w:tcW w:w="216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20" w:type="dxa"/>
            <w:vAlign w:val="bottom"/>
          </w:tcPr>
          <w:p>
            <w:pPr>
              <w:spacing w:after="0"/>
              <w:rPr>
                <w:sz w:val="12"/>
                <w:szCs w:val="12"/>
                <w:color w:val="auto"/>
              </w:rPr>
            </w:pPr>
          </w:p>
        </w:tc>
        <w:tc>
          <w:tcPr>
            <w:tcW w:w="920" w:type="dxa"/>
            <w:vAlign w:val="bottom"/>
          </w:tcPr>
          <w:p>
            <w:pPr>
              <w:jc w:val="right"/>
              <w:ind w:right="319"/>
              <w:spacing w:after="0" w:line="142"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8"/>
        </w:trPr>
        <w:tc>
          <w:tcPr>
            <w:tcW w:w="5160" w:type="dxa"/>
            <w:vAlign w:val="bottom"/>
          </w:tcPr>
          <w:p>
            <w:pPr>
              <w:spacing w:after="0"/>
              <w:rPr>
                <w:sz w:val="18"/>
                <w:szCs w:val="18"/>
                <w:color w:val="auto"/>
              </w:rPr>
            </w:pPr>
          </w:p>
        </w:tc>
        <w:tc>
          <w:tcPr>
            <w:tcW w:w="124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6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Pr>
          <w:p>
            <w:pPr>
              <w:spacing w:after="0"/>
              <w:rPr>
                <w:sz w:val="18"/>
                <w:szCs w:val="18"/>
                <w:color w:val="auto"/>
              </w:rPr>
            </w:pPr>
          </w:p>
        </w:tc>
        <w:tc>
          <w:tcPr>
            <w:tcW w:w="9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1"/>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26, 2021</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59,048,446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608,878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(105,039)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504,429</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7,347</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5,102</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issued upon exercise of stock options, net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0" w:type="dxa"/>
            <w:vAlign w:val="bottom"/>
          </w:tcPr>
          <w:p>
            <w:pPr>
              <w:spacing w:after="0"/>
              <w:rPr>
                <w:sz w:val="1"/>
                <w:szCs w:val="1"/>
                <w:color w:val="auto"/>
              </w:rPr>
            </w:pPr>
          </w:p>
        </w:tc>
      </w:tr>
      <w:tr>
        <w:trPr>
          <w:trHeight w:val="237"/>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26, 2022</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59,075,562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614,223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517,122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5"/>
                <w:szCs w:val="15"/>
                <w:color w:val="auto"/>
              </w:rPr>
            </w:pPr>
          </w:p>
        </w:tc>
        <w:tc>
          <w:tcPr>
            <w:tcW w:w="2120" w:type="dxa"/>
            <w:vAlign w:val="bottom"/>
            <w:gridSpan w:val="4"/>
            <w:vMerge w:val="restart"/>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00" w:type="dxa"/>
            <w:vAlign w:val="bottom"/>
            <w:vMerge w:val="restart"/>
          </w:tcPr>
          <w:p>
            <w:pPr>
              <w:spacing w:after="0"/>
              <w:rPr>
                <w:sz w:val="15"/>
                <w:szCs w:val="15"/>
                <w:color w:val="auto"/>
              </w:rPr>
            </w:pPr>
          </w:p>
        </w:tc>
        <w:tc>
          <w:tcPr>
            <w:tcW w:w="2140" w:type="dxa"/>
            <w:vAlign w:val="bottom"/>
            <w:gridSpan w:val="4"/>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3000" w:type="dxa"/>
            <w:vAlign w:val="bottom"/>
          </w:tcPr>
          <w:p>
            <w:pPr>
              <w:spacing w:after="0"/>
              <w:rPr>
                <w:sz w:val="12"/>
                <w:szCs w:val="12"/>
                <w:color w:val="auto"/>
              </w:rPr>
            </w:pPr>
          </w:p>
        </w:tc>
        <w:tc>
          <w:tcPr>
            <w:tcW w:w="2120" w:type="dxa"/>
            <w:vAlign w:val="bottom"/>
            <w:tcBorders>
              <w:bottom w:val="single" w:sz="8" w:color="auto"/>
            </w:tcBorders>
            <w:gridSpan w:val="4"/>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14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20" w:type="dxa"/>
            <w:vAlign w:val="bottom"/>
          </w:tcPr>
          <w:p>
            <w:pPr>
              <w:spacing w:after="0"/>
              <w:rPr>
                <w:sz w:val="12"/>
                <w:szCs w:val="12"/>
                <w:color w:val="auto"/>
              </w:rPr>
            </w:pPr>
          </w:p>
        </w:tc>
        <w:tc>
          <w:tcPr>
            <w:tcW w:w="920" w:type="dxa"/>
            <w:vAlign w:val="bottom"/>
          </w:tcPr>
          <w:p>
            <w:pPr>
              <w:jc w:val="right"/>
              <w:ind w:right="299"/>
              <w:spacing w:after="0" w:line="142"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8"/>
        </w:trPr>
        <w:tc>
          <w:tcPr>
            <w:tcW w:w="3000" w:type="dxa"/>
            <w:vAlign w:val="bottom"/>
          </w:tcPr>
          <w:p>
            <w:pPr>
              <w:spacing w:after="0"/>
              <w:rPr>
                <w:sz w:val="18"/>
                <w:szCs w:val="18"/>
                <w:color w:val="auto"/>
              </w:rPr>
            </w:pPr>
          </w:p>
        </w:tc>
        <w:tc>
          <w:tcPr>
            <w:tcW w:w="122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Pr>
          <w:p>
            <w:pPr>
              <w:spacing w:after="0"/>
              <w:rPr>
                <w:sz w:val="18"/>
                <w:szCs w:val="18"/>
                <w:color w:val="auto"/>
              </w:rPr>
            </w:pPr>
          </w:p>
        </w:tc>
        <w:tc>
          <w:tcPr>
            <w:tcW w:w="9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1"/>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28, 2021</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266,667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45,013,784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423,474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(104,974)</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318,953</w:t>
            </w: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3,805</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0" w:type="dxa"/>
            <w:vAlign w:val="bottom"/>
          </w:tcPr>
          <w:p>
            <w:pPr>
              <w:spacing w:after="0"/>
              <w:rPr>
                <w:sz w:val="1"/>
                <w:szCs w:val="1"/>
                <w:color w:val="auto"/>
              </w:rPr>
            </w:pPr>
          </w:p>
        </w:tc>
      </w:tr>
      <w:tr>
        <w:trPr>
          <w:trHeight w:val="212"/>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27, 2021</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266,667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45,013,784</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423,661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(101,169)</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322,945</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2120" w:type="dxa"/>
            <w:vAlign w:val="bottom"/>
            <w:gridSpan w:val="4"/>
            <w:vMerge w:val="restart"/>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00" w:type="dxa"/>
            <w:vAlign w:val="bottom"/>
            <w:vMerge w:val="restart"/>
          </w:tcPr>
          <w:p>
            <w:pPr>
              <w:spacing w:after="0"/>
              <w:rPr>
                <w:sz w:val="16"/>
                <w:szCs w:val="16"/>
                <w:color w:val="auto"/>
              </w:rPr>
            </w:pPr>
          </w:p>
        </w:tc>
        <w:tc>
          <w:tcPr>
            <w:tcW w:w="2140" w:type="dxa"/>
            <w:vAlign w:val="bottom"/>
            <w:gridSpan w:val="4"/>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000" w:type="dxa"/>
            <w:vAlign w:val="bottom"/>
          </w:tcPr>
          <w:p>
            <w:pPr>
              <w:spacing w:after="0"/>
              <w:rPr>
                <w:sz w:val="12"/>
                <w:szCs w:val="12"/>
                <w:color w:val="auto"/>
              </w:rPr>
            </w:pPr>
          </w:p>
        </w:tc>
        <w:tc>
          <w:tcPr>
            <w:tcW w:w="2120" w:type="dxa"/>
            <w:vAlign w:val="bottom"/>
            <w:tcBorders>
              <w:bottom w:val="single" w:sz="8" w:color="auto"/>
            </w:tcBorders>
            <w:gridSpan w:val="4"/>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14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20" w:type="dxa"/>
            <w:vAlign w:val="bottom"/>
          </w:tcPr>
          <w:p>
            <w:pPr>
              <w:spacing w:after="0"/>
              <w:rPr>
                <w:sz w:val="12"/>
                <w:szCs w:val="12"/>
                <w:color w:val="auto"/>
              </w:rPr>
            </w:pPr>
          </w:p>
        </w:tc>
        <w:tc>
          <w:tcPr>
            <w:tcW w:w="920" w:type="dxa"/>
            <w:vAlign w:val="bottom"/>
          </w:tcPr>
          <w:p>
            <w:pPr>
              <w:jc w:val="right"/>
              <w:ind w:right="299"/>
              <w:spacing w:after="0" w:line="142"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8"/>
        </w:trPr>
        <w:tc>
          <w:tcPr>
            <w:tcW w:w="3000" w:type="dxa"/>
            <w:vAlign w:val="bottom"/>
          </w:tcPr>
          <w:p>
            <w:pPr>
              <w:spacing w:after="0"/>
              <w:rPr>
                <w:sz w:val="18"/>
                <w:szCs w:val="18"/>
                <w:color w:val="auto"/>
              </w:rPr>
            </w:pPr>
          </w:p>
        </w:tc>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Pr>
          <w:p>
            <w:pPr>
              <w:spacing w:after="0"/>
              <w:rPr>
                <w:sz w:val="18"/>
                <w:szCs w:val="18"/>
                <w:color w:val="auto"/>
              </w:rPr>
            </w:pPr>
          </w:p>
        </w:tc>
        <w:tc>
          <w:tcPr>
            <w:tcW w:w="9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1"/>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27, 2020</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266,667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45,013,784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423,345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(102,932)</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320,866</w:t>
            </w:r>
          </w:p>
        </w:tc>
        <w:tc>
          <w:tcPr>
            <w:tcW w:w="0" w:type="dxa"/>
            <w:vAlign w:val="bottom"/>
          </w:tcPr>
          <w:p>
            <w:pPr>
              <w:spacing w:after="0"/>
              <w:rPr>
                <w:sz w:val="1"/>
                <w:szCs w:val="1"/>
                <w:color w:val="auto"/>
              </w:rPr>
            </w:pPr>
          </w:p>
        </w:tc>
      </w:tr>
      <w:tr>
        <w:trPr>
          <w:trHeight w:val="213"/>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1,763</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0" w:type="dxa"/>
            <w:vAlign w:val="bottom"/>
          </w:tcPr>
          <w:p>
            <w:pPr>
              <w:spacing w:after="0"/>
              <w:rPr>
                <w:sz w:val="1"/>
                <w:szCs w:val="1"/>
                <w:color w:val="auto"/>
              </w:rPr>
            </w:pPr>
          </w:p>
        </w:tc>
      </w:tr>
      <w:tr>
        <w:trPr>
          <w:trHeight w:val="212"/>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27, 2021</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266,667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45,013,784</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423,661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(101,169)</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322,945</w:t>
            </w:r>
          </w:p>
        </w:tc>
        <w:tc>
          <w:tcPr>
            <w:tcW w:w="0" w:type="dxa"/>
            <w:vAlign w:val="bottom"/>
          </w:tcPr>
          <w:p>
            <w:pPr>
              <w:spacing w:after="0"/>
              <w:rPr>
                <w:sz w:val="1"/>
                <w:szCs w:val="1"/>
                <w:color w:val="auto"/>
              </w:rPr>
            </w:pPr>
          </w:p>
        </w:tc>
      </w:tr>
      <w:tr>
        <w:trPr>
          <w:trHeight w:val="21"/>
        </w:trPr>
        <w:tc>
          <w:tcPr>
            <w:tcW w:w="30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40" w:type="dxa"/>
            <w:vAlign w:val="bottom"/>
            <w:gridSpan w:val="4"/>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23"/>
        </w:trPr>
        <w:tc>
          <w:tcPr>
            <w:tcW w:w="7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90"/>
        </w:trPr>
        <w:tc>
          <w:tcPr>
            <w:tcW w:w="7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26, 2022</w:t>
            </w:r>
          </w:p>
        </w:tc>
        <w:tc>
          <w:tcPr>
            <w:tcW w:w="220" w:type="dxa"/>
            <w:vAlign w:val="bottom"/>
          </w:tcPr>
          <w:p>
            <w:pPr>
              <w:spacing w:after="0"/>
              <w:rPr>
                <w:sz w:val="16"/>
                <w:szCs w:val="16"/>
                <w:color w:val="auto"/>
              </w:rPr>
            </w:pPr>
          </w:p>
        </w:tc>
        <w:tc>
          <w:tcPr>
            <w:tcW w:w="138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JUNE 27, 2021</w:t>
            </w:r>
          </w:p>
        </w:tc>
      </w:tr>
      <w:tr>
        <w:trPr>
          <w:trHeight w:val="202"/>
        </w:trPr>
        <w:tc>
          <w:tcPr>
            <w:tcW w:w="7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7,347</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1,763</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3"/>
        </w:trPr>
        <w:tc>
          <w:tcPr>
            <w:tcW w:w="79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15,762</w:t>
            </w:r>
          </w:p>
        </w:tc>
      </w:tr>
      <w:tr>
        <w:trPr>
          <w:trHeight w:val="219"/>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Stock-based compensation</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r>
      <w:tr>
        <w:trPr>
          <w:trHeight w:val="213"/>
        </w:trPr>
        <w:tc>
          <w:tcPr>
            <w:tcW w:w="79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Non-cash operating lease costs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6,285</w:t>
            </w:r>
          </w:p>
        </w:tc>
      </w:tr>
      <w:tr>
        <w:trPr>
          <w:trHeight w:val="219"/>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Non-cash portion of gain on lease modifications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3"/>
        </w:trPr>
        <w:tc>
          <w:tcPr>
            <w:tcW w:w="79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2,033</w:t>
            </w:r>
          </w:p>
        </w:tc>
      </w:tr>
      <w:tr>
        <w:trPr>
          <w:trHeight w:val="219"/>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debt discount and deferred issuance costs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w:t>
            </w:r>
          </w:p>
        </w:tc>
      </w:tr>
      <w:tr>
        <w:trPr>
          <w:trHeight w:val="213"/>
        </w:trPr>
        <w:tc>
          <w:tcPr>
            <w:tcW w:w="79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Impairments and loss on disposal of assets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r>
      <w:tr>
        <w:trPr>
          <w:trHeight w:val="219"/>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3"/>
        </w:trPr>
        <w:tc>
          <w:tcPr>
            <w:tcW w:w="79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Accounts receivable</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w:t>
            </w:r>
          </w:p>
        </w:tc>
      </w:tr>
      <w:tr>
        <w:trPr>
          <w:trHeight w:val="219"/>
        </w:trPr>
        <w:tc>
          <w:tcPr>
            <w:tcW w:w="79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Inventory</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r>
      <w:tr>
        <w:trPr>
          <w:trHeight w:val="213"/>
        </w:trPr>
        <w:tc>
          <w:tcPr>
            <w:tcW w:w="79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Prepaid expenses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(1,374)</w:t>
            </w:r>
          </w:p>
        </w:tc>
      </w:tr>
      <w:tr>
        <w:trPr>
          <w:trHeight w:val="219"/>
        </w:trPr>
        <w:tc>
          <w:tcPr>
            <w:tcW w:w="79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Deferred offering costs</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w:t>
            </w:r>
          </w:p>
        </w:tc>
      </w:tr>
      <w:tr>
        <w:trPr>
          <w:trHeight w:val="213"/>
        </w:trPr>
        <w:tc>
          <w:tcPr>
            <w:tcW w:w="79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Other assets, current and long-term</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r>
      <w:tr>
        <w:trPr>
          <w:trHeight w:val="219"/>
        </w:trPr>
        <w:tc>
          <w:tcPr>
            <w:tcW w:w="79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2,147</w:t>
            </w:r>
          </w:p>
        </w:tc>
      </w:tr>
      <w:tr>
        <w:trPr>
          <w:trHeight w:val="213"/>
        </w:trPr>
        <w:tc>
          <w:tcPr>
            <w:tcW w:w="79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Accrued liabilities and other long-term liabilities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5,567</w:t>
            </w:r>
          </w:p>
        </w:tc>
      </w:tr>
      <w:tr>
        <w:trPr>
          <w:trHeight w:val="219"/>
        </w:trPr>
        <w:tc>
          <w:tcPr>
            <w:tcW w:w="79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Accrued compensation and deferred payroll taxes, current and long-term</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5,347</w:t>
            </w:r>
          </w:p>
        </w:tc>
      </w:tr>
      <w:tr>
        <w:trPr>
          <w:trHeight w:val="213"/>
        </w:trPr>
        <w:tc>
          <w:tcPr>
            <w:tcW w:w="79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Deferred revenues, current and long-term</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(1,410)</w:t>
            </w:r>
          </w:p>
        </w:tc>
      </w:tr>
      <w:tr>
        <w:trPr>
          <w:trHeight w:val="219"/>
        </w:trPr>
        <w:tc>
          <w:tcPr>
            <w:tcW w:w="79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(6,015)</w:t>
            </w:r>
          </w:p>
        </w:tc>
      </w:tr>
      <w:tr>
        <w:trPr>
          <w:trHeight w:val="207"/>
        </w:trPr>
        <w:tc>
          <w:tcPr>
            <w:tcW w:w="798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31,812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30,428</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(26,566)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(19,165)</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intangible assets</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r>
      <w:tr>
        <w:trPr>
          <w:trHeight w:val="207"/>
        </w:trPr>
        <w:tc>
          <w:tcPr>
            <w:tcW w:w="798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(26,945)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(19,524)</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of note payable</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Repayments of long-term debt, including finance lease liabilities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(1,717)</w:t>
            </w: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exercise of stock options, net of employee taxes paid</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Contingent consideration payment</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798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(1,717)</w:t>
            </w:r>
          </w:p>
        </w:tc>
      </w:tr>
      <w:tr>
        <w:trPr>
          <w:trHeight w:val="219"/>
        </w:trPr>
        <w:tc>
          <w:tcPr>
            <w:tcW w:w="79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Net increase in cash and cash equivalents and restricted cash</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9,187</w:t>
            </w:r>
          </w:p>
        </w:tc>
      </w:tr>
      <w:tr>
        <w:trPr>
          <w:trHeight w:val="214"/>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and restricted cash:</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5"/>
        </w:trPr>
        <w:tc>
          <w:tcPr>
            <w:tcW w:w="79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Beginning of period</w:t>
            </w: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52,115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39,097</w:t>
            </w:r>
          </w:p>
        </w:tc>
      </w:tr>
      <w:tr>
        <w:trPr>
          <w:trHeight w:val="212"/>
        </w:trPr>
        <w:tc>
          <w:tcPr>
            <w:tcW w:w="798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End of period</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53,817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48,284</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8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1,996</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9,866</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income taxes, net of refunds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CONSOLIDATED STATEMENTS OF CASH FLOWS - </w:t>
      </w:r>
      <w:r>
        <w:rPr>
          <w:rFonts w:ascii="Times New Roman" w:cs="Times New Roman" w:eastAsia="Times New Roman" w:hAnsi="Times New Roman"/>
          <w:sz w:val="18"/>
          <w:szCs w:val="18"/>
          <w:b w:val="1"/>
          <w:bCs w:val="1"/>
          <w:i w:val="1"/>
          <w:iCs w:val="1"/>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4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23"/>
        </w:trPr>
        <w:tc>
          <w:tcPr>
            <w:tcW w:w="7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90"/>
        </w:trPr>
        <w:tc>
          <w:tcPr>
            <w:tcW w:w="7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26, 2022</w:t>
            </w:r>
          </w:p>
        </w:tc>
        <w:tc>
          <w:tcPr>
            <w:tcW w:w="220" w:type="dxa"/>
            <w:vAlign w:val="bottom"/>
          </w:tcPr>
          <w:p>
            <w:pPr>
              <w:spacing w:after="0"/>
              <w:rPr>
                <w:sz w:val="16"/>
                <w:szCs w:val="16"/>
                <w:color w:val="auto"/>
              </w:rPr>
            </w:pPr>
          </w:p>
        </w:tc>
        <w:tc>
          <w:tcPr>
            <w:tcW w:w="138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JUNE 27, 2021</w:t>
            </w:r>
          </w:p>
        </w:tc>
      </w:tr>
      <w:tr>
        <w:trPr>
          <w:trHeight w:val="202"/>
        </w:trPr>
        <w:tc>
          <w:tcPr>
            <w:tcW w:w="7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non-cash investing and financing activities:</w:t>
            </w:r>
          </w:p>
        </w:tc>
        <w:tc>
          <w:tcPr>
            <w:tcW w:w="2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converted to long-term debt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2,198</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assets obtained in exchange for new operating lease liabilities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19,355</w:t>
            </w: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Leased assets obtained in exchange for new finance lease liabilities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Remeasurements of operating lease assets and lease liabilities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(1,476)</w:t>
            </w:r>
          </w:p>
        </w:tc>
      </w:tr>
      <w:tr>
        <w:trPr>
          <w:trHeight w:val="213"/>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Remeasurements of finance lease assets and lease liabilities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 (Decrease) in liabilities from acquisition of property, fixtures and equipment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Nature of Business and Organization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First Watch Restaurant Group, Inc. (collectively with its wholly-owned subsidiaries, “the Company,” or “Management”) is a Delaware holding company. The Company operates and franchises restaurants in 28 states operating under the “First Watch” trade name, which are focused on made-to-order breakfast, brunch and lunch. The Company does not operate outside of the United States and all of its assets are located in the United States. As of June 26, 2022 and December 26, 2021, the Company operated 350 company-owned restaurants and 341 company-owned restaurants, respectively, and had 99 franchise-owned restaurants and 94 franchise-owned restaurants, respectively.</w:t>
      </w:r>
    </w:p>
    <w:p>
      <w:pPr>
        <w:spacing w:after="0" w:line="287" w:lineRule="exact"/>
        <w:rPr>
          <w:sz w:val="20"/>
          <w:szCs w:val="20"/>
          <w:color w:val="auto"/>
        </w:rPr>
      </w:pPr>
    </w:p>
    <w:p>
      <w:pPr>
        <w:ind w:right="7540" w:firstLine="8"/>
        <w:spacing w:after="0" w:line="377" w:lineRule="auto"/>
        <w:tabs>
          <w:tab w:leader="none" w:pos="31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reports financial information on a 52- or 53-week fiscal year ending on the last Sunday of each calendar year. The Company’s fiscal quarters are comprised of 13 weeks each, except for fiscal years consisting of 53 weeks for which the fourth quarter will consist of 14 weeks, and end on the 13th Sunday of each quarter (14th Sunday of the fourth quarter, when applicable). The quarters ended June 26, 2022 and June 27, 2021 were both 13-week periods. These unaudited interim consolidated financial statements should be read in conjunction with the audited consolidated financial statements and notes thereto included in the Company’s Annual Report on Form 10-K as of and for the year ended December 26, 2021 (“2021 Form 10-K”).</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have been prepared by the Company in accordance with generally accepted accounting principles in the United States of America (“GAAP”) and pursuant to the rules and regulations of the Securities and Exchange Commission (“SEC”). Accordingly, they do not include all the information and notes required by GAAP for complete financial statements. The unaudited interim consolidated financial statements have been prepared on the same basis as the audited consolidated financial statements included in the 2021 Form 10-K and include all adjustments necessary for the fair statement of the consolidated financial statements for the interim periods presented. The results of operations for interim periods are not necessarily indicative of the results to be expected for other interim periods or the entire fiscal year.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reclassified certain items in the accompanying unaudited interim consolidated financial statements for the prior periods to be comparable with the classification for the current period. These reclassifications are related to the presentation of Pre-opening expenses on the Consolidated Statements of Operations and Comprehensive Income for the prior periods presented, which were previously included in Other restaurant operating expenses and Occupancy expenses. These reclassifications had no effect on previously reported net income and comprehensive income.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the unaudited interim consolidated financial statements in accordance with GAAP requires Management to make estimates and assumptions that affect the reported amounts of assets and liabilities and disclosure of contingent assets and liabilities at the date of the unaudited interim consolidated financial statements and the reported amounts of revenues and expenses during the reporting period. Actual results could differ from the estimates and such differences could be material.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assets and liabilities are carried at fair value. Fair value is the exchange price that would be received for an asset or paid to transfer a liability (an exit price) in the principal or most advantageous market for the asset or liability in an orderly transaction between market participants on the measurement date. The carrying amounts of the Company’s financial instruments, including cash equivalents, accounts receivable, accounts payable, accrued expenses, note payable and other current liabilities, approximate their fair values due to their short-term maturities. At June 26, 2022, the Company’s outstanding debt under the new facilities pursuant to the new credit agreement executed in October 2021 had a fair value of $95.5 million and a carrying value of $98.8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Recently Issued Accounting Pronouncements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2020, the Financial Accounting Standards Board (“FASB”) issued ASU 2020-04, “</w:t>
      </w:r>
      <w:r>
        <w:rPr>
          <w:rFonts w:ascii="Times New Roman" w:cs="Times New Roman" w:eastAsia="Times New Roman" w:hAnsi="Times New Roman"/>
          <w:sz w:val="18"/>
          <w:szCs w:val="18"/>
          <w:i w:val="1"/>
          <w:iCs w:val="1"/>
          <w:color w:val="auto"/>
        </w:rPr>
        <w:t>Reference Rate Reform (Topic 848): Facilitation of the Effects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Reference Rate Reform on Financial Reporting</w:t>
      </w:r>
      <w:r>
        <w:rPr>
          <w:rFonts w:ascii="Times New Roman" w:cs="Times New Roman" w:eastAsia="Times New Roman" w:hAnsi="Times New Roman"/>
          <w:sz w:val="18"/>
          <w:szCs w:val="18"/>
          <w:color w:val="auto"/>
        </w:rPr>
        <w:t>” (“ASU 2020-04”). The new guidance provides optional expedients and exceptions for applying GAAP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contracts, hedging relationships and other transactions affected by reference rate reform if certain criteria are met. ASU 2020-04 was effective beginning March 12, 2020 and may be applied prospectively to contract modifications made and hedging relationships entered into or evaluated on or before December 31, 2022. Management is currently evaluating its contracts and the optional expedients provided by the new standard.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 accounting guidance not discussed herein is not applicable, did not have, or is not expected to have a material impact to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tab/>
        <w:t>Revenues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include a detail of liabilities from contracts with customers: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18"/>
                <w:szCs w:val="18"/>
                <w:color w:val="auto"/>
              </w:rPr>
            </w:pPr>
          </w:p>
        </w:tc>
        <w:tc>
          <w:tcPr>
            <w:tcW w:w="18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JUNE 26, 2022</w:t>
            </w:r>
          </w:p>
        </w:tc>
        <w:tc>
          <w:tcPr>
            <w:tcW w:w="200" w:type="dxa"/>
            <w:vAlign w:val="bottom"/>
          </w:tcPr>
          <w:p>
            <w:pPr>
              <w:spacing w:after="0"/>
              <w:rPr>
                <w:sz w:val="18"/>
                <w:szCs w:val="18"/>
                <w:color w:val="auto"/>
              </w:rPr>
            </w:pPr>
          </w:p>
        </w:tc>
        <w:tc>
          <w:tcPr>
            <w:tcW w:w="19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26, 2021</w:t>
            </w:r>
          </w:p>
        </w:tc>
      </w:tr>
      <w:tr>
        <w:trPr>
          <w:trHeight w:val="199"/>
        </w:trPr>
        <w:tc>
          <w:tcPr>
            <w:tcW w:w="6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revenues:</w:t>
            </w:r>
          </w:p>
        </w:tc>
        <w:tc>
          <w:tcPr>
            <w:tcW w:w="320" w:type="dxa"/>
            <w:vAlign w:val="bottom"/>
            <w:tcBorders>
              <w:top w:val="single" w:sz="8" w:color="auto"/>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rPr>
                <w:sz w:val="17"/>
                <w:szCs w:val="17"/>
                <w:color w:val="auto"/>
              </w:rPr>
            </w:pPr>
          </w:p>
        </w:tc>
      </w:tr>
      <w:tr>
        <w:trPr>
          <w:trHeight w:val="213"/>
        </w:trPr>
        <w:tc>
          <w:tcPr>
            <w:tcW w:w="6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gift card revenue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2,805</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4,410</w:t>
            </w:r>
          </w:p>
        </w:tc>
      </w:tr>
      <w:tr>
        <w:trPr>
          <w:trHeight w:val="216"/>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franchise fee revenue - current</w:t>
            </w:r>
          </w:p>
        </w:tc>
        <w:tc>
          <w:tcPr>
            <w:tcW w:w="3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r>
      <w:tr>
        <w:trPr>
          <w:trHeight w:val="212"/>
        </w:trPr>
        <w:tc>
          <w:tcPr>
            <w:tcW w:w="6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current deferred revenues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3,066</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4,654</w:t>
            </w: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18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2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r>
      <w:tr>
        <w:trPr>
          <w:trHeight w:val="216"/>
        </w:trPr>
        <w:tc>
          <w:tcPr>
            <w:tcW w:w="69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franchise fee revenue - non-current</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2,376</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2,292</w:t>
            </w:r>
          </w:p>
        </w:tc>
      </w:tr>
      <w:tr>
        <w:trPr>
          <w:trHeight w:val="21"/>
        </w:trPr>
        <w:tc>
          <w:tcPr>
            <w:tcW w:w="6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deferred gift card contract liabilities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60" w:type="dxa"/>
            <w:vAlign w:val="bottom"/>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220" w:type="dxa"/>
            <w:vAlign w:val="bottom"/>
          </w:tcPr>
          <w:p>
            <w:pPr>
              <w:spacing w:after="0"/>
              <w:rPr>
                <w:sz w:val="18"/>
                <w:szCs w:val="18"/>
                <w:color w:val="auto"/>
              </w:rPr>
            </w:pPr>
          </w:p>
        </w:tc>
        <w:tc>
          <w:tcPr>
            <w:tcW w:w="3260" w:type="dxa"/>
            <w:vAlign w:val="bottom"/>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r>
      <w:tr>
        <w:trPr>
          <w:trHeight w:val="214"/>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JUNE 26, 2022</w:t>
            </w: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JUNE 27, 2021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JUNE 26, 2022</w:t>
            </w: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JUNE 27, 2021</w:t>
            </w:r>
          </w:p>
        </w:tc>
      </w:tr>
      <w:tr>
        <w:trPr>
          <w:trHeight w:val="198"/>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gift card revenue:</w:t>
            </w:r>
          </w:p>
        </w:tc>
        <w:tc>
          <w:tcPr>
            <w:tcW w:w="20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4,024</w:t>
            </w:r>
          </w:p>
        </w:tc>
      </w:tr>
      <w:tr>
        <w:trPr>
          <w:trHeight w:val="219"/>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Gift card sales</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3,085</w:t>
            </w:r>
          </w:p>
        </w:tc>
      </w:tr>
      <w:tr>
        <w:trPr>
          <w:trHeight w:val="213"/>
        </w:trPr>
        <w:tc>
          <w:tcPr>
            <w:tcW w:w="4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Gift card redemptions</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(4,060)</w:t>
            </w:r>
          </w:p>
        </w:tc>
      </w:tr>
      <w:tr>
        <w:trPr>
          <w:trHeight w:val="216"/>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Gift card breakage</w:t>
            </w: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w:t>
            </w:r>
          </w:p>
        </w:tc>
      </w:tr>
      <w:tr>
        <w:trPr>
          <w:trHeight w:val="212"/>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2,657</w:t>
            </w:r>
          </w:p>
        </w:tc>
      </w:tr>
      <w:tr>
        <w:trPr>
          <w:trHeight w:val="21"/>
        </w:trPr>
        <w:tc>
          <w:tcPr>
            <w:tcW w:w="4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deferred franchise fee contract liabilities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40" w:type="dxa"/>
            <w:vAlign w:val="bottom"/>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220" w:type="dxa"/>
            <w:vAlign w:val="bottom"/>
          </w:tcPr>
          <w:p>
            <w:pPr>
              <w:spacing w:after="0"/>
              <w:rPr>
                <w:sz w:val="18"/>
                <w:szCs w:val="18"/>
                <w:color w:val="auto"/>
              </w:rPr>
            </w:pPr>
          </w:p>
        </w:tc>
        <w:tc>
          <w:tcPr>
            <w:tcW w:w="3280" w:type="dxa"/>
            <w:vAlign w:val="bottom"/>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r>
      <w:tr>
        <w:trPr>
          <w:trHeight w:val="214"/>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JUNE 26, 2022</w:t>
            </w: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JUNE 27, 2021</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JUNE 26, 2022</w:t>
            </w: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JUNE 27, 2021</w:t>
            </w:r>
          </w:p>
        </w:tc>
      </w:tr>
      <w:tr>
        <w:trPr>
          <w:trHeight w:val="198"/>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franchise fee revenue:</w:t>
            </w:r>
          </w:p>
        </w:tc>
        <w:tc>
          <w:tcPr>
            <w:tcW w:w="22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r>
      <w:tr>
        <w:trPr>
          <w:trHeight w:val="21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2,592</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2,288</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2,536</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2,274</w:t>
            </w:r>
          </w:p>
        </w:tc>
      </w:tr>
      <w:tr>
        <w:trPr>
          <w:trHeight w:val="219"/>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received</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13"/>
        </w:trPr>
        <w:tc>
          <w:tcPr>
            <w:tcW w:w="4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Franchise revenues recognized</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w:t>
            </w:r>
          </w:p>
        </w:tc>
      </w:tr>
      <w:tr>
        <w:trPr>
          <w:trHeight w:val="237"/>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2,637</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2,232</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recognized disaggregated by type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60" w:type="dxa"/>
            <w:vAlign w:val="bottom"/>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220" w:type="dxa"/>
            <w:vAlign w:val="bottom"/>
          </w:tcPr>
          <w:p>
            <w:pPr>
              <w:spacing w:after="0"/>
              <w:rPr>
                <w:sz w:val="18"/>
                <w:szCs w:val="18"/>
                <w:color w:val="auto"/>
              </w:rPr>
            </w:pPr>
          </w:p>
        </w:tc>
        <w:tc>
          <w:tcPr>
            <w:tcW w:w="3260" w:type="dxa"/>
            <w:vAlign w:val="bottom"/>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r>
      <w:tr>
        <w:trPr>
          <w:trHeight w:val="214"/>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JUNE 26, 2022</w:t>
            </w: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JUNE 27, 2021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JUNE 26, 2022</w:t>
            </w: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JUNE 27, 2021</w:t>
            </w:r>
          </w:p>
        </w:tc>
      </w:tr>
      <w:tr>
        <w:trPr>
          <w:trHeight w:val="198"/>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 sales:</w:t>
            </w:r>
          </w:p>
        </w:tc>
        <w:tc>
          <w:tcPr>
            <w:tcW w:w="20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r>
      <w:tr>
        <w:trPr>
          <w:trHeight w:val="213"/>
        </w:trPr>
        <w:tc>
          <w:tcPr>
            <w:tcW w:w="4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In-restaurant dining sales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144,839</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116,705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277,731</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203,836</w:t>
            </w:r>
          </w:p>
        </w:tc>
      </w:tr>
      <w:tr>
        <w:trPr>
          <w:trHeight w:val="219"/>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Third-party delivery sales</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37,352</w:t>
            </w:r>
          </w:p>
        </w:tc>
      </w:tr>
      <w:tr>
        <w:trPr>
          <w:trHeight w:val="213"/>
        </w:trPr>
        <w:tc>
          <w:tcPr>
            <w:tcW w:w="4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Take-out sales</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17,014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18,385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33,765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35,866</w:t>
            </w:r>
          </w:p>
        </w:tc>
      </w:tr>
      <w:tr>
        <w:trPr>
          <w:trHeight w:val="212"/>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restaurant sales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181,682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151,688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352,351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277,054</w:t>
            </w:r>
          </w:p>
        </w:tc>
      </w:tr>
      <w:tr>
        <w:trPr>
          <w:trHeight w:val="470"/>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Franchise revenues:</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9"/>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Royalty and system fund contributions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3,954</w:t>
            </w:r>
          </w:p>
        </w:tc>
      </w:tr>
      <w:tr>
        <w:trPr>
          <w:trHeight w:val="213"/>
        </w:trPr>
        <w:tc>
          <w:tcPr>
            <w:tcW w:w="4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Initial fees</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w:t>
            </w:r>
          </w:p>
        </w:tc>
      </w:tr>
      <w:tr>
        <w:trPr>
          <w:trHeight w:val="20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franchise revenues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4,078</w:t>
            </w:r>
          </w:p>
        </w:tc>
      </w:tr>
      <w:tr>
        <w:trPr>
          <w:trHeight w:val="212"/>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184,453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153,963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357,565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281,132</w:t>
            </w:r>
          </w:p>
        </w:tc>
      </w:tr>
      <w:tr>
        <w:trPr>
          <w:trHeight w:val="20"/>
        </w:trPr>
        <w:tc>
          <w:tcPr>
            <w:tcW w:w="4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Accounts Receivable</w:t>
            </w: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324"/>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consisted of the following:</w:t>
            </w: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348"/>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24"/>
                <w:szCs w:val="24"/>
                <w:color w:val="auto"/>
              </w:rPr>
            </w:pPr>
          </w:p>
        </w:tc>
        <w:tc>
          <w:tcPr>
            <w:tcW w:w="16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26, 2022</w:t>
            </w:r>
          </w:p>
        </w:tc>
        <w:tc>
          <w:tcPr>
            <w:tcW w:w="200" w:type="dxa"/>
            <w:vAlign w:val="bottom"/>
          </w:tcPr>
          <w:p>
            <w:pPr>
              <w:spacing w:after="0"/>
              <w:rPr>
                <w:sz w:val="24"/>
                <w:szCs w:val="24"/>
                <w:color w:val="auto"/>
              </w:rPr>
            </w:pPr>
          </w:p>
        </w:tc>
        <w:tc>
          <w:tcPr>
            <w:tcW w:w="19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26, 2021</w:t>
            </w:r>
          </w:p>
        </w:tc>
      </w:tr>
      <w:tr>
        <w:trPr>
          <w:trHeight w:val="212"/>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Receivables from third-party delivery providers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w:t>
            </w:r>
          </w:p>
        </w:tc>
      </w:tr>
      <w:tr>
        <w:trPr>
          <w:trHeight w:val="213"/>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Receivables from franchisees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927</w:t>
            </w:r>
          </w:p>
        </w:tc>
      </w:tr>
      <w:tr>
        <w:trPr>
          <w:trHeight w:val="21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Receivables from vendors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r>
      <w:tr>
        <w:trPr>
          <w:trHeight w:val="213"/>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Receivables related to gift card sales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w:t>
            </w:r>
          </w:p>
        </w:tc>
      </w:tr>
      <w:tr>
        <w:trPr>
          <w:trHeight w:val="216"/>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receivables</w:t>
            </w:r>
          </w:p>
        </w:tc>
        <w:tc>
          <w:tcPr>
            <w:tcW w:w="2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w:t>
            </w:r>
          </w:p>
        </w:tc>
      </w:tr>
      <w:tr>
        <w:trPr>
          <w:trHeight w:val="212"/>
        </w:trPr>
        <w:tc>
          <w:tcPr>
            <w:tcW w:w="7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accounts receivable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3,869</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4,450</w:t>
            </w:r>
          </w:p>
        </w:tc>
      </w:tr>
      <w:tr>
        <w:trPr>
          <w:trHeight w:val="21"/>
        </w:trPr>
        <w:tc>
          <w:tcPr>
            <w:tcW w:w="7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Accrued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liabilities consisted of the following:</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Pr>
          <w:p>
            <w:pPr>
              <w:spacing w:after="0"/>
              <w:rPr>
                <w:sz w:val="18"/>
                <w:szCs w:val="18"/>
                <w:color w:val="auto"/>
              </w:rPr>
            </w:pPr>
          </w:p>
        </w:tc>
        <w:tc>
          <w:tcPr>
            <w:tcW w:w="16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26, 2022</w:t>
            </w:r>
          </w:p>
        </w:tc>
        <w:tc>
          <w:tcPr>
            <w:tcW w:w="200" w:type="dxa"/>
            <w:vAlign w:val="bottom"/>
          </w:tcPr>
          <w:p>
            <w:pPr>
              <w:spacing w:after="0"/>
              <w:rPr>
                <w:sz w:val="18"/>
                <w:szCs w:val="18"/>
                <w:color w:val="auto"/>
              </w:rPr>
            </w:pPr>
          </w:p>
        </w:tc>
        <w:tc>
          <w:tcPr>
            <w:tcW w:w="19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26, 2021</w:t>
            </w:r>
          </w:p>
        </w:tc>
      </w:tr>
      <w:tr>
        <w:trPr>
          <w:trHeight w:val="213"/>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 liabilities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6,666</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4,445</w:t>
            </w:r>
          </w:p>
        </w:tc>
      </w:tr>
      <w:tr>
        <w:trPr>
          <w:trHeight w:val="213"/>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tax</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3,337</w:t>
            </w:r>
          </w:p>
        </w:tc>
      </w:tr>
      <w:tr>
        <w:trPr>
          <w:trHeight w:val="21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Self-insurance and general liability reserves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1,353</w:t>
            </w:r>
          </w:p>
        </w:tc>
      </w:tr>
      <w:tr>
        <w:trPr>
          <w:trHeight w:val="213"/>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Utilities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w:t>
            </w:r>
          </w:p>
        </w:tc>
      </w:tr>
      <w:tr>
        <w:trPr>
          <w:trHeight w:val="21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Credit card fees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w:t>
            </w:r>
          </w:p>
        </w:tc>
      </w:tr>
      <w:tr>
        <w:trPr>
          <w:trHeight w:val="213"/>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tax</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w:t>
            </w:r>
          </w:p>
        </w:tc>
      </w:tr>
      <w:tr>
        <w:trPr>
          <w:trHeight w:val="21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Contingent rent</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w:t>
            </w:r>
          </w:p>
        </w:tc>
      </w:tr>
      <w:tr>
        <w:trPr>
          <w:trHeight w:val="213"/>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area maintenance</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w:t>
            </w:r>
          </w:p>
        </w:tc>
      </w:tr>
      <w:tr>
        <w:trPr>
          <w:trHeight w:val="216"/>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4,670</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2,760</w:t>
            </w:r>
          </w:p>
        </w:tc>
      </w:tr>
      <w:tr>
        <w:trPr>
          <w:trHeight w:val="212"/>
        </w:trPr>
        <w:tc>
          <w:tcPr>
            <w:tcW w:w="7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accrued liabilities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21,348</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15,889</w:t>
            </w:r>
          </w:p>
        </w:tc>
      </w:tr>
      <w:tr>
        <w:trPr>
          <w:trHeight w:val="20"/>
        </w:trPr>
        <w:tc>
          <w:tcPr>
            <w:tcW w:w="7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tab/>
        <w:t>Leases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includes a detail of lease assets and liabilities: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9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Balance Sheets Classification</w:t>
            </w:r>
          </w:p>
        </w:tc>
        <w:tc>
          <w:tcPr>
            <w:tcW w:w="240" w:type="dxa"/>
            <w:vAlign w:val="bottom"/>
          </w:tcPr>
          <w:p>
            <w:pPr>
              <w:spacing w:after="0"/>
              <w:rPr>
                <w:sz w:val="18"/>
                <w:szCs w:val="18"/>
                <w:color w:val="auto"/>
              </w:rPr>
            </w:pP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JUNE 26, 2022</w:t>
            </w:r>
          </w:p>
        </w:tc>
        <w:tc>
          <w:tcPr>
            <w:tcW w:w="200" w:type="dxa"/>
            <w:vAlign w:val="bottom"/>
          </w:tcPr>
          <w:p>
            <w:pPr>
              <w:spacing w:after="0"/>
              <w:rPr>
                <w:sz w:val="18"/>
                <w:szCs w:val="18"/>
                <w:color w:val="auto"/>
              </w:rPr>
            </w:pPr>
          </w:p>
        </w:tc>
        <w:tc>
          <w:tcPr>
            <w:tcW w:w="19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26, 2021</w:t>
            </w:r>
          </w:p>
        </w:tc>
      </w:tr>
      <w:tr>
        <w:trPr>
          <w:trHeight w:val="213"/>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343,797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324,995</w:t>
            </w:r>
          </w:p>
        </w:tc>
      </w:tr>
      <w:tr>
        <w:trPr>
          <w:trHeight w:val="213"/>
        </w:trPr>
        <w:tc>
          <w:tcPr>
            <w:tcW w:w="3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Finance lease assets</w:t>
            </w:r>
          </w:p>
        </w:tc>
        <w:tc>
          <w:tcPr>
            <w:tcW w:w="3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Property, fixtures and equipment, net</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1,892</w:t>
            </w:r>
          </w:p>
        </w:tc>
      </w:tr>
      <w:tr>
        <w:trPr>
          <w:trHeight w:val="212"/>
        </w:trPr>
        <w:tc>
          <w:tcPr>
            <w:tcW w:w="3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lease assets</w:t>
            </w:r>
          </w:p>
        </w:tc>
        <w:tc>
          <w:tcPr>
            <w:tcW w:w="3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345,358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326,887</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xml:space="preserve">Operating lease liabilities </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 current</w:t>
      </w:r>
    </w:p>
    <w:p>
      <w:pPr>
        <w:ind w:left="20"/>
        <w:spacing w:after="0"/>
        <w:rPr>
          <w:sz w:val="20"/>
          <w:szCs w:val="20"/>
          <w:color w:val="auto"/>
        </w:rPr>
      </w:pPr>
      <w:r>
        <w:rPr>
          <w:rFonts w:ascii="Times New Roman" w:cs="Times New Roman" w:eastAsia="Times New Roman" w:hAnsi="Times New Roman"/>
          <w:sz w:val="16"/>
          <w:szCs w:val="16"/>
          <w:color w:val="auto"/>
        </w:rPr>
        <w:t>Operating lease liabilities - non-current</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Finance lease liabilities - current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Finance lease liabilities - non-current</w:t>
      </w:r>
    </w:p>
    <w:p>
      <w:pPr>
        <w:spacing w:after="0" w:line="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Total lease liabilities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Excludes all variable lease expense.</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4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37,591</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38,186</w:t>
            </w: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353,777</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330,495</w:t>
            </w:r>
          </w:p>
        </w:tc>
      </w:tr>
      <w:tr>
        <w:trPr>
          <w:trHeight w:val="216"/>
        </w:trPr>
        <w:tc>
          <w:tcPr>
            <w:tcW w:w="4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w:t>
            </w:r>
          </w:p>
        </w:tc>
      </w:tr>
      <w:tr>
        <w:trPr>
          <w:trHeight w:val="219"/>
        </w:trPr>
        <w:tc>
          <w:tcPr>
            <w:tcW w:w="4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Long-term debt, net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w:t>
            </w:r>
          </w:p>
        </w:tc>
      </w:tr>
      <w:tr>
        <w:trPr>
          <w:trHeight w:val="210"/>
        </w:trPr>
        <w:tc>
          <w:tcPr>
            <w:tcW w:w="390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393,047</w:t>
            </w:r>
          </w:p>
        </w:tc>
        <w:tc>
          <w:tcPr>
            <w:tcW w:w="1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370,698</w:t>
            </w:r>
          </w:p>
        </w:tc>
      </w:tr>
      <w:tr>
        <w:trPr>
          <w:trHeight w:val="23"/>
        </w:trPr>
        <w:tc>
          <w:tcPr>
            <w:tcW w:w="39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-728345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-453390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-179070</wp:posOffset>
            </wp:positionV>
            <wp:extent cx="7132320"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694" w:lineRule="exact"/>
        <w:rPr>
          <w:sz w:val="20"/>
          <w:szCs w:val="20"/>
          <w:color w:val="auto"/>
        </w:rPr>
      </w:pPr>
    </w:p>
    <w:p>
      <w:pPr>
        <w:sectPr>
          <w:pgSz w:w="11900" w:h="16838" w:orient="portrait"/>
          <w:cols w:equalWidth="0" w:num="2">
            <w:col w:w="2620" w:space="720"/>
            <w:col w:w="7900"/>
          </w:cols>
          <w:pgMar w:left="320" w:top="121" w:right="339" w:bottom="1440" w:gutter="0" w:footer="0" w:header="0"/>
          <w:type w:val="continuous"/>
        </w:sect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are as follows: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c>
          <w:tcPr>
            <w:tcW w:w="0" w:type="dxa"/>
            <w:vAlign w:val="bottom"/>
          </w:tcPr>
          <w:p>
            <w:pPr>
              <w:spacing w:after="0"/>
              <w:rPr>
                <w:sz w:val="1"/>
                <w:szCs w:val="1"/>
                <w:color w:val="auto"/>
              </w:rPr>
            </w:pPr>
          </w:p>
        </w:tc>
      </w:tr>
      <w:tr>
        <w:trPr>
          <w:trHeight w:val="148"/>
        </w:trPr>
        <w:tc>
          <w:tcPr>
            <w:tcW w:w="2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160" w:type="dxa"/>
            <w:vAlign w:val="bottom"/>
            <w:gridSpan w:val="2"/>
          </w:tcPr>
          <w:p>
            <w:pPr>
              <w:ind w:left="20"/>
              <w:spacing w:after="0" w:line="148" w:lineRule="exact"/>
              <w:rPr>
                <w:sz w:val="20"/>
                <w:szCs w:val="20"/>
                <w:color w:val="auto"/>
              </w:rPr>
            </w:pPr>
            <w:r>
              <w:rPr>
                <w:rFonts w:ascii="Times New Roman" w:cs="Times New Roman" w:eastAsia="Times New Roman" w:hAnsi="Times New Roman"/>
                <w:sz w:val="16"/>
                <w:szCs w:val="16"/>
                <w:b w:val="1"/>
                <w:bCs w:val="1"/>
                <w:color w:val="auto"/>
              </w:rPr>
              <w:t>Consolidated Statements of Operations and</w:t>
            </w:r>
          </w:p>
        </w:tc>
        <w:tc>
          <w:tcPr>
            <w:tcW w:w="120" w:type="dxa"/>
            <w:vAlign w:val="bottom"/>
          </w:tcPr>
          <w:p>
            <w:pPr>
              <w:spacing w:after="0"/>
              <w:rPr>
                <w:sz w:val="12"/>
                <w:szCs w:val="12"/>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JUNE 26, 2022</w:t>
            </w:r>
          </w:p>
        </w:tc>
        <w:tc>
          <w:tcPr>
            <w:tcW w:w="100" w:type="dxa"/>
            <w:vAlign w:val="bottom"/>
          </w:tcPr>
          <w:p>
            <w:pPr>
              <w:spacing w:after="0"/>
              <w:rPr>
                <w:sz w:val="12"/>
                <w:szCs w:val="12"/>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JUNE 27, 2021</w:t>
            </w:r>
          </w:p>
        </w:tc>
        <w:tc>
          <w:tcPr>
            <w:tcW w:w="100" w:type="dxa"/>
            <w:vAlign w:val="bottom"/>
          </w:tcPr>
          <w:p>
            <w:pPr>
              <w:spacing w:after="0"/>
              <w:rPr>
                <w:sz w:val="12"/>
                <w:szCs w:val="12"/>
                <w:color w:val="auto"/>
              </w:rPr>
            </w:pPr>
          </w:p>
        </w:tc>
        <w:tc>
          <w:tcPr>
            <w:tcW w:w="1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JUNE 26, 2022</w:t>
            </w:r>
          </w:p>
        </w:tc>
        <w:tc>
          <w:tcPr>
            <w:tcW w:w="100" w:type="dxa"/>
            <w:vAlign w:val="bottom"/>
          </w:tcPr>
          <w:p>
            <w:pPr>
              <w:spacing w:after="0"/>
              <w:rPr>
                <w:sz w:val="12"/>
                <w:szCs w:val="12"/>
                <w:color w:val="auto"/>
              </w:rPr>
            </w:pPr>
          </w:p>
        </w:tc>
        <w:tc>
          <w:tcPr>
            <w:tcW w:w="116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JUNE 27, 2021</w:t>
            </w:r>
          </w:p>
        </w:tc>
        <w:tc>
          <w:tcPr>
            <w:tcW w:w="0" w:type="dxa"/>
            <w:vAlign w:val="bottom"/>
          </w:tcPr>
          <w:p>
            <w:pPr>
              <w:spacing w:after="0"/>
              <w:rPr>
                <w:sz w:val="1"/>
                <w:szCs w:val="1"/>
                <w:color w:val="auto"/>
              </w:rPr>
            </w:pPr>
          </w:p>
        </w:tc>
      </w:tr>
      <w:tr>
        <w:trPr>
          <w:trHeight w:val="214"/>
        </w:trPr>
        <w:tc>
          <w:tcPr>
            <w:tcW w:w="2700" w:type="dxa"/>
            <w:vAlign w:val="bottom"/>
            <w:vMerge w:val="continue"/>
          </w:tcPr>
          <w:p>
            <w:pPr>
              <w:spacing w:after="0"/>
              <w:rPr>
                <w:sz w:val="18"/>
                <w:szCs w:val="18"/>
                <w:color w:val="auto"/>
              </w:rPr>
            </w:pPr>
          </w:p>
        </w:tc>
        <w:tc>
          <w:tcPr>
            <w:tcW w:w="31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Classification</w:t>
            </w:r>
          </w:p>
        </w:tc>
        <w:tc>
          <w:tcPr>
            <w:tcW w:w="1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700" w:type="dxa"/>
            <w:vAlign w:val="bottom"/>
            <w:tcBorders>
              <w:top w:val="single" w:sz="8" w:color="CCEEFF"/>
            </w:tcBorders>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Operating lease expense</w:t>
            </w:r>
          </w:p>
        </w:tc>
        <w:tc>
          <w:tcPr>
            <w:tcW w:w="3080" w:type="dxa"/>
            <w:vAlign w:val="bottom"/>
            <w:tcBorders>
              <w:top w:val="single" w:sz="8" w:color="auto"/>
            </w:tcBorders>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Other restaurant operating expenses</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00" w:type="dxa"/>
            <w:vAlign w:val="bottom"/>
            <w:shd w:val="clear" w:color="auto" w:fill="CCEEFF"/>
          </w:tcPr>
          <w:p>
            <w:pPr>
              <w:spacing w:after="0"/>
              <w:rPr>
                <w:sz w:val="14"/>
                <w:szCs w:val="14"/>
                <w:color w:val="auto"/>
              </w:rPr>
            </w:pPr>
          </w:p>
        </w:tc>
        <w:tc>
          <w:tcPr>
            <w:tcW w:w="316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Occupancy expenses</w:t>
            </w: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shd w:val="clear" w:color="auto" w:fill="CCEEFF"/>
          </w:tcPr>
          <w:p>
            <w:pPr>
              <w:spacing w:after="0"/>
              <w:rPr>
                <w:sz w:val="14"/>
                <w:szCs w:val="14"/>
                <w:color w:val="auto"/>
              </w:rPr>
            </w:pPr>
          </w:p>
        </w:tc>
        <w:tc>
          <w:tcPr>
            <w:tcW w:w="316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Pre-opening expenses</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12,130</w:t>
            </w:r>
          </w:p>
        </w:tc>
        <w:tc>
          <w:tcPr>
            <w:tcW w:w="10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11,034</w:t>
            </w:r>
          </w:p>
        </w:tc>
        <w:tc>
          <w:tcPr>
            <w:tcW w:w="10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24,176</w:t>
            </w:r>
          </w:p>
        </w:tc>
        <w:tc>
          <w:tcPr>
            <w:tcW w:w="12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21,886</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2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Variable lease expense</w:t>
            </w:r>
          </w:p>
        </w:tc>
        <w:tc>
          <w:tcPr>
            <w:tcW w:w="316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Food and beverage costs</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316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Occupancy expenses</w:t>
            </w: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3,594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3,146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6,993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6,092</w:t>
            </w:r>
          </w:p>
        </w:tc>
        <w:tc>
          <w:tcPr>
            <w:tcW w:w="0" w:type="dxa"/>
            <w:vAlign w:val="bottom"/>
          </w:tcPr>
          <w:p>
            <w:pPr>
              <w:spacing w:after="0"/>
              <w:rPr>
                <w:sz w:val="1"/>
                <w:szCs w:val="1"/>
                <w:color w:val="auto"/>
              </w:rPr>
            </w:pPr>
          </w:p>
        </w:tc>
      </w:tr>
      <w:tr>
        <w:trPr>
          <w:trHeight w:val="213"/>
        </w:trPr>
        <w:tc>
          <w:tcPr>
            <w:tcW w:w="2700" w:type="dxa"/>
            <w:vAlign w:val="bottom"/>
          </w:tcPr>
          <w:p>
            <w:pPr>
              <w:spacing w:after="0"/>
              <w:rPr>
                <w:sz w:val="18"/>
                <w:szCs w:val="18"/>
                <w:color w:val="auto"/>
              </w:rPr>
            </w:pPr>
          </w:p>
        </w:tc>
        <w:tc>
          <w:tcPr>
            <w:tcW w:w="3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expense:</w:t>
            </w:r>
          </w:p>
        </w:tc>
        <w:tc>
          <w:tcPr>
            <w:tcW w:w="3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 of leased assets</w:t>
            </w:r>
          </w:p>
        </w:tc>
        <w:tc>
          <w:tcPr>
            <w:tcW w:w="3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on lease liabilities</w:t>
            </w:r>
          </w:p>
        </w:tc>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12"/>
        </w:trPr>
        <w:tc>
          <w:tcPr>
            <w:tcW w:w="2700" w:type="dxa"/>
            <w:vAlign w:val="bottom"/>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Total lease expense </w:t>
            </w:r>
            <w:r>
              <w:rPr>
                <w:rFonts w:ascii="Times New Roman" w:cs="Times New Roman" w:eastAsia="Times New Roman" w:hAnsi="Times New Roman"/>
                <w:sz w:val="21"/>
                <w:szCs w:val="21"/>
                <w:color w:val="auto"/>
                <w:vertAlign w:val="superscript"/>
              </w:rPr>
              <w:t>(1)</w:t>
            </w:r>
          </w:p>
        </w:tc>
        <w:tc>
          <w:tcPr>
            <w:tcW w:w="3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15,895</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14,359</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31,512</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28,334</w:t>
            </w:r>
          </w:p>
        </w:tc>
        <w:tc>
          <w:tcPr>
            <w:tcW w:w="0" w:type="dxa"/>
            <w:vAlign w:val="bottom"/>
          </w:tcPr>
          <w:p>
            <w:pPr>
              <w:spacing w:after="0"/>
              <w:rPr>
                <w:sz w:val="1"/>
                <w:szCs w:val="1"/>
                <w:color w:val="auto"/>
              </w:rPr>
            </w:pPr>
          </w:p>
        </w:tc>
      </w:tr>
      <w:tr>
        <w:trPr>
          <w:trHeight w:val="21"/>
        </w:trPr>
        <w:tc>
          <w:tcPr>
            <w:tcW w:w="27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27" w:lineRule="exact"/>
        <w:rPr>
          <w:sz w:val="20"/>
          <w:szCs w:val="20"/>
          <w:color w:val="auto"/>
        </w:rPr>
      </w:pPr>
    </w:p>
    <w:p>
      <w:pPr>
        <w:ind w:firstLine="8"/>
        <w:spacing w:after="0" w:line="283" w:lineRule="auto"/>
        <w:tabs>
          <w:tab w:leader="none" w:pos="237"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Includes contingent rent expense of $0.4 million and $0.3 million during the </w:t>
      </w:r>
      <w:r>
        <w:rPr>
          <w:rFonts w:ascii="Times New Roman" w:cs="Times New Roman" w:eastAsia="Times New Roman" w:hAnsi="Times New Roman"/>
          <w:sz w:val="17"/>
          <w:szCs w:val="17"/>
          <w:color w:val="auto"/>
        </w:rPr>
        <w:t>thirteen weeks ended June 26, 2022 and</w:t>
      </w:r>
      <w:r>
        <w:rPr>
          <w:rFonts w:ascii="Times New Roman" w:cs="Times New Roman" w:eastAsia="Times New Roman" w:hAnsi="Times New Roman"/>
          <w:sz w:val="16"/>
          <w:szCs w:val="16"/>
          <w:color w:val="auto"/>
        </w:rPr>
        <w:t xml:space="preserve"> June 27, 2021, respectively, and $0.8 million and $0.4 million during the twenty-six weeks ended June 26, 2022 and June 27, 2021, respectively.</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r>
      <w:tr>
        <w:trPr>
          <w:trHeight w:val="214"/>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18"/>
                <w:szCs w:val="18"/>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JUNE 26, 2022</w:t>
            </w:r>
          </w:p>
        </w:tc>
        <w:tc>
          <w:tcPr>
            <w:tcW w:w="220" w:type="dxa"/>
            <w:vAlign w:val="bottom"/>
          </w:tcPr>
          <w:p>
            <w:pPr>
              <w:spacing w:after="0"/>
              <w:rPr>
                <w:sz w:val="18"/>
                <w:szCs w:val="18"/>
                <w:color w:val="auto"/>
              </w:rPr>
            </w:pPr>
          </w:p>
        </w:tc>
        <w:tc>
          <w:tcPr>
            <w:tcW w:w="14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JUNE 27, 2021</w:t>
            </w:r>
          </w:p>
        </w:tc>
      </w:tr>
      <w:tr>
        <w:trPr>
          <w:trHeight w:val="198"/>
        </w:trPr>
        <w:tc>
          <w:tcPr>
            <w:tcW w:w="7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22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r>
      <w:tr>
        <w:trPr>
          <w:trHeight w:val="213"/>
        </w:trPr>
        <w:tc>
          <w:tcPr>
            <w:tcW w:w="7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Operating cash flows - operating leases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20,229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21,617</w:t>
            </w:r>
          </w:p>
        </w:tc>
      </w:tr>
      <w:tr>
        <w:trPr>
          <w:trHeight w:val="219"/>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cash flows - finance leases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10"/>
        </w:trPr>
        <w:tc>
          <w:tcPr>
            <w:tcW w:w="77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Financing cash flows - finance leases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information related to leases was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20" w:type="dxa"/>
            <w:vAlign w:val="bottom"/>
          </w:tcPr>
          <w:p>
            <w:pPr>
              <w:spacing w:after="0"/>
              <w:rPr>
                <w:sz w:val="18"/>
                <w:szCs w:val="18"/>
                <w:color w:val="auto"/>
              </w:rPr>
            </w:pPr>
          </w:p>
        </w:tc>
        <w:tc>
          <w:tcPr>
            <w:tcW w:w="3720" w:type="dxa"/>
            <w:vAlign w:val="bottom"/>
            <w:tcBorders>
              <w:bottom w:val="single" w:sz="8" w:color="auto"/>
            </w:tcBorders>
            <w:gridSpan w:val="3"/>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r>
      <w:tr>
        <w:trPr>
          <w:trHeight w:val="211"/>
        </w:trPr>
        <w:tc>
          <w:tcPr>
            <w:tcW w:w="7520" w:type="dxa"/>
            <w:vAlign w:val="bottom"/>
          </w:tcPr>
          <w:p>
            <w:pPr>
              <w:spacing w:after="0"/>
              <w:rPr>
                <w:sz w:val="18"/>
                <w:szCs w:val="18"/>
                <w:color w:val="auto"/>
              </w:rPr>
            </w:pPr>
          </w:p>
        </w:tc>
        <w:tc>
          <w:tcPr>
            <w:tcW w:w="192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JUNE 26, 2022</w:t>
            </w:r>
          </w:p>
        </w:tc>
        <w:tc>
          <w:tcPr>
            <w:tcW w:w="18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JUNE 27, 2021</w:t>
            </w:r>
          </w:p>
        </w:tc>
      </w:tr>
      <w:tr>
        <w:trPr>
          <w:trHeight w:val="198"/>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(in years)</w:t>
            </w:r>
          </w:p>
        </w:tc>
        <w:tc>
          <w:tcPr>
            <w:tcW w:w="1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r>
      <w:tr>
        <w:trPr>
          <w:trHeight w:val="213"/>
        </w:trPr>
        <w:tc>
          <w:tcPr>
            <w:tcW w:w="7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Operating leases</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r>
      <w:tr>
        <w:trPr>
          <w:trHeight w:val="219"/>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Finance leases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16"/>
        </w:trPr>
        <w:tc>
          <w:tcPr>
            <w:tcW w:w="75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Weighted-average discount rate </w:t>
            </w:r>
            <w:r>
              <w:rPr>
                <w:rFonts w:ascii="Times New Roman" w:cs="Times New Roman" w:eastAsia="Times New Roman" w:hAnsi="Times New Roman"/>
                <w:sz w:val="21"/>
                <w:szCs w:val="21"/>
                <w:color w:val="auto"/>
                <w:vertAlign w:val="superscript"/>
              </w:rPr>
              <w:t>(1)</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leases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8.7 %</w:t>
            </w: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9.1 %</w:t>
            </w:r>
          </w:p>
        </w:tc>
      </w:tr>
      <w:tr>
        <w:trPr>
          <w:trHeight w:val="210"/>
        </w:trPr>
        <w:tc>
          <w:tcPr>
            <w:tcW w:w="7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Finance leases</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1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8.0 %</w:t>
            </w: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Based on the Company’s incremental borrowing rate.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26, 2022, future minimum lease payments for operating and finance leases consisted of the following: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18"/>
                <w:szCs w:val="18"/>
                <w:color w:val="auto"/>
              </w:rPr>
            </w:pPr>
          </w:p>
        </w:tc>
        <w:tc>
          <w:tcPr>
            <w:tcW w:w="24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200" w:type="dxa"/>
            <w:vAlign w:val="bottom"/>
          </w:tcPr>
          <w:p>
            <w:pPr>
              <w:spacing w:after="0"/>
              <w:rPr>
                <w:sz w:val="18"/>
                <w:szCs w:val="18"/>
                <w:color w:val="auto"/>
              </w:rPr>
            </w:pPr>
          </w:p>
        </w:tc>
        <w:tc>
          <w:tcPr>
            <w:tcW w:w="18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FINANCE LEASES</w:t>
            </w:r>
          </w:p>
        </w:tc>
      </w:tr>
      <w:tr>
        <w:trPr>
          <w:trHeight w:val="199"/>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Fiscal year</w:t>
            </w:r>
          </w:p>
        </w:tc>
        <w:tc>
          <w:tcPr>
            <w:tcW w:w="320" w:type="dxa"/>
            <w:vAlign w:val="bottom"/>
            <w:tcBorders>
              <w:top w:val="single" w:sz="8" w:color="auto"/>
            </w:tcBorders>
            <w:shd w:val="clear" w:color="auto" w:fill="CCEEFF"/>
          </w:tcPr>
          <w:p>
            <w:pPr>
              <w:spacing w:after="0"/>
              <w:rPr>
                <w:sz w:val="17"/>
                <w:szCs w:val="17"/>
                <w:color w:val="auto"/>
              </w:rPr>
            </w:pPr>
          </w:p>
        </w:tc>
        <w:tc>
          <w:tcPr>
            <w:tcW w:w="2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r>
      <w:tr>
        <w:trPr>
          <w:trHeight w:val="213"/>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2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20,948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w:t>
            </w:r>
          </w:p>
        </w:tc>
      </w:tr>
      <w:tr>
        <w:trPr>
          <w:trHeight w:val="21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32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w:t>
            </w:r>
          </w:p>
        </w:tc>
      </w:tr>
      <w:tr>
        <w:trPr>
          <w:trHeight w:val="213"/>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320" w:type="dxa"/>
            <w:vAlign w:val="bottom"/>
          </w:tcPr>
          <w:p>
            <w:pPr>
              <w:spacing w:after="0"/>
              <w:rPr>
                <w:sz w:val="18"/>
                <w:szCs w:val="18"/>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47,979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w:t>
            </w:r>
          </w:p>
        </w:tc>
      </w:tr>
      <w:tr>
        <w:trPr>
          <w:trHeight w:val="21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32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r>
      <w:tr>
        <w:trPr>
          <w:trHeight w:val="213"/>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20" w:type="dxa"/>
            <w:vAlign w:val="bottom"/>
          </w:tcPr>
          <w:p>
            <w:pPr>
              <w:spacing w:after="0"/>
              <w:rPr>
                <w:sz w:val="18"/>
                <w:szCs w:val="18"/>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32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525,270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09"/>
        </w:trPr>
        <w:tc>
          <w:tcPr>
            <w:tcW w:w="644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Total future minimum lease payments </w:t>
            </w:r>
            <w:r>
              <w:rPr>
                <w:rFonts w:ascii="Times New Roman" w:cs="Times New Roman" w:eastAsia="Times New Roman" w:hAnsi="Times New Roman"/>
                <w:sz w:val="21"/>
                <w:szCs w:val="21"/>
                <w:color w:val="auto"/>
                <w:vertAlign w:val="superscript"/>
              </w:rPr>
              <w:t>(1)</w:t>
            </w:r>
          </w:p>
        </w:tc>
        <w:tc>
          <w:tcPr>
            <w:tcW w:w="320" w:type="dxa"/>
            <w:vAlign w:val="bottom"/>
          </w:tcPr>
          <w:p>
            <w:pPr>
              <w:spacing w:after="0"/>
              <w:rPr>
                <w:sz w:val="18"/>
                <w:szCs w:val="18"/>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731,894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1,889</w:t>
            </w:r>
          </w:p>
        </w:tc>
      </w:tr>
      <w:tr>
        <w:trPr>
          <w:trHeight w:val="21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imputed interest</w:t>
            </w:r>
          </w:p>
        </w:tc>
        <w:tc>
          <w:tcPr>
            <w:tcW w:w="320" w:type="dxa"/>
            <w:vAlign w:val="bottom"/>
            <w:tcBorders>
              <w:bottom w:val="single" w:sz="8" w:color="auto"/>
            </w:tcBorders>
            <w:shd w:val="clear" w:color="auto" w:fill="CCEEFF"/>
          </w:tcPr>
          <w:p>
            <w:pPr>
              <w:spacing w:after="0"/>
              <w:rPr>
                <w:sz w:val="18"/>
                <w:szCs w:val="18"/>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(340,526)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r>
      <w:tr>
        <w:trPr>
          <w:trHeight w:val="212"/>
        </w:trPr>
        <w:tc>
          <w:tcPr>
            <w:tcW w:w="6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present value of lease liabilities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391,368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1,679</w:t>
            </w:r>
          </w:p>
        </w:tc>
      </w:tr>
      <w:tr>
        <w:trPr>
          <w:trHeight w:val="20"/>
        </w:trPr>
        <w:tc>
          <w:tcPr>
            <w:tcW w:w="6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Excludes approximately $40.9 million of executed operating leases that have not commenced as of June 26, 2022.</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Stock-Based Compensation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Stock-based awards are granted to employees and non-employee directors. The Company has two compensation plans that provide for the granting of stock options and other share-based awards to key employees and non-employee members of the board of directors. The 2017 Omnibus Equity Incentive Plan (the “2017 Equity Plan”) and the 2021 Equity Incentive Plan (the “2021 Equity Plan”) provide for the grant of incentive stock options, non-qualified stock options, restricted stock awards, restricted stock units, stock appreciation rights and stock-based awards. No awards were granted under the 2017 Equity Plan during the thirteen and twenty-six weeks ended June 26, 2022 and the Company does not intend to grant any further awards under the 2017 Equity Plan. At June 26, 2022, a total of 3,002,180 common shares were available to grant under the 2021 Equity Plan.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awards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total of 1,002,239 time-based stock option awards were granted under the 2021 Equity Plan during the twenty-six weeks ended June 26, 2022 which vest over a three-year requisite service period from the date of grant and expire 10 years after the grant date.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during the twenty-six weeks ended June 26, 2022 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60" w:type="dxa"/>
            <w:vAlign w:val="bottom"/>
          </w:tcPr>
          <w:p>
            <w:pPr>
              <w:spacing w:after="0"/>
              <w:rPr>
                <w:sz w:val="16"/>
                <w:szCs w:val="16"/>
                <w:color w:val="auto"/>
              </w:rPr>
            </w:pPr>
          </w:p>
        </w:tc>
        <w:tc>
          <w:tcPr>
            <w:tcW w:w="25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NUMBER OF OPTIONS</w:t>
            </w:r>
          </w:p>
        </w:tc>
        <w:tc>
          <w:tcPr>
            <w:tcW w:w="220" w:type="dxa"/>
            <w:vAlign w:val="bottom"/>
          </w:tcPr>
          <w:p>
            <w:pPr>
              <w:spacing w:after="0"/>
              <w:rPr>
                <w:sz w:val="16"/>
                <w:szCs w:val="16"/>
                <w:color w:val="auto"/>
              </w:rPr>
            </w:pPr>
          </w:p>
        </w:tc>
        <w:tc>
          <w:tcPr>
            <w:tcW w:w="21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2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AGGREGATE INTRINSIC VALUE</w:t>
            </w:r>
          </w:p>
        </w:tc>
        <w:tc>
          <w:tcPr>
            <w:tcW w:w="0" w:type="dxa"/>
            <w:vAlign w:val="bottom"/>
          </w:tcPr>
          <w:p>
            <w:pPr>
              <w:spacing w:after="0"/>
              <w:rPr>
                <w:sz w:val="1"/>
                <w:szCs w:val="1"/>
                <w:color w:val="auto"/>
              </w:rPr>
            </w:pPr>
          </w:p>
        </w:tc>
      </w:tr>
      <w:tr>
        <w:trPr>
          <w:trHeight w:val="214"/>
        </w:trPr>
        <w:tc>
          <w:tcPr>
            <w:tcW w:w="2860" w:type="dxa"/>
            <w:vAlign w:val="bottom"/>
          </w:tcPr>
          <w:p>
            <w:pPr>
              <w:spacing w:after="0"/>
              <w:rPr>
                <w:sz w:val="18"/>
                <w:szCs w:val="18"/>
                <w:color w:val="auto"/>
              </w:rPr>
            </w:pPr>
          </w:p>
        </w:tc>
        <w:tc>
          <w:tcPr>
            <w:tcW w:w="25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20" w:type="dxa"/>
            <w:vAlign w:val="bottom"/>
          </w:tcPr>
          <w:p>
            <w:pPr>
              <w:jc w:val="right"/>
              <w:ind w:right="1139"/>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0" w:type="dxa"/>
            <w:vAlign w:val="bottom"/>
          </w:tcPr>
          <w:p>
            <w:pPr>
              <w:spacing w:after="0"/>
              <w:rPr>
                <w:sz w:val="1"/>
                <w:szCs w:val="1"/>
                <w:color w:val="auto"/>
              </w:rPr>
            </w:pPr>
          </w:p>
        </w:tc>
      </w:tr>
      <w:tr>
        <w:trPr>
          <w:trHeight w:val="211"/>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December 26, 2021</w:t>
            </w:r>
          </w:p>
        </w:tc>
        <w:tc>
          <w:tcPr>
            <w:tcW w:w="2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4,409,331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3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28,598</w:t>
            </w: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1,002,239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2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(30,274)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June 26, 2022</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5,310,276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380" w:type="dxa"/>
            <w:vAlign w:val="bottom"/>
            <w:tcBorders>
              <w:bottom w:val="single" w:sz="8" w:color="CCEEFF"/>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23,703</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8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June 26, 2022</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1,816,706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3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9,806</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intrinsic value is based on the difference between the exercise price of the stock option and the closing price of the Company’s common stock on the Nasdaq Global Select Market.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non-vested stock option activity during the twenty-six weeks ended June 26, 2022 is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00" w:type="dxa"/>
            <w:vAlign w:val="bottom"/>
            <w:tcBorders>
              <w:bottom w:val="single" w:sz="8" w:color="CCEEFF"/>
            </w:tcBorders>
          </w:tcPr>
          <w:p>
            <w:pPr>
              <w:spacing w:after="0"/>
              <w:rPr>
                <w:sz w:val="18"/>
                <w:szCs w:val="18"/>
                <w:color w:val="auto"/>
              </w:rPr>
            </w:pPr>
          </w:p>
        </w:tc>
        <w:tc>
          <w:tcPr>
            <w:tcW w:w="28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NUMBER OF OPTIONS</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7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WEIGHTED AVERAGE GRANT DATE FAIR VALUE</w:t>
            </w:r>
          </w:p>
        </w:tc>
      </w:tr>
      <w:tr>
        <w:trPr>
          <w:trHeight w:val="21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December 26, 2021</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2,633,391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4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w:t>
            </w:r>
          </w:p>
        </w:tc>
      </w:tr>
      <w:tr>
        <w:trPr>
          <w:trHeight w:val="213"/>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2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1,002,239</w:t>
            </w:r>
          </w:p>
        </w:tc>
        <w:tc>
          <w:tcPr>
            <w:tcW w:w="4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4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w:t>
            </w:r>
          </w:p>
        </w:tc>
      </w:tr>
      <w:tr>
        <w:trPr>
          <w:trHeight w:val="21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w:t>
            </w:r>
          </w:p>
        </w:tc>
        <w:tc>
          <w:tcPr>
            <w:tcW w:w="2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(71,040)</w:t>
            </w:r>
          </w:p>
        </w:tc>
        <w:tc>
          <w:tcPr>
            <w:tcW w:w="46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4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r>
      <w:tr>
        <w:trPr>
          <w:trHeight w:val="213"/>
        </w:trPr>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2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(71,020)</w:t>
            </w:r>
          </w:p>
        </w:tc>
        <w:tc>
          <w:tcPr>
            <w:tcW w:w="460" w:type="dxa"/>
            <w:vAlign w:val="bottom"/>
            <w:tcBorders>
              <w:bottom w:val="single" w:sz="8" w:color="CCEEFF"/>
            </w:tcBorders>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4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3.05</w:t>
            </w:r>
          </w:p>
        </w:tc>
      </w:tr>
      <w:tr>
        <w:trPr>
          <w:trHeight w:val="237"/>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June 26, 2022</w:t>
            </w:r>
          </w:p>
        </w:tc>
        <w:tc>
          <w:tcPr>
            <w:tcW w:w="2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3,493,570</w:t>
            </w:r>
          </w:p>
        </w:tc>
        <w:tc>
          <w:tcPr>
            <w:tcW w:w="460" w:type="dxa"/>
            <w:vAlign w:val="bottom"/>
            <w:tcBorders>
              <w:bottom w:val="single" w:sz="8" w:color="CCEEFF"/>
            </w:tcBorders>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4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Stock Options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stock option awards is estimated on the date of grant using the Black-Scholes valuation model. The assumptions utilized to estimate the grant date fair value of the stock option awards granted during the twenty-six weeks ended June 26, 2022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term (years)</w:t>
            </w:r>
          </w:p>
        </w:tc>
        <w:tc>
          <w:tcPr>
            <w:tcW w:w="5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13"/>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5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52.4 %</w:t>
            </w:r>
          </w:p>
        </w:tc>
      </w:tr>
      <w:tr>
        <w:trPr>
          <w:trHeight w:val="219"/>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5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2.6 %</w:t>
            </w:r>
          </w:p>
        </w:tc>
      </w:tr>
      <w:tr>
        <w:trPr>
          <w:trHeight w:val="210"/>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dividend yield</w:t>
            </w:r>
          </w:p>
        </w:tc>
        <w:tc>
          <w:tcPr>
            <w:tcW w:w="5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bl>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does not have sufficient historical stock option exercise activity and therefore Management estimated the expected term of stock options granted using the simplified method, which represents the mid-point between the vesting period and the contractual term for each grant. The expected volatility of stock options is based on the historical volatilities of a set of publicly traded peer companies in a similar industry. The risk-free interest rate is determined by reference to the U.S. Treasury yield curve for time periods approximately equal to the expected term of the stock option award. The expected dividend yield is based on the fact that the Company has never paid cash dividends and does not have intentions of paying dividends in the foreseeable future.</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thirteen and twenty-six weeks ended June 26, 2022, a total of 38,311 restricted stock units were granted under the 2021 Equity Plan at the weighted average grant date fair value of $14.36. The restricted stock units will vest over a one-year requisite service period from the date of grant.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was $2.8 million and $5.1 million during the thirteen and twenty-six weeks ended June 26, 2022, respectively. Stock based compensation expense was $0.2 million and $0.3 million during the thirteen and twenty-six weeks ended June 27, 2021,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Unrecognized Stock-Based Compensation Expense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represents unrecognized stock-based compensation expense and the remaining weighted average vesting period as of June 26, 2022:</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580" w:type="dxa"/>
            <w:vAlign w:val="bottom"/>
            <w:gridSpan w:val="2"/>
            <w:shd w:val="clear" w:color="auto" w:fill="CCEEFF"/>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UNRECOGNIZED STOCK-BASED</w:t>
            </w:r>
          </w:p>
        </w:tc>
        <w:tc>
          <w:tcPr>
            <w:tcW w:w="4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 WEIGHTED AVERAGE</w:t>
            </w:r>
          </w:p>
        </w:tc>
      </w:tr>
      <w:tr>
        <w:trPr>
          <w:trHeight w:val="162"/>
        </w:trPr>
        <w:tc>
          <w:tcPr>
            <w:tcW w:w="3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580" w:type="dxa"/>
            <w:vAlign w:val="bottom"/>
            <w:gridSpan w:val="2"/>
            <w:shd w:val="clear" w:color="auto" w:fill="CCEEFF"/>
          </w:tcPr>
          <w:p>
            <w:pPr>
              <w:jc w:val="center"/>
              <w:ind w:right="4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COMPENSATION EXPENSE</w:t>
            </w:r>
          </w:p>
        </w:tc>
        <w:tc>
          <w:tcPr>
            <w:tcW w:w="410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VESTING PERIOD</w:t>
            </w:r>
          </w:p>
        </w:tc>
      </w:tr>
      <w:tr>
        <w:trPr>
          <w:trHeight w:val="216"/>
        </w:trPr>
        <w:tc>
          <w:tcPr>
            <w:tcW w:w="3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jc w:val="center"/>
              <w:ind w:right="48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rPr>
              <w:t>(in years)</w:t>
            </w:r>
          </w:p>
        </w:tc>
      </w:tr>
      <w:tr>
        <w:trPr>
          <w:trHeight w:val="207"/>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options</w:t>
            </w: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3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14,309</w:t>
            </w:r>
          </w:p>
        </w:tc>
        <w:tc>
          <w:tcPr>
            <w:tcW w:w="100" w:type="dxa"/>
            <w:vAlign w:val="bottom"/>
          </w:tcPr>
          <w:p>
            <w:pPr>
              <w:spacing w:after="0"/>
              <w:rPr>
                <w:sz w:val="17"/>
                <w:szCs w:val="17"/>
                <w:color w:val="auto"/>
              </w:rPr>
            </w:pPr>
          </w:p>
        </w:tc>
        <w:tc>
          <w:tcPr>
            <w:tcW w:w="4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9"/>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3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00" w:type="dxa"/>
            <w:vAlign w:val="bottom"/>
            <w:shd w:val="clear" w:color="auto" w:fill="CCEEFF"/>
          </w:tcPr>
          <w:p>
            <w:pPr>
              <w:spacing w:after="0"/>
              <w:rPr>
                <w:sz w:val="19"/>
                <w:szCs w:val="19"/>
                <w:color w:val="auto"/>
              </w:rPr>
            </w:pPr>
          </w:p>
        </w:tc>
        <w:tc>
          <w:tcPr>
            <w:tcW w:w="4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8.</w:t>
        <w:tab/>
        <w:t>Income Taxes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60" w:type="dxa"/>
            <w:vAlign w:val="bottom"/>
            <w:gridSpan w:val="5"/>
          </w:tcPr>
          <w:p>
            <w:pPr>
              <w:ind w:left="52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260" w:type="dxa"/>
            <w:vAlign w:val="bottom"/>
          </w:tcPr>
          <w:p>
            <w:pPr>
              <w:spacing w:after="0"/>
              <w:rPr>
                <w:sz w:val="18"/>
                <w:szCs w:val="18"/>
                <w:color w:val="auto"/>
              </w:rPr>
            </w:pPr>
          </w:p>
        </w:tc>
        <w:tc>
          <w:tcPr>
            <w:tcW w:w="3360" w:type="dxa"/>
            <w:vAlign w:val="bottom"/>
            <w:gridSpan w:val="4"/>
          </w:tcPr>
          <w:p>
            <w:pPr>
              <w:jc w:val="right"/>
              <w:ind w:right="721"/>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214"/>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26, 2022</w:t>
            </w:r>
          </w:p>
        </w:tc>
        <w:tc>
          <w:tcPr>
            <w:tcW w:w="2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JUNE 27, 2021</w:t>
            </w: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26, 2022</w:t>
            </w: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JUNE 27, 2021</w:t>
            </w:r>
          </w:p>
        </w:tc>
      </w:tr>
      <w:tr>
        <w:trPr>
          <w:trHeight w:val="211"/>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4,043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6,090</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10,960</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3,873</w:t>
            </w:r>
          </w:p>
        </w:tc>
      </w:tr>
      <w:tr>
        <w:trPr>
          <w:trHeight w:val="213"/>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(1,336)</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(2,285)</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(3,613)</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(2,110)</w:t>
            </w:r>
          </w:p>
        </w:tc>
      </w:tr>
      <w:tr>
        <w:trPr>
          <w:trHeight w:val="21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income tax rate</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54.5 %</w:t>
            </w:r>
          </w:p>
        </w:tc>
      </w:tr>
    </w:tbl>
    <w:p>
      <w:pPr>
        <w:spacing w:after="0" w:line="17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change in the effective income tax rates for the thirteen and twenty-six weeks ended June 26, 2022 as compared to the thirteen and twenty-six weeks ended June 27, 2021 was primarily due to (i) the change in the valuation allowance for federal and state deferred tax assets, (ii) the benefit of tax credits for FICA taxes on certain employees’ tips and (iii) permanent items including limitations on deductions of certain compensation.</w:t>
      </w:r>
    </w:p>
    <w:p>
      <w:pPr>
        <w:spacing w:after="0" w:line="6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Company has a blended federal and state statutory rate of approximately 25.0%. The effective income tax rates for the thirteen and twenty-six weeks ended June 26, 2022 as compared to the thirteen and twenty-six weeks ended June 27, 2021 was primarily due to (i) the change in the valuation allowance for federal and state deferred tax assets, (ii) the benefit of tax credits for FICA taxes on certain employees’ tips and (iii) permanent items including limitations on deductions of certain compensation.</w:t>
      </w:r>
    </w:p>
    <w:p>
      <w:pPr>
        <w:spacing w:after="0" w:line="30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Commitments and Contingencies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legal proceedings, claims and liabilities that arise in the ordinary course of business. The amount of the ultimate liability with respect to these matters was not material as of June 26, 2022. In the event any litigation losses become probable and estimable, the Company will recognize any anticipated losses.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Unclaimed Property</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subject to unclaimed or abandoned property (escheat) laws which require it to turn over to state governmental authorities the property of others held by the Company that has been unclaimed for specified periods of time. Property subject to escheat laws generally relates to uncashed checks, trade accounts receivable credits and unredeemed gift card balances. During the first quarter of 2022, the Company received a letter from the Delaware Secretary of State inviting the Company to participate in the Delaware Secretary of State’s Abandoned or Unclaimed Property Voluntary Disclosure Agreement Program to avoid being sent an audit notice by the Delaware Department of Finance. On April 22, 2022, the Company entered into Delaware’s Voluntary Disclosure Agreement Program in order to voluntarily comply with Delaware’s abandoned property law in exchange for certain protections and benefits. The Company intends to work in good faith to complete a review of its books and records related to unclaimed or abandoned property during the periods required under the program. The Company will continue to examine its options regarding the escheat laws of Delaware including completing Delaware’s Voluntary Disclosure Agreement Program or proceeding to audit. Any potential loss, or range of loss, that may result from this matter is not currently reasonably estimable.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Net Income Per Common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computations of basic and diluted net income per common share: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0" w:type="dxa"/>
            <w:vAlign w:val="bottom"/>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60" w:type="dxa"/>
            <w:vAlign w:val="bottom"/>
          </w:tcPr>
          <w:p>
            <w:pPr>
              <w:spacing w:after="0"/>
              <w:rPr>
                <w:sz w:val="18"/>
                <w:szCs w:val="18"/>
                <w:color w:val="auto"/>
              </w:rPr>
            </w:pPr>
          </w:p>
        </w:tc>
        <w:tc>
          <w:tcPr>
            <w:tcW w:w="2900" w:type="dxa"/>
            <w:vAlign w:val="bottom"/>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c>
          <w:tcPr>
            <w:tcW w:w="0" w:type="dxa"/>
            <w:vAlign w:val="bottom"/>
          </w:tcPr>
          <w:p>
            <w:pPr>
              <w:spacing w:after="0"/>
              <w:rPr>
                <w:sz w:val="1"/>
                <w:szCs w:val="1"/>
                <w:color w:val="auto"/>
              </w:rPr>
            </w:pPr>
          </w:p>
        </w:tc>
      </w:tr>
      <w:tr>
        <w:trPr>
          <w:trHeight w:val="214"/>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data)</w:t>
            </w: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26, 2022</w:t>
            </w: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JUNE 27, 2021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JUNE 26, 2022</w:t>
            </w: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JUNE 27, 2021</w:t>
            </w:r>
          </w:p>
        </w:tc>
        <w:tc>
          <w:tcPr>
            <w:tcW w:w="0" w:type="dxa"/>
            <w:vAlign w:val="bottom"/>
          </w:tcPr>
          <w:p>
            <w:pPr>
              <w:spacing w:after="0"/>
              <w:rPr>
                <w:sz w:val="1"/>
                <w:szCs w:val="1"/>
                <w:color w:val="auto"/>
              </w:rPr>
            </w:pPr>
          </w:p>
        </w:tc>
      </w:tr>
      <w:tr>
        <w:trPr>
          <w:trHeight w:val="198"/>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1,763</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59,057,991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45,013,784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59,053,219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45,013,784</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Weighted average common shares outstanding - diluted</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59,888,029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45,562,703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59,933,003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45,560,575</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common share - 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common share - 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0" w:type="dxa"/>
            <w:vAlign w:val="bottom"/>
          </w:tcPr>
          <w:p>
            <w:pPr>
              <w:spacing w:after="0"/>
              <w:rPr>
                <w:sz w:val="1"/>
                <w:szCs w:val="1"/>
                <w:color w:val="auto"/>
              </w:rPr>
            </w:pPr>
          </w:p>
        </w:tc>
      </w:tr>
      <w:tr>
        <w:trPr>
          <w:trHeight w:val="162"/>
        </w:trPr>
        <w:tc>
          <w:tcPr>
            <w:tcW w:w="50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Stock options outstanding not included in diluted net income per common</w:t>
            </w:r>
          </w:p>
        </w:tc>
        <w:tc>
          <w:tcPr>
            <w:tcW w:w="16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2,213,408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630,195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1,567,102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630,195</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 as their effect is anti-dilutive</w:t>
            </w:r>
          </w:p>
        </w:tc>
        <w:tc>
          <w:tcPr>
            <w:tcW w:w="1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50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Restricted stock units outstanding not included in diluted net income per</w:t>
            </w:r>
          </w:p>
        </w:tc>
        <w:tc>
          <w:tcPr>
            <w:tcW w:w="16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 as their effect is anti-dilutive</w:t>
            </w:r>
          </w:p>
        </w:tc>
        <w:tc>
          <w:tcPr>
            <w:tcW w:w="16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Diluted net income per common share is calculated by adjusting the weighted average shares outstanding for the theoretical effect of potential common shares that would be issued for preferred stock using the two-class method, as well as for stock options and restricted stock units outstanding and unvested as of the respective periods using the treasury method.</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thirteen and twenty-six weeks ended June 27, 2021, the performance-based stock options that were granted under the 2017 Equity Plan, certain of which were converted into time-based stock options upon the Company’s IPO, were excluded from the diluted net income per common share calculation as the performance condition was not considered probable of being met.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unaudited interim consolidated financial statements and notes thereto included in Part I, Item 1 of this Form 10-Q and our audited consolidated financial statements as of and for the fiscal year ended December 26, 2021 and notes included in our 2021 Form 10-K. As discussed in “Cautionary Note Regarding Forward-Looking Statements,” the following discussion and analysis contains forward-looking statements that involve risks and uncertainties. Our actual results may materially differ from those discussed in such forward-looking statements. Factors that could cause or contribute to these differences include, but are not limited to, those identified below and those discussed in “Risk Factors” under Part II, Item 1A in this Form 10-Q, the Form 10-Q for the quarterly period ended March 27, 2022 and in our 2021 Form 10-K, including under “Item 1A. Risk Factors” and “Item 7. Management’s Discussion and Analysis of Financial Condition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First Watch is an award-winning Daytime Dining concept serving made-to-order breakfast, brunch and lunch using fresh ingredients. A recipient of hundreds of local “Best Breakfast” and “Best Brunch” accolades, First Watch’s award winning chef-driven menu includes elevated executions of classic favorites for breakfast, brunch and lunch. In March 2022, First Watch was awarded ADP’s prestigious Culture at Work award. The Company is majority owned by Advent International Corporation, one of the world’s largest private-equity firms. On October 1, 2021, the Company’s common stock began trading on Nasdaq under the ticker symbol “FWRG.”</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does not operate outside of the United States. The Company operates and franchises restaurants in 28 states under the “First Watch” trade name and as of June 26, 2022, the Company had 350 company-owned restaurants and 99 franchise-owned restaurants.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Financial highlights for the thirteen weeks ended June 26, 2022 (“second quarter of 2022”) as compared to the thirteen weeks ended June 27, 2021 (“second quarter of 2021”) reflect continued success and sustained growth despite a challenging macro environment and include the following:</w:t>
      </w:r>
    </w:p>
    <w:p>
      <w:pPr>
        <w:spacing w:after="0" w:line="189" w:lineRule="exact"/>
        <w:rPr>
          <w:sz w:val="20"/>
          <w:szCs w:val="20"/>
          <w:color w:val="auto"/>
        </w:rPr>
      </w:pPr>
    </w:p>
    <w:p>
      <w:pPr>
        <w:ind w:left="580" w:hanging="410"/>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System-wide sales increased 20.0% to $231.2 million in the second quarter of 2022 from $192.6 million in the second quarter of 2021</w:t>
      </w:r>
    </w:p>
    <w:p>
      <w:pPr>
        <w:spacing w:after="0" w:line="27" w:lineRule="exact"/>
        <w:rPr>
          <w:rFonts w:ascii="Times New Roman" w:cs="Times New Roman" w:eastAsia="Times New Roman" w:hAnsi="Times New Roman"/>
          <w:sz w:val="18"/>
          <w:szCs w:val="18"/>
          <w:color w:val="auto"/>
        </w:rPr>
      </w:pPr>
    </w:p>
    <w:p>
      <w:pPr>
        <w:ind w:left="580" w:hanging="410"/>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revenues increased 19.8% to $184.5 million in the second quarter of 2022 from $154.0 million in the second quarter of 2021</w:t>
      </w:r>
    </w:p>
    <w:p>
      <w:pPr>
        <w:spacing w:after="0" w:line="9" w:lineRule="exact"/>
        <w:rPr>
          <w:rFonts w:ascii="Times New Roman" w:cs="Times New Roman" w:eastAsia="Times New Roman" w:hAnsi="Times New Roman"/>
          <w:sz w:val="18"/>
          <w:szCs w:val="18"/>
          <w:color w:val="auto"/>
        </w:rPr>
      </w:pPr>
    </w:p>
    <w:p>
      <w:pPr>
        <w:ind w:left="580" w:hanging="410"/>
        <w:spacing w:after="0" w:line="197" w:lineRule="auto"/>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Same-restaurant sales growth of 13.4% (30.2% relative to the second quarter of 2019</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ind w:left="580" w:hanging="410"/>
        <w:spacing w:after="0" w:line="196" w:lineRule="auto"/>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Same-restaurant traffic growth of 8.1% (7.4% relative to the second quarter of 2019</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ind w:left="580" w:hanging="410"/>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margin of 2.8% during the second quarter of 2022 compared to 8.1% in the second quarter of 2021</w:t>
      </w:r>
    </w:p>
    <w:p>
      <w:pPr>
        <w:spacing w:after="0" w:line="7" w:lineRule="exact"/>
        <w:rPr>
          <w:rFonts w:ascii="Times New Roman" w:cs="Times New Roman" w:eastAsia="Times New Roman" w:hAnsi="Times New Roman"/>
          <w:sz w:val="18"/>
          <w:szCs w:val="18"/>
          <w:color w:val="auto"/>
        </w:rPr>
      </w:pPr>
    </w:p>
    <w:p>
      <w:pPr>
        <w:ind w:left="580" w:hanging="410"/>
        <w:spacing w:after="0" w:line="197" w:lineRule="auto"/>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Restaurant level operating profit margin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of 18.2% in the second quarter of 2022 as compared to 22.5% in the second quarter of 2021</w:t>
      </w:r>
    </w:p>
    <w:p>
      <w:pPr>
        <w:ind w:left="580" w:right="20" w:hanging="410"/>
        <w:spacing w:after="0" w:line="249" w:lineRule="auto"/>
        <w:tabs>
          <w:tab w:leader="none" w:pos="5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$2.7 million, or $0.05 per diluted share, in the second quarter of 2022 compared to $3.8 million, or $0.08 per diluted share, in the second quarter of 2021</w:t>
      </w:r>
    </w:p>
    <w:p>
      <w:pPr>
        <w:ind w:left="580" w:hanging="410"/>
        <w:spacing w:after="0" w:line="197" w:lineRule="auto"/>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of $17.8 million in the second quarter of 2022 as compared to $22.2 million in the second quarter of 2021</w:t>
      </w:r>
    </w:p>
    <w:p>
      <w:pPr>
        <w:ind w:left="580" w:hanging="410"/>
        <w:spacing w:after="0" w:line="243" w:lineRule="auto"/>
        <w:tabs>
          <w:tab w:leader="none" w:pos="573" w:val="left"/>
        </w:tabs>
        <w:numPr>
          <w:ilvl w:val="0"/>
          <w:numId w:val="5"/>
        </w:numPr>
        <w:rPr>
          <w:rFonts w:ascii="Calibri" w:cs="Calibri" w:eastAsia="Calibri" w:hAnsi="Calibri"/>
          <w:sz w:val="20"/>
          <w:szCs w:val="20"/>
          <w:color w:val="auto"/>
        </w:rPr>
      </w:pPr>
      <w:r>
        <w:rPr>
          <w:rFonts w:ascii="Times New Roman" w:cs="Times New Roman" w:eastAsia="Times New Roman" w:hAnsi="Times New Roman"/>
          <w:sz w:val="18"/>
          <w:szCs w:val="18"/>
          <w:color w:val="auto"/>
        </w:rPr>
        <w:t>Opened 9 system-wide restaurants (5 company-owned and 4 franchise-owned) across 7 states resulting in a total of 449 system-wide restaurants (350 company-owned and 99 franchise-owned) across 28 states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w:t>
      </w:r>
    </w:p>
    <w:p>
      <w:pPr>
        <w:spacing w:after="0" w:line="8" w:lineRule="exact"/>
        <w:rPr>
          <w:sz w:val="20"/>
          <w:szCs w:val="20"/>
          <w:color w:val="auto"/>
        </w:rPr>
      </w:pPr>
    </w:p>
    <w:p>
      <w:pPr>
        <w:ind w:right="320" w:firstLine="8"/>
        <w:spacing w:after="0" w:line="275" w:lineRule="auto"/>
        <w:tabs>
          <w:tab w:leader="none" w:pos="126"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Comparison to the thirteen weeks ended June 30, 2019 (“second quarter of 2019”) is presented for enhanced comparability due to the economic impact of COVID-19. ** See </w:t>
      </w:r>
      <w:r>
        <w:rPr>
          <w:rFonts w:ascii="Times New Roman" w:cs="Times New Roman" w:eastAsia="Times New Roman" w:hAnsi="Times New Roman"/>
          <w:sz w:val="16"/>
          <w:szCs w:val="16"/>
          <w:i w:val="1"/>
          <w:iCs w:val="1"/>
          <w:color w:val="auto"/>
        </w:rPr>
        <w:t>Non-GAAP Financial Measures</w:t>
      </w:r>
      <w:r>
        <w:rPr>
          <w:rFonts w:ascii="Times New Roman" w:cs="Times New Roman" w:eastAsia="Times New Roman" w:hAnsi="Times New Roman"/>
          <w:sz w:val="16"/>
          <w:szCs w:val="16"/>
          <w:color w:val="auto"/>
        </w:rPr>
        <w:t xml:space="preserve"> section below.</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Throughout “Management’s Discussion and Analysis of Financial Condition and Results of Operations” we commonly discuss the following key operating metrics which we believe will drive our financial results and long-term growth model. We believe these metrics are useful to investors because management uses these metrics to evaluate performance and assess the growth of our business as well as the effectiveness of our marketing and operational strategies.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New Restaurant Openings </w:t>
      </w:r>
      <w:r>
        <w:rPr>
          <w:rFonts w:ascii="Times New Roman" w:cs="Times New Roman" w:eastAsia="Times New Roman" w:hAnsi="Times New Roman"/>
          <w:sz w:val="18"/>
          <w:szCs w:val="18"/>
          <w:color w:val="auto"/>
        </w:rPr>
        <w:t>(“NROs”): the number of new company-owned First Watch restaurants commencing operations during the period.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reviews the number of new restaurants to assess new restaurant growth and company-owned restaurant sales.</w:t>
      </w:r>
    </w:p>
    <w:p>
      <w:pPr>
        <w:spacing w:after="0" w:line="18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Franchise-owned New Restaurant Openings </w:t>
      </w:r>
      <w:r>
        <w:rPr>
          <w:rFonts w:ascii="Times New Roman" w:cs="Times New Roman" w:eastAsia="Times New Roman" w:hAnsi="Times New Roman"/>
          <w:sz w:val="18"/>
          <w:szCs w:val="18"/>
          <w:color w:val="auto"/>
        </w:rPr>
        <w:t>(“Franchise-owned NROs”): the number of new franchise-owned First Watch restaurants commencing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during the period.</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Same-Restaurant Sales Growth</w:t>
      </w:r>
      <w:r>
        <w:rPr>
          <w:rFonts w:ascii="Times New Roman" w:cs="Times New Roman" w:eastAsia="Times New Roman" w:hAnsi="Times New Roman"/>
          <w:sz w:val="18"/>
          <w:szCs w:val="18"/>
          <w:color w:val="auto"/>
        </w:rPr>
        <w:t>: the percentage change in year-over-year restaurant sales (excluding gift card breakage) for the comparable restaurant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base, which we define as the number of company-owned First Watch branded restaurants open for 18 months or longer as of the beginning of the fiscal year (“Comparable Restaurant Base”). For the thirteen and twenty-six weeks ended June 26, 2022, there were 304 restaurants in our Comparable Restaurant Base. For the thirteen and twenty-six weeks ended June 27, 2021, there were 270 restaurants in our Comparable Restaurant Base. Measuring our same-restaurant sales growth allows management to evaluate the performance of our existing restaurant base. We believe this measure is useful for investors to provide a consistent comparison of restaurant sales results and trends across periods within our core, established restaurant base, unaffected by results of store openings, closings, and other transitional changes.</w:t>
      </w:r>
    </w:p>
    <w:p>
      <w:pPr>
        <w:spacing w:after="0" w:line="21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Same-Restaurant Traffic Growth</w:t>
      </w:r>
      <w:r>
        <w:rPr>
          <w:rFonts w:ascii="Times New Roman" w:cs="Times New Roman" w:eastAsia="Times New Roman" w:hAnsi="Times New Roman"/>
          <w:sz w:val="18"/>
          <w:szCs w:val="18"/>
          <w:color w:val="auto"/>
        </w:rPr>
        <w:t>: the percentage change in traffic counts as compared to the same period in the prior year using the Comparable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Restaurant Base. Measuring our same-restaurant traffic growth allows management to evaluate the performance of our existing restaurant base. We believe this measure is useful for investors because an increase in same-restaurant traffic provides an indicator as to the development of our brand and the effectiveness of our marketing strategy.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System-wide restaurants</w:t>
      </w:r>
      <w:r>
        <w:rPr>
          <w:rFonts w:ascii="Times New Roman" w:cs="Times New Roman" w:eastAsia="Times New Roman" w:hAnsi="Times New Roman"/>
          <w:sz w:val="18"/>
          <w:szCs w:val="18"/>
          <w:color w:val="auto"/>
        </w:rPr>
        <w:t>: the total number of restaurants, including all company-owned and franchise-owned restaurants.</w:t>
      </w:r>
    </w:p>
    <w:p>
      <w:pPr>
        <w:spacing w:after="0" w:line="25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System-wide sales</w:t>
      </w:r>
      <w:r>
        <w:rPr>
          <w:rFonts w:ascii="Times New Roman" w:cs="Times New Roman" w:eastAsia="Times New Roman" w:hAnsi="Times New Roman"/>
          <w:sz w:val="18"/>
          <w:szCs w:val="18"/>
          <w:color w:val="auto"/>
        </w:rPr>
        <w:t>: consists of restaurant sales from our company-owned restaurants and franchise-owned restaurants. We do not recognize the restaurant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sales from our franchise-owned restaurants as revenue.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To supplement the consolidated financial statements, which are prepared in accordance with accounting principles generally accepted in the United States of America (“GAAP”), we use non-GAAP measures, which present operating results on an adjusted basis. These are supplemental measures of performance that are not required by or presented in accordance with GAAP include the following: (i) Adjusted EBITDA, (ii) Adjusted EBITDA margin,</w:t>
      </w:r>
    </w:p>
    <w:p>
      <w:pPr>
        <w:spacing w:after="0" w:line="1" w:lineRule="exact"/>
        <w:rPr>
          <w:sz w:val="20"/>
          <w:szCs w:val="20"/>
          <w:color w:val="auto"/>
        </w:rPr>
      </w:pPr>
    </w:p>
    <w:p>
      <w:pPr>
        <w:jc w:val="both"/>
        <w:ind w:firstLine="8"/>
        <w:spacing w:after="0" w:line="251" w:lineRule="auto"/>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Restaurant level operating profit and (iv) Restaurant level operating profit margin. Our presentation of these non-GAAP measures includes isolating the effects of some items that are either nonrecurring in nature or vary from period to period without any correlation to our ongoing core operating performance. Management believes that the use of these non-GAAP measures provides investors with additional transparency of our operations, facilitates analysis and comparisons of our ongoing business operations because they exclude items that may not be indicative of our ongoing operating performance, identifies operational trends and allows for greater transparency with respect to key metrics used by us in our financial and operational decision making. Our non-GAAP measures may not be comparable to similarly titled measures used by other companies and have important limitations as analytical tools. These non-GAAP measures should not be considered in isolation or as substitutes for analysis of our results as reported under GAAP as they may not provide a complete understanding of our performance. These non-GAAP measures should be reviewed in conjunction with our consolidated financial statements prepared in accordance with GAAP.</w:t>
      </w: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Adjusted EBITDA and Adjusted EBITDA margin (i) as factors in evaluating management’s performance when determining incentive compensation, (ii) to evaluate our operating results and the effectiveness of our business strategies and (iii) internally as benchmarks to compare our performance to that of our competitors.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Restaurant level operating profit and restaurant level operating profit margin are important measures we use to evaluate the performance and profitability of each operating restaurant, individually and in the aggregate and to make decisions regarding future spending and other operational decisions.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Adjusted EBITDA</w:t>
      </w:r>
      <w:r>
        <w:rPr>
          <w:rFonts w:ascii="Times New Roman" w:cs="Times New Roman" w:eastAsia="Times New Roman" w:hAnsi="Times New Roman"/>
          <w:sz w:val="18"/>
          <w:szCs w:val="18"/>
          <w:color w:val="auto"/>
        </w:rPr>
        <w:t>: represents Net income (loss) before depreciation and amortization, interest expense, income taxes, and items that we do not consider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our evaluation of ongoing core operating performance as identified in the reconciliation of Net income (loss), the most directly comparable measure in accordance with GAAP, to Adjusted EBITDA, included in the section </w:t>
      </w:r>
      <w:r>
        <w:rPr>
          <w:rFonts w:ascii="Times New Roman" w:cs="Times New Roman" w:eastAsia="Times New Roman" w:hAnsi="Times New Roman"/>
          <w:sz w:val="18"/>
          <w:szCs w:val="18"/>
          <w:i w:val="1"/>
          <w:iCs w:val="1"/>
          <w:color w:val="auto"/>
        </w:rPr>
        <w:t>Non-GAAP Financial Measures</w:t>
      </w:r>
      <w:r>
        <w:rPr>
          <w:rFonts w:ascii="Times New Roman" w:cs="Times New Roman" w:eastAsia="Times New Roman" w:hAnsi="Times New Roman"/>
          <w:sz w:val="18"/>
          <w:szCs w:val="18"/>
          <w:color w:val="auto"/>
        </w:rPr>
        <w:t xml:space="preserve"> below</w:t>
      </w:r>
      <w:r>
        <w:rPr>
          <w:rFonts w:ascii="Times New Roman" w:cs="Times New Roman" w:eastAsia="Times New Roman" w:hAnsi="Times New Roman"/>
          <w:sz w:val="18"/>
          <w:szCs w:val="18"/>
          <w:i w:val="1"/>
          <w:iCs w:val="1"/>
          <w:color w:val="auto"/>
        </w:rPr>
        <w:t>.</w:t>
      </w:r>
    </w:p>
    <w:p>
      <w:pPr>
        <w:spacing w:after="0" w:line="1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Adjusted EBITDA Margin</w:t>
      </w:r>
      <w:r>
        <w:rPr>
          <w:rFonts w:ascii="Times New Roman" w:cs="Times New Roman" w:eastAsia="Times New Roman" w:hAnsi="Times New Roman"/>
          <w:sz w:val="18"/>
          <w:szCs w:val="18"/>
          <w:color w:val="auto"/>
        </w:rPr>
        <w:t>: represents Adjusted EBITDA as a percentage of total revenues. See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Non-GAAP Financial Measures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below for a reconciliation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Net income (loss) margin, the most directly comparable GAAP measure.</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Restaurant Level Operating Profit</w:t>
      </w:r>
      <w:r>
        <w:rPr>
          <w:rFonts w:ascii="Times New Roman" w:cs="Times New Roman" w:eastAsia="Times New Roman" w:hAnsi="Times New Roman"/>
          <w:sz w:val="18"/>
          <w:szCs w:val="18"/>
          <w:color w:val="auto"/>
        </w:rPr>
        <w:t>: represents restaurant sales, less restaurant operating expenses, which include food and beverage costs, labor and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related expenses, other restaurant operating expenses, pre-opening expenses and occupancy expenses. Restaurant level operating profit excludes corporate-level expenses and other items that we do not consider in the evaluation of the ongoing core operating performance of our restaurants as identified in the reconciliation of Income (Loss) from operations, the most directly comparable GAAP measure, to Restaurant level operating profit, included in the section </w:t>
      </w:r>
      <w:r>
        <w:rPr>
          <w:rFonts w:ascii="Times New Roman" w:cs="Times New Roman" w:eastAsia="Times New Roman" w:hAnsi="Times New Roman"/>
          <w:sz w:val="18"/>
          <w:szCs w:val="18"/>
          <w:i w:val="1"/>
          <w:iCs w:val="1"/>
          <w:color w:val="auto"/>
        </w:rPr>
        <w:t xml:space="preserve">Non-GAAP Financial Measures </w:t>
      </w:r>
      <w:r>
        <w:rPr>
          <w:rFonts w:ascii="Times New Roman" w:cs="Times New Roman" w:eastAsia="Times New Roman" w:hAnsi="Times New Roman"/>
          <w:sz w:val="18"/>
          <w:szCs w:val="18"/>
          <w:color w:val="auto"/>
        </w:rPr>
        <w:t>below.</w:t>
      </w:r>
    </w:p>
    <w:p>
      <w:pPr>
        <w:spacing w:after="0" w:line="20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Restaurant Level Operating Profit Margin</w:t>
      </w:r>
      <w:r>
        <w:rPr>
          <w:rFonts w:ascii="Times New Roman" w:cs="Times New Roman" w:eastAsia="Times New Roman" w:hAnsi="Times New Roman"/>
          <w:sz w:val="18"/>
          <w:szCs w:val="18"/>
          <w:color w:val="auto"/>
        </w:rPr>
        <w:t>: represents Restaurant level operating profit as a percentage of restaurant sales. See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Non-GAAP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Measures </w:t>
      </w:r>
      <w:r>
        <w:rPr>
          <w:rFonts w:ascii="Times New Roman" w:cs="Times New Roman" w:eastAsia="Times New Roman" w:hAnsi="Times New Roman"/>
          <w:sz w:val="18"/>
          <w:szCs w:val="18"/>
          <w:color w:val="auto"/>
        </w:rPr>
        <w:t>below for a reconciliation to Income (Loss) from operations margin, the most directly comparable GAAP measure.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Operating Data</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80" w:type="dxa"/>
            <w:vAlign w:val="bottom"/>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220" w:type="dxa"/>
            <w:vAlign w:val="bottom"/>
          </w:tcPr>
          <w:p>
            <w:pPr>
              <w:spacing w:after="0"/>
              <w:rPr>
                <w:sz w:val="18"/>
                <w:szCs w:val="18"/>
                <w:color w:val="auto"/>
              </w:rPr>
            </w:pPr>
          </w:p>
        </w:tc>
        <w:tc>
          <w:tcPr>
            <w:tcW w:w="3380" w:type="dxa"/>
            <w:vAlign w:val="bottom"/>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r>
      <w:tr>
        <w:trPr>
          <w:trHeight w:val="211"/>
        </w:trPr>
        <w:tc>
          <w:tcPr>
            <w:tcW w:w="39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26, 2022</w:t>
            </w:r>
          </w:p>
        </w:tc>
        <w:tc>
          <w:tcPr>
            <w:tcW w:w="2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JUNE 27, 2021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26, 2022</w:t>
            </w:r>
          </w:p>
        </w:tc>
        <w:tc>
          <w:tcPr>
            <w:tcW w:w="2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JUNE 27, 2021</w:t>
            </w:r>
          </w:p>
        </w:tc>
      </w:tr>
      <w:tr>
        <w:trPr>
          <w:trHeight w:val="211"/>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System-wide sales (in thousands)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231,236</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192,632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445,357</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350,596</w:t>
            </w:r>
          </w:p>
        </w:tc>
      </w:tr>
      <w:tr>
        <w:trPr>
          <w:trHeight w:val="213"/>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System-wide restaurants</w:t>
            </w:r>
          </w:p>
        </w:tc>
        <w:tc>
          <w:tcPr>
            <w:tcW w:w="220" w:type="dxa"/>
            <w:vAlign w:val="bottom"/>
          </w:tcPr>
          <w:p>
            <w:pPr>
              <w:spacing w:after="0"/>
              <w:rPr>
                <w:sz w:val="18"/>
                <w:szCs w:val="18"/>
                <w:color w:val="auto"/>
              </w:rPr>
            </w:pPr>
          </w:p>
        </w:tc>
        <w:tc>
          <w:tcPr>
            <w:tcW w:w="15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449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449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423</w:t>
            </w:r>
          </w:p>
        </w:tc>
      </w:tr>
      <w:tr>
        <w:trPr>
          <w:trHeight w:val="219"/>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Company-owned</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350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350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335</w:t>
            </w:r>
          </w:p>
        </w:tc>
      </w:tr>
      <w:tr>
        <w:trPr>
          <w:trHeight w:val="213"/>
        </w:trPr>
        <w:tc>
          <w:tcPr>
            <w:tcW w:w="3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Franchise-owned</w:t>
            </w:r>
          </w:p>
        </w:tc>
        <w:tc>
          <w:tcPr>
            <w:tcW w:w="220" w:type="dxa"/>
            <w:vAlign w:val="bottom"/>
          </w:tcPr>
          <w:p>
            <w:pPr>
              <w:spacing w:after="0"/>
              <w:rPr>
                <w:sz w:val="18"/>
                <w:szCs w:val="18"/>
                <w:color w:val="auto"/>
              </w:rPr>
            </w:pPr>
          </w:p>
        </w:tc>
        <w:tc>
          <w:tcPr>
            <w:tcW w:w="15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99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88</w:t>
            </w:r>
          </w:p>
        </w:tc>
      </w:tr>
      <w:tr>
        <w:trPr>
          <w:trHeight w:val="21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Same-restaurant sales growth</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95.9 %</w:t>
            </w:r>
          </w:p>
        </w:tc>
      </w:tr>
      <w:tr>
        <w:trPr>
          <w:trHeight w:val="213"/>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Same-restaurant traffic growth</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360.9 %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76.3 %</w:t>
            </w:r>
          </w:p>
        </w:tc>
      </w:tr>
      <w:tr>
        <w:trPr>
          <w:trHeight w:val="21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 (in thousands)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5,053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12,312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12,813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16,157</w:t>
            </w:r>
          </w:p>
        </w:tc>
      </w:tr>
      <w:tr>
        <w:trPr>
          <w:trHeight w:val="213"/>
        </w:trPr>
        <w:tc>
          <w:tcPr>
            <w:tcW w:w="3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from operations margin</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5.8 %</w:t>
            </w:r>
          </w:p>
        </w:tc>
      </w:tr>
      <w:tr>
        <w:trPr>
          <w:trHeight w:val="219"/>
        </w:trPr>
        <w:tc>
          <w:tcPr>
            <w:tcW w:w="39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Restaurant level operating profit (in thousands) </w:t>
            </w:r>
            <w:r>
              <w:rPr>
                <w:rFonts w:ascii="Times New Roman" w:cs="Times New Roman" w:eastAsia="Times New Roman" w:hAnsi="Times New Roman"/>
                <w:sz w:val="21"/>
                <w:szCs w:val="21"/>
                <w:color w:val="auto"/>
                <w:vertAlign w:val="superscript"/>
              </w:rPr>
              <w:t>(1)</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33,079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34,066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66,518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55,990</w:t>
            </w:r>
          </w:p>
        </w:tc>
      </w:tr>
      <w:tr>
        <w:trPr>
          <w:trHeight w:val="216"/>
        </w:trPr>
        <w:tc>
          <w:tcPr>
            <w:tcW w:w="3940" w:type="dxa"/>
            <w:vAlign w:val="bottom"/>
          </w:tcPr>
          <w:p>
            <w:pPr>
              <w:ind w:left="360"/>
              <w:spacing w:after="0" w:line="216" w:lineRule="exact"/>
              <w:rPr>
                <w:sz w:val="20"/>
                <w:szCs w:val="20"/>
                <w:color w:val="auto"/>
              </w:rPr>
            </w:pPr>
            <w:r>
              <w:rPr>
                <w:rFonts w:ascii="Times New Roman" w:cs="Times New Roman" w:eastAsia="Times New Roman" w:hAnsi="Times New Roman"/>
                <w:sz w:val="16"/>
                <w:szCs w:val="16"/>
                <w:color w:val="auto"/>
              </w:rPr>
              <w:t xml:space="preserve">Restaurant level operating profit margin </w:t>
            </w:r>
            <w:r>
              <w:rPr>
                <w:rFonts w:ascii="Times New Roman" w:cs="Times New Roman" w:eastAsia="Times New Roman" w:hAnsi="Times New Roman"/>
                <w:sz w:val="21"/>
                <w:szCs w:val="21"/>
                <w:color w:val="auto"/>
                <w:vertAlign w:val="superscript"/>
              </w:rPr>
              <w:t>(1)</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20.2 %</w:t>
            </w:r>
          </w:p>
        </w:tc>
      </w:tr>
      <w:tr>
        <w:trPr>
          <w:trHeight w:val="21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(in thousands)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2,707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7,347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1,763</w:t>
            </w:r>
          </w:p>
        </w:tc>
      </w:tr>
      <w:tr>
        <w:trPr>
          <w:trHeight w:val="213"/>
        </w:trPr>
        <w:tc>
          <w:tcPr>
            <w:tcW w:w="3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 margin</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0.6 %</w:t>
            </w:r>
          </w:p>
        </w:tc>
      </w:tr>
      <w:tr>
        <w:trPr>
          <w:trHeight w:val="219"/>
        </w:trPr>
        <w:tc>
          <w:tcPr>
            <w:tcW w:w="39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Adjusted EBITDA (in thousands) </w:t>
            </w:r>
            <w:r>
              <w:rPr>
                <w:rFonts w:ascii="Times New Roman" w:cs="Times New Roman" w:eastAsia="Times New Roman" w:hAnsi="Times New Roman"/>
                <w:sz w:val="21"/>
                <w:szCs w:val="21"/>
                <w:color w:val="auto"/>
                <w:vertAlign w:val="superscript"/>
              </w:rPr>
              <w:t>(2)</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17,789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22,200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37,153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35,182</w:t>
            </w:r>
          </w:p>
        </w:tc>
      </w:tr>
      <w:tr>
        <w:trPr>
          <w:trHeight w:val="281"/>
        </w:trPr>
        <w:tc>
          <w:tcPr>
            <w:tcW w:w="3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 xml:space="preserve">Adjusted EBITDA margin </w:t>
            </w:r>
            <w:r>
              <w:rPr>
                <w:rFonts w:ascii="Times New Roman" w:cs="Times New Roman" w:eastAsia="Times New Roman" w:hAnsi="Times New Roman"/>
                <w:sz w:val="21"/>
                <w:szCs w:val="21"/>
                <w:color w:val="auto"/>
                <w:vertAlign w:val="superscript"/>
              </w:rPr>
              <w:t>(2)</w:t>
            </w:r>
          </w:p>
        </w:tc>
        <w:tc>
          <w:tcPr>
            <w:tcW w:w="2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14.4 %</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12.5 %</w:t>
            </w:r>
          </w:p>
        </w:tc>
      </w:tr>
    </w:tbl>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3" w:lineRule="exact"/>
        <w:rPr>
          <w:sz w:val="20"/>
          <w:szCs w:val="20"/>
          <w:color w:val="auto"/>
        </w:rPr>
      </w:pPr>
    </w:p>
    <w:p>
      <w:pPr>
        <w:ind w:right="20" w:firstLine="8"/>
        <w:spacing w:after="0" w:line="248" w:lineRule="auto"/>
        <w:tabs>
          <w:tab w:leader="none" w:pos="254"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Reconciliations from Income from operations and Income from operations margin, the most comparable GAAP measures to Restaurant level operating profit and Restaurant level operating profit margin, are set forth in the schedules within the </w:t>
      </w:r>
      <w:r>
        <w:rPr>
          <w:rFonts w:ascii="Times New Roman" w:cs="Times New Roman" w:eastAsia="Times New Roman" w:hAnsi="Times New Roman"/>
          <w:sz w:val="16"/>
          <w:szCs w:val="16"/>
          <w:i w:val="1"/>
          <w:iCs w:val="1"/>
          <w:color w:val="auto"/>
        </w:rPr>
        <w:t>Non-GAAP Financial Measures</w:t>
      </w:r>
      <w:r>
        <w:rPr>
          <w:rFonts w:ascii="Times New Roman" w:cs="Times New Roman" w:eastAsia="Times New Roman" w:hAnsi="Times New Roman"/>
          <w:sz w:val="16"/>
          <w:szCs w:val="16"/>
          <w:color w:val="auto"/>
        </w:rPr>
        <w:t xml:space="preserve"> section below.</w:t>
      </w:r>
    </w:p>
    <w:p>
      <w:pPr>
        <w:spacing w:after="0" w:line="1" w:lineRule="exact"/>
        <w:rPr>
          <w:rFonts w:ascii="Times New Roman" w:cs="Times New Roman" w:eastAsia="Times New Roman" w:hAnsi="Times New Roman"/>
          <w:sz w:val="16"/>
          <w:szCs w:val="16"/>
          <w:color w:val="auto"/>
        </w:rPr>
      </w:pPr>
    </w:p>
    <w:p>
      <w:pPr>
        <w:ind w:right="20" w:firstLine="8"/>
        <w:spacing w:after="0" w:line="270" w:lineRule="auto"/>
        <w:tabs>
          <w:tab w:leader="none" w:pos="229"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Reconciliations from Net income and Net income margin, the most comparable GAAP measures to Adjusted EBITDA and Adjusted EBITDA margin, are set forth in the schedules within the </w:t>
      </w:r>
      <w:r>
        <w:rPr>
          <w:rFonts w:ascii="Times New Roman" w:cs="Times New Roman" w:eastAsia="Times New Roman" w:hAnsi="Times New Roman"/>
          <w:sz w:val="16"/>
          <w:szCs w:val="16"/>
          <w:i w:val="1"/>
          <w:iCs w:val="1"/>
          <w:color w:val="auto"/>
        </w:rPr>
        <w:t>Non-GAAP Financial Measures</w:t>
      </w:r>
      <w:r>
        <w:rPr>
          <w:rFonts w:ascii="Times New Roman" w:cs="Times New Roman" w:eastAsia="Times New Roman" w:hAnsi="Times New Roman"/>
          <w:sz w:val="16"/>
          <w:szCs w:val="16"/>
          <w:color w:val="auto"/>
        </w:rPr>
        <w:t xml:space="preserve"> section below.</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Same-Restaurant Sales Growth and Same-Restaurant Traffic Growth</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00" w:type="dxa"/>
            <w:vAlign w:val="bottom"/>
            <w:vMerge w:val="restart"/>
          </w:tcPr>
          <w:p>
            <w:pPr>
              <w:spacing w:after="0"/>
              <w:rPr>
                <w:sz w:val="16"/>
                <w:szCs w:val="16"/>
                <w:color w:val="auto"/>
              </w:rPr>
            </w:pPr>
          </w:p>
        </w:tc>
        <w:tc>
          <w:tcPr>
            <w:tcW w:w="298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SAME-RESTAURANT SALES</w:t>
            </w:r>
          </w:p>
        </w:tc>
        <w:tc>
          <w:tcPr>
            <w:tcW w:w="28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SAME-RESTAURANT TRAFFIC</w:t>
            </w:r>
          </w:p>
        </w:tc>
        <w:tc>
          <w:tcPr>
            <w:tcW w:w="2640" w:type="dxa"/>
            <w:vAlign w:val="bottom"/>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rPr>
              <w:t>COMPARABLE RESTAURANT</w:t>
            </w:r>
          </w:p>
        </w:tc>
        <w:tc>
          <w:tcPr>
            <w:tcW w:w="0" w:type="dxa"/>
            <w:vAlign w:val="bottom"/>
          </w:tcPr>
          <w:p>
            <w:pPr>
              <w:spacing w:after="0"/>
              <w:rPr>
                <w:sz w:val="1"/>
                <w:szCs w:val="1"/>
                <w:color w:val="auto"/>
              </w:rPr>
            </w:pPr>
          </w:p>
        </w:tc>
      </w:tr>
      <w:tr>
        <w:trPr>
          <w:trHeight w:val="214"/>
        </w:trPr>
        <w:tc>
          <w:tcPr>
            <w:tcW w:w="2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880" w:type="dxa"/>
            <w:vAlign w:val="bottom"/>
            <w:tcBorders>
              <w:bottom w:val="single" w:sz="8" w:color="auto"/>
            </w:tcBorders>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rPr>
              <w:t>GROWTH</w:t>
            </w:r>
          </w:p>
        </w:tc>
        <w:tc>
          <w:tcPr>
            <w:tcW w:w="100" w:type="dxa"/>
            <w:vAlign w:val="bottom"/>
            <w:tcBorders>
              <w:bottom w:val="single" w:sz="8" w:color="CCEEFF"/>
            </w:tcBorders>
          </w:tcPr>
          <w:p>
            <w:pPr>
              <w:spacing w:after="0"/>
              <w:rPr>
                <w:sz w:val="18"/>
                <w:szCs w:val="18"/>
                <w:color w:val="auto"/>
              </w:rPr>
            </w:pPr>
          </w:p>
        </w:tc>
        <w:tc>
          <w:tcPr>
            <w:tcW w:w="276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rPr>
              <w:t>GROWTH</w:t>
            </w:r>
          </w:p>
        </w:tc>
        <w:tc>
          <w:tcPr>
            <w:tcW w:w="80" w:type="dxa"/>
            <w:vAlign w:val="bottom"/>
            <w:tcBorders>
              <w:bottom w:val="single" w:sz="8" w:color="CCEEFF"/>
            </w:tcBorders>
          </w:tcPr>
          <w:p>
            <w:pPr>
              <w:spacing w:after="0"/>
              <w:rPr>
                <w:sz w:val="18"/>
                <w:szCs w:val="18"/>
                <w:color w:val="auto"/>
              </w:rPr>
            </w:pPr>
          </w:p>
        </w:tc>
        <w:tc>
          <w:tcPr>
            <w:tcW w:w="2640" w:type="dxa"/>
            <w:vAlign w:val="bottom"/>
            <w:tcBorders>
              <w:bottom w:val="single" w:sz="8" w:color="auto"/>
            </w:tcBorders>
          </w:tcPr>
          <w:p>
            <w:pPr>
              <w:jc w:val="right"/>
              <w:ind w:right="1018"/>
              <w:spacing w:after="0"/>
              <w:rPr>
                <w:sz w:val="20"/>
                <w:szCs w:val="20"/>
                <w:color w:val="auto"/>
              </w:rPr>
            </w:pPr>
            <w:r>
              <w:rPr>
                <w:rFonts w:ascii="Times New Roman" w:cs="Times New Roman" w:eastAsia="Times New Roman" w:hAnsi="Times New Roman"/>
                <w:sz w:val="16"/>
                <w:szCs w:val="16"/>
                <w:b w:val="1"/>
                <w:bCs w:val="1"/>
                <w:color w:val="auto"/>
              </w:rPr>
              <w:t>BASE</w:t>
            </w:r>
          </w:p>
        </w:tc>
        <w:tc>
          <w:tcPr>
            <w:tcW w:w="0" w:type="dxa"/>
            <w:vAlign w:val="bottom"/>
          </w:tcPr>
          <w:p>
            <w:pPr>
              <w:spacing w:after="0"/>
              <w:rPr>
                <w:sz w:val="1"/>
                <w:szCs w:val="1"/>
                <w:color w:val="auto"/>
              </w:rPr>
            </w:pPr>
          </w:p>
        </w:tc>
      </w:tr>
      <w:tr>
        <w:trPr>
          <w:trHeight w:val="225"/>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26, 2022</w:t>
            </w:r>
          </w:p>
        </w:tc>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13.4 %</w:t>
            </w:r>
          </w:p>
        </w:tc>
        <w:tc>
          <w:tcPr>
            <w:tcW w:w="100" w:type="dxa"/>
            <w:vAlign w:val="bottom"/>
            <w:shd w:val="clear" w:color="auto" w:fill="CCEEFF"/>
          </w:tcPr>
          <w:p>
            <w:pPr>
              <w:spacing w:after="0"/>
              <w:rPr>
                <w:sz w:val="19"/>
                <w:szCs w:val="19"/>
                <w:color w:val="auto"/>
              </w:rPr>
            </w:pP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80" w:type="dxa"/>
            <w:vAlign w:val="bottom"/>
            <w:shd w:val="clear" w:color="auto" w:fill="CCEEFF"/>
          </w:tcPr>
          <w:p>
            <w:pPr>
              <w:spacing w:after="0"/>
              <w:rPr>
                <w:sz w:val="19"/>
                <w:szCs w:val="19"/>
                <w:color w:val="auto"/>
              </w:rPr>
            </w:pP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13"/>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June 27, 2021</w:t>
            </w:r>
          </w:p>
        </w:tc>
        <w:tc>
          <w:tcPr>
            <w:tcW w:w="2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403.5 %</w:t>
            </w:r>
          </w:p>
        </w:tc>
        <w:tc>
          <w:tcPr>
            <w:tcW w:w="100" w:type="dxa"/>
            <w:vAlign w:val="bottom"/>
          </w:tcPr>
          <w:p>
            <w:pPr>
              <w:spacing w:after="0"/>
              <w:rPr>
                <w:sz w:val="18"/>
                <w:szCs w:val="18"/>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360.9 %</w:t>
            </w:r>
          </w:p>
        </w:tc>
        <w:tc>
          <w:tcPr>
            <w:tcW w:w="80" w:type="dxa"/>
            <w:vAlign w:val="bottom"/>
          </w:tcPr>
          <w:p>
            <w:pPr>
              <w:spacing w:after="0"/>
              <w:rPr>
                <w:sz w:val="18"/>
                <w:szCs w:val="18"/>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0" w:type="dxa"/>
            <w:vAlign w:val="bottom"/>
          </w:tcPr>
          <w:p>
            <w:pPr>
              <w:spacing w:after="0"/>
              <w:rPr>
                <w:sz w:val="1"/>
                <w:szCs w:val="1"/>
                <w:color w:val="auto"/>
              </w:rPr>
            </w:pPr>
          </w:p>
        </w:tc>
      </w:tr>
      <w:tr>
        <w:trPr>
          <w:trHeight w:val="219"/>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28, 2020</w:t>
            </w:r>
          </w:p>
        </w:tc>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100" w:type="dxa"/>
            <w:vAlign w:val="bottom"/>
            <w:shd w:val="clear" w:color="auto" w:fill="CCEEFF"/>
          </w:tcPr>
          <w:p>
            <w:pPr>
              <w:spacing w:after="0"/>
              <w:rPr>
                <w:sz w:val="19"/>
                <w:szCs w:val="19"/>
                <w:color w:val="auto"/>
              </w:rPr>
            </w:pP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80" w:type="dxa"/>
            <w:vAlign w:val="bottom"/>
            <w:shd w:val="clear" w:color="auto" w:fill="CCEEFF"/>
          </w:tcPr>
          <w:p>
            <w:pPr>
              <w:spacing w:after="0"/>
              <w:rPr>
                <w:sz w:val="19"/>
                <w:szCs w:val="19"/>
                <w:color w:val="auto"/>
              </w:rPr>
            </w:pP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0" w:type="dxa"/>
            <w:vAlign w:val="bottom"/>
          </w:tcPr>
          <w:p>
            <w:pPr>
              <w:spacing w:after="0"/>
              <w:rPr>
                <w:sz w:val="1"/>
                <w:szCs w:val="1"/>
                <w:color w:val="auto"/>
              </w:rPr>
            </w:pPr>
          </w:p>
        </w:tc>
      </w:tr>
      <w:tr>
        <w:trPr>
          <w:trHeight w:val="21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June 30, 2019</w:t>
            </w:r>
          </w:p>
        </w:tc>
        <w:tc>
          <w:tcPr>
            <w:tcW w:w="2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6.2 %</w:t>
            </w:r>
          </w:p>
        </w:tc>
        <w:tc>
          <w:tcPr>
            <w:tcW w:w="100" w:type="dxa"/>
            <w:vAlign w:val="bottom"/>
          </w:tcPr>
          <w:p>
            <w:pPr>
              <w:spacing w:after="0"/>
              <w:rPr>
                <w:sz w:val="18"/>
                <w:szCs w:val="18"/>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80" w:type="dxa"/>
            <w:vAlign w:val="bottom"/>
          </w:tcPr>
          <w:p>
            <w:pPr>
              <w:spacing w:after="0"/>
              <w:rPr>
                <w:sz w:val="18"/>
                <w:szCs w:val="18"/>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Thirteen and Twenty-Six Weeks Ended June 26, 2022 Compared to Thirteen and Twenty-Six Weeks Ended June 27, 2021</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and the percentages of certain items in relation to Total revenues or, where indicated, Restaurant sales for the thirteen and twenty-six weeks ended June 26, 2022 and June 27, 2021: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8"/>
          </w:tcPr>
          <w:p>
            <w:pPr>
              <w:ind w:left="640"/>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c>
          <w:tcPr>
            <w:tcW w:w="700" w:type="dxa"/>
            <w:vAlign w:val="bottom"/>
            <w:tcBorders>
              <w:bottom w:val="single" w:sz="8" w:color="auto"/>
            </w:tcBorders>
          </w:tcPr>
          <w:p>
            <w:pPr>
              <w:spacing w:after="0"/>
              <w:rPr>
                <w:sz w:val="18"/>
                <w:szCs w:val="18"/>
                <w:color w:val="auto"/>
              </w:rPr>
            </w:pPr>
          </w:p>
        </w:tc>
      </w:tr>
      <w:tr>
        <w:trPr>
          <w:trHeight w:val="214"/>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8"/>
                <w:szCs w:val="18"/>
                <w:color w:val="auto"/>
              </w:rPr>
            </w:pPr>
          </w:p>
        </w:tc>
        <w:tc>
          <w:tcPr>
            <w:tcW w:w="1820" w:type="dxa"/>
            <w:vAlign w:val="bottom"/>
            <w:gridSpan w:val="4"/>
          </w:tcPr>
          <w:p>
            <w:pPr>
              <w:ind w:left="260"/>
              <w:spacing w:after="0"/>
              <w:rPr>
                <w:sz w:val="20"/>
                <w:szCs w:val="20"/>
                <w:color w:val="auto"/>
              </w:rPr>
            </w:pPr>
            <w:r>
              <w:rPr>
                <w:rFonts w:ascii="Times New Roman" w:cs="Times New Roman" w:eastAsia="Times New Roman" w:hAnsi="Times New Roman"/>
                <w:sz w:val="16"/>
                <w:szCs w:val="16"/>
                <w:b w:val="1"/>
                <w:bCs w:val="1"/>
                <w:color w:val="auto"/>
              </w:rPr>
              <w:t>JUNE 26, 2022</w:t>
            </w:r>
          </w:p>
        </w:tc>
        <w:tc>
          <w:tcPr>
            <w:tcW w:w="180" w:type="dxa"/>
            <w:vAlign w:val="bottom"/>
          </w:tcPr>
          <w:p>
            <w:pPr>
              <w:spacing w:after="0"/>
              <w:rPr>
                <w:sz w:val="18"/>
                <w:szCs w:val="18"/>
                <w:color w:val="auto"/>
              </w:rPr>
            </w:pPr>
          </w:p>
        </w:tc>
        <w:tc>
          <w:tcPr>
            <w:tcW w:w="172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JUNE 27, 2021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4"/>
          </w:tcPr>
          <w:p>
            <w:pPr>
              <w:ind w:left="260"/>
              <w:spacing w:after="0"/>
              <w:rPr>
                <w:sz w:val="20"/>
                <w:szCs w:val="20"/>
                <w:color w:val="auto"/>
              </w:rPr>
            </w:pPr>
            <w:r>
              <w:rPr>
                <w:rFonts w:ascii="Times New Roman" w:cs="Times New Roman" w:eastAsia="Times New Roman" w:hAnsi="Times New Roman"/>
                <w:sz w:val="16"/>
                <w:szCs w:val="16"/>
                <w:b w:val="1"/>
                <w:bCs w:val="1"/>
                <w:color w:val="auto"/>
              </w:rPr>
              <w:t>JUNE 26, 2022</w:t>
            </w:r>
          </w:p>
        </w:tc>
        <w:tc>
          <w:tcPr>
            <w:tcW w:w="180" w:type="dxa"/>
            <w:vAlign w:val="bottom"/>
          </w:tcPr>
          <w:p>
            <w:pPr>
              <w:spacing w:after="0"/>
              <w:rPr>
                <w:sz w:val="18"/>
                <w:szCs w:val="18"/>
                <w:color w:val="auto"/>
              </w:rPr>
            </w:pPr>
          </w:p>
        </w:tc>
        <w:tc>
          <w:tcPr>
            <w:tcW w:w="172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JUNE 27, 2021</w:t>
            </w:r>
          </w:p>
        </w:tc>
      </w:tr>
      <w:tr>
        <w:trPr>
          <w:trHeight w:val="198"/>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r>
      <w:tr>
        <w:trPr>
          <w:trHeight w:val="21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Restaurant sales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181,682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98.5 %</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151,688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98.5 %</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352,351</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98.5 %</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277,054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98.5 %</w:t>
            </w:r>
          </w:p>
        </w:tc>
      </w:tr>
      <w:tr>
        <w:trPr>
          <w:trHeight w:val="21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revenues</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2,771</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r>
      <w:tr>
        <w:trPr>
          <w:trHeight w:val="207"/>
        </w:trPr>
        <w:tc>
          <w:tcPr>
            <w:tcW w:w="3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revenues</w:t>
            </w: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184,453</w:t>
            </w:r>
          </w:p>
        </w:tc>
        <w:tc>
          <w:tcPr>
            <w:tcW w:w="80" w:type="dxa"/>
            <w:vAlign w:val="bottom"/>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153,963</w:t>
            </w: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357,565</w:t>
            </w:r>
          </w:p>
        </w:tc>
        <w:tc>
          <w:tcPr>
            <w:tcW w:w="100" w:type="dxa"/>
            <w:vAlign w:val="bottom"/>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281,132</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1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costs and expenses</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162"/>
        </w:trPr>
        <w:tc>
          <w:tcPr>
            <w:tcW w:w="3340" w:type="dxa"/>
            <w:vAlign w:val="bottom"/>
          </w:tcPr>
          <w:p>
            <w:pPr>
              <w:ind w:left="20"/>
              <w:spacing w:after="0" w:line="162" w:lineRule="exact"/>
              <w:rPr>
                <w:sz w:val="20"/>
                <w:szCs w:val="20"/>
                <w:color w:val="auto"/>
              </w:rPr>
            </w:pPr>
            <w:r>
              <w:rPr>
                <w:rFonts w:ascii="Times New Roman" w:cs="Times New Roman" w:eastAsia="Times New Roman" w:hAnsi="Times New Roman"/>
                <w:sz w:val="14"/>
                <w:szCs w:val="14"/>
                <w:color w:val="auto"/>
              </w:rPr>
              <w:t xml:space="preserve">Restaurant operating expenses </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(exclusive of</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1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 shown below):</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9"/>
        </w:trPr>
        <w:tc>
          <w:tcPr>
            <w:tcW w:w="3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Food and beverage costs</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45,219</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33,596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84,622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21.8 %</w:t>
            </w:r>
          </w:p>
        </w:tc>
      </w:tr>
      <w:tr>
        <w:trPr>
          <w:trHeight w:val="213"/>
        </w:trPr>
        <w:tc>
          <w:tcPr>
            <w:tcW w:w="33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Labor and other related expenses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58,687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32.3 %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45,950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113,829</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31.0 %</w:t>
            </w:r>
          </w:p>
        </w:tc>
      </w:tr>
      <w:tr>
        <w:trPr>
          <w:trHeight w:val="219"/>
        </w:trPr>
        <w:tc>
          <w:tcPr>
            <w:tcW w:w="3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restaurant operating expenses</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28,759</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23,423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56,076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16.4 %</w:t>
            </w:r>
          </w:p>
        </w:tc>
      </w:tr>
      <w:tr>
        <w:trPr>
          <w:trHeight w:val="213"/>
        </w:trPr>
        <w:tc>
          <w:tcPr>
            <w:tcW w:w="33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Occupancy expenses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14,844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13,765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29,227</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27,066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9.8 %</w:t>
            </w:r>
          </w:p>
        </w:tc>
      </w:tr>
      <w:tr>
        <w:trPr>
          <w:trHeight w:val="219"/>
        </w:trPr>
        <w:tc>
          <w:tcPr>
            <w:tcW w:w="3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Pre-opening expenses</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r>
      <w:tr>
        <w:trPr>
          <w:trHeight w:val="21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21,942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11.9 %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15,388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41,505</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9.7 %</w:t>
            </w:r>
          </w:p>
        </w:tc>
      </w:tr>
      <w:tr>
        <w:trPr>
          <w:trHeight w:val="21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16,623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5.6 %</w:t>
            </w:r>
          </w:p>
        </w:tc>
      </w:tr>
      <w:tr>
        <w:trPr>
          <w:trHeight w:val="21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Impairments and loss on disposal of assets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21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expenses, net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r>
      <w:tr>
        <w:trPr>
          <w:trHeight w:val="207"/>
        </w:trPr>
        <w:tc>
          <w:tcPr>
            <w:tcW w:w="33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operating costs and expenses</w:t>
            </w: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179,400</w:t>
            </w:r>
          </w:p>
        </w:tc>
        <w:tc>
          <w:tcPr>
            <w:tcW w:w="8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97.3 %</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141,651</w:t>
            </w:r>
          </w:p>
        </w:tc>
        <w:tc>
          <w:tcPr>
            <w:tcW w:w="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92.0 %</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344,752</w:t>
            </w:r>
          </w:p>
        </w:tc>
        <w:tc>
          <w:tcPr>
            <w:tcW w:w="10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96.4 %</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264,975</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94.3 %</w:t>
            </w:r>
          </w:p>
        </w:tc>
      </w:tr>
      <w:tr>
        <w:trPr>
          <w:trHeight w:val="212"/>
        </w:trPr>
        <w:tc>
          <w:tcPr>
            <w:tcW w:w="3340" w:type="dxa"/>
            <w:vAlign w:val="bottom"/>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 xml:space="preserve">Income from operations </w:t>
            </w:r>
            <w:r>
              <w:rPr>
                <w:rFonts w:ascii="Times New Roman" w:cs="Times New Roman" w:eastAsia="Times New Roman" w:hAnsi="Times New Roman"/>
                <w:sz w:val="21"/>
                <w:szCs w:val="21"/>
                <w:color w:val="auto"/>
                <w:vertAlign w:val="superscript"/>
              </w:rPr>
              <w:t>(1)</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5,053</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5.8 %</w:t>
            </w:r>
          </w:p>
        </w:tc>
      </w:tr>
      <w:tr>
        <w:trPr>
          <w:trHeight w:val="21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(2,132)</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207"/>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4,043</w:t>
            </w:r>
          </w:p>
        </w:tc>
        <w:tc>
          <w:tcPr>
            <w:tcW w:w="80" w:type="dxa"/>
            <w:vAlign w:val="bottom"/>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6,090</w:t>
            </w: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10,960</w:t>
            </w:r>
          </w:p>
        </w:tc>
        <w:tc>
          <w:tcPr>
            <w:tcW w:w="100" w:type="dxa"/>
            <w:vAlign w:val="bottom"/>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3,873</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1.4 %</w:t>
            </w:r>
          </w:p>
        </w:tc>
      </w:tr>
      <w:tr>
        <w:trPr>
          <w:trHeight w:val="21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07"/>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and total comprehensive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2,707</w:t>
            </w:r>
          </w:p>
        </w:tc>
        <w:tc>
          <w:tcPr>
            <w:tcW w:w="8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3,805</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7,347</w:t>
            </w:r>
          </w:p>
        </w:tc>
        <w:tc>
          <w:tcPr>
            <w:tcW w:w="10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1,763</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0.6 %</w:t>
            </w:r>
          </w:p>
        </w:tc>
      </w:tr>
      <w:tr>
        <w:trPr>
          <w:trHeight w:val="23"/>
        </w:trPr>
        <w:tc>
          <w:tcPr>
            <w:tcW w:w="3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Percentages are calculated as a percentage of restaurant sales.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Restaurant Sales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Restaurant sales represent the aggregate sales of food and beverages, net of discounts, at company-owned restaurants. Restaurant sales in any period are directly influenced by the number of operating weeks in the period, the number of open restaurants, customer traffic and average check. Average check growth is driven by our menu price increases and changes to our menu mix.</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6"/>
          </w:tcPr>
          <w:p>
            <w:pPr>
              <w:ind w:left="88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6"/>
          </w:tcPr>
          <w:p>
            <w:pPr>
              <w:ind w:left="800"/>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c>
          <w:tcPr>
            <w:tcW w:w="900" w:type="dxa"/>
            <w:vAlign w:val="bottom"/>
            <w:tcBorders>
              <w:bottom w:val="single" w:sz="8" w:color="auto"/>
            </w:tcBorders>
          </w:tcPr>
          <w:p>
            <w:pPr>
              <w:spacing w:after="0"/>
              <w:rPr>
                <w:sz w:val="18"/>
                <w:szCs w:val="18"/>
                <w:color w:val="auto"/>
              </w:rPr>
            </w:pPr>
          </w:p>
        </w:tc>
      </w:tr>
      <w:tr>
        <w:trPr>
          <w:trHeight w:val="214"/>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26, 2022</w:t>
            </w:r>
          </w:p>
        </w:tc>
        <w:tc>
          <w:tcPr>
            <w:tcW w:w="140" w:type="dxa"/>
            <w:vAlign w:val="bottom"/>
          </w:tcPr>
          <w:p>
            <w:pPr>
              <w:spacing w:after="0"/>
              <w:rPr>
                <w:sz w:val="18"/>
                <w:szCs w:val="18"/>
                <w:color w:val="auto"/>
              </w:rPr>
            </w:pP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JUNE 27, 2021</w:t>
            </w:r>
          </w:p>
        </w:tc>
        <w:tc>
          <w:tcPr>
            <w:tcW w:w="9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JUNE 26, 2022</w:t>
            </w:r>
          </w:p>
        </w:tc>
        <w:tc>
          <w:tcPr>
            <w:tcW w:w="140" w:type="dxa"/>
            <w:vAlign w:val="bottom"/>
          </w:tcPr>
          <w:p>
            <w:pPr>
              <w:spacing w:after="0"/>
              <w:rPr>
                <w:sz w:val="18"/>
                <w:szCs w:val="18"/>
                <w:color w:val="auto"/>
              </w:rPr>
            </w:pP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JUNE 27, 2021</w:t>
            </w:r>
          </w:p>
        </w:tc>
        <w:tc>
          <w:tcPr>
            <w:tcW w:w="9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8"/>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 sales:</w:t>
            </w: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r>
      <w:tr>
        <w:trPr>
          <w:trHeight w:val="213"/>
        </w:trPr>
        <w:tc>
          <w:tcPr>
            <w:tcW w:w="2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In-restaurant dining 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144,839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24.1 %</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277,731</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203,836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36.3 %</w:t>
            </w:r>
          </w:p>
        </w:tc>
      </w:tr>
      <w:tr>
        <w:trPr>
          <w:trHeight w:val="219"/>
        </w:trPr>
        <w:tc>
          <w:tcPr>
            <w:tcW w:w="2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Third-party delivery sales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40,855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9.4 %</w:t>
            </w:r>
          </w:p>
        </w:tc>
      </w:tr>
      <w:tr>
        <w:trPr>
          <w:trHeight w:val="213"/>
        </w:trPr>
        <w:tc>
          <w:tcPr>
            <w:tcW w:w="2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Take-out sales</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17,014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18,385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33,765</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35,866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1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Restaurant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181,682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151,688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352,351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277,054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27.2 %</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total restaurant sales during the thirteen weeks ended June 26, 2022 as compared to the same period in the prior year was primarily due to</w:t>
      </w:r>
    </w:p>
    <w:p>
      <w:pPr>
        <w:spacing w:after="0" w:line="27" w:lineRule="exact"/>
        <w:rPr>
          <w:sz w:val="20"/>
          <w:szCs w:val="20"/>
          <w:color w:val="auto"/>
        </w:rPr>
      </w:pPr>
    </w:p>
    <w:p>
      <w:pPr>
        <w:ind w:firstLine="8"/>
        <w:spacing w:after="0" w:line="260" w:lineRule="auto"/>
        <w:tabs>
          <w:tab w:leader="none" w:pos="21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same-restaurant sales growth of 13.4%, driven by same-restaurant traffic growth of 8.1%, menu price increases and the increase in off-premises sales in addition to (ii) 18 NROs between June 27, 2021 and June 26, 2022.</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total restaurant sales during the twenty-six weeks ended June 26, 2022 as compared to the same period in the prior year was primarily due to (i) same restaurant sales growth of 19.7%, driven by same-restaurant traffic growth of 14.4%, menu price increases and sustained off-premises sales in addition to (ii) 18 NROs between June 27, 2021 and June 26, 2022.</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2022, we implemented a menu price increase on third-party delivery sales to compensate for third-party delivery fees and the increased costs of to-go-supplies resulting in a relatively neutral margin on these sales as compared to in-restaurant dining sales. In addition, we increased in-restaurant menu prices 3.9% in late July 2022 to partially offset the continued negative effects of inflationary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Franchise Revenues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Franchise revenues are comprised of sales-based royalty fees, system fund contributions and the amortization of upfront initial franchise fees, which are recognized as revenue on a straight-line basis over the term of the franchise agreement. Franchise revenues in any period are directly influenced by the number of open franchise-owned restaurants.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9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6"/>
          </w:tcPr>
          <w:p>
            <w:pPr>
              <w:ind w:left="90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6"/>
          </w:tcPr>
          <w:p>
            <w:pPr>
              <w:ind w:left="800"/>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c>
          <w:tcPr>
            <w:tcW w:w="900" w:type="dxa"/>
            <w:vAlign w:val="bottom"/>
            <w:tcBorders>
              <w:bottom w:val="single" w:sz="8" w:color="auto"/>
            </w:tcBorders>
          </w:tcPr>
          <w:p>
            <w:pPr>
              <w:spacing w:after="0"/>
              <w:rPr>
                <w:sz w:val="18"/>
                <w:szCs w:val="18"/>
                <w:color w:val="auto"/>
              </w:rPr>
            </w:pPr>
          </w:p>
        </w:tc>
      </w:tr>
      <w:tr>
        <w:trPr>
          <w:trHeight w:val="214"/>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26, 2022</w:t>
            </w:r>
          </w:p>
        </w:tc>
        <w:tc>
          <w:tcPr>
            <w:tcW w:w="140" w:type="dxa"/>
            <w:vAlign w:val="bottom"/>
          </w:tcPr>
          <w:p>
            <w:pPr>
              <w:spacing w:after="0"/>
              <w:rPr>
                <w:sz w:val="18"/>
                <w:szCs w:val="18"/>
                <w:color w:val="auto"/>
              </w:rPr>
            </w:pP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JUNE 27, 2021</w:t>
            </w:r>
          </w:p>
        </w:tc>
        <w:tc>
          <w:tcPr>
            <w:tcW w:w="94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26, 2022</w:t>
            </w:r>
          </w:p>
        </w:tc>
        <w:tc>
          <w:tcPr>
            <w:tcW w:w="140" w:type="dxa"/>
            <w:vAlign w:val="bottom"/>
          </w:tcPr>
          <w:p>
            <w:pPr>
              <w:spacing w:after="0"/>
              <w:rPr>
                <w:sz w:val="18"/>
                <w:szCs w:val="18"/>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JUNE 27, 2021</w:t>
            </w:r>
          </w:p>
        </w:tc>
        <w:tc>
          <w:tcPr>
            <w:tcW w:w="9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8"/>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revenues:</w:t>
            </w:r>
          </w:p>
        </w:tc>
        <w:tc>
          <w:tcPr>
            <w:tcW w:w="1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r>
      <w:tr>
        <w:trPr>
          <w:trHeight w:val="213"/>
        </w:trPr>
        <w:tc>
          <w:tcPr>
            <w:tcW w:w="30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Royalty and system fund contributions $</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21.9 %</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28.6 %</w:t>
            </w:r>
          </w:p>
        </w:tc>
      </w:tr>
      <w:tr>
        <w:trPr>
          <w:trHeight w:val="219"/>
        </w:trPr>
        <w:tc>
          <w:tcPr>
            <w:tcW w:w="2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Initial fees</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16.1 %</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4.0 %</w:t>
            </w:r>
          </w:p>
        </w:tc>
      </w:tr>
      <w:tr>
        <w:trPr>
          <w:trHeight w:val="204"/>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Franchise revenues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21.8 %</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27.9 %</w:t>
            </w:r>
          </w:p>
        </w:tc>
      </w:tr>
    </w:tbl>
    <w:p>
      <w:pPr>
        <w:spacing w:after="0" w:line="2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franchise revenues during the thirteen and twenty-six weeks ended June 26, 2022 as compared to the same periods in the prior year was primarily driven by (i) the increase in sales from franchise-owned restaurants and (ii) $0.2 million and $0.3 million, respectively, from 11 franchise-owned NROs between June 27, 2021 and June 26,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Food and Beverage Costs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components of food and beverage costs at company-owned restaurants are variable by nature, change with sales volume, are impacted by product mix and are subject to increases or decreases in commodity costs.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6"/>
          </w:tcPr>
          <w:p>
            <w:pPr>
              <w:ind w:left="90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6"/>
          </w:tcPr>
          <w:p>
            <w:pPr>
              <w:ind w:left="820"/>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c>
          <w:tcPr>
            <w:tcW w:w="920" w:type="dxa"/>
            <w:vAlign w:val="bottom"/>
            <w:tcBorders>
              <w:bottom w:val="single" w:sz="8" w:color="auto"/>
            </w:tcBorders>
          </w:tcPr>
          <w:p>
            <w:pPr>
              <w:spacing w:after="0"/>
              <w:rPr>
                <w:sz w:val="18"/>
                <w:szCs w:val="18"/>
                <w:color w:val="auto"/>
              </w:rPr>
            </w:pPr>
          </w:p>
        </w:tc>
      </w:tr>
      <w:tr>
        <w:trPr>
          <w:trHeight w:val="214"/>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26, 2022</w:t>
            </w:r>
          </w:p>
        </w:tc>
        <w:tc>
          <w:tcPr>
            <w:tcW w:w="160" w:type="dxa"/>
            <w:vAlign w:val="bottom"/>
          </w:tcPr>
          <w:p>
            <w:pPr>
              <w:spacing w:after="0"/>
              <w:rPr>
                <w:sz w:val="18"/>
                <w:szCs w:val="18"/>
                <w:color w:val="auto"/>
              </w:rPr>
            </w:pP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JUNE 27, 2021</w:t>
            </w: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26, 2022</w:t>
            </w:r>
          </w:p>
        </w:tc>
        <w:tc>
          <w:tcPr>
            <w:tcW w:w="160" w:type="dxa"/>
            <w:vAlign w:val="bottom"/>
          </w:tcPr>
          <w:p>
            <w:pPr>
              <w:spacing w:after="0"/>
              <w:rPr>
                <w:sz w:val="18"/>
                <w:szCs w:val="18"/>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JUNE 27, 2021</w:t>
            </w:r>
          </w:p>
        </w:tc>
        <w:tc>
          <w:tcPr>
            <w:tcW w:w="9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2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Food and beverage costs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45,219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33,596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84,622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60,512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39.8 %</w:t>
            </w:r>
          </w:p>
        </w:tc>
      </w:tr>
      <w:tr>
        <w:trPr>
          <w:trHeight w:val="210"/>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restaurant sales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2.2 %</w:t>
            </w:r>
          </w:p>
        </w:tc>
      </w:tr>
    </w:tbl>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Food and beverage costs as a percent of restaurant sales increased during the thirteen and twenty-six weeks ended June 26, 2022 as compared to the same periods in the prior year primarily due to inflation across the market basket, partially offset by menu price increases.</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Food and beverage costs increased during the thirteen and twenty-six weeks ended June 26, 2022 as compared to the same periods in the prior year primarily as a result of (i) the increase in restaurant sales, (ii) inflation across the market basket and (iii) 18 NROs that have opened between June 27, 2021 and June 26, 2022.</w:t>
      </w:r>
    </w:p>
    <w:p>
      <w:pPr>
        <w:spacing w:after="0" w:line="2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currently expects a continuation of cost pressures in our market basket for the balance of the year, with inflation of 15.0% to 17.0%, as well as increases in fuel surcharges associated with our deliveries.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Labor and Other Related Expenses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Labor and other related expenses are variable by nature and include hourly and management wages, bonuses, payroll taxes, workers’ compensation expense and employee benefits. Factors that influence labor costs include minimum wage and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payroll tax legislation, health care costs, the number and performance of our company-owned restaurants and increased competition for qualified staff.</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6"/>
          </w:tcPr>
          <w:p>
            <w:pPr>
              <w:ind w:left="92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6"/>
          </w:tcPr>
          <w:p>
            <w:pPr>
              <w:ind w:left="840"/>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c>
          <w:tcPr>
            <w:tcW w:w="920" w:type="dxa"/>
            <w:vAlign w:val="bottom"/>
            <w:tcBorders>
              <w:bottom w:val="single" w:sz="8" w:color="auto"/>
            </w:tcBorders>
          </w:tcPr>
          <w:p>
            <w:pPr>
              <w:spacing w:after="0"/>
              <w:rPr>
                <w:sz w:val="18"/>
                <w:szCs w:val="18"/>
                <w:color w:val="auto"/>
              </w:rPr>
            </w:pPr>
          </w:p>
        </w:tc>
      </w:tr>
      <w:tr>
        <w:trPr>
          <w:trHeight w:val="214"/>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JUNE 26, 2022</w:t>
            </w:r>
          </w:p>
        </w:tc>
        <w:tc>
          <w:tcPr>
            <w:tcW w:w="140" w:type="dxa"/>
            <w:vAlign w:val="bottom"/>
          </w:tcPr>
          <w:p>
            <w:pPr>
              <w:spacing w:after="0"/>
              <w:rPr>
                <w:sz w:val="18"/>
                <w:szCs w:val="18"/>
                <w:color w:val="auto"/>
              </w:rPr>
            </w:pP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JUNE 27, 2021</w:t>
            </w:r>
          </w:p>
        </w:tc>
        <w:tc>
          <w:tcPr>
            <w:tcW w:w="9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JUNE 26, 2022</w:t>
            </w:r>
          </w:p>
        </w:tc>
        <w:tc>
          <w:tcPr>
            <w:tcW w:w="160" w:type="dxa"/>
            <w:vAlign w:val="bottom"/>
          </w:tcPr>
          <w:p>
            <w:pPr>
              <w:spacing w:after="0"/>
              <w:rPr>
                <w:sz w:val="18"/>
                <w:szCs w:val="18"/>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JUNE 27, 2021</w:t>
            </w:r>
          </w:p>
        </w:tc>
        <w:tc>
          <w:tcPr>
            <w:tcW w:w="9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Labor and other related expenses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58,687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45,950</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27.7 %</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113,829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85,999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32.4 %</w:t>
            </w:r>
          </w:p>
        </w:tc>
      </w:tr>
      <w:tr>
        <w:trPr>
          <w:trHeight w:val="210"/>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restaurant sales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r>
    </w:tbl>
    <w:p>
      <w:pPr>
        <w:spacing w:after="0" w:line="3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Labor and other related expenses as a percentage of restaurant sales increased during the thirteen weeks ended June 26, 2022 as compared to the same period in the prior year primarily as a result of the increase in wages and staffing levels. This increase was partially offset by (i) greater sales leverage driven by the increase in restaurant sales and (ii) retention bonuses recognized during the thirteen weeks ended June 2021.</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labor and other related expenses during the thirteen weeks ended June 26, 2022 as compared to the same period in the prior year was primarily due to (i) the increase in wages and staffing levels and (ii) 18 NROs that have opened between June 27, 2021 and June 26, 2022. This increase was partially offset by retention bonuses recognized during the thirteen weeks ended June 2021.</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Labor and other related expenses as a percentage of restaurant sales increased during the twenty-six weeks ended June 26, 2022 as compared to the same period in the prior year primarily as a result of the increase in wages and staffing levels. This increase was partially offset by (i) greater sales leverage driven by the increase in restaurant sales, (ii) rebates from our group health plan and (iii) retention bonuses recognized during the thirteen weeks ended June 2021.</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labor and other related expenses during the twenty-six weeks ended June 26, 2022 as compared to the same period in the prior year was primarily due to (i) the increase in wages and staffing levels and (ii) 18 NROs that have opened between June 27, 2021 and June 26, 2022. This increase was partially offset by (i) rebates from our group health plan and (ii) retention bonuses recognized during the thirteen weeks ended June 2021.</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inflation to remain between 8.0% to 10.0% for our restaurant labor cost.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Restaurant Operating Expenses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restaurant operating expenses consist of marketing and advertising expenses, utilities, insurance and other operating variable expenses incidental to operating company-owned restaurants, such as operating supplies (including paper products, menus and to-go supplies), credit card fees, repairs and maintenance, and third-party delivery services fees.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6"/>
          </w:tcPr>
          <w:p>
            <w:pPr>
              <w:ind w:left="92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6"/>
          </w:tcPr>
          <w:p>
            <w:pPr>
              <w:ind w:left="840"/>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c>
          <w:tcPr>
            <w:tcW w:w="920" w:type="dxa"/>
            <w:vAlign w:val="bottom"/>
            <w:tcBorders>
              <w:bottom w:val="single" w:sz="8" w:color="auto"/>
            </w:tcBorders>
          </w:tcPr>
          <w:p>
            <w:pPr>
              <w:spacing w:after="0"/>
              <w:rPr>
                <w:sz w:val="18"/>
                <w:szCs w:val="18"/>
                <w:color w:val="auto"/>
              </w:rPr>
            </w:pPr>
          </w:p>
        </w:tc>
      </w:tr>
      <w:tr>
        <w:trPr>
          <w:trHeight w:val="211"/>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JUNE 26, 2022</w:t>
            </w:r>
          </w:p>
        </w:tc>
        <w:tc>
          <w:tcPr>
            <w:tcW w:w="140" w:type="dxa"/>
            <w:vAlign w:val="bottom"/>
          </w:tcPr>
          <w:p>
            <w:pPr>
              <w:spacing w:after="0"/>
              <w:rPr>
                <w:sz w:val="18"/>
                <w:szCs w:val="18"/>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JUNE 27, 2021</w:t>
            </w: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JUNE 26, 2022</w:t>
            </w:r>
          </w:p>
        </w:tc>
        <w:tc>
          <w:tcPr>
            <w:tcW w:w="140" w:type="dxa"/>
            <w:vAlign w:val="bottom"/>
          </w:tcPr>
          <w:p>
            <w:pPr>
              <w:spacing w:after="0"/>
              <w:rPr>
                <w:sz w:val="18"/>
                <w:szCs w:val="18"/>
                <w:color w:val="auto"/>
              </w:rPr>
            </w:pPr>
          </w:p>
        </w:tc>
        <w:tc>
          <w:tcPr>
            <w:tcW w:w="16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JUNE 27, 2021</w:t>
            </w:r>
          </w:p>
        </w:tc>
        <w:tc>
          <w:tcPr>
            <w:tcW w:w="9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restaurant operating expenses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28,759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23,423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56,076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45,443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23.4 %</w:t>
            </w:r>
          </w:p>
        </w:tc>
      </w:tr>
      <w:tr>
        <w:trPr>
          <w:trHeight w:val="210"/>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As a percentage of restaurant sales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r>
    </w:tbl>
    <w:p>
      <w:pPr>
        <w:spacing w:after="0" w:line="2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other restaurant operating expenses as a percentage of restaurant sales during the thirteen weeks ended June 26, 2022 as compared to the same period in the prior year was primarily due to the increase in the cost of to-go supplies.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other restaurant operating expenses during the thirteen weeks ended June 26, 2022 as compared to the same period in the prior year was mainly due to (i) $2.2 million in operating supplies expense primarily driven by inflation and the increase in restaurant sales, (ii) $2.4 million related to credit card fees, utilities, repairs and maintenance and insurance expense primarily driven by the increase in restaurant sales, as well as (iii) $0.4 million in third-party delivery services fees as a result of the increase in off-premises sales.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decrease in other restaurant operating expenses as a percentage of restaurant sales during the twenty-six weeks ended June 26, 2022 as compared to the same period in the prior year was primarily due to leveraging in-restaurant dining sales, partially offset by the increase in the cost of to-go supplies.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other restaurant operating expenses during the twenty-six weeks ended June 26, 2022 as compared to the same period in the prior year was mainly due to (i) $4.5 million in operating supplies expense primarily driven by inflation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the increase in restaurant sales, as well as (ii) $5.5 million related to credit card fees, utilities, repairs and maintenance and insurance expense primarily driven by the increase in restaurant sales.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percentage of sales, other restaurant operating expenses are expected to trend higher than prior to COVID-19 due principally to the additional cost of to-go supplies associated with off-premises sales.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Occupancy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Occupancy expenses primarily consist of rent expense, property insurance, common area expenses and property taxes.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6"/>
          </w:tcPr>
          <w:p>
            <w:pPr>
              <w:ind w:left="90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6"/>
          </w:tcPr>
          <w:p>
            <w:pPr>
              <w:ind w:left="820"/>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c>
          <w:tcPr>
            <w:tcW w:w="920" w:type="dxa"/>
            <w:vAlign w:val="bottom"/>
            <w:tcBorders>
              <w:bottom w:val="single" w:sz="8" w:color="auto"/>
            </w:tcBorders>
          </w:tcPr>
          <w:p>
            <w:pPr>
              <w:spacing w:after="0"/>
              <w:rPr>
                <w:sz w:val="18"/>
                <w:szCs w:val="18"/>
                <w:color w:val="auto"/>
              </w:rPr>
            </w:pPr>
          </w:p>
        </w:tc>
      </w:tr>
      <w:tr>
        <w:trPr>
          <w:trHeight w:val="214"/>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26, 2022</w:t>
            </w:r>
          </w:p>
        </w:tc>
        <w:tc>
          <w:tcPr>
            <w:tcW w:w="160" w:type="dxa"/>
            <w:vAlign w:val="bottom"/>
          </w:tcPr>
          <w:p>
            <w:pPr>
              <w:spacing w:after="0"/>
              <w:rPr>
                <w:sz w:val="18"/>
                <w:szCs w:val="18"/>
                <w:color w:val="auto"/>
              </w:rPr>
            </w:pP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JUNE 27, 2021</w:t>
            </w: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26, 2022</w:t>
            </w:r>
          </w:p>
        </w:tc>
        <w:tc>
          <w:tcPr>
            <w:tcW w:w="160" w:type="dxa"/>
            <w:vAlign w:val="bottom"/>
          </w:tcPr>
          <w:p>
            <w:pPr>
              <w:spacing w:after="0"/>
              <w:rPr>
                <w:sz w:val="18"/>
                <w:szCs w:val="18"/>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JUNE 27, 2021</w:t>
            </w:r>
          </w:p>
        </w:tc>
        <w:tc>
          <w:tcPr>
            <w:tcW w:w="9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2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 expenses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14,844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13,765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29,227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27,066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8.0 %</w:t>
            </w:r>
          </w:p>
        </w:tc>
      </w:tr>
      <w:tr>
        <w:trPr>
          <w:trHeight w:val="210"/>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restaurant sales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bl>
    <w:p>
      <w:pPr>
        <w:spacing w:after="0" w:line="2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percentage of restaurant sales, the decrease in occupancy expenses for the thirteen and twenty-six weeks ended June 26, 2022 as compared to the same periods in the prior year was primarily due to sales leverage driven by the increase in restaurant sales.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occupancy expenses during the thirteen and twenty-six weeks ended June 26, 2022 as compared to the same periods in the prior year was primarily due to the increase in the number of company-owned restaurants.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Pre-opening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Pre-opening expenses are costs incurred to open new company-owned restaurants. Pre-opening expenses include pre-opening rent expense, which is recognized during the period between the date of possession of the restaurant facility and the restaurant opening date. In addition, pre-opening expenses include manager salaries, recruiting expenses, employee payroll and training costs, which are recognized in the period in which the expense was incurred. Pre-opening expenses can fluctuate from period to period, based on the number and timing of new company-owned restaurant openings.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6"/>
          </w:tcPr>
          <w:p>
            <w:pPr>
              <w:ind w:left="88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6"/>
          </w:tcPr>
          <w:p>
            <w:pPr>
              <w:ind w:left="800"/>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c>
          <w:tcPr>
            <w:tcW w:w="900" w:type="dxa"/>
            <w:vAlign w:val="bottom"/>
            <w:tcBorders>
              <w:bottom w:val="single" w:sz="8" w:color="auto"/>
            </w:tcBorders>
          </w:tcPr>
          <w:p>
            <w:pPr>
              <w:spacing w:after="0"/>
              <w:rPr>
                <w:sz w:val="18"/>
                <w:szCs w:val="18"/>
                <w:color w:val="auto"/>
              </w:rPr>
            </w:pPr>
          </w:p>
        </w:tc>
      </w:tr>
      <w:tr>
        <w:trPr>
          <w:trHeight w:val="214"/>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26, 2022</w:t>
            </w:r>
          </w:p>
        </w:tc>
        <w:tc>
          <w:tcPr>
            <w:tcW w:w="140" w:type="dxa"/>
            <w:vAlign w:val="bottom"/>
          </w:tcPr>
          <w:p>
            <w:pPr>
              <w:spacing w:after="0"/>
              <w:rPr>
                <w:sz w:val="18"/>
                <w:szCs w:val="18"/>
                <w:color w:val="auto"/>
              </w:rPr>
            </w:pP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JUNE 27, 2021</w:t>
            </w:r>
          </w:p>
        </w:tc>
        <w:tc>
          <w:tcPr>
            <w:tcW w:w="94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26, 2022</w:t>
            </w:r>
          </w:p>
        </w:tc>
        <w:tc>
          <w:tcPr>
            <w:tcW w:w="140" w:type="dxa"/>
            <w:vAlign w:val="bottom"/>
          </w:tcPr>
          <w:p>
            <w:pPr>
              <w:spacing w:after="0"/>
              <w:rPr>
                <w:sz w:val="18"/>
                <w:szCs w:val="18"/>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JUNE 27, 2021</w:t>
            </w:r>
          </w:p>
        </w:tc>
        <w:tc>
          <w:tcPr>
            <w:tcW w:w="9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Pre-opening expenses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21.7 %</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2,079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pre-opening expenses during the thirteen and twenty-six weeks ended June 26, 2022 as compared to the same periods in the prior year was primarily due to the higher number of restaurants expected to open and the related increase in pre-opening rent. This increase was partially offset by the decrease in other pre-opening costs due to the lower number of NROs during the thirteen and twenty-six weeks ended June 26,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primarily consist of costs associated with our corporate and administrative functions that support restaurant development and operations including marketing and advertising costs incurred as well as legal fees, professional fees and stock-based compensation. General and administrative expenses are impacted by changes in our employee headcount and costs related to strategic and growth initiatives. In preparation for and after the consummation of the Company’s initial public offering (“IPO”) in October 2021, we have incurred and we expect to incur in the future significant additional legal, accounting and other expenses associated with being a public company, including costs associated with our compliance with the Sarbanes-Oxley Act.</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6"/>
          </w:tcPr>
          <w:p>
            <w:pPr>
              <w:ind w:left="88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6"/>
          </w:tcPr>
          <w:p>
            <w:pPr>
              <w:ind w:left="800"/>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c>
          <w:tcPr>
            <w:tcW w:w="900" w:type="dxa"/>
            <w:vAlign w:val="bottom"/>
            <w:tcBorders>
              <w:bottom w:val="single" w:sz="8" w:color="auto"/>
            </w:tcBorders>
          </w:tcPr>
          <w:p>
            <w:pPr>
              <w:spacing w:after="0"/>
              <w:rPr>
                <w:sz w:val="18"/>
                <w:szCs w:val="18"/>
                <w:color w:val="auto"/>
              </w:rPr>
            </w:pPr>
          </w:p>
        </w:tc>
      </w:tr>
      <w:tr>
        <w:trPr>
          <w:trHeight w:val="214"/>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26, 2022</w:t>
            </w:r>
          </w:p>
        </w:tc>
        <w:tc>
          <w:tcPr>
            <w:tcW w:w="140" w:type="dxa"/>
            <w:vAlign w:val="bottom"/>
          </w:tcPr>
          <w:p>
            <w:pPr>
              <w:spacing w:after="0"/>
              <w:rPr>
                <w:sz w:val="18"/>
                <w:szCs w:val="18"/>
                <w:color w:val="auto"/>
              </w:rPr>
            </w:pP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JUNE 27, 2021</w:t>
            </w:r>
          </w:p>
        </w:tc>
        <w:tc>
          <w:tcPr>
            <w:tcW w:w="94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26, 2022</w:t>
            </w:r>
          </w:p>
        </w:tc>
        <w:tc>
          <w:tcPr>
            <w:tcW w:w="140" w:type="dxa"/>
            <w:vAlign w:val="bottom"/>
          </w:tcPr>
          <w:p>
            <w:pPr>
              <w:spacing w:after="0"/>
              <w:rPr>
                <w:sz w:val="18"/>
                <w:szCs w:val="18"/>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JUNE 27, 2021</w:t>
            </w:r>
          </w:p>
        </w:tc>
        <w:tc>
          <w:tcPr>
            <w:tcW w:w="9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21,942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15,388</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42.6 %</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41,505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27,341</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51.8 %</w:t>
            </w: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general and administrative expenses during the thirteen weeks ended June 26, 2022 as compared to the same period in the prior year was mainly due to (i) $2.6 million of stock-based compensation expense from certain stock option awards that converted into time-based stock options upon the Company’s IPO in addition to stock options granted under the 2021 Equity Incentive Plan (the “2021 Equity Plan”), (ii) $1.2 million in marketing expense and (iii) $0.9 million related to insurance expense associated with being a public company.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80"/>
        <w:spacing w:after="0" w:line="261" w:lineRule="auto"/>
        <w:rPr>
          <w:sz w:val="20"/>
          <w:szCs w:val="20"/>
          <w:color w:val="auto"/>
        </w:rPr>
      </w:pPr>
      <w:r>
        <w:rPr>
          <w:rFonts w:ascii="Times New Roman" w:cs="Times New Roman" w:eastAsia="Times New Roman" w:hAnsi="Times New Roman"/>
          <w:sz w:val="18"/>
          <w:szCs w:val="18"/>
          <w:color w:val="auto"/>
        </w:rPr>
        <w:t>The increase in general and administrative expenses during the twenty-six weeks ended June 26, 2022 as compared to the same period in the prior year was mainly due to (i) $4.8 million of stock-based compensation expense from certain stock option awards that converted into time-based stock options upon the Company’s IPO in addition to stock options granted under the 2021 Equity Plan, (ii) $2.2 million in marketing spend, (iii) $1.9 million related to insurance expense associated with being a public company and (iv) $1.6 million in compensation expense.</w:t>
      </w:r>
    </w:p>
    <w:p>
      <w:pPr>
        <w:spacing w:after="0" w:line="1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29" w:lineRule="exact"/>
        <w:rPr>
          <w:sz w:val="20"/>
          <w:szCs w:val="20"/>
          <w:color w:val="auto"/>
        </w:rPr>
      </w:pPr>
    </w:p>
    <w:p>
      <w:pPr>
        <w:jc w:val="both"/>
        <w:ind w:left="80"/>
        <w:spacing w:after="0" w:line="261" w:lineRule="auto"/>
        <w:rPr>
          <w:sz w:val="20"/>
          <w:szCs w:val="20"/>
          <w:color w:val="auto"/>
        </w:rPr>
      </w:pPr>
      <w:r>
        <w:rPr>
          <w:rFonts w:ascii="Times New Roman" w:cs="Times New Roman" w:eastAsia="Times New Roman" w:hAnsi="Times New Roman"/>
          <w:sz w:val="18"/>
          <w:szCs w:val="18"/>
          <w:color w:val="auto"/>
        </w:rPr>
        <w:t>Depreciation and amortization consists of the depreciation of fixed assets, including leasehold improvements, fixtures and equipment and the amortization of definite-lived intangible assets, which are primarily comprised of franchise rights. Franchise rights includes rights which arose from the purchase price allocation in connection with the merger agreement through which the Company was acquired by funds affiliated with or managed by Advent International Corporation in August 2017 as well as reacquired rights from our acquisitions of franchise-owned restaurants.</w:t>
      </w:r>
    </w:p>
    <w:p>
      <w:pPr>
        <w:spacing w:after="0" w:line="214"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2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40" w:type="dxa"/>
            <w:vAlign w:val="bottom"/>
            <w:gridSpan w:val="6"/>
          </w:tcPr>
          <w:p>
            <w:pPr>
              <w:ind w:left="9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20" w:type="dxa"/>
            <w:vAlign w:val="bottom"/>
            <w:gridSpan w:val="6"/>
          </w:tcPr>
          <w:p>
            <w:pPr>
              <w:ind w:left="92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gridSpan w:val="3"/>
          </w:tcPr>
          <w:p>
            <w:pPr>
              <w:spacing w:after="0"/>
              <w:rPr>
                <w:sz w:val="2"/>
                <w:szCs w:val="2"/>
                <w:color w:val="auto"/>
              </w:rPr>
            </w:pPr>
          </w:p>
        </w:tc>
        <w:tc>
          <w:tcPr>
            <w:tcW w:w="1240" w:type="dxa"/>
            <w:vAlign w:val="bottom"/>
            <w:gridSpan w:val="3"/>
          </w:tcPr>
          <w:p>
            <w:pPr>
              <w:spacing w:after="0"/>
              <w:rPr>
                <w:sz w:val="2"/>
                <w:szCs w:val="2"/>
                <w:color w:val="auto"/>
              </w:rPr>
            </w:pPr>
          </w:p>
        </w:tc>
        <w:tc>
          <w:tcPr>
            <w:tcW w:w="13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3"/>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86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26, 2022</w:t>
            </w: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JUNE 27, 2021</w:t>
            </w:r>
          </w:p>
        </w:tc>
        <w:tc>
          <w:tcPr>
            <w:tcW w:w="100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JUNE 26, 2022</w:t>
            </w:r>
          </w:p>
        </w:tc>
        <w:tc>
          <w:tcPr>
            <w:tcW w:w="1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JUNE 27, 2021</w:t>
            </w:r>
          </w:p>
        </w:tc>
        <w:tc>
          <w:tcPr>
            <w:tcW w:w="96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11"/>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16,623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15,762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left="80"/>
        <w:spacing w:after="0" w:line="282" w:lineRule="auto"/>
        <w:rPr>
          <w:sz w:val="20"/>
          <w:szCs w:val="20"/>
          <w:color w:val="auto"/>
        </w:rPr>
      </w:pPr>
      <w:r>
        <w:rPr>
          <w:rFonts w:ascii="Times New Roman" w:cs="Times New Roman" w:eastAsia="Times New Roman" w:hAnsi="Times New Roman"/>
          <w:sz w:val="18"/>
          <w:szCs w:val="18"/>
          <w:color w:val="auto"/>
        </w:rPr>
        <w:t>The increase in depreciation and amortization during the thirteen and twenty-six weeks ended June 26, 2022 as compared to the same periods in the prior year was primarily due to incremental depreciation of capital expenditures associated with NROs.</w:t>
      </w:r>
    </w:p>
    <w:p>
      <w:pPr>
        <w:spacing w:after="0" w:line="1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Impairments and Loss on Disposal of Assets</w:t>
      </w:r>
    </w:p>
    <w:p>
      <w:pPr>
        <w:spacing w:after="0" w:line="229" w:lineRule="exact"/>
        <w:rPr>
          <w:sz w:val="20"/>
          <w:szCs w:val="20"/>
          <w:color w:val="auto"/>
        </w:rPr>
      </w:pPr>
    </w:p>
    <w:p>
      <w:pPr>
        <w:jc w:val="both"/>
        <w:ind w:left="80"/>
        <w:spacing w:after="0" w:line="266" w:lineRule="auto"/>
        <w:rPr>
          <w:sz w:val="20"/>
          <w:szCs w:val="20"/>
          <w:color w:val="auto"/>
        </w:rPr>
      </w:pPr>
      <w:r>
        <w:rPr>
          <w:rFonts w:ascii="Times New Roman" w:cs="Times New Roman" w:eastAsia="Times New Roman" w:hAnsi="Times New Roman"/>
          <w:sz w:val="18"/>
          <w:szCs w:val="18"/>
          <w:color w:val="auto"/>
        </w:rPr>
        <w:t>Impairments and loss on disposal of assets include (i) the impairment of long-lived assets and intangible assets where the carrying amount of the asset is not recoverable and exceeds the fair value of the asset, (ii) the write-off of the net book value of assets that have been retired or replaced in the normal course of business and (iii) the write-off of the net book value of assets in connection with restaurant closures.</w:t>
      </w:r>
    </w:p>
    <w:p>
      <w:pPr>
        <w:spacing w:after="0" w:line="219"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29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6"/>
          </w:tcPr>
          <w:p>
            <w:pPr>
              <w:ind w:left="82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8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6"/>
          </w:tcPr>
          <w:p>
            <w:pPr>
              <w:ind w:left="820"/>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c>
          <w:tcPr>
            <w:tcW w:w="920" w:type="dxa"/>
            <w:vAlign w:val="bottom"/>
            <w:tcBorders>
              <w:bottom w:val="single" w:sz="8" w:color="auto"/>
            </w:tcBorders>
          </w:tcPr>
          <w:p>
            <w:pPr>
              <w:spacing w:after="0"/>
              <w:rPr>
                <w:sz w:val="18"/>
                <w:szCs w:val="18"/>
                <w:color w:val="auto"/>
              </w:rPr>
            </w:pPr>
          </w:p>
        </w:tc>
      </w:tr>
      <w:tr>
        <w:trPr>
          <w:trHeight w:val="211"/>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26, 2022</w:t>
            </w:r>
          </w:p>
        </w:tc>
        <w:tc>
          <w:tcPr>
            <w:tcW w:w="140" w:type="dxa"/>
            <w:vAlign w:val="bottom"/>
          </w:tcPr>
          <w:p>
            <w:pPr>
              <w:spacing w:after="0"/>
              <w:rPr>
                <w:sz w:val="18"/>
                <w:szCs w:val="18"/>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JUNE 27, 2021</w:t>
            </w: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 w:type="dxa"/>
            <w:vAlign w:val="bottom"/>
          </w:tcPr>
          <w:p>
            <w:pPr>
              <w:spacing w:after="0"/>
              <w:rPr>
                <w:sz w:val="18"/>
                <w:szCs w:val="18"/>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26, 2022</w:t>
            </w:r>
          </w:p>
        </w:tc>
        <w:tc>
          <w:tcPr>
            <w:tcW w:w="140" w:type="dxa"/>
            <w:vAlign w:val="bottom"/>
          </w:tcPr>
          <w:p>
            <w:pPr>
              <w:spacing w:after="0"/>
              <w:rPr>
                <w:sz w:val="18"/>
                <w:szCs w:val="18"/>
                <w:color w:val="auto"/>
              </w:rPr>
            </w:pP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JUNE 27, 2021</w:t>
            </w:r>
          </w:p>
        </w:tc>
        <w:tc>
          <w:tcPr>
            <w:tcW w:w="9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Impairments and loss on disposal of assets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440"/>
              <w:spacing w:after="0" w:line="212" w:lineRule="exact"/>
              <w:rPr>
                <w:sz w:val="20"/>
                <w:szCs w:val="20"/>
                <w:color w:val="auto"/>
              </w:rPr>
            </w:pPr>
            <w:r>
              <w:rPr>
                <w:rFonts w:ascii="Times New Roman" w:cs="Times New Roman" w:eastAsia="Times New Roman" w:hAnsi="Times New Roman"/>
                <w:sz w:val="16"/>
                <w:szCs w:val="16"/>
                <w:color w:val="auto"/>
                <w:w w:val="92"/>
              </w:rPr>
              <w:t xml:space="preserve">n/m </w:t>
            </w:r>
            <w:r>
              <w:rPr>
                <w:rFonts w:ascii="Times New Roman" w:cs="Times New Roman" w:eastAsia="Times New Roman" w:hAnsi="Times New Roman"/>
                <w:sz w:val="21"/>
                <w:szCs w:val="21"/>
                <w:color w:val="auto"/>
                <w:w w:val="92"/>
                <w:vertAlign w:val="superscript"/>
              </w:rPr>
              <w:t>(1)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43.6 %</w:t>
            </w:r>
          </w:p>
        </w:tc>
      </w:tr>
    </w:tbl>
    <w:p>
      <w:pPr>
        <w:spacing w:after="0" w:line="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meaningful.</w:t>
      </w:r>
    </w:p>
    <w:p>
      <w:pPr>
        <w:spacing w:after="0" w:line="216" w:lineRule="exact"/>
        <w:rPr>
          <w:sz w:val="20"/>
          <w:szCs w:val="20"/>
          <w:color w:val="auto"/>
        </w:rPr>
      </w:pPr>
    </w:p>
    <w:p>
      <w:pPr>
        <w:jc w:val="both"/>
        <w:ind w:left="80"/>
        <w:spacing w:after="0" w:line="282" w:lineRule="auto"/>
        <w:rPr>
          <w:sz w:val="20"/>
          <w:szCs w:val="20"/>
          <w:color w:val="auto"/>
        </w:rPr>
      </w:pPr>
      <w:r>
        <w:rPr>
          <w:rFonts w:ascii="Times New Roman" w:cs="Times New Roman" w:eastAsia="Times New Roman" w:hAnsi="Times New Roman"/>
          <w:sz w:val="18"/>
          <w:szCs w:val="18"/>
          <w:color w:val="auto"/>
        </w:rPr>
        <w:t>There were no impairment losses recognized on intangible assets or fixed assets during the thirteen and twenty-six weeks ended June 26, 2022 and June 27, 2021. Loss on disposal of assets recognized during the periods indicated were primarily related to retirements, replacements and disposals of fixed assets.</w:t>
      </w:r>
    </w:p>
    <w:p>
      <w:pPr>
        <w:spacing w:after="0" w:line="1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Transaction Expenses, Net</w:t>
      </w:r>
    </w:p>
    <w:p>
      <w:pPr>
        <w:spacing w:after="0" w:line="229" w:lineRule="exact"/>
        <w:rPr>
          <w:sz w:val="20"/>
          <w:szCs w:val="20"/>
          <w:color w:val="auto"/>
        </w:rPr>
      </w:pPr>
    </w:p>
    <w:p>
      <w:pPr>
        <w:jc w:val="both"/>
        <w:ind w:left="80"/>
        <w:spacing w:after="0" w:line="258" w:lineRule="auto"/>
        <w:rPr>
          <w:sz w:val="20"/>
          <w:szCs w:val="20"/>
          <w:color w:val="auto"/>
        </w:rPr>
      </w:pPr>
      <w:r>
        <w:rPr>
          <w:rFonts w:ascii="Times New Roman" w:cs="Times New Roman" w:eastAsia="Times New Roman" w:hAnsi="Times New Roman"/>
          <w:sz w:val="18"/>
          <w:szCs w:val="18"/>
          <w:color w:val="auto"/>
        </w:rPr>
        <w:t>Transaction expenses, net include (i) revaluations of contingent consideration payable to previous stockholders for tax savings generated through the use of federal and state loss carryforwards and general business credits that had been accumulated from operations prior to August 2017, (ii) gains or losses associated with lease or contract terminations, (iii) costs incurred in connection with the acquisition of franchise-owned restaurants, (iv) costs incurred in connection with the conversion of certain restaurants to company-owned restaurants operating under the First Watch trade name and (v) costs related to restaurant closures.</w:t>
      </w:r>
    </w:p>
    <w:p>
      <w:pPr>
        <w:spacing w:after="0" w:line="226" w:lineRule="exact"/>
        <w:rPr>
          <w:sz w:val="20"/>
          <w:szCs w:val="20"/>
          <w:color w:val="auto"/>
        </w:rPr>
      </w:pPr>
    </w:p>
    <w:tbl>
      <w:tblPr>
        <w:tblLayout w:type="fixed"/>
        <w:tblInd w:w="80" w:type="dxa"/>
        <w:tblCellMar>
          <w:top w:w="0" w:type="dxa"/>
          <w:left w:w="0" w:type="dxa"/>
          <w:bottom w:w="0" w:type="dxa"/>
          <w:right w:w="0" w:type="dxa"/>
        </w:tblCellMar>
      </w:tblPr>
      <w:tr>
        <w:trPr>
          <w:trHeight w:val="212"/>
        </w:trPr>
        <w:tc>
          <w:tcPr>
            <w:tcW w:w="28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6"/>
          </w:tcPr>
          <w:p>
            <w:pPr>
              <w:ind w:left="88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6"/>
          </w:tcPr>
          <w:p>
            <w:pPr>
              <w:ind w:left="800"/>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c>
          <w:tcPr>
            <w:tcW w:w="900" w:type="dxa"/>
            <w:vAlign w:val="bottom"/>
            <w:tcBorders>
              <w:bottom w:val="single" w:sz="8" w:color="auto"/>
            </w:tcBorders>
          </w:tcPr>
          <w:p>
            <w:pPr>
              <w:spacing w:after="0"/>
              <w:rPr>
                <w:sz w:val="18"/>
                <w:szCs w:val="18"/>
                <w:color w:val="auto"/>
              </w:rPr>
            </w:pPr>
          </w:p>
        </w:tc>
      </w:tr>
      <w:tr>
        <w:trPr>
          <w:trHeight w:val="214"/>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JUNE 26, 2022</w:t>
            </w:r>
          </w:p>
        </w:tc>
        <w:tc>
          <w:tcPr>
            <w:tcW w:w="140" w:type="dxa"/>
            <w:vAlign w:val="bottom"/>
          </w:tcPr>
          <w:p>
            <w:pPr>
              <w:spacing w:after="0"/>
              <w:rPr>
                <w:sz w:val="18"/>
                <w:szCs w:val="18"/>
                <w:color w:val="auto"/>
              </w:rPr>
            </w:pP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JUNE 27, 2021</w:t>
            </w:r>
          </w:p>
        </w:tc>
        <w:tc>
          <w:tcPr>
            <w:tcW w:w="9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26, 2022</w:t>
            </w:r>
          </w:p>
        </w:tc>
        <w:tc>
          <w:tcPr>
            <w:tcW w:w="120" w:type="dxa"/>
            <w:vAlign w:val="bottom"/>
          </w:tcPr>
          <w:p>
            <w:pPr>
              <w:spacing w:after="0"/>
              <w:rPr>
                <w:sz w:val="18"/>
                <w:szCs w:val="18"/>
                <w:color w:val="auto"/>
              </w:rPr>
            </w:pP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JUNE 27, 2021</w:t>
            </w:r>
          </w:p>
        </w:tc>
        <w:tc>
          <w:tcPr>
            <w:tcW w:w="9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expenses, net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Transaction expenses, net during the thirteen weeks ended June 26, 2022 as compared to the same period in the prior year was primarily due to the change in the revaluation of the contingent consideration payable to previous stockholders for tax savings generated through use of federal and state loss carryforwards, partially offset by termination fees recognized in connection with certain service contracts.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Transaction expenses, net during the twenty-six weeks ended June 26, 2022 as compared to the same period in the prior year was primarily due to the change in the revaluation of the contingent consideration payable to previous stockholders for tax savings generated through use of federal and state loss carryforwards, partially offset by (i) termination fees recognized in connection with certain service contracts and (ii) the termination fee in connection with the closure of one company-owned restaurant.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Operations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6"/>
          </w:tcPr>
          <w:p>
            <w:pPr>
              <w:ind w:left="90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6"/>
          </w:tcPr>
          <w:p>
            <w:pPr>
              <w:ind w:left="820"/>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c>
          <w:tcPr>
            <w:tcW w:w="920" w:type="dxa"/>
            <w:vAlign w:val="bottom"/>
            <w:tcBorders>
              <w:bottom w:val="single" w:sz="8" w:color="auto"/>
            </w:tcBorders>
          </w:tcPr>
          <w:p>
            <w:pPr>
              <w:spacing w:after="0"/>
              <w:rPr>
                <w:sz w:val="18"/>
                <w:szCs w:val="18"/>
                <w:color w:val="auto"/>
              </w:rPr>
            </w:pPr>
          </w:p>
        </w:tc>
      </w:tr>
      <w:tr>
        <w:trPr>
          <w:trHeight w:val="214"/>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26, 2022</w:t>
            </w:r>
          </w:p>
        </w:tc>
        <w:tc>
          <w:tcPr>
            <w:tcW w:w="140" w:type="dxa"/>
            <w:vAlign w:val="bottom"/>
          </w:tcPr>
          <w:p>
            <w:pPr>
              <w:spacing w:after="0"/>
              <w:rPr>
                <w:sz w:val="18"/>
                <w:szCs w:val="18"/>
                <w:color w:val="auto"/>
              </w:rPr>
            </w:pP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JUNE 27, 2021</w:t>
            </w: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26, 2022</w:t>
            </w:r>
          </w:p>
        </w:tc>
        <w:tc>
          <w:tcPr>
            <w:tcW w:w="160" w:type="dxa"/>
            <w:vAlign w:val="bottom"/>
          </w:tcPr>
          <w:p>
            <w:pPr>
              <w:spacing w:after="0"/>
              <w:rPr>
                <w:sz w:val="18"/>
                <w:szCs w:val="18"/>
                <w:color w:val="auto"/>
              </w:rPr>
            </w:pP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JUNE 27, 2021</w:t>
            </w:r>
          </w:p>
        </w:tc>
        <w:tc>
          <w:tcPr>
            <w:tcW w:w="9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5,053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12,312</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12,813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16,157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r>
      <w:tr>
        <w:trPr>
          <w:trHeight w:val="210"/>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restaurant sales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bl>
    <w:p>
      <w:pPr>
        <w:spacing w:after="0" w:line="2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from operations margin decreased during the thirteen and twenty-six weeks ended June 26, 2022 as compared to the same periods in the prior year primarily due to (i) inflation across commodities and supplies, (ii) the increase in restaurant-level wages and staffing and (iii) higher general and administrative expenses mainly due to stock-based compensation expense, marketing and insurance expense. This decrease was partially offset by menu price increases.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from operations decreased during the thirteen and twenty-six weeks ended June 26, 2022 as compared to the same periods in the prior year primarily due to (i) inflation across commodities and supplies, (ii) the increase in restaurant-level wages and staffing, (iii) higher operating costs and expenses driven by our restaurant growth and (iv) higher general and administrative expenses mainly due to stock-based compensation expense, marketing and insurance expense. This decrease was partially offset by the increase in restaurant sales and franchise revenues.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primarily consists of interest and fees on our outstanding debt and the amortization expense for debt discount and deferred issuance costs.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20" w:type="dxa"/>
            <w:vAlign w:val="bottom"/>
            <w:gridSpan w:val="6"/>
          </w:tcPr>
          <w:p>
            <w:pPr>
              <w:ind w:left="10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40" w:type="dxa"/>
            <w:vAlign w:val="bottom"/>
            <w:gridSpan w:val="6"/>
          </w:tcPr>
          <w:p>
            <w:pPr>
              <w:ind w:left="92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8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26, 2022</w:t>
            </w:r>
          </w:p>
        </w:tc>
        <w:tc>
          <w:tcPr>
            <w:tcW w:w="140" w:type="dxa"/>
            <w:vAlign w:val="bottom"/>
          </w:tcPr>
          <w:p>
            <w:pPr>
              <w:spacing w:after="0"/>
              <w:rPr>
                <w:sz w:val="18"/>
                <w:szCs w:val="18"/>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JUNE 27, 2021</w:t>
            </w:r>
          </w:p>
        </w:tc>
        <w:tc>
          <w:tcPr>
            <w:tcW w:w="1220" w:type="dxa"/>
            <w:vAlign w:val="bottom"/>
            <w:gridSpan w:val="3"/>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JUNE 26, 2022</w:t>
            </w:r>
          </w:p>
        </w:tc>
        <w:tc>
          <w:tcPr>
            <w:tcW w:w="140" w:type="dxa"/>
            <w:vAlign w:val="bottom"/>
          </w:tcPr>
          <w:p>
            <w:pPr>
              <w:spacing w:after="0"/>
              <w:rPr>
                <w:sz w:val="18"/>
                <w:szCs w:val="18"/>
                <w:color w:val="auto"/>
              </w:rPr>
            </w:pP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JUNE 27, 2021</w:t>
            </w:r>
          </w:p>
        </w:tc>
        <w:tc>
          <w:tcPr>
            <w:tcW w:w="9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11"/>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2,132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interest expense during the thirteen and twenty-six weeks ended June 26, 2022 as compared to the same periods in the prior year was primarily due to lower outstanding debt and reduced interest rates from the new term loan A facility (“the New Term Facility”) pursuant to our new credit agreement executed in October 2021, (the “New Credit Agreement”).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income, net includes items deemed to be non-operating based on management’s assessment of the nature of the item in relation to our core operations.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6"/>
          </w:tcPr>
          <w:p>
            <w:pPr>
              <w:ind w:left="88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6"/>
          </w:tcPr>
          <w:p>
            <w:pPr>
              <w:ind w:left="800"/>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c>
          <w:tcPr>
            <w:tcW w:w="900" w:type="dxa"/>
            <w:vAlign w:val="bottom"/>
            <w:tcBorders>
              <w:bottom w:val="single" w:sz="8" w:color="auto"/>
            </w:tcBorders>
          </w:tcPr>
          <w:p>
            <w:pPr>
              <w:spacing w:after="0"/>
              <w:rPr>
                <w:sz w:val="18"/>
                <w:szCs w:val="18"/>
                <w:color w:val="auto"/>
              </w:rPr>
            </w:pPr>
          </w:p>
        </w:tc>
      </w:tr>
      <w:tr>
        <w:trPr>
          <w:trHeight w:val="214"/>
        </w:trPr>
        <w:tc>
          <w:tcPr>
            <w:tcW w:w="28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26, 2022</w:t>
            </w:r>
          </w:p>
        </w:tc>
        <w:tc>
          <w:tcPr>
            <w:tcW w:w="140" w:type="dxa"/>
            <w:vAlign w:val="bottom"/>
          </w:tcPr>
          <w:p>
            <w:pPr>
              <w:spacing w:after="0"/>
              <w:rPr>
                <w:sz w:val="18"/>
                <w:szCs w:val="18"/>
                <w:color w:val="auto"/>
              </w:rPr>
            </w:pP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JUNE 27, 2021</w:t>
            </w:r>
          </w:p>
        </w:tc>
        <w:tc>
          <w:tcPr>
            <w:tcW w:w="94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26, 2022</w:t>
            </w:r>
          </w:p>
        </w:tc>
        <w:tc>
          <w:tcPr>
            <w:tcW w:w="140" w:type="dxa"/>
            <w:vAlign w:val="bottom"/>
          </w:tcPr>
          <w:p>
            <w:pPr>
              <w:spacing w:after="0"/>
              <w:rPr>
                <w:sz w:val="18"/>
                <w:szCs w:val="18"/>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JUNE 27, 2021</w:t>
            </w:r>
          </w:p>
        </w:tc>
        <w:tc>
          <w:tcPr>
            <w:tcW w:w="9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73.1 %</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primarily consists of various federal and state taxes.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6"/>
          </w:tcPr>
          <w:p>
            <w:pPr>
              <w:ind w:left="92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6"/>
          </w:tcPr>
          <w:p>
            <w:pPr>
              <w:ind w:left="820"/>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c>
          <w:tcPr>
            <w:tcW w:w="920" w:type="dxa"/>
            <w:vAlign w:val="bottom"/>
            <w:tcBorders>
              <w:bottom w:val="single" w:sz="8" w:color="auto"/>
            </w:tcBorders>
          </w:tcPr>
          <w:p>
            <w:pPr>
              <w:spacing w:after="0"/>
              <w:rPr>
                <w:sz w:val="18"/>
                <w:szCs w:val="18"/>
                <w:color w:val="auto"/>
              </w:rPr>
            </w:pPr>
          </w:p>
        </w:tc>
      </w:tr>
      <w:tr>
        <w:trPr>
          <w:trHeight w:val="214"/>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JUNE 26, 2022</w:t>
            </w:r>
          </w:p>
        </w:tc>
        <w:tc>
          <w:tcPr>
            <w:tcW w:w="140" w:type="dxa"/>
            <w:vAlign w:val="bottom"/>
          </w:tcPr>
          <w:p>
            <w:pPr>
              <w:spacing w:after="0"/>
              <w:rPr>
                <w:sz w:val="18"/>
                <w:szCs w:val="18"/>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JUNE 27, 2021</w:t>
            </w: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26, 2022</w:t>
            </w:r>
          </w:p>
        </w:tc>
        <w:tc>
          <w:tcPr>
            <w:tcW w:w="160" w:type="dxa"/>
            <w:vAlign w:val="bottom"/>
          </w:tcPr>
          <w:p>
            <w:pPr>
              <w:spacing w:after="0"/>
              <w:rPr>
                <w:sz w:val="18"/>
                <w:szCs w:val="18"/>
                <w:color w:val="auto"/>
              </w:rPr>
            </w:pP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JUNE 27, 2021</w:t>
            </w:r>
          </w:p>
        </w:tc>
        <w:tc>
          <w:tcPr>
            <w:tcW w:w="9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6"/>
                <w:szCs w:val="16"/>
                <w:color w:val="auto"/>
              </w:rPr>
              <w:t>(1,336)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6"/>
                <w:szCs w:val="16"/>
                <w:color w:val="auto"/>
              </w:rPr>
              <w:t>(2,285)</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6"/>
                <w:szCs w:val="16"/>
                <w:color w:val="auto"/>
              </w:rPr>
              <w:t>(3,613)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6"/>
                <w:szCs w:val="16"/>
                <w:color w:val="auto"/>
              </w:rPr>
              <w:t>(2,110)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71.2 %</w:t>
            </w:r>
          </w:p>
        </w:tc>
      </w:tr>
      <w:tr>
        <w:trPr>
          <w:trHeight w:val="234"/>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Effective income tax rate</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r>
    </w:tbl>
    <w:p>
      <w:pPr>
        <w:spacing w:after="0" w:line="2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change in the effective income tax rates for the thirteen and twenty-six week period ended June 26, 2022 as compared to the same periods in the prior year was primarily due to (i) the change in the valuation allowance for federal and state deferred tax assets, (ii) the benefit of tax credits for FICA taxes on certain employees’ tips and (iii) permanent items including limitations on deductions of certain compensation.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6"/>
          </w:tcPr>
          <w:p>
            <w:pPr>
              <w:ind w:left="92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6"/>
          </w:tcPr>
          <w:p>
            <w:pPr>
              <w:ind w:left="820"/>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c>
          <w:tcPr>
            <w:tcW w:w="920" w:type="dxa"/>
            <w:vAlign w:val="bottom"/>
            <w:tcBorders>
              <w:bottom w:val="single" w:sz="8" w:color="auto"/>
            </w:tcBorders>
          </w:tcPr>
          <w:p>
            <w:pPr>
              <w:spacing w:after="0"/>
              <w:rPr>
                <w:sz w:val="18"/>
                <w:szCs w:val="18"/>
                <w:color w:val="auto"/>
              </w:rPr>
            </w:pPr>
          </w:p>
        </w:tc>
      </w:tr>
      <w:tr>
        <w:trPr>
          <w:trHeight w:val="214"/>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JUNE 26, 2022</w:t>
            </w:r>
          </w:p>
        </w:tc>
        <w:tc>
          <w:tcPr>
            <w:tcW w:w="140" w:type="dxa"/>
            <w:vAlign w:val="bottom"/>
          </w:tcPr>
          <w:p>
            <w:pPr>
              <w:spacing w:after="0"/>
              <w:rPr>
                <w:sz w:val="18"/>
                <w:szCs w:val="18"/>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JUNE 27, 2021</w:t>
            </w: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26, 2022</w:t>
            </w:r>
          </w:p>
        </w:tc>
        <w:tc>
          <w:tcPr>
            <w:tcW w:w="160" w:type="dxa"/>
            <w:vAlign w:val="bottom"/>
          </w:tcPr>
          <w:p>
            <w:pPr>
              <w:spacing w:after="0"/>
              <w:rPr>
                <w:sz w:val="18"/>
                <w:szCs w:val="18"/>
                <w:color w:val="auto"/>
              </w:rPr>
            </w:pP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JUNE 27, 2021</w:t>
            </w:r>
          </w:p>
        </w:tc>
        <w:tc>
          <w:tcPr>
            <w:tcW w:w="9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2,707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3,805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7,347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1,763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line="212" w:lineRule="exact"/>
              <w:rPr>
                <w:sz w:val="20"/>
                <w:szCs w:val="20"/>
                <w:color w:val="auto"/>
              </w:rPr>
            </w:pPr>
            <w:r>
              <w:rPr>
                <w:rFonts w:ascii="Times New Roman" w:cs="Times New Roman" w:eastAsia="Times New Roman" w:hAnsi="Times New Roman"/>
                <w:sz w:val="16"/>
                <w:szCs w:val="16"/>
                <w:color w:val="auto"/>
              </w:rPr>
              <w:t xml:space="preserve">n/m </w:t>
            </w:r>
            <w:r>
              <w:rPr>
                <w:rFonts w:ascii="Times New Roman" w:cs="Times New Roman" w:eastAsia="Times New Roman" w:hAnsi="Times New Roman"/>
                <w:sz w:val="21"/>
                <w:szCs w:val="21"/>
                <w:color w:val="auto"/>
                <w:vertAlign w:val="superscript"/>
              </w:rPr>
              <w:t>(1)</w:t>
            </w:r>
          </w:p>
        </w:tc>
      </w:tr>
      <w:tr>
        <w:trPr>
          <w:trHeight w:val="210"/>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total revenues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w:t>
            </w: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Not meaningful.</w:t>
      </w:r>
    </w:p>
    <w:p>
      <w:pPr>
        <w:spacing w:after="0" w:line="2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net income and net income margin during the thirteen weeks ended June 26, 2022 as compared to the same period in the prior year was primarily due to the decrease in income from operations. This decrease was partially offset by (i) lower interest expense and (ii) lower income tax expense.</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increase in net income and net income margin during the twenty-six weeks ended June 26, 2022 as compared to the same period in the prior year was primarily due to the reduction in interest expense. This increase was partially offset by (i) the decrease in income from operations and (ii) higher income tax expense.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Restaurant Level Operating Profit and Restaurant level Operating Profit Margin</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6"/>
          </w:tcPr>
          <w:p>
            <w:pPr>
              <w:ind w:left="92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6"/>
          </w:tcPr>
          <w:p>
            <w:pPr>
              <w:ind w:left="820"/>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c>
          <w:tcPr>
            <w:tcW w:w="920" w:type="dxa"/>
            <w:vAlign w:val="bottom"/>
            <w:tcBorders>
              <w:bottom w:val="single" w:sz="8" w:color="auto"/>
            </w:tcBorders>
          </w:tcPr>
          <w:p>
            <w:pPr>
              <w:spacing w:after="0"/>
              <w:rPr>
                <w:sz w:val="18"/>
                <w:szCs w:val="18"/>
                <w:color w:val="auto"/>
              </w:rPr>
            </w:pPr>
          </w:p>
        </w:tc>
      </w:tr>
      <w:tr>
        <w:trPr>
          <w:trHeight w:val="214"/>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JUNE 26, 2022</w:t>
            </w:r>
          </w:p>
        </w:tc>
        <w:tc>
          <w:tcPr>
            <w:tcW w:w="140" w:type="dxa"/>
            <w:vAlign w:val="bottom"/>
          </w:tcPr>
          <w:p>
            <w:pPr>
              <w:spacing w:after="0"/>
              <w:rPr>
                <w:sz w:val="18"/>
                <w:szCs w:val="18"/>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JUNE 27, 2021</w:t>
            </w: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26, 2022</w:t>
            </w:r>
          </w:p>
        </w:tc>
        <w:tc>
          <w:tcPr>
            <w:tcW w:w="160" w:type="dxa"/>
            <w:vAlign w:val="bottom"/>
          </w:tcPr>
          <w:p>
            <w:pPr>
              <w:spacing w:after="0"/>
              <w:rPr>
                <w:sz w:val="18"/>
                <w:szCs w:val="18"/>
                <w:color w:val="auto"/>
              </w:rPr>
            </w:pP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JUNE 27, 2021</w:t>
            </w:r>
          </w:p>
        </w:tc>
        <w:tc>
          <w:tcPr>
            <w:tcW w:w="9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1"/>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 level operating profit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33,079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34,066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66,518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55,990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18.8 %</w:t>
            </w:r>
          </w:p>
        </w:tc>
      </w:tr>
      <w:tr>
        <w:trPr>
          <w:trHeight w:val="210"/>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Restaurant level operating profit margin</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bl>
    <w:p>
      <w:pPr>
        <w:spacing w:after="0" w:line="3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Restaurant level operating profit margin during the thirteen and twenty-six weeks ended June 26, 2022 decreased as compared to the same periods in the prior year primarily due to (i) inflation across commodities and supplies and (ii) the increase in restaurant-level wages and staffing. This decrease was partially offset by menu price increases.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Restaurant level operating profit during the thirteen weeks ended June 26, 2022 decreased as compared to the same period in the prior year primarily due to</w:t>
      </w:r>
    </w:p>
    <w:p>
      <w:pPr>
        <w:spacing w:after="0" w:line="27" w:lineRule="exact"/>
        <w:rPr>
          <w:sz w:val="20"/>
          <w:szCs w:val="20"/>
          <w:color w:val="auto"/>
        </w:rPr>
      </w:pPr>
    </w:p>
    <w:p>
      <w:pPr>
        <w:jc w:val="both"/>
        <w:ind w:firstLine="8"/>
        <w:spacing w:after="0" w:line="255" w:lineRule="auto"/>
        <w:tabs>
          <w:tab w:leader="none" w:pos="22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across commodities and supplies, (ii) the increase in restaurant-level wages and staffing and (iii) the increase in operating costs and expenses driven by our restaurant growth. This decrease was partially offset by same-restaurant sales growth, driven by same-restaurant traffic growth, menu price increases and sustained off-premises sales.</w:t>
      </w: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Restaurant level operating profit during the twenty-six weeks ended June 26, 2022 increased as compared to the same period in the prior year mainly due to same-restaurant sales growth, driven by same-restaurant traffic growth, menu price increases and sustained off-premises sales, partially offset by (i) inflation across commodities and supplies, (ii) the increase in operating costs and expenses driven by our restaurant growth and (iii) the increase in restaurant-level wages and staffing.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6"/>
          </w:tcPr>
          <w:p>
            <w:pPr>
              <w:ind w:left="92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6"/>
          </w:tcPr>
          <w:p>
            <w:pPr>
              <w:ind w:left="840"/>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c>
          <w:tcPr>
            <w:tcW w:w="920" w:type="dxa"/>
            <w:vAlign w:val="bottom"/>
            <w:tcBorders>
              <w:bottom w:val="single" w:sz="8" w:color="auto"/>
            </w:tcBorders>
          </w:tcPr>
          <w:p>
            <w:pPr>
              <w:spacing w:after="0"/>
              <w:rPr>
                <w:sz w:val="18"/>
                <w:szCs w:val="18"/>
                <w:color w:val="auto"/>
              </w:rPr>
            </w:pPr>
          </w:p>
        </w:tc>
      </w:tr>
      <w:tr>
        <w:trPr>
          <w:trHeight w:val="214"/>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JUNE 26, 2022</w:t>
            </w:r>
          </w:p>
        </w:tc>
        <w:tc>
          <w:tcPr>
            <w:tcW w:w="140" w:type="dxa"/>
            <w:vAlign w:val="bottom"/>
          </w:tcPr>
          <w:p>
            <w:pPr>
              <w:spacing w:after="0"/>
              <w:rPr>
                <w:sz w:val="18"/>
                <w:szCs w:val="18"/>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JUNE 27, 2021</w:t>
            </w: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JUNE 26, 2022</w:t>
            </w:r>
          </w:p>
        </w:tc>
        <w:tc>
          <w:tcPr>
            <w:tcW w:w="160" w:type="dxa"/>
            <w:vAlign w:val="bottom"/>
          </w:tcPr>
          <w:p>
            <w:pPr>
              <w:spacing w:after="0"/>
              <w:rPr>
                <w:sz w:val="18"/>
                <w:szCs w:val="18"/>
                <w:color w:val="auto"/>
              </w:rPr>
            </w:pPr>
          </w:p>
        </w:tc>
        <w:tc>
          <w:tcPr>
            <w:tcW w:w="16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JUNE 27, 2021</w:t>
            </w:r>
          </w:p>
        </w:tc>
        <w:tc>
          <w:tcPr>
            <w:tcW w:w="9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25"/>
        </w:trPr>
        <w:tc>
          <w:tcPr>
            <w:tcW w:w="2660" w:type="dxa"/>
            <w:vAlign w:val="bottom"/>
            <w:tcBorders>
              <w:top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14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BFE4FF"/>
          </w:tcPr>
          <w:p>
            <w:pPr>
              <w:jc w:val="right"/>
              <w:ind w:right="119"/>
              <w:spacing w:after="0"/>
              <w:rPr>
                <w:sz w:val="20"/>
                <w:szCs w:val="20"/>
                <w:color w:val="auto"/>
              </w:rPr>
            </w:pPr>
            <w:r>
              <w:rPr>
                <w:rFonts w:ascii="Times New Roman" w:cs="Times New Roman" w:eastAsia="Times New Roman" w:hAnsi="Times New Roman"/>
                <w:sz w:val="16"/>
                <w:szCs w:val="16"/>
                <w:color w:val="auto"/>
              </w:rPr>
              <w:t>17,789</w:t>
            </w:r>
          </w:p>
        </w:tc>
        <w:tc>
          <w:tcPr>
            <w:tcW w:w="100" w:type="dxa"/>
            <w:vAlign w:val="bottom"/>
            <w:tcBorders>
              <w:top w:val="single" w:sz="8" w:color="BFE4FF"/>
            </w:tcBorders>
            <w:shd w:val="clear" w:color="auto" w:fill="BFE4FF"/>
          </w:tcPr>
          <w:p>
            <w:pPr>
              <w:spacing w:after="0"/>
              <w:rPr>
                <w:sz w:val="19"/>
                <w:szCs w:val="19"/>
                <w:color w:val="auto"/>
              </w:rPr>
            </w:pPr>
          </w:p>
        </w:tc>
        <w:tc>
          <w:tcPr>
            <w:tcW w:w="14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BFE4FF"/>
          </w:tcPr>
          <w:p>
            <w:pPr>
              <w:jc w:val="right"/>
              <w:ind w:right="119"/>
              <w:spacing w:after="0"/>
              <w:rPr>
                <w:sz w:val="20"/>
                <w:szCs w:val="20"/>
                <w:color w:val="auto"/>
              </w:rPr>
            </w:pPr>
            <w:r>
              <w:rPr>
                <w:rFonts w:ascii="Times New Roman" w:cs="Times New Roman" w:eastAsia="Times New Roman" w:hAnsi="Times New Roman"/>
                <w:sz w:val="16"/>
                <w:szCs w:val="16"/>
                <w:color w:val="auto"/>
              </w:rPr>
              <w:t>22,200</w:t>
            </w:r>
          </w:p>
        </w:tc>
        <w:tc>
          <w:tcPr>
            <w:tcW w:w="100" w:type="dxa"/>
            <w:vAlign w:val="bottom"/>
            <w:tcBorders>
              <w:top w:val="single" w:sz="8" w:color="BFE4FF"/>
            </w:tcBorders>
            <w:shd w:val="clear" w:color="auto" w:fill="BFE4FF"/>
          </w:tcPr>
          <w:p>
            <w:pPr>
              <w:spacing w:after="0"/>
              <w:rPr>
                <w:sz w:val="19"/>
                <w:szCs w:val="19"/>
                <w:color w:val="auto"/>
              </w:rPr>
            </w:pPr>
          </w:p>
        </w:tc>
        <w:tc>
          <w:tcPr>
            <w:tcW w:w="180" w:type="dxa"/>
            <w:vAlign w:val="bottom"/>
            <w:tcBorders>
              <w:top w:val="single" w:sz="8" w:color="auto"/>
            </w:tcBorders>
            <w:shd w:val="clear" w:color="auto" w:fill="BFE4FF"/>
          </w:tcPr>
          <w:p>
            <w:pPr>
              <w:spacing w:after="0"/>
              <w:rPr>
                <w:sz w:val="19"/>
                <w:szCs w:val="19"/>
                <w:color w:val="auto"/>
              </w:rPr>
            </w:pPr>
          </w:p>
        </w:tc>
        <w:tc>
          <w:tcPr>
            <w:tcW w:w="94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tcBorders>
              <w:top w:val="single" w:sz="8" w:color="BFE4FF"/>
            </w:tcBorders>
            <w:shd w:val="clear" w:color="auto" w:fill="BFE4FF"/>
          </w:tcPr>
          <w:p>
            <w:pPr>
              <w:spacing w:after="0"/>
              <w:rPr>
                <w:sz w:val="19"/>
                <w:szCs w:val="19"/>
                <w:color w:val="auto"/>
              </w:rPr>
            </w:pPr>
          </w:p>
        </w:tc>
        <w:tc>
          <w:tcPr>
            <w:tcW w:w="1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BFE4FF"/>
          </w:tcPr>
          <w:p>
            <w:pPr>
              <w:jc w:val="right"/>
              <w:ind w:right="119"/>
              <w:spacing w:after="0"/>
              <w:rPr>
                <w:sz w:val="20"/>
                <w:szCs w:val="20"/>
                <w:color w:val="auto"/>
              </w:rPr>
            </w:pPr>
            <w:r>
              <w:rPr>
                <w:rFonts w:ascii="Times New Roman" w:cs="Times New Roman" w:eastAsia="Times New Roman" w:hAnsi="Times New Roman"/>
                <w:sz w:val="16"/>
                <w:szCs w:val="16"/>
                <w:color w:val="auto"/>
              </w:rPr>
              <w:t>37,153</w:t>
            </w:r>
          </w:p>
        </w:tc>
        <w:tc>
          <w:tcPr>
            <w:tcW w:w="100" w:type="dxa"/>
            <w:vAlign w:val="bottom"/>
            <w:tcBorders>
              <w:top w:val="single" w:sz="8" w:color="BFE4FF"/>
            </w:tcBorders>
            <w:shd w:val="clear" w:color="auto" w:fill="BFE4FF"/>
          </w:tcPr>
          <w:p>
            <w:pPr>
              <w:spacing w:after="0"/>
              <w:rPr>
                <w:sz w:val="19"/>
                <w:szCs w:val="19"/>
                <w:color w:val="auto"/>
              </w:rPr>
            </w:pPr>
          </w:p>
        </w:tc>
        <w:tc>
          <w:tcPr>
            <w:tcW w:w="16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BFE4FF"/>
          </w:tcPr>
          <w:p>
            <w:pPr>
              <w:jc w:val="right"/>
              <w:ind w:right="116"/>
              <w:spacing w:after="0"/>
              <w:rPr>
                <w:sz w:val="20"/>
                <w:szCs w:val="20"/>
                <w:color w:val="auto"/>
              </w:rPr>
            </w:pPr>
            <w:r>
              <w:rPr>
                <w:rFonts w:ascii="Times New Roman" w:cs="Times New Roman" w:eastAsia="Times New Roman" w:hAnsi="Times New Roman"/>
                <w:sz w:val="18"/>
                <w:szCs w:val="18"/>
                <w:color w:val="auto"/>
              </w:rPr>
              <w:t>35,182</w:t>
            </w:r>
          </w:p>
        </w:tc>
        <w:tc>
          <w:tcPr>
            <w:tcW w:w="100" w:type="dxa"/>
            <w:vAlign w:val="bottom"/>
            <w:tcBorders>
              <w:top w:val="single" w:sz="8" w:color="BFE4FF"/>
            </w:tcBorders>
            <w:shd w:val="clear" w:color="auto" w:fill="BFE4FF"/>
          </w:tcPr>
          <w:p>
            <w:pPr>
              <w:spacing w:after="0"/>
              <w:rPr>
                <w:sz w:val="19"/>
                <w:szCs w:val="19"/>
                <w:color w:val="auto"/>
              </w:rPr>
            </w:pPr>
          </w:p>
        </w:tc>
        <w:tc>
          <w:tcPr>
            <w:tcW w:w="240" w:type="dxa"/>
            <w:vAlign w:val="bottom"/>
            <w:tcBorders>
              <w:top w:val="single" w:sz="8" w:color="auto"/>
            </w:tcBorders>
            <w:shd w:val="clear" w:color="auto" w:fill="BFE4FF"/>
          </w:tcPr>
          <w:p>
            <w:pPr>
              <w:spacing w:after="0"/>
              <w:rPr>
                <w:sz w:val="19"/>
                <w:szCs w:val="19"/>
                <w:color w:val="auto"/>
              </w:rPr>
            </w:pPr>
          </w:p>
        </w:tc>
        <w:tc>
          <w:tcPr>
            <w:tcW w:w="920" w:type="dxa"/>
            <w:vAlign w:val="bottom"/>
            <w:tcBorders>
              <w:top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6"/>
                <w:szCs w:val="16"/>
                <w:color w:val="auto"/>
              </w:rPr>
              <w:t>5.6 %</w:t>
            </w:r>
          </w:p>
        </w:tc>
      </w:tr>
      <w:tr>
        <w:trPr>
          <w:trHeight w:val="210"/>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 margin</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bl>
    <w:p>
      <w:pPr>
        <w:spacing w:after="0" w:line="2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Adjusted EBITDA margin during the thirteen and twenty-six weeks ended June 26, 2022 decreased as compared to the same periods in the prior year primarily due to (i) the increase in general and administrative expenses mainly due to marketing and insurance expense and (ii) the decrease in restaurant level operating profit margin.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Adjusted EBITDA during the thirteen weeks ended June 26, 2022 as compared to the same period in the prior year was primarily due to (i) the increase in general and administrative expenses mainly due to marketing and insurance expense and (ii) the decrease in restaurant level operating profit.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Adjusted EBITDA during the twenty-six weeks ended June 26, 2022 as compared to the same period in the prior year was primarily due to the increase in restaurant level operating profit. This increase was partially offset by the increase in general and administrative expenses mainly due to wage increases and additional employee headcount, as well as marketing and insurance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54" w:lineRule="exact"/>
        <w:rPr>
          <w:sz w:val="20"/>
          <w:szCs w:val="20"/>
          <w:color w:val="auto"/>
        </w:rPr>
      </w:pPr>
    </w:p>
    <w:p>
      <w:pPr>
        <w:ind w:left="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EBITDA and Adjusted EBITDA margin </w:t>
      </w:r>
      <w:r>
        <w:rPr>
          <w:rFonts w:ascii="Times New Roman" w:cs="Times New Roman" w:eastAsia="Times New Roman" w:hAnsi="Times New Roman"/>
          <w:sz w:val="18"/>
          <w:szCs w:val="18"/>
          <w:color w:val="auto"/>
        </w:rPr>
        <w:t>- The following table reconciles Net income and Net income margin, the most directly comparable GAAP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measures to Adjusted EBITDA and Adjusted EBITDA margin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20" w:type="dxa"/>
            <w:vAlign w:val="bottom"/>
            <w:gridSpan w:val="5"/>
          </w:tcPr>
          <w:p>
            <w:pPr>
              <w:ind w:left="50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240" w:type="dxa"/>
            <w:vAlign w:val="bottom"/>
          </w:tcPr>
          <w:p>
            <w:pPr>
              <w:spacing w:after="0"/>
              <w:rPr>
                <w:sz w:val="18"/>
                <w:szCs w:val="18"/>
                <w:color w:val="auto"/>
              </w:rPr>
            </w:pPr>
          </w:p>
        </w:tc>
        <w:tc>
          <w:tcPr>
            <w:tcW w:w="3340" w:type="dxa"/>
            <w:vAlign w:val="bottom"/>
            <w:gridSpan w:val="4"/>
          </w:tcPr>
          <w:p>
            <w:pPr>
              <w:jc w:val="right"/>
              <w:ind w:right="558"/>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JUNE 26, 2022</w:t>
            </w:r>
          </w:p>
        </w:tc>
        <w:tc>
          <w:tcPr>
            <w:tcW w:w="2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JUNE 27, 2021</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JUNE 26, 2022</w:t>
            </w:r>
          </w:p>
        </w:tc>
        <w:tc>
          <w:tcPr>
            <w:tcW w:w="2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JUNE 27, 2021</w:t>
            </w:r>
          </w:p>
        </w:tc>
        <w:tc>
          <w:tcPr>
            <w:tcW w:w="0" w:type="dxa"/>
            <w:vAlign w:val="bottom"/>
          </w:tcPr>
          <w:p>
            <w:pPr>
              <w:spacing w:after="0"/>
              <w:rPr>
                <w:sz w:val="1"/>
                <w:szCs w:val="1"/>
                <w:color w:val="auto"/>
              </w:rPr>
            </w:pPr>
          </w:p>
        </w:tc>
      </w:tr>
      <w:tr>
        <w:trPr>
          <w:trHeight w:val="211"/>
        </w:trPr>
        <w:tc>
          <w:tcPr>
            <w:tcW w:w="60" w:type="dxa"/>
            <w:vAlign w:val="bottom"/>
            <w:tcBorders>
              <w:right w:val="single" w:sz="8" w:color="CCEEFF"/>
            </w:tcBorders>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2,707</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3,805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7,347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1,763</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39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15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8,400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7,976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16,623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15,762</w:t>
            </w:r>
          </w:p>
        </w:tc>
        <w:tc>
          <w:tcPr>
            <w:tcW w:w="0" w:type="dxa"/>
            <w:vAlign w:val="bottom"/>
          </w:tcPr>
          <w:p>
            <w:pPr>
              <w:spacing w:after="0"/>
              <w:rPr>
                <w:sz w:val="1"/>
                <w:szCs w:val="1"/>
                <w:color w:val="auto"/>
              </w:rPr>
            </w:pPr>
          </w:p>
        </w:tc>
      </w:tr>
      <w:tr>
        <w:trPr>
          <w:trHeight w:val="219"/>
        </w:trPr>
        <w:tc>
          <w:tcPr>
            <w:tcW w:w="60" w:type="dxa"/>
            <w:vAlign w:val="bottom"/>
            <w:tcBorders>
              <w:right w:val="single" w:sz="8" w:color="CCEEFF"/>
            </w:tcBorders>
          </w:tcPr>
          <w:p>
            <w:pPr>
              <w:spacing w:after="0"/>
              <w:rPr>
                <w:sz w:val="19"/>
                <w:szCs w:val="19"/>
                <w:color w:val="auto"/>
              </w:rPr>
            </w:pPr>
          </w:p>
        </w:tc>
        <w:tc>
          <w:tcPr>
            <w:tcW w:w="3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1,126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6,289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12,605</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39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Income taxes</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1,336</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2,285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3,613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2,110</w:t>
            </w:r>
          </w:p>
        </w:tc>
        <w:tc>
          <w:tcPr>
            <w:tcW w:w="0" w:type="dxa"/>
            <w:vAlign w:val="bottom"/>
          </w:tcPr>
          <w:p>
            <w:pPr>
              <w:spacing w:after="0"/>
              <w:rPr>
                <w:sz w:val="1"/>
                <w:szCs w:val="1"/>
                <w:color w:val="auto"/>
              </w:rPr>
            </w:pPr>
          </w:p>
        </w:tc>
      </w:tr>
      <w:tr>
        <w:trPr>
          <w:trHeight w:val="212"/>
        </w:trPr>
        <w:tc>
          <w:tcPr>
            <w:tcW w:w="60" w:type="dxa"/>
            <w:vAlign w:val="bottom"/>
            <w:tcBorders>
              <w:right w:val="single" w:sz="8" w:color="CCEEFF"/>
            </w:tcBorders>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EBITDA</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13,569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20,355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29,715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32,240</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98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IPO-readiness and strategic transition costs </w:t>
            </w:r>
            <w:r>
              <w:rPr>
                <w:rFonts w:ascii="Times New Roman" w:cs="Times New Roman" w:eastAsia="Times New Roman" w:hAnsi="Times New Roman"/>
                <w:sz w:val="21"/>
                <w:szCs w:val="21"/>
                <w:color w:val="auto"/>
                <w:vertAlign w:val="superscript"/>
              </w:rPr>
              <w:t>(1)</w:t>
            </w:r>
          </w:p>
        </w:tc>
        <w:tc>
          <w:tcPr>
            <w:tcW w:w="240" w:type="dxa"/>
            <w:vAlign w:val="bottom"/>
          </w:tcPr>
          <w:p>
            <w:pPr>
              <w:spacing w:after="0"/>
              <w:rPr>
                <w:sz w:val="18"/>
                <w:szCs w:val="18"/>
                <w:color w:val="auto"/>
              </w:rPr>
            </w:pPr>
          </w:p>
        </w:tc>
        <w:tc>
          <w:tcPr>
            <w:tcW w:w="15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721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1,179</w:t>
            </w:r>
          </w:p>
        </w:tc>
        <w:tc>
          <w:tcPr>
            <w:tcW w:w="0" w:type="dxa"/>
            <w:vAlign w:val="bottom"/>
          </w:tcPr>
          <w:p>
            <w:pPr>
              <w:spacing w:after="0"/>
              <w:rPr>
                <w:sz w:val="1"/>
                <w:szCs w:val="1"/>
                <w:color w:val="auto"/>
              </w:rPr>
            </w:pPr>
          </w:p>
        </w:tc>
      </w:tr>
      <w:tr>
        <w:trPr>
          <w:trHeight w:val="229"/>
        </w:trPr>
        <w:tc>
          <w:tcPr>
            <w:tcW w:w="60" w:type="dxa"/>
            <w:vAlign w:val="bottom"/>
            <w:tcBorders>
              <w:right w:val="single" w:sz="8" w:color="CCEEFF"/>
            </w:tcBorders>
          </w:tcPr>
          <w:p>
            <w:pPr>
              <w:spacing w:after="0"/>
              <w:rPr>
                <w:sz w:val="19"/>
                <w:szCs w:val="19"/>
                <w:color w:val="auto"/>
              </w:rPr>
            </w:pPr>
          </w:p>
        </w:tc>
        <w:tc>
          <w:tcPr>
            <w:tcW w:w="398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6"/>
                <w:szCs w:val="16"/>
                <w:color w:val="auto"/>
              </w:rPr>
              <w:t xml:space="preserve">Stock-based compensation </w:t>
            </w:r>
            <w:r>
              <w:rPr>
                <w:rFonts w:ascii="Times New Roman" w:cs="Times New Roman" w:eastAsia="Times New Roman" w:hAnsi="Times New Roman"/>
                <w:sz w:val="21"/>
                <w:szCs w:val="21"/>
                <w:color w:val="auto"/>
                <w:vertAlign w:val="superscript"/>
              </w:rPr>
              <w:t>(2)</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2,808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5,102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98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Transaction expenses, net </w:t>
            </w:r>
            <w:r>
              <w:rPr>
                <w:rFonts w:ascii="Times New Roman" w:cs="Times New Roman" w:eastAsia="Times New Roman" w:hAnsi="Times New Roman"/>
                <w:sz w:val="21"/>
                <w:szCs w:val="21"/>
                <w:color w:val="auto"/>
                <w:vertAlign w:val="superscript"/>
              </w:rPr>
              <w:t>(3)</w:t>
            </w:r>
          </w:p>
        </w:tc>
        <w:tc>
          <w:tcPr>
            <w:tcW w:w="240" w:type="dxa"/>
            <w:vAlign w:val="bottom"/>
          </w:tcPr>
          <w:p>
            <w:pPr>
              <w:spacing w:after="0"/>
              <w:rPr>
                <w:sz w:val="18"/>
                <w:szCs w:val="18"/>
                <w:color w:val="auto"/>
              </w:rPr>
            </w:pPr>
          </w:p>
        </w:tc>
        <w:tc>
          <w:tcPr>
            <w:tcW w:w="15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557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626</w:t>
            </w:r>
          </w:p>
        </w:tc>
        <w:tc>
          <w:tcPr>
            <w:tcW w:w="0" w:type="dxa"/>
            <w:vAlign w:val="bottom"/>
          </w:tcPr>
          <w:p>
            <w:pPr>
              <w:spacing w:after="0"/>
              <w:rPr>
                <w:sz w:val="1"/>
                <w:szCs w:val="1"/>
                <w:color w:val="auto"/>
              </w:rPr>
            </w:pPr>
          </w:p>
        </w:tc>
      </w:tr>
      <w:tr>
        <w:trPr>
          <w:trHeight w:val="216"/>
        </w:trPr>
        <w:tc>
          <w:tcPr>
            <w:tcW w:w="60" w:type="dxa"/>
            <w:vAlign w:val="bottom"/>
            <w:tcBorders>
              <w:right w:val="single" w:sz="8" w:color="CCEEFF"/>
            </w:tcBorders>
          </w:tcPr>
          <w:p>
            <w:pPr>
              <w:spacing w:after="0"/>
              <w:rPr>
                <w:sz w:val="18"/>
                <w:szCs w:val="18"/>
                <w:color w:val="auto"/>
              </w:rPr>
            </w:pPr>
          </w:p>
        </w:tc>
        <w:tc>
          <w:tcPr>
            <w:tcW w:w="398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Impairments and loss on disposal of assets </w:t>
            </w:r>
            <w:r>
              <w:rPr>
                <w:rFonts w:ascii="Times New Roman" w:cs="Times New Roman" w:eastAsia="Times New Roman" w:hAnsi="Times New Roman"/>
                <w:sz w:val="21"/>
                <w:szCs w:val="21"/>
                <w:color w:val="auto"/>
                <w:vertAlign w:val="superscript"/>
              </w:rPr>
              <w:t>(4)</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163</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980" w:type="dxa"/>
            <w:vAlign w:val="bottom"/>
          </w:tcPr>
          <w:p>
            <w:pPr>
              <w:ind w:left="340"/>
              <w:spacing w:after="0" w:line="230" w:lineRule="exact"/>
              <w:rPr>
                <w:sz w:val="20"/>
                <w:szCs w:val="20"/>
                <w:color w:val="auto"/>
              </w:rPr>
            </w:pPr>
            <w:r>
              <w:rPr>
                <w:rFonts w:ascii="Times New Roman" w:cs="Times New Roman" w:eastAsia="Times New Roman" w:hAnsi="Times New Roman"/>
                <w:sz w:val="16"/>
                <w:szCs w:val="16"/>
                <w:color w:val="auto"/>
              </w:rPr>
              <w:t xml:space="preserve">Recruiting and relocation costs </w:t>
            </w:r>
            <w:r>
              <w:rPr>
                <w:rFonts w:ascii="Times New Roman" w:cs="Times New Roman" w:eastAsia="Times New Roman" w:hAnsi="Times New Roman"/>
                <w:sz w:val="21"/>
                <w:szCs w:val="21"/>
                <w:color w:val="auto"/>
                <w:vertAlign w:val="superscript"/>
              </w:rPr>
              <w:t>(5)</w:t>
            </w:r>
          </w:p>
        </w:tc>
        <w:tc>
          <w:tcPr>
            <w:tcW w:w="240" w:type="dxa"/>
            <w:vAlign w:val="bottom"/>
          </w:tcPr>
          <w:p>
            <w:pPr>
              <w:spacing w:after="0"/>
              <w:rPr>
                <w:sz w:val="19"/>
                <w:szCs w:val="19"/>
                <w:color w:val="auto"/>
              </w:rPr>
            </w:pPr>
          </w:p>
        </w:tc>
        <w:tc>
          <w:tcPr>
            <w:tcW w:w="15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ind w:right="118"/>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16"/>
        </w:trPr>
        <w:tc>
          <w:tcPr>
            <w:tcW w:w="60" w:type="dxa"/>
            <w:vAlign w:val="bottom"/>
            <w:tcBorders>
              <w:right w:val="single" w:sz="8" w:color="CCEEFF"/>
            </w:tcBorders>
          </w:tcPr>
          <w:p>
            <w:pPr>
              <w:spacing w:after="0"/>
              <w:rPr>
                <w:sz w:val="18"/>
                <w:szCs w:val="18"/>
                <w:color w:val="auto"/>
              </w:rPr>
            </w:pPr>
          </w:p>
        </w:tc>
        <w:tc>
          <w:tcPr>
            <w:tcW w:w="398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Severance costs </w:t>
            </w:r>
            <w:r>
              <w:rPr>
                <w:rFonts w:ascii="Times New Roman" w:cs="Times New Roman" w:eastAsia="Times New Roman" w:hAnsi="Times New Roman"/>
                <w:sz w:val="21"/>
                <w:szCs w:val="21"/>
                <w:color w:val="auto"/>
                <w:vertAlign w:val="superscript"/>
              </w:rPr>
              <w:t>(6)</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265</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98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COVID-19 related charges </w:t>
            </w:r>
            <w:r>
              <w:rPr>
                <w:rFonts w:ascii="Times New Roman" w:cs="Times New Roman" w:eastAsia="Times New Roman" w:hAnsi="Times New Roman"/>
                <w:sz w:val="21"/>
                <w:szCs w:val="21"/>
                <w:color w:val="auto"/>
                <w:vertAlign w:val="superscript"/>
              </w:rPr>
              <w:t>(7)</w:t>
            </w:r>
          </w:p>
        </w:tc>
        <w:tc>
          <w:tcPr>
            <w:tcW w:w="24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5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52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rPr>
              <w:t>211</w:t>
            </w:r>
          </w:p>
        </w:tc>
        <w:tc>
          <w:tcPr>
            <w:tcW w:w="0" w:type="dxa"/>
            <w:vAlign w:val="bottom"/>
          </w:tcPr>
          <w:p>
            <w:pPr>
              <w:spacing w:after="0"/>
              <w:rPr>
                <w:sz w:val="1"/>
                <w:szCs w:val="1"/>
                <w:color w:val="auto"/>
              </w:rPr>
            </w:pPr>
          </w:p>
        </w:tc>
      </w:tr>
      <w:tr>
        <w:trPr>
          <w:trHeight w:val="232"/>
        </w:trPr>
        <w:tc>
          <w:tcPr>
            <w:tcW w:w="60" w:type="dxa"/>
            <w:vAlign w:val="bottom"/>
            <w:tcBorders>
              <w:right w:val="single" w:sz="8" w:color="CCEEFF"/>
            </w:tcBorders>
          </w:tcPr>
          <w:p>
            <w:pPr>
              <w:spacing w:after="0"/>
              <w:rPr>
                <w:sz w:val="19"/>
                <w:szCs w:val="19"/>
                <w:color w:val="auto"/>
              </w:rPr>
            </w:pPr>
          </w:p>
        </w:tc>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17,789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22,200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37,153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35,182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0" w:type="dxa"/>
            <w:vAlign w:val="bottom"/>
            <w:tcBorders>
              <w:right w:val="single" w:sz="8" w:color="CCEEFF"/>
            </w:tcBorders>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184,453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153,963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357,565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281,132</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39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 margin</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0" w:type="dxa"/>
            <w:vAlign w:val="bottom"/>
          </w:tcPr>
          <w:p>
            <w:pPr>
              <w:spacing w:after="0"/>
              <w:rPr>
                <w:sz w:val="1"/>
                <w:szCs w:val="1"/>
                <w:color w:val="auto"/>
              </w:rPr>
            </w:pPr>
          </w:p>
        </w:tc>
      </w:tr>
      <w:tr>
        <w:trPr>
          <w:trHeight w:val="219"/>
        </w:trPr>
        <w:tc>
          <w:tcPr>
            <w:tcW w:w="60" w:type="dxa"/>
            <w:vAlign w:val="bottom"/>
            <w:tcBorders>
              <w:right w:val="single" w:sz="8" w:color="CCEEFF"/>
            </w:tcBorders>
          </w:tcPr>
          <w:p>
            <w:pPr>
              <w:spacing w:after="0"/>
              <w:rPr>
                <w:sz w:val="19"/>
                <w:szCs w:val="19"/>
                <w:color w:val="auto"/>
              </w:rPr>
            </w:pPr>
          </w:p>
        </w:tc>
        <w:tc>
          <w:tcPr>
            <w:tcW w:w="3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Adjusted EBITDA margin</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12.5 %</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Borders>
              <w:right w:val="single" w:sz="8" w:color="CCEEFF"/>
            </w:tcBorders>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Additional information</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7"/>
              </w:rPr>
              <w:t>.</w:t>
            </w:r>
          </w:p>
        </w:tc>
        <w:tc>
          <w:tcPr>
            <w:tcW w:w="39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 xml:space="preserve">Deferred rent expense (income) </w:t>
            </w:r>
            <w:r>
              <w:rPr>
                <w:rFonts w:ascii="Times New Roman" w:cs="Times New Roman" w:eastAsia="Times New Roman" w:hAnsi="Times New Roman"/>
                <w:sz w:val="21"/>
                <w:szCs w:val="21"/>
                <w:color w:val="auto"/>
                <w:vertAlign w:val="superscript"/>
              </w:rPr>
              <w:t>(8)</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651</w:t>
            </w:r>
          </w:p>
        </w:tc>
        <w:tc>
          <w:tcPr>
            <w:tcW w:w="80" w:type="dxa"/>
            <w:vAlign w:val="bottom"/>
          </w:tcPr>
          <w:p>
            <w:pPr>
              <w:spacing w:after="0"/>
              <w:rPr>
                <w:sz w:val="23"/>
                <w:szCs w:val="23"/>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(808)</w:t>
            </w:r>
          </w:p>
        </w:tc>
        <w:tc>
          <w:tcPr>
            <w:tcW w:w="100" w:type="dxa"/>
            <w:vAlign w:val="bottom"/>
          </w:tcPr>
          <w:p>
            <w:pPr>
              <w:spacing w:after="0"/>
              <w:rPr>
                <w:sz w:val="23"/>
                <w:szCs w:val="23"/>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1,231</w:t>
            </w:r>
          </w:p>
        </w:tc>
        <w:tc>
          <w:tcPr>
            <w:tcW w:w="10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(1,807)</w:t>
            </w:r>
          </w:p>
        </w:tc>
        <w:tc>
          <w:tcPr>
            <w:tcW w:w="0" w:type="dxa"/>
            <w:vAlign w:val="bottom"/>
          </w:tcPr>
          <w:p>
            <w:pPr>
              <w:spacing w:after="0"/>
              <w:rPr>
                <w:sz w:val="1"/>
                <w:szCs w:val="1"/>
                <w:color w:val="auto"/>
              </w:rPr>
            </w:pPr>
          </w:p>
        </w:tc>
      </w:tr>
      <w:tr>
        <w:trPr>
          <w:trHeight w:val="54"/>
        </w:trPr>
        <w:tc>
          <w:tcPr>
            <w:tcW w:w="60" w:type="dxa"/>
            <w:vAlign w:val="bottom"/>
            <w:vMerge w:val="continue"/>
          </w:tcPr>
          <w:p>
            <w:pPr>
              <w:spacing w:after="0"/>
              <w:rPr>
                <w:sz w:val="4"/>
                <w:szCs w:val="4"/>
                <w:color w:val="auto"/>
              </w:rPr>
            </w:pPr>
          </w:p>
        </w:tc>
        <w:tc>
          <w:tcPr>
            <w:tcW w:w="3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9" w:lineRule="exact"/>
        <w:rPr>
          <w:sz w:val="20"/>
          <w:szCs w:val="20"/>
          <w:color w:val="auto"/>
        </w:rPr>
      </w:pPr>
    </w:p>
    <w:p>
      <w:pPr>
        <w:jc w:val="both"/>
        <w:ind w:left="80" w:right="20" w:firstLine="8"/>
        <w:spacing w:after="0" w:line="249" w:lineRule="auto"/>
        <w:tabs>
          <w:tab w:leader="none" w:pos="331"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related to the assessment and redesign of our systems and processes. In 2021, the costs also include information technology support and external professional service costs incurred in connection with IPO-readiness efforts. These costs are recorded within General and administrative expenses on the Consolidated Statements of Operations and Comprehensive Income.</w:t>
      </w:r>
    </w:p>
    <w:p>
      <w:pPr>
        <w:spacing w:after="0" w:line="1" w:lineRule="exact"/>
        <w:rPr>
          <w:rFonts w:ascii="Times New Roman" w:cs="Times New Roman" w:eastAsia="Times New Roman" w:hAnsi="Times New Roman"/>
          <w:sz w:val="16"/>
          <w:szCs w:val="16"/>
          <w:color w:val="auto"/>
        </w:rPr>
      </w:pPr>
    </w:p>
    <w:p>
      <w:pPr>
        <w:ind w:left="80" w:firstLine="8"/>
        <w:spacing w:after="0" w:line="255" w:lineRule="auto"/>
        <w:tabs>
          <w:tab w:leader="none" w:pos="321"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non-cash, stock-based compensation expense which is recorded within General and administrative expenses on the Consolidated Statements of Operations and Comprehensive Income.</w:t>
      </w:r>
    </w:p>
    <w:p>
      <w:pPr>
        <w:jc w:val="both"/>
        <w:ind w:left="80" w:firstLine="8"/>
        <w:spacing w:after="0" w:line="254" w:lineRule="auto"/>
        <w:tabs>
          <w:tab w:leader="none" w:pos="312"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revaluations of contingent consideration payable to previous stockholders for tax savings generated through the use of federal and state loss carryforwards and general business credits that had been accumulated from operations prior to August 2017, (ii) gains or losses associated with lease or contract terminations, (iii) costs incurred in connection with the acquisition of franchise-owned restaurants, (iv) costs incurred in connection with the conversion of certain restaurants to company-owned restaurants operating under the First Watch trade name and (v) costs related to restaurant closures.</w:t>
      </w:r>
    </w:p>
    <w:p>
      <w:pPr>
        <w:ind w:left="80" w:firstLine="8"/>
        <w:spacing w:after="0" w:line="255" w:lineRule="auto"/>
        <w:tabs>
          <w:tab w:leader="none" w:pos="331"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related to the disposal of assets due to retirements, replacements or certain restaurant closures. There were no impairments recognized during the periods presented.</w:t>
      </w:r>
    </w:p>
    <w:p>
      <w:pPr>
        <w:ind w:left="80" w:firstLine="8"/>
        <w:spacing w:after="0" w:line="248" w:lineRule="auto"/>
        <w:tabs>
          <w:tab w:leader="none" w:pos="335"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incurred for hiring qualified individuals as we assessed the redesign of our systems and processes. These costs are recorded within General and administrative expenses on the Consolidated Statements of Operations and Comprehensive Income.</w:t>
      </w:r>
    </w:p>
    <w:p>
      <w:pPr>
        <w:spacing w:after="0" w:line="1" w:lineRule="exact"/>
        <w:rPr>
          <w:rFonts w:ascii="Times New Roman" w:cs="Times New Roman" w:eastAsia="Times New Roman" w:hAnsi="Times New Roman"/>
          <w:sz w:val="16"/>
          <w:szCs w:val="16"/>
          <w:color w:val="auto"/>
        </w:rPr>
      </w:pPr>
    </w:p>
    <w:p>
      <w:pPr>
        <w:ind w:left="320" w:hanging="232"/>
        <w:spacing w:after="0"/>
        <w:tabs>
          <w:tab w:leader="none" w:pos="3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Severance costs are recorded in General and administrative expenses on the Consolidated Statements of Operations and Comprehensive Income.</w:t>
      </w:r>
    </w:p>
    <w:p>
      <w:pPr>
        <w:spacing w:after="0" w:line="15" w:lineRule="exact"/>
        <w:rPr>
          <w:rFonts w:ascii="Times New Roman" w:cs="Times New Roman" w:eastAsia="Times New Roman" w:hAnsi="Times New Roman"/>
          <w:sz w:val="16"/>
          <w:szCs w:val="16"/>
          <w:color w:val="auto"/>
        </w:rPr>
      </w:pPr>
    </w:p>
    <w:p>
      <w:pPr>
        <w:ind w:left="320" w:hanging="232"/>
        <w:spacing w:after="0"/>
        <w:tabs>
          <w:tab w:leader="none" w:pos="3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incurred in connection with the economic impact of the COVID-19 pandemic.</w:t>
      </w:r>
    </w:p>
    <w:p>
      <w:pPr>
        <w:spacing w:after="0" w:line="8" w:lineRule="exact"/>
        <w:rPr>
          <w:rFonts w:ascii="Times New Roman" w:cs="Times New Roman" w:eastAsia="Times New Roman" w:hAnsi="Times New Roman"/>
          <w:sz w:val="16"/>
          <w:szCs w:val="16"/>
          <w:color w:val="auto"/>
        </w:rPr>
      </w:pPr>
    </w:p>
    <w:p>
      <w:pPr>
        <w:ind w:left="80" w:firstLine="8"/>
        <w:spacing w:after="0" w:line="270" w:lineRule="auto"/>
        <w:tabs>
          <w:tab w:leader="none" w:pos="321"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non-cash portion of straight-line rent expense recorded within both Occupancy expenses and General and administrative expenses on the Consolidated Statements of Operations and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Restaurant level operating profit and Restaurant level operating profit margin </w:t>
      </w:r>
      <w:r>
        <w:rPr>
          <w:rFonts w:ascii="Times New Roman" w:cs="Times New Roman" w:eastAsia="Times New Roman" w:hAnsi="Times New Roman"/>
          <w:sz w:val="18"/>
          <w:szCs w:val="18"/>
          <w:color w:val="auto"/>
        </w:rPr>
        <w:t>- The following table reconciles Income from operations and Income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margin, the most comparable GAAP measures to Restaurant level operating profit and Restaurant level operating profit margin for the periods indicated: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60" w:type="dxa"/>
            <w:vAlign w:val="bottom"/>
            <w:gridSpan w:val="5"/>
          </w:tcPr>
          <w:p>
            <w:pPr>
              <w:ind w:left="52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220" w:type="dxa"/>
            <w:vAlign w:val="bottom"/>
          </w:tcPr>
          <w:p>
            <w:pPr>
              <w:spacing w:after="0"/>
              <w:rPr>
                <w:sz w:val="18"/>
                <w:szCs w:val="18"/>
                <w:color w:val="auto"/>
              </w:rPr>
            </w:pPr>
          </w:p>
        </w:tc>
        <w:tc>
          <w:tcPr>
            <w:tcW w:w="3380" w:type="dxa"/>
            <w:vAlign w:val="bottom"/>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r>
      <w:tr>
        <w:trPr>
          <w:trHeight w:val="214"/>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JUNE 26, 2022</w:t>
            </w:r>
          </w:p>
        </w:tc>
        <w:tc>
          <w:tcPr>
            <w:tcW w:w="2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JUNE 27, 2021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26, 2022</w:t>
            </w:r>
          </w:p>
        </w:tc>
        <w:tc>
          <w:tcPr>
            <w:tcW w:w="2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JUNE 27, 2021</w:t>
            </w:r>
          </w:p>
        </w:tc>
      </w:tr>
      <w:tr>
        <w:trPr>
          <w:trHeight w:val="211"/>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5,053</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12,312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12,813</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16,157</w:t>
            </w:r>
          </w:p>
        </w:tc>
      </w:tr>
      <w:tr>
        <w:trPr>
          <w:trHeight w:val="213"/>
        </w:trPr>
        <w:tc>
          <w:tcPr>
            <w:tcW w:w="3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Less: Franchise revenues</w:t>
            </w:r>
          </w:p>
        </w:tc>
        <w:tc>
          <w:tcPr>
            <w:tcW w:w="240" w:type="dxa"/>
            <w:vAlign w:val="bottom"/>
          </w:tcPr>
          <w:p>
            <w:pPr>
              <w:spacing w:after="0"/>
              <w:rPr>
                <w:sz w:val="18"/>
                <w:szCs w:val="18"/>
                <w:color w:val="auto"/>
              </w:rPr>
            </w:pPr>
          </w:p>
        </w:tc>
        <w:tc>
          <w:tcPr>
            <w:tcW w:w="15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(2,771)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(2,275)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(5,214)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(4,078)</w:t>
            </w:r>
          </w:p>
        </w:tc>
      </w:tr>
      <w:tr>
        <w:trPr>
          <w:trHeight w:val="21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13"/>
        </w:trPr>
        <w:tc>
          <w:tcPr>
            <w:tcW w:w="3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40" w:type="dxa"/>
            <w:vAlign w:val="bottom"/>
          </w:tcPr>
          <w:p>
            <w:pPr>
              <w:spacing w:after="0"/>
              <w:rPr>
                <w:sz w:val="18"/>
                <w:szCs w:val="18"/>
                <w:color w:val="auto"/>
              </w:rPr>
            </w:pPr>
          </w:p>
        </w:tc>
        <w:tc>
          <w:tcPr>
            <w:tcW w:w="15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21,942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15,388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41,505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27,341</w:t>
            </w:r>
          </w:p>
        </w:tc>
      </w:tr>
      <w:tr>
        <w:trPr>
          <w:trHeight w:val="219"/>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8,400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7,976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16,623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15,762</w:t>
            </w:r>
          </w:p>
        </w:tc>
      </w:tr>
      <w:tr>
        <w:trPr>
          <w:trHeight w:val="216"/>
        </w:trPr>
        <w:tc>
          <w:tcPr>
            <w:tcW w:w="3940" w:type="dxa"/>
            <w:vAlign w:val="bottom"/>
          </w:tcPr>
          <w:p>
            <w:pPr>
              <w:ind w:left="360"/>
              <w:spacing w:after="0" w:line="216" w:lineRule="exact"/>
              <w:rPr>
                <w:sz w:val="20"/>
                <w:szCs w:val="20"/>
                <w:color w:val="auto"/>
              </w:rPr>
            </w:pPr>
            <w:r>
              <w:rPr>
                <w:rFonts w:ascii="Times New Roman" w:cs="Times New Roman" w:eastAsia="Times New Roman" w:hAnsi="Times New Roman"/>
                <w:sz w:val="16"/>
                <w:szCs w:val="16"/>
                <w:color w:val="auto"/>
              </w:rPr>
              <w:t xml:space="preserve">Transaction expenses, net </w:t>
            </w:r>
            <w:r>
              <w:rPr>
                <w:rFonts w:ascii="Times New Roman" w:cs="Times New Roman" w:eastAsia="Times New Roman" w:hAnsi="Times New Roman"/>
                <w:sz w:val="21"/>
                <w:szCs w:val="21"/>
                <w:color w:val="auto"/>
                <w:vertAlign w:val="superscript"/>
              </w:rPr>
              <w:t>(1)</w:t>
            </w:r>
          </w:p>
        </w:tc>
        <w:tc>
          <w:tcPr>
            <w:tcW w:w="240" w:type="dxa"/>
            <w:vAlign w:val="bottom"/>
          </w:tcPr>
          <w:p>
            <w:pPr>
              <w:spacing w:after="0"/>
              <w:rPr>
                <w:sz w:val="18"/>
                <w:szCs w:val="18"/>
                <w:color w:val="auto"/>
              </w:rPr>
            </w:pPr>
          </w:p>
        </w:tc>
        <w:tc>
          <w:tcPr>
            <w:tcW w:w="15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557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626</w:t>
            </w:r>
          </w:p>
        </w:tc>
      </w:tr>
      <w:tr>
        <w:trPr>
          <w:trHeight w:val="216"/>
        </w:trPr>
        <w:tc>
          <w:tcPr>
            <w:tcW w:w="394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6"/>
                <w:szCs w:val="16"/>
                <w:color w:val="auto"/>
              </w:rPr>
              <w:t xml:space="preserve">Impairments and loss on disposal of assets </w:t>
            </w:r>
            <w:r>
              <w:rPr>
                <w:rFonts w:ascii="Times New Roman" w:cs="Times New Roman" w:eastAsia="Times New Roman" w:hAnsi="Times New Roman"/>
                <w:sz w:val="21"/>
                <w:szCs w:val="21"/>
                <w:color w:val="auto"/>
                <w:vertAlign w:val="superscript"/>
              </w:rPr>
              <w:t>(2)</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155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234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163</w:t>
            </w:r>
          </w:p>
        </w:tc>
      </w:tr>
      <w:tr>
        <w:trPr>
          <w:trHeight w:val="216"/>
        </w:trPr>
        <w:tc>
          <w:tcPr>
            <w:tcW w:w="3940" w:type="dxa"/>
            <w:vAlign w:val="bottom"/>
          </w:tcPr>
          <w:p>
            <w:pPr>
              <w:ind w:left="360"/>
              <w:spacing w:after="0" w:line="216" w:lineRule="exact"/>
              <w:rPr>
                <w:sz w:val="20"/>
                <w:szCs w:val="20"/>
                <w:color w:val="auto"/>
              </w:rPr>
            </w:pPr>
            <w:r>
              <w:rPr>
                <w:rFonts w:ascii="Times New Roman" w:cs="Times New Roman" w:eastAsia="Times New Roman" w:hAnsi="Times New Roman"/>
                <w:sz w:val="16"/>
                <w:szCs w:val="16"/>
                <w:color w:val="auto"/>
              </w:rPr>
              <w:t xml:space="preserve">COVID-19 related charges </w:t>
            </w:r>
            <w:r>
              <w:rPr>
                <w:rFonts w:ascii="Times New Roman" w:cs="Times New Roman" w:eastAsia="Times New Roman" w:hAnsi="Times New Roman"/>
                <w:sz w:val="21"/>
                <w:szCs w:val="21"/>
                <w:color w:val="auto"/>
                <w:vertAlign w:val="superscript"/>
              </w:rPr>
              <w:t>(3)</w:t>
            </w:r>
          </w:p>
        </w:tc>
        <w:tc>
          <w:tcPr>
            <w:tcW w:w="24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w:t>
            </w:r>
          </w:p>
        </w:tc>
      </w:tr>
      <w:tr>
        <w:trPr>
          <w:trHeight w:val="210"/>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 level operating profit</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33,079</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34,066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66,518</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55,990</w:t>
            </w: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 sales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181,682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151,688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352,351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277,054</w:t>
            </w:r>
          </w:p>
        </w:tc>
      </w:tr>
      <w:tr>
        <w:trPr>
          <w:trHeight w:val="213"/>
        </w:trPr>
        <w:tc>
          <w:tcPr>
            <w:tcW w:w="3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from operations margin</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5.8 %</w:t>
            </w:r>
          </w:p>
        </w:tc>
      </w:tr>
      <w:tr>
        <w:trPr>
          <w:trHeight w:val="219"/>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Restaurant level operating profit margin</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20.2 %</w:t>
            </w: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information</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81"/>
        </w:trPr>
        <w:tc>
          <w:tcPr>
            <w:tcW w:w="3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 xml:space="preserve">Deferred rent expense </w:t>
            </w:r>
            <w:r>
              <w:rPr>
                <w:rFonts w:ascii="Times New Roman" w:cs="Times New Roman" w:eastAsia="Times New Roman" w:hAnsi="Times New Roman"/>
                <w:sz w:val="21"/>
                <w:szCs w:val="21"/>
                <w:color w:val="auto"/>
                <w:vertAlign w:val="superscript"/>
              </w:rPr>
              <w:t>(4)</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601</w:t>
            </w:r>
          </w:p>
        </w:tc>
        <w:tc>
          <w:tcPr>
            <w:tcW w:w="8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(796)</w:t>
            </w:r>
          </w:p>
        </w:tc>
        <w:tc>
          <w:tcPr>
            <w:tcW w:w="10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1,131</w:t>
            </w:r>
          </w:p>
        </w:tc>
        <w:tc>
          <w:tcPr>
            <w:tcW w:w="8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(1,734)</w:t>
            </w:r>
          </w:p>
        </w:tc>
      </w:tr>
    </w:tbl>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27" w:lineRule="exact"/>
        <w:rPr>
          <w:sz w:val="20"/>
          <w:szCs w:val="20"/>
          <w:color w:val="auto"/>
        </w:rPr>
      </w:pPr>
    </w:p>
    <w:p>
      <w:pPr>
        <w:jc w:val="both"/>
        <w:ind w:firstLine="8"/>
        <w:spacing w:after="0" w:line="247" w:lineRule="auto"/>
        <w:tabs>
          <w:tab w:leader="none" w:pos="232"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revaluations of contingent consideration payable to previous stockholders for tax savings generated through the use of federal and state loss carryforwards and general business credits that had been accumulated from operations prior to August 2017, (ii) gains or losses associated with lease or contract terminations, (iii) costs incurred in connection with the acquisition of franchise-owned restaurants, (iv) costs incurred in connection with the conversion of certain restaurants to company-owned restaurants operating under the First Watch trade name and (v) costs related to restaurant closures.</w:t>
      </w:r>
    </w:p>
    <w:p>
      <w:pPr>
        <w:spacing w:after="0" w:line="2" w:lineRule="exact"/>
        <w:rPr>
          <w:rFonts w:ascii="Times New Roman" w:cs="Times New Roman" w:eastAsia="Times New Roman" w:hAnsi="Times New Roman"/>
          <w:sz w:val="16"/>
          <w:szCs w:val="16"/>
          <w:color w:val="auto"/>
        </w:rPr>
      </w:pPr>
    </w:p>
    <w:p>
      <w:pPr>
        <w:ind w:firstLine="8"/>
        <w:spacing w:after="0" w:line="246" w:lineRule="auto"/>
        <w:tabs>
          <w:tab w:leader="none" w:pos="251"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related to the disposal of assets due to retirements, replacements or certain restaurant closures. There were no impairments recognized during the periods presented.</w:t>
      </w:r>
    </w:p>
    <w:p>
      <w:pPr>
        <w:ind w:left="240" w:hanging="232"/>
        <w:spacing w:after="0"/>
        <w:tabs>
          <w:tab w:leader="none" w:pos="2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incurred in connection with the economic impact of the COVID-19 pandemic.</w:t>
      </w:r>
    </w:p>
    <w:p>
      <w:pPr>
        <w:spacing w:after="0" w:line="5" w:lineRule="exact"/>
        <w:rPr>
          <w:rFonts w:ascii="Times New Roman" w:cs="Times New Roman" w:eastAsia="Times New Roman" w:hAnsi="Times New Roman"/>
          <w:sz w:val="16"/>
          <w:szCs w:val="16"/>
          <w:color w:val="auto"/>
        </w:rPr>
      </w:pPr>
    </w:p>
    <w:p>
      <w:pPr>
        <w:ind w:firstLine="8"/>
        <w:spacing w:after="0" w:line="275" w:lineRule="auto"/>
        <w:tabs>
          <w:tab w:leader="none" w:pos="242"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non-cash portion of straight-line rent expense recorded within Occupancy expenses on the Consolidated Statements of Operations and Comprehensive Income.</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June 26, 2022, we had cash and cash equivalents of $53.6 million and $98.8 million in outstanding borrowings, excluding unamortized debt issuance costs and deferred issuance costs. As of June 26, 2022, we had availability of $75.0 million under our revolving credit facility pursuant to our New Credit Agreement. Our principal uses of cash include capital expenditures for the development, acquisition or remodeling of restaurants, lease obligations, debt service payments and strategic infrastructure investments. Our requirements for working capital are not significant because our customers pay for their food and beverage purchases in cash or on debit or credit cards at the time of the sale and we are able to sell many of our inventory items before payment is due to the supplier of such items.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our cash flow from operations, availability under our New Credit Agreement and available cash and cash equivalents will be sufficient to meet our liquidity needs for at least the next 12 months. We anticipate that to the extent that we require additional liquidity, it will be funded through additional indebtedness, the issuance of equity, or a combination thereof. Although we believe that our current level of total available liquidity is sufficient to meet our short-term and long-term liquidity requirements, we regularly evaluate opportunities to improve our liquidity position in order to enhance financial flexibility. Although we have no specific current plans to do so, if we decide to pursue one or more significant acquisitions, we may incur additional debt or sell additional equity to finance such acquisitions, which would result in additional expenses or dilution.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estimate that our capital expenditures will total approximately $60.0 million to $70.0 million in 2022, which will be invested primarily in new restaurant projects, planned remodels and new in-restaurant technology. We plan to fund the capital expenditures primarily with cash generated from our operating activities as well as with borrowings from our new facilities pursuant to our New Credit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our cash provided by (used in) operating, investing and financing activities for the twenty-six weeks ended June 26, 2022 and June 27, 2021: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gridSpan w:val="4"/>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r>
      <w:tr>
        <w:trPr>
          <w:trHeight w:val="214"/>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18"/>
                <w:szCs w:val="18"/>
                <w:color w:val="auto"/>
              </w:rPr>
            </w:pPr>
          </w:p>
        </w:tc>
        <w:tc>
          <w:tcPr>
            <w:tcW w:w="18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JUNE 26, 2022</w:t>
            </w:r>
          </w:p>
        </w:tc>
        <w:tc>
          <w:tcPr>
            <w:tcW w:w="300" w:type="dxa"/>
            <w:vAlign w:val="bottom"/>
          </w:tcPr>
          <w:p>
            <w:pPr>
              <w:spacing w:after="0"/>
              <w:rPr>
                <w:sz w:val="18"/>
                <w:szCs w:val="18"/>
                <w:color w:val="auto"/>
              </w:rPr>
            </w:pPr>
          </w:p>
        </w:tc>
        <w:tc>
          <w:tcPr>
            <w:tcW w:w="170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JUNE 27, 2021</w:t>
            </w:r>
          </w:p>
        </w:tc>
      </w:tr>
      <w:tr>
        <w:trPr>
          <w:trHeight w:val="211"/>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31,812</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30,428</w:t>
            </w:r>
          </w:p>
        </w:tc>
      </w:tr>
      <w:tr>
        <w:trPr>
          <w:trHeight w:val="213"/>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used in investing activities</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(19,524)</w:t>
            </w:r>
          </w:p>
        </w:tc>
      </w:tr>
      <w:tr>
        <w:trPr>
          <w:trHeight w:val="21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used in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(1,717)</w:t>
            </w:r>
          </w:p>
        </w:tc>
      </w:tr>
      <w:tr>
        <w:trPr>
          <w:trHeight w:val="207"/>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in cash and cash equivalents and restricted cash</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1,702</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9,187</w:t>
            </w:r>
          </w:p>
        </w:tc>
      </w:tr>
      <w:tr>
        <w:trPr>
          <w:trHeight w:val="23"/>
        </w:trPr>
        <w:tc>
          <w:tcPr>
            <w:tcW w:w="7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Cash provided by operating activities during the twenty-six weeks ended June 26, 2022 increased to $31.8 million from $30.4 million during the twenty-six weeks ended June 27, 2021 primarily due to (i) the increase in net income of $5.6 million and (ii) the impact of non-cash charges of $7.8 million, partially offset by (iii) a net change in operating assets and liabilities of $12.0 million. The increase in the non-cash charges was primarily driven by additional stock-based compensation expense resulting from certain stock option awards that converted into time-based stock option awards upon closing of the IPO as well as new stock option awards issued under the 2021 Equity Plan. The net change of $12.0 million in operating assets and liabilities was primarily a result of (i) higher accrued compensation and (ii) the timing of operational payments.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increased to $26.9 million during the twenty-six weeks ended June 26, 2022 from $19.5 million during the twenty-six weeks ended June 27, 2021 primarily as a result of the increase in capital expenditures to support our restaurant growth and new restaurant technology.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increased to $3.2 million during the twenty-six weeks ended June 26, 2022 from $1.7 million during the twenty-six weeks ended June 27, 2021 primarily due to repayments made on the note payable.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upon the accompanying unaudited interim consolidated financial statements and notes thereto, which have been prepared in accordance with GAAP. The preparation of these unaudited interim consolidated financial statements and related notes requires us to make estimates and assumptions that affect the reported amounts of assets, liabilities, revenue and expenses. Certain of our accounting policies require the application of significant judgment by management in selecting the appropriate assumptions for calculating financial estimates. By their nature, these judgments are subject to an inherent degree of uncertainty. These judgments are based on our historical experience, terms of existing contracts, our evaluation of trends in the industry and information available from other outside sources, as appropriate. We evaluate our estimates and judgments on an on-going basis. Our actual results may differ from these estimates. Judgments and uncertainties affecting the application of those policies may result in materially different amounts being reported under different conditions or using different assumptions. There have been no significant changes to our critical accounting policies as disclosed in “</w:t>
      </w:r>
      <w:r>
        <w:rPr>
          <w:rFonts w:ascii="Times New Roman" w:cs="Times New Roman" w:eastAsia="Times New Roman" w:hAnsi="Times New Roman"/>
          <w:sz w:val="18"/>
          <w:szCs w:val="18"/>
          <w:i w:val="1"/>
          <w:iCs w:val="1"/>
          <w:color w:val="auto"/>
        </w:rPr>
        <w:t>Critical Accounting Estimates</w:t>
      </w:r>
      <w:r>
        <w:rPr>
          <w:rFonts w:ascii="Times New Roman" w:cs="Times New Roman" w:eastAsia="Times New Roman" w:hAnsi="Times New Roman"/>
          <w:sz w:val="18"/>
          <w:szCs w:val="18"/>
          <w:color w:val="auto"/>
        </w:rPr>
        <w:t>” in the 2021 Form 10-K.</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For a discussion of recently issued accounting pronouncements, 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in the accompanying notes to the unaudited interim consolidated financial statements.</w:t>
      </w:r>
    </w:p>
    <w:p>
      <w:pPr>
        <w:spacing w:after="0" w:line="26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exposure to market risks as disclosed in the 2021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responsible for establishing and maintaining disclosure controls and procedures, as defined in Rules 13a-15(e) and 15d-15(e) under the Securities Exchange Act of 1934, as amended (the “Exchange Act”), that are designed to ensure that information required to be disclosed in our reports filed under the Exchange Act, such as this Quarterly Report on Form 10-Q, is recorded, processed, summarized and reported within the time periods specified in the SEC’s rules and forms.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Disclosure controls and procedures also include, without limitation, controls and procedures that are designed to ensure that such information is accumulated and communicated to our management, including our Chief Executive Officer and Chief Financial Officer, as appropriate, to allow timely decisions regarding required disclosure.</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of the end of the period covered by this Quarterly Report on Form 10-Q. Due to the material weaknesses in our internal control over financial reporting discussed below, which were previously identified and disclosed in connection with our IPO and in our periodic reports filed with the SEC, our Chief Executive Officer and Chief Financial Officer concluded that, as of June 26, 2022, our disclosure controls and procedures were not effective. In light of this fact, our management has performed additional analyses, reconciliations, and other post-closing procedures and has concluded that, notwithstanding the material weaknesses in our internal control over financial reporting, the consolidated financial statements for the periods covered by and included in this Quarterly Report on Form 10-Q fairly present, in all material respects, our financial position, results of operations and cash flows for the periods presented in conformity with GAAP.</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Previously Reported Material Weaknesses in Internal Control Over Financial Reporting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identified material weaknesses in our internal control over financial reporting. The material weaknesses we identified were as follows: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did not design and maintain an effective internal control environment commensurate with the financial reporting requirements of a public company. Specifically, we lacked a sufficient complement of personnel with an appropriate level of knowledge, experience and training in internal control over financial reporting and the reporting requirements of a public company. Additionally, we did not formally delegate authority or establish appropriate segregation of duties in our finance and accounting functions. As a result, we did not perform an effective risk assessment nor did we design and maintain internal controls in response to the risks of material misstatement. These material weaknesses contributed to the following material weaknesses:</w:t>
      </w:r>
    </w:p>
    <w:p>
      <w:pPr>
        <w:spacing w:after="0" w:line="210" w:lineRule="exact"/>
        <w:rPr>
          <w:sz w:val="20"/>
          <w:szCs w:val="20"/>
          <w:color w:val="auto"/>
        </w:rPr>
      </w:pPr>
    </w:p>
    <w:p>
      <w:pPr>
        <w:jc w:val="both"/>
        <w:ind w:left="660" w:hanging="328"/>
        <w:spacing w:after="0" w:line="26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controls over the period-end financial reporting process, including controls over the preparation and review of account reconciliations and journal entries, and the appropriate classification and presentation of accounts and disclosures in the consolidated financial statements. This material weakness resulted in adjustments to accruals and within the statement of cash flows in our fiscal 2018 consolidated financial statements, which were recorded prior to the issuance of our fiscal 2018 consolidated financial statements.</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controls over the accounting for income taxes over the recording of deferred income taxes and the assessment of the realization of deferred tax assets. This material weakness resulted in adjustments to the income tax benefit, deferred taxes, goodwill, and liabilities in our fiscal 2018 consolidated financial statements, which were recorded prior to issuance. This material weakness also resulted in immaterial adjustments to the income tax benefit and deferred taxes and related disclosures in the fiscal 2017 and 2019 consolidated financial statements, which were corrected in the fiscal 2019 and 2020 consolidated financial statements, respectively. This material weakness also resulted in adjustments to the income tax expense and deferred taxes in our fiscal 2021 consolidated financial statements, which were recorded prior to issuance.</w:t>
      </w:r>
    </w:p>
    <w:p>
      <w:pPr>
        <w:spacing w:after="0" w:line="21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controls over information technology general controls for information systems and applications that are relevant to the preparation of the consolidated financial statements. Specifically, we did not design and maintain: sufficient user access controls to ensure appropriate segregation of duties and adequately restrict user and privileged access to financial applications, programs and data to appropriate Company personnel; program change management controls to ensure that information technology program and data changes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affecting financial information technology applications and underlying accounting records are identified, tested, authorized and implemented appropriately; computer operations controls to ensure that critical batch jobs are monitored, privileges are appropriately granted, and data backups are authorized and monitored; and testing and approval controls for program development to ensure that new software development is aligned with business and information technology requirements. The deficiencies, when aggregated, could impact our ability to maintain effective segregation of duties, as well as the effectiveness of information technology-dependent controls (such as automated controls that address the risk of material misstatement to one or more assertions, along with the information technology controls and underlying data that support the effectiveness of system-generated data and reports) that could result in misstatements potentially impacting all financial statement accounts and disclosures that would result in a material misstatement to the annual or interim consolidated financial statements that would not be prevented or detected. Therefore, we concluded the information technology deficiencies resulted in a material weakness. However, these information technology deficiencies did not result in any misstatements to the consolidated financial statements.</w:t>
      </w: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each of the aforementioned material weaknesses could result in a misstatement of the consolidated financial statements that would result in a material misstatement to the annual or interim consolidated financial statements that would not be prevented or detected.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Efforts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taken certain measures to remediate the material weaknesses described above, including hiring additional personnel, designing and implementing formal procedures and controls supporting the Company’s period-end financial reporting process, such as controls over the preparation and review of account reconciliations and disclosures in the consolidated financial statements and designing certain information technology general controls. We are in the process of implementing additional measures designed to enable us to meet the requirements of being a public company, improve our internal control over financial reporting and remediate the control deficiencies that led to the material weaknesses, including hiring additional information technology, finance and accounting personnel, evaluating our financial and information technology control environment and augmenting our internal controls with new accounting policies and procedures, and designing and implementing financial reporting controls, income tax controls, and information technology general controls. At this time, we cannot provide an estimate of costs expected to be incurred in connection with implementing a remediation plan; however, these remediation measures will be time consuming and will place significant demands on our financial and operational resources.</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believe that the efforts taken to date and those planned for remediation will improve the effectiveness of our internal control over financial reporting, these remediation efforts are ongoing and will require a sufficient period of time to operate for management to be able to conclude that the design is effective to address the risks of material misstatement and that such controls are operating effectively through testing of such controls. We may conclude that additional measures are necessary to remediate the material weaknesses in our internal control over financial reporting, which may necessitate additional evaluation and implementation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From time to time, we are involved in various claims and legal actions that arise in the ordinary course of business. We currently do not believe that the ultimate resolution of any of these actions, individually or taken in the aggregate, will have a material adverse effect on our financial position, results of operations, liquidity or capital resources. A significant increase in the number of claims or an increase in amounts owing under successful claims could materially adversely affect our business, financial condition, results of operations and cash flows. See Note 9,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 the accompanying notes to the unaudited interim consolidated financial statements.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other information discussed in this report, please consider the factors described in Part I, Item 1A., “Risk Factors” in our 2021 Form 10-K and in Part II. Item 1A. “Risk Factors” in our Quarterly Report on Form 10-Q as of and for the quarter ended March 27, 2022 which could materially affect our business, financial condition or future results. There have been no material changes to the risk factors disclosed in our 2021 Form 10-K as updated in our Quarterly Report on Form 10-Q as of and for the quarter ended March 27, 2022, but these are not the only risks facing our Company. Additional risks and uncertainties not currently known to us or that we currently deem to be immaterial also may adversely affect our business, financial condition or results of operations.</w:t>
      </w:r>
    </w:p>
    <w:p>
      <w:pPr>
        <w:spacing w:after="0" w:line="31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in the Exhibits index to this Form 10-Q are incorporated herein by reference.</w:t>
      </w:r>
    </w:p>
    <w:p>
      <w:pPr>
        <w:spacing w:after="0" w:line="200" w:lineRule="exact"/>
        <w:rPr>
          <w:sz w:val="20"/>
          <w:szCs w:val="20"/>
          <w:color w:val="auto"/>
        </w:rPr>
      </w:pPr>
    </w:p>
    <w:p>
      <w:pPr>
        <w:spacing w:after="0" w:line="302" w:lineRule="exact"/>
        <w:rPr>
          <w:sz w:val="20"/>
          <w:szCs w:val="20"/>
          <w:color w:val="auto"/>
        </w:rPr>
      </w:pPr>
    </w:p>
    <w:p>
      <w:pPr>
        <w:ind w:left="40"/>
        <w:spacing w:after="0"/>
        <w:tabs>
          <w:tab w:leader="none" w:pos="374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46716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6716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80"/>
        <w:spacing w:after="0" w:line="264" w:lineRule="auto"/>
        <w:rPr>
          <w:sz w:val="20"/>
          <w:szCs w:val="20"/>
          <w:color w:val="auto"/>
        </w:rPr>
      </w:pPr>
      <w:r>
        <w:rPr>
          <w:rFonts w:ascii="Times New Roman" w:cs="Times New Roman" w:eastAsia="Times New Roman" w:hAnsi="Times New Roman"/>
          <w:sz w:val="14"/>
          <w:szCs w:val="14"/>
          <w:b w:val="1"/>
          <w:bCs w:val="1"/>
          <w:color w:val="auto"/>
        </w:rPr>
        <w:t>FILINGS REFERENCED FOR 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-2540</wp:posOffset>
            </wp:positionV>
            <wp:extent cx="24003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31" w:lineRule="exact"/>
        <w:rPr>
          <w:sz w:val="20"/>
          <w:szCs w:val="20"/>
          <w:color w:val="auto"/>
        </w:rPr>
      </w:pPr>
    </w:p>
    <w:p>
      <w:pPr>
        <w:sectPr>
          <w:pgSz w:w="11900" w:h="16838" w:orient="portrait"/>
          <w:cols w:equalWidth="0" w:num="2">
            <w:col w:w="6920" w:space="560"/>
            <w:col w:w="3760"/>
          </w:cols>
          <w:pgMar w:left="320" w:top="121" w:right="339" w:bottom="1440" w:gutter="0" w:footer="0" w:header="0"/>
        </w:sectPr>
      </w:pPr>
    </w:p>
    <w:tbl>
      <w:tblPr>
        <w:tblLayout w:type="fixed"/>
        <w:tblInd w:w="200" w:type="dxa"/>
        <w:tblCellMar>
          <w:top w:w="0" w:type="dxa"/>
          <w:left w:w="0" w:type="dxa"/>
          <w:bottom w:w="0" w:type="dxa"/>
          <w:right w:w="0" w:type="dxa"/>
        </w:tblCellMar>
      </w:tblPr>
      <w:tr>
        <w:trPr>
          <w:trHeight w:val="207"/>
        </w:trPr>
        <w:tc>
          <w:tcPr>
            <w:tcW w:w="68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31.1</w:t>
            </w:r>
          </w:p>
        </w:tc>
        <w:tc>
          <w:tcPr>
            <w:tcW w:w="6120" w:type="dxa"/>
            <w:vAlign w:val="bottom"/>
            <w:tcBorders>
              <w:bottom w:val="single" w:sz="8" w:color="0000FF"/>
            </w:tcBorders>
            <w:gridSpan w:val="5"/>
          </w:tcPr>
          <w:p>
            <w:pPr>
              <w:ind w:left="20"/>
              <w:spacing w:after="0"/>
              <w:rPr>
                <w:sz w:val="20"/>
                <w:szCs w:val="20"/>
                <w:color w:val="auto"/>
              </w:rPr>
            </w:pPr>
            <w:r>
              <w:rPr>
                <w:rFonts w:ascii="Times New Roman" w:cs="Times New Roman" w:eastAsia="Times New Roman" w:hAnsi="Times New Roman"/>
                <w:sz w:val="18"/>
                <w:szCs w:val="18"/>
                <w:color w:val="0000FF"/>
                <w:w w:val="99"/>
              </w:rPr>
              <w:t>Certification of the Chief Executive Officer pursuant to Section 302 of the Sarbanes-</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680" w:type="dxa"/>
            <w:vAlign w:val="bottom"/>
            <w:vMerge w:val="continue"/>
          </w:tcPr>
          <w:p>
            <w:pPr>
              <w:spacing w:after="0"/>
              <w:rPr>
                <w:sz w:val="10"/>
                <w:szCs w:val="10"/>
                <w:color w:val="auto"/>
              </w:rPr>
            </w:pPr>
          </w:p>
        </w:tc>
        <w:tc>
          <w:tcPr>
            <w:tcW w:w="1360" w:type="dxa"/>
            <w:vAlign w:val="bottom"/>
            <w:gridSpan w:val="2"/>
            <w:vMerge w:val="restart"/>
          </w:tcPr>
          <w:p>
            <w:pPr>
              <w:ind w:left="20"/>
              <w:spacing w:after="0" w:line="156" w:lineRule="exact"/>
              <w:rPr>
                <w:sz w:val="20"/>
                <w:szCs w:val="20"/>
                <w:color w:val="auto"/>
              </w:rPr>
            </w:pPr>
            <w:r>
              <w:rPr>
                <w:rFonts w:ascii="Times New Roman" w:cs="Times New Roman" w:eastAsia="Times New Roman" w:hAnsi="Times New Roman"/>
                <w:sz w:val="18"/>
                <w:szCs w:val="18"/>
                <w:color w:val="0000FF"/>
                <w:w w:val="98"/>
              </w:rPr>
              <w:t>Oxley Act of 2002</w:t>
            </w:r>
          </w:p>
        </w:tc>
        <w:tc>
          <w:tcPr>
            <w:tcW w:w="4880" w:type="dxa"/>
            <w:vAlign w:val="bottom"/>
            <w:gridSpan w:val="4"/>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45"/>
        </w:trPr>
        <w:tc>
          <w:tcPr>
            <w:tcW w:w="680" w:type="dxa"/>
            <w:vAlign w:val="bottom"/>
          </w:tcPr>
          <w:p>
            <w:pPr>
              <w:spacing w:after="0"/>
              <w:rPr>
                <w:sz w:val="3"/>
                <w:szCs w:val="3"/>
                <w:color w:val="auto"/>
              </w:rPr>
            </w:pPr>
          </w:p>
        </w:tc>
        <w:tc>
          <w:tcPr>
            <w:tcW w:w="1360" w:type="dxa"/>
            <w:vAlign w:val="bottom"/>
            <w:tcBorders>
              <w:bottom w:val="single" w:sz="8" w:color="0000FF"/>
            </w:tcBorders>
            <w:gridSpan w:val="2"/>
            <w:vMerge w:val="continue"/>
          </w:tcPr>
          <w:p>
            <w:pPr>
              <w:spacing w:after="0"/>
              <w:rPr>
                <w:sz w:val="3"/>
                <w:szCs w:val="3"/>
                <w:color w:val="auto"/>
              </w:rPr>
            </w:pPr>
          </w:p>
        </w:tc>
        <w:tc>
          <w:tcPr>
            <w:tcW w:w="48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68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color w:val="auto"/>
              </w:rPr>
              <w:t>31.2</w:t>
            </w:r>
          </w:p>
        </w:tc>
        <w:tc>
          <w:tcPr>
            <w:tcW w:w="62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Section 302 of the Sarbanes-</w:t>
            </w:r>
          </w:p>
        </w:tc>
        <w:tc>
          <w:tcPr>
            <w:tcW w:w="0" w:type="dxa"/>
            <w:vAlign w:val="bottom"/>
          </w:tcPr>
          <w:p>
            <w:pPr>
              <w:spacing w:after="0"/>
              <w:rPr>
                <w:sz w:val="1"/>
                <w:szCs w:val="1"/>
                <w:color w:val="auto"/>
              </w:rPr>
            </w:pPr>
          </w:p>
        </w:tc>
      </w:tr>
      <w:tr>
        <w:trPr>
          <w:trHeight w:val="115"/>
        </w:trPr>
        <w:tc>
          <w:tcPr>
            <w:tcW w:w="680" w:type="dxa"/>
            <w:vAlign w:val="bottom"/>
            <w:vMerge w:val="continue"/>
          </w:tcPr>
          <w:p>
            <w:pPr>
              <w:spacing w:after="0"/>
              <w:rPr>
                <w:sz w:val="10"/>
                <w:szCs w:val="10"/>
                <w:color w:val="auto"/>
              </w:rPr>
            </w:pPr>
          </w:p>
        </w:tc>
        <w:tc>
          <w:tcPr>
            <w:tcW w:w="1360" w:type="dxa"/>
            <w:vAlign w:val="bottom"/>
            <w:tcBorders>
              <w:top w:val="single" w:sz="8" w:color="0000FF"/>
            </w:tcBorders>
            <w:gridSpan w:val="2"/>
            <w:vMerge w:val="restart"/>
          </w:tcPr>
          <w:p>
            <w:pPr>
              <w:ind w:left="20"/>
              <w:spacing w:after="0" w:line="156" w:lineRule="exact"/>
              <w:rPr>
                <w:sz w:val="20"/>
                <w:szCs w:val="20"/>
                <w:color w:val="auto"/>
              </w:rPr>
            </w:pPr>
            <w:r>
              <w:rPr>
                <w:rFonts w:ascii="Times New Roman" w:cs="Times New Roman" w:eastAsia="Times New Roman" w:hAnsi="Times New Roman"/>
                <w:sz w:val="18"/>
                <w:szCs w:val="18"/>
                <w:color w:val="0000FF"/>
                <w:w w:val="98"/>
              </w:rPr>
              <w:t>Oxley Act of 2002</w:t>
            </w:r>
          </w:p>
        </w:tc>
        <w:tc>
          <w:tcPr>
            <w:tcW w:w="4700" w:type="dxa"/>
            <w:vAlign w:val="bottom"/>
            <w:tcBorders>
              <w:top w:val="single" w:sz="8" w:color="0000FF"/>
            </w:tcBorders>
            <w:gridSpan w:val="2"/>
            <w:vMerge w:val="restart"/>
          </w:tcPr>
          <w:p>
            <w:pPr>
              <w:spacing w:after="0"/>
              <w:rPr>
                <w:sz w:val="10"/>
                <w:szCs w:val="10"/>
                <w:color w:val="auto"/>
              </w:rPr>
            </w:pPr>
          </w:p>
        </w:tc>
        <w:tc>
          <w:tcPr>
            <w:tcW w:w="18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46"/>
        </w:trPr>
        <w:tc>
          <w:tcPr>
            <w:tcW w:w="680" w:type="dxa"/>
            <w:vAlign w:val="bottom"/>
          </w:tcPr>
          <w:p>
            <w:pPr>
              <w:spacing w:after="0"/>
              <w:rPr>
                <w:sz w:val="3"/>
                <w:szCs w:val="3"/>
                <w:color w:val="auto"/>
              </w:rPr>
            </w:pPr>
          </w:p>
        </w:tc>
        <w:tc>
          <w:tcPr>
            <w:tcW w:w="1360" w:type="dxa"/>
            <w:vAlign w:val="bottom"/>
            <w:tcBorders>
              <w:bottom w:val="single" w:sz="8" w:color="0000FF"/>
            </w:tcBorders>
            <w:gridSpan w:val="2"/>
            <w:vMerge w:val="continue"/>
          </w:tcPr>
          <w:p>
            <w:pPr>
              <w:spacing w:after="0"/>
              <w:rPr>
                <w:sz w:val="3"/>
                <w:szCs w:val="3"/>
                <w:color w:val="auto"/>
              </w:rPr>
            </w:pPr>
          </w:p>
        </w:tc>
        <w:tc>
          <w:tcPr>
            <w:tcW w:w="4700" w:type="dxa"/>
            <w:vAlign w:val="bottom"/>
            <w:gridSpan w:val="2"/>
            <w:vMerge w:val="continue"/>
          </w:tcPr>
          <w:p>
            <w:pPr>
              <w:spacing w:after="0"/>
              <w:rPr>
                <w:sz w:val="3"/>
                <w:szCs w:val="3"/>
                <w:color w:val="auto"/>
              </w:rPr>
            </w:pPr>
          </w:p>
        </w:tc>
        <w:tc>
          <w:tcPr>
            <w:tcW w:w="1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62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FF"/>
              </w:rPr>
              <w:t>Certification of Chief Executive Officer and Chief Financial Officer pursuant to 18</w:t>
            </w:r>
          </w:p>
        </w:tc>
        <w:tc>
          <w:tcPr>
            <w:tcW w:w="0" w:type="dxa"/>
            <w:vAlign w:val="bottom"/>
          </w:tcPr>
          <w:p>
            <w:pPr>
              <w:spacing w:after="0"/>
              <w:rPr>
                <w:sz w:val="1"/>
                <w:szCs w:val="1"/>
                <w:color w:val="auto"/>
              </w:rPr>
            </w:pPr>
          </w:p>
        </w:tc>
      </w:tr>
      <w:tr>
        <w:trPr>
          <w:trHeight w:val="156"/>
        </w:trPr>
        <w:tc>
          <w:tcPr>
            <w:tcW w:w="680" w:type="dxa"/>
            <w:vAlign w:val="bottom"/>
          </w:tcPr>
          <w:p>
            <w:pPr>
              <w:jc w:val="center"/>
              <w:ind w:right="190"/>
              <w:spacing w:after="0" w:line="156" w:lineRule="exact"/>
              <w:rPr>
                <w:sz w:val="20"/>
                <w:szCs w:val="20"/>
                <w:color w:val="auto"/>
              </w:rPr>
            </w:pPr>
            <w:r>
              <w:rPr>
                <w:rFonts w:ascii="Times New Roman" w:cs="Times New Roman" w:eastAsia="Times New Roman" w:hAnsi="Times New Roman"/>
                <w:sz w:val="18"/>
                <w:szCs w:val="18"/>
                <w:color w:val="auto"/>
                <w:w w:val="98"/>
              </w:rPr>
              <w:t>32.1*</w:t>
            </w:r>
          </w:p>
        </w:tc>
        <w:tc>
          <w:tcPr>
            <w:tcW w:w="5980" w:type="dxa"/>
            <w:vAlign w:val="bottom"/>
            <w:tcBorders>
              <w:top w:val="single" w:sz="8" w:color="0000FF"/>
              <w:bottom w:val="single" w:sz="8" w:color="0000FF"/>
            </w:tcBorders>
            <w:gridSpan w:val="3"/>
          </w:tcPr>
          <w:p>
            <w:pPr>
              <w:ind w:left="20"/>
              <w:spacing w:after="0" w:line="156" w:lineRule="exact"/>
              <w:rPr>
                <w:sz w:val="20"/>
                <w:szCs w:val="20"/>
                <w:color w:val="auto"/>
              </w:rPr>
            </w:pPr>
            <w:r>
              <w:rPr>
                <w:rFonts w:ascii="Times New Roman" w:cs="Times New Roman" w:eastAsia="Times New Roman" w:hAnsi="Times New Roman"/>
                <w:sz w:val="18"/>
                <w:szCs w:val="18"/>
                <w:color w:val="0000FF"/>
                <w:w w:val="98"/>
              </w:rPr>
              <w:t>U.S.C. Section 1350, as adopted pursuant to Section 906 of the Sarbanes-Oxley Act</w:t>
            </w:r>
          </w:p>
        </w:tc>
        <w:tc>
          <w:tcPr>
            <w:tcW w:w="260" w:type="dxa"/>
            <w:vAlign w:val="bottom"/>
            <w:tcBorders>
              <w:bottom w:val="single" w:sz="8" w:color="0000FF"/>
            </w:tcBorders>
            <w:gridSpan w:val="3"/>
          </w:tcPr>
          <w:p>
            <w:pPr>
              <w:ind w:left="120"/>
              <w:spacing w:after="0" w:line="156" w:lineRule="exact"/>
              <w:rPr>
                <w:sz w:val="20"/>
                <w:szCs w:val="20"/>
                <w:color w:val="auto"/>
              </w:rPr>
            </w:pPr>
            <w:r>
              <w:rPr>
                <w:rFonts w:ascii="Times New Roman" w:cs="Times New Roman" w:eastAsia="Times New Roman" w:hAnsi="Times New Roman"/>
                <w:sz w:val="18"/>
                <w:szCs w:val="18"/>
                <w:color w:val="0000FF"/>
                <w:w w:val="79"/>
              </w:rPr>
              <w:t>of</w:t>
            </w: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360" w:type="dxa"/>
            <w:vAlign w:val="bottom"/>
            <w:tcBorders>
              <w:bottom w:val="single" w:sz="8" w:color="0000FF"/>
            </w:tcBorders>
          </w:tcPr>
          <w:p>
            <w:pPr>
              <w:ind w:left="20"/>
              <w:spacing w:after="0" w:line="169" w:lineRule="exact"/>
              <w:rPr>
                <w:sz w:val="20"/>
                <w:szCs w:val="20"/>
                <w:color w:val="auto"/>
              </w:rPr>
            </w:pPr>
            <w:r>
              <w:rPr>
                <w:rFonts w:ascii="Times New Roman" w:cs="Times New Roman" w:eastAsia="Times New Roman" w:hAnsi="Times New Roman"/>
                <w:sz w:val="18"/>
                <w:szCs w:val="18"/>
                <w:color w:val="0000FF"/>
                <w:w w:val="88"/>
              </w:rPr>
              <w:t>2002</w:t>
            </w:r>
          </w:p>
        </w:tc>
        <w:tc>
          <w:tcPr>
            <w:tcW w:w="100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The financial information from First Watch Restaurant Group, Inc’s Quarterly Report on</w:t>
      </w:r>
    </w:p>
    <w:p>
      <w:pPr>
        <w:spacing w:after="0" w:line="27" w:lineRule="exact"/>
        <w:rPr>
          <w:sz w:val="20"/>
          <w:szCs w:val="20"/>
          <w:color w:val="auto"/>
        </w:rPr>
      </w:pPr>
    </w:p>
    <w:p>
      <w:pPr>
        <w:ind w:left="900" w:right="160" w:hanging="642"/>
        <w:spacing w:after="0" w:line="243"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10-Q for the second fiscal quarter ended June 26, 2022, filed on August 9, 2022, formatted in Inline Extensible Business Reporting Language (“iXBRL”)</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38" w:lineRule="exact"/>
        <w:rPr>
          <w:sz w:val="20"/>
          <w:szCs w:val="20"/>
          <w:color w:val="auto"/>
        </w:rPr>
      </w:pPr>
    </w:p>
    <w:p>
      <w:pPr>
        <w:sectPr>
          <w:pgSz w:w="11900" w:h="16838" w:orient="portrait"/>
          <w:cols w:equalWidth="0" w:num="2">
            <w:col w:w="7280" w:space="200"/>
            <w:col w:w="3760"/>
          </w:cols>
          <w:pgMar w:left="320" w:top="121" w:right="339" w:bottom="1440" w:gutter="0" w:footer="0" w:header="0"/>
          <w:type w:val="continuous"/>
        </w:sectPr>
      </w:pPr>
    </w:p>
    <w:p>
      <w:pPr>
        <w:ind w:left="260"/>
        <w:spacing w:after="0"/>
        <w:tabs>
          <w:tab w:leader="none" w:pos="880" w:val="left"/>
          <w:tab w:leader="none" w:pos="74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Date File (formatted as iXBRL and contained in Exhibit 101)</w:t>
      </w:r>
      <w:r>
        <w:rPr>
          <w:sz w:val="20"/>
          <w:szCs w:val="20"/>
          <w:color w:val="auto"/>
        </w:rPr>
        <w:tab/>
      </w:r>
      <w:r>
        <w:rPr>
          <w:rFonts w:ascii="Times New Roman" w:cs="Times New Roman" w:eastAsia="Times New Roman" w:hAnsi="Times New Roman"/>
          <w:sz w:val="17"/>
          <w:szCs w:val="17"/>
          <w:color w:val="auto"/>
        </w:rPr>
        <w:t>Filed herewith</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27" w:lineRule="exact"/>
        <w:rPr>
          <w:sz w:val="20"/>
          <w:szCs w:val="20"/>
          <w:color w:val="auto"/>
        </w:rPr>
      </w:pPr>
    </w:p>
    <w:p>
      <w:pPr>
        <w:jc w:val="both"/>
        <w:ind w:firstLine="8"/>
        <w:spacing w:after="0" w:line="254" w:lineRule="auto"/>
        <w:tabs>
          <w:tab w:leader="none" w:pos="124"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certification is not deemed to be “filed” for purposes of Section 18 of the Exchange Act, or otherwise subject to the liability of that section. This certification will not be deemed to be incorporated by reference into any filing under the Securities Act or the Exchange Act, except to the extent that the registrant specifically incorporates them by reference.</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August 9, 2022.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283" w:lineRule="exact"/>
        <w:rPr>
          <w:sz w:val="20"/>
          <w:szCs w:val="20"/>
          <w:color w:val="auto"/>
        </w:rPr>
      </w:pPr>
    </w:p>
    <w:tbl>
      <w:tblPr>
        <w:tblLayout w:type="fixed"/>
        <w:tblInd w:w="588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A. Tomasso</w:t>
            </w:r>
          </w:p>
        </w:tc>
      </w:tr>
      <w:tr>
        <w:trPr>
          <w:trHeight w:val="21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A. Tomasso</w:t>
            </w:r>
          </w:p>
        </w:tc>
      </w:tr>
      <w:tr>
        <w:trPr>
          <w:trHeight w:val="180"/>
        </w:trPr>
        <w:tc>
          <w:tcPr>
            <w:tcW w:w="720" w:type="dxa"/>
            <w:vAlign w:val="bottom"/>
          </w:tcPr>
          <w:p>
            <w:pPr>
              <w:spacing w:after="0"/>
              <w:rPr>
                <w:sz w:val="15"/>
                <w:szCs w:val="15"/>
                <w:color w:val="auto"/>
              </w:rPr>
            </w:pPr>
          </w:p>
        </w:tc>
        <w:tc>
          <w:tcPr>
            <w:tcW w:w="46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President, Chief Executive Officer and Director (Principal</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Officer)</w:t>
            </w:r>
          </w:p>
        </w:tc>
      </w:tr>
      <w:tr>
        <w:trPr>
          <w:trHeight w:val="48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Mel Hope</w:t>
            </w:r>
          </w:p>
        </w:tc>
      </w:tr>
      <w:tr>
        <w:trPr>
          <w:trHeight w:val="21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Mel Hope</w:t>
            </w:r>
          </w:p>
        </w:tc>
      </w:tr>
      <w:tr>
        <w:trPr>
          <w:trHeight w:val="180"/>
        </w:trPr>
        <w:tc>
          <w:tcPr>
            <w:tcW w:w="720" w:type="dxa"/>
            <w:vAlign w:val="bottom"/>
          </w:tcPr>
          <w:p>
            <w:pPr>
              <w:spacing w:after="0"/>
              <w:rPr>
                <w:sz w:val="15"/>
                <w:szCs w:val="15"/>
                <w:color w:val="auto"/>
              </w:rPr>
            </w:pPr>
          </w:p>
        </w:tc>
        <w:tc>
          <w:tcPr>
            <w:tcW w:w="46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 (Principal Financial Officer and</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21" w:right="339" w:bottom="1440" w:gutter="0" w:footer="0" w:header="0"/>
          <w:type w:val="continuous"/>
        </w:sectPr>
      </w:pPr>
    </w:p>
    <w:bookmarkStart w:id="36" w:name="page37"/>
    <w:bookmarkEnd w:id="36"/>
    <w:p>
      <w:pPr>
        <w:ind w:left="1036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50" w:lineRule="exact"/>
        <w:rPr>
          <w:sz w:val="20"/>
          <w:szCs w:val="20"/>
          <w:color w:val="auto"/>
        </w:rPr>
      </w:pPr>
    </w:p>
    <w:p>
      <w:pPr>
        <w:jc w:val="center"/>
        <w:ind w:left="340" w:right="200"/>
        <w:spacing w:after="0" w:line="302" w:lineRule="auto"/>
        <w:rPr>
          <w:sz w:val="20"/>
          <w:szCs w:val="20"/>
          <w:color w:val="auto"/>
        </w:rPr>
      </w:pPr>
      <w:r>
        <w:rPr>
          <w:rFonts w:ascii="Times New Roman" w:cs="Times New Roman" w:eastAsia="Times New Roman" w:hAnsi="Times New Roman"/>
          <w:sz w:val="17"/>
          <w:szCs w:val="17"/>
          <w:b w:val="1"/>
          <w:bCs w:val="1"/>
          <w:color w:val="auto"/>
        </w:rPr>
        <w:t>Certification of Principal Executive Officer Pursuant to Exchange Act Rule 13a-14(a)/15d-14(a) as Adopted Pursuant to Section 302 of the Sarbanes-Oxley Act of 2002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Christopher A. Tomasso, certify that:</w:t>
      </w:r>
    </w:p>
    <w:p>
      <w:pPr>
        <w:spacing w:after="0" w:line="264" w:lineRule="exact"/>
        <w:rPr>
          <w:sz w:val="20"/>
          <w:szCs w:val="20"/>
          <w:color w:val="auto"/>
        </w:rPr>
      </w:pPr>
    </w:p>
    <w:p>
      <w:pPr>
        <w:ind w:left="680" w:hanging="348"/>
        <w:spacing w:after="0"/>
        <w:tabs>
          <w:tab w:leader="none" w:pos="680" w:val="left"/>
        </w:tabs>
        <w:numPr>
          <w:ilvl w:val="0"/>
          <w:numId w:val="16"/>
        </w:numPr>
        <w:rPr>
          <w:rFonts w:ascii="Arial" w:cs="Arial" w:eastAsia="Arial" w:hAnsi="Arial"/>
          <w:sz w:val="18"/>
          <w:szCs w:val="18"/>
          <w:color w:val="auto"/>
        </w:rPr>
      </w:pPr>
      <w:r>
        <w:rPr>
          <w:rFonts w:ascii="Times New Roman" w:cs="Times New Roman" w:eastAsia="Times New Roman" w:hAnsi="Times New Roman"/>
          <w:sz w:val="17"/>
          <w:szCs w:val="17"/>
          <w:color w:val="auto"/>
        </w:rPr>
        <w:t>I have reviewed this Quarterly Report on Form 10-Q of First Watch Restaurant Group, Inc.;</w:t>
      </w:r>
    </w:p>
    <w:p>
      <w:pPr>
        <w:spacing w:after="0" w:line="265" w:lineRule="exact"/>
        <w:rPr>
          <w:rFonts w:ascii="Arial" w:cs="Arial" w:eastAsia="Arial" w:hAnsi="Arial"/>
          <w:sz w:val="18"/>
          <w:szCs w:val="18"/>
          <w:color w:val="auto"/>
        </w:rPr>
      </w:pPr>
    </w:p>
    <w:p>
      <w:pPr>
        <w:ind w:left="660" w:hanging="328"/>
        <w:spacing w:after="0" w:line="267" w:lineRule="auto"/>
        <w:tabs>
          <w:tab w:leader="none" w:pos="675" w:val="left"/>
        </w:tabs>
        <w:numPr>
          <w:ilvl w:val="0"/>
          <w:numId w:val="16"/>
        </w:numPr>
        <w:rPr>
          <w:rFonts w:ascii="Arial" w:cs="Arial" w:eastAsia="Arial" w:hAnsi="Arial"/>
          <w:sz w:val="18"/>
          <w:szCs w:val="18"/>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3" w:lineRule="exact"/>
        <w:rPr>
          <w:rFonts w:ascii="Arial" w:cs="Arial" w:eastAsia="Arial" w:hAnsi="Arial"/>
          <w:sz w:val="18"/>
          <w:szCs w:val="18"/>
          <w:color w:val="auto"/>
        </w:rPr>
      </w:pPr>
    </w:p>
    <w:p>
      <w:pPr>
        <w:ind w:left="660" w:hanging="328"/>
        <w:spacing w:after="0" w:line="267" w:lineRule="auto"/>
        <w:tabs>
          <w:tab w:leader="none" w:pos="675" w:val="left"/>
        </w:tabs>
        <w:numPr>
          <w:ilvl w:val="0"/>
          <w:numId w:val="16"/>
        </w:numPr>
        <w:rPr>
          <w:rFonts w:ascii="Arial" w:cs="Arial" w:eastAsia="Arial" w:hAnsi="Arial"/>
          <w:sz w:val="18"/>
          <w:szCs w:val="18"/>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3" w:lineRule="exact"/>
        <w:rPr>
          <w:rFonts w:ascii="Arial" w:cs="Arial" w:eastAsia="Arial" w:hAnsi="Arial"/>
          <w:sz w:val="18"/>
          <w:szCs w:val="18"/>
          <w:color w:val="auto"/>
        </w:rPr>
      </w:pPr>
    </w:p>
    <w:p>
      <w:pPr>
        <w:ind w:left="660" w:hanging="328"/>
        <w:spacing w:after="0" w:line="267" w:lineRule="auto"/>
        <w:tabs>
          <w:tab w:leader="none" w:pos="675" w:val="left"/>
        </w:tabs>
        <w:numPr>
          <w:ilvl w:val="0"/>
          <w:numId w:val="16"/>
        </w:numPr>
        <w:rPr>
          <w:rFonts w:ascii="Arial" w:cs="Arial" w:eastAsia="Arial" w:hAnsi="Arial"/>
          <w:sz w:val="18"/>
          <w:szCs w:val="18"/>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227" w:lineRule="exact"/>
        <w:rPr>
          <w:rFonts w:ascii="Arial" w:cs="Arial" w:eastAsia="Arial" w:hAnsi="Arial"/>
          <w:sz w:val="18"/>
          <w:szCs w:val="18"/>
          <w:color w:val="auto"/>
        </w:rPr>
      </w:pPr>
    </w:p>
    <w:p>
      <w:pPr>
        <w:jc w:val="both"/>
        <w:ind w:left="980" w:hanging="324"/>
        <w:spacing w:after="0" w:line="257" w:lineRule="auto"/>
        <w:tabs>
          <w:tab w:leader="none" w:pos="1011" w:val="left"/>
        </w:tabs>
        <w:numPr>
          <w:ilvl w:val="1"/>
          <w:numId w:val="16"/>
        </w:numPr>
        <w:rPr>
          <w:rFonts w:ascii="Arial" w:cs="Arial" w:eastAsia="Arial" w:hAnsi="Arial"/>
          <w:sz w:val="18"/>
          <w:szCs w:val="18"/>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3" w:lineRule="exact"/>
        <w:rPr>
          <w:rFonts w:ascii="Arial" w:cs="Arial" w:eastAsia="Arial" w:hAnsi="Arial"/>
          <w:sz w:val="18"/>
          <w:szCs w:val="18"/>
          <w:color w:val="auto"/>
        </w:rPr>
      </w:pPr>
    </w:p>
    <w:p>
      <w:pPr>
        <w:ind w:left="1020" w:hanging="364"/>
        <w:spacing w:after="0"/>
        <w:tabs>
          <w:tab w:leader="none" w:pos="1020" w:val="left"/>
        </w:tabs>
        <w:numPr>
          <w:ilvl w:val="1"/>
          <w:numId w:val="16"/>
        </w:numPr>
        <w:rPr>
          <w:rFonts w:ascii="Arial" w:cs="Arial" w:eastAsia="Arial" w:hAnsi="Arial"/>
          <w:sz w:val="18"/>
          <w:szCs w:val="18"/>
          <w:color w:val="auto"/>
        </w:rPr>
      </w:pPr>
      <w:r>
        <w:rPr>
          <w:rFonts w:ascii="Times New Roman" w:cs="Times New Roman" w:eastAsia="Times New Roman" w:hAnsi="Times New Roman"/>
          <w:sz w:val="17"/>
          <w:szCs w:val="17"/>
          <w:color w:val="auto"/>
        </w:rPr>
        <w:t>[Omitted];</w:t>
      </w:r>
    </w:p>
    <w:p>
      <w:pPr>
        <w:spacing w:after="0" w:line="252" w:lineRule="exact"/>
        <w:rPr>
          <w:rFonts w:ascii="Arial" w:cs="Arial" w:eastAsia="Arial" w:hAnsi="Arial"/>
          <w:sz w:val="18"/>
          <w:szCs w:val="18"/>
          <w:color w:val="auto"/>
        </w:rPr>
      </w:pPr>
    </w:p>
    <w:p>
      <w:pPr>
        <w:ind w:left="980" w:hanging="324"/>
        <w:spacing w:after="0" w:line="283" w:lineRule="auto"/>
        <w:tabs>
          <w:tab w:leader="none" w:pos="1014" w:val="left"/>
        </w:tabs>
        <w:numPr>
          <w:ilvl w:val="1"/>
          <w:numId w:val="16"/>
        </w:numPr>
        <w:rPr>
          <w:rFonts w:ascii="Arial" w:cs="Arial" w:eastAsia="Arial" w:hAnsi="Arial"/>
          <w:sz w:val="18"/>
          <w:szCs w:val="18"/>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8"/>
          <w:szCs w:val="18"/>
          <w:color w:val="auto"/>
        </w:rPr>
      </w:pPr>
    </w:p>
    <w:p>
      <w:pPr>
        <w:jc w:val="both"/>
        <w:ind w:left="980" w:hanging="324"/>
        <w:spacing w:after="0" w:line="257" w:lineRule="auto"/>
        <w:tabs>
          <w:tab w:leader="none" w:pos="1011" w:val="left"/>
        </w:tabs>
        <w:numPr>
          <w:ilvl w:val="1"/>
          <w:numId w:val="16"/>
        </w:numPr>
        <w:rPr>
          <w:rFonts w:ascii="Arial" w:cs="Arial" w:eastAsia="Arial" w:hAnsi="Arial"/>
          <w:sz w:val="18"/>
          <w:szCs w:val="18"/>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3" w:lineRule="exact"/>
        <w:rPr>
          <w:rFonts w:ascii="Arial" w:cs="Arial" w:eastAsia="Arial" w:hAnsi="Arial"/>
          <w:sz w:val="18"/>
          <w:szCs w:val="18"/>
          <w:color w:val="auto"/>
        </w:rPr>
      </w:pPr>
    </w:p>
    <w:p>
      <w:pPr>
        <w:ind w:left="660" w:hanging="328"/>
        <w:spacing w:after="0" w:line="283" w:lineRule="auto"/>
        <w:tabs>
          <w:tab w:leader="none" w:pos="675" w:val="left"/>
        </w:tabs>
        <w:numPr>
          <w:ilvl w:val="0"/>
          <w:numId w:val="16"/>
        </w:numPr>
        <w:rPr>
          <w:rFonts w:ascii="Arial" w:cs="Arial" w:eastAsia="Arial" w:hAnsi="Arial"/>
          <w:sz w:val="18"/>
          <w:szCs w:val="18"/>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6" w:lineRule="exact"/>
        <w:rPr>
          <w:rFonts w:ascii="Arial" w:cs="Arial" w:eastAsia="Arial" w:hAnsi="Arial"/>
          <w:sz w:val="18"/>
          <w:szCs w:val="18"/>
          <w:color w:val="auto"/>
        </w:rPr>
      </w:pPr>
    </w:p>
    <w:p>
      <w:pPr>
        <w:ind w:left="980" w:right="20" w:hanging="324"/>
        <w:spacing w:after="0" w:line="281" w:lineRule="auto"/>
        <w:tabs>
          <w:tab w:leader="none" w:pos="967"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Times New Roman" w:cs="Times New Roman" w:eastAsia="Times New Roman" w:hAnsi="Times New Roman"/>
          <w:sz w:val="17"/>
          <w:szCs w:val="17"/>
          <w:color w:val="auto"/>
        </w:rPr>
      </w:pPr>
    </w:p>
    <w:p>
      <w:pPr>
        <w:ind w:left="980" w:hanging="324"/>
        <w:spacing w:after="0" w:line="281" w:lineRule="auto"/>
        <w:tabs>
          <w:tab w:leader="none" w:pos="977"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August 9, 2022</w:t>
      </w:r>
    </w:p>
    <w:p>
      <w:pPr>
        <w:spacing w:after="0" w:line="16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u w:val="single" w:color="auto"/>
          <w:color w:val="auto"/>
        </w:rPr>
        <w:t>/s/ Christopher A. Tomasso</w:t>
      </w:r>
    </w:p>
    <w:p>
      <w:pPr>
        <w:spacing w:after="0" w:line="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Christopher A. Tomasso</w:t>
      </w:r>
    </w:p>
    <w:p>
      <w:pPr>
        <w:spacing w:after="0" w:line="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1410"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 Pursuant to Exchange Act Rule 13a-14(a)/15d-14(a) as Adopted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302 of the Sarbanes-Oxley Act of 2002</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Mel Hope, certify that:</w:t>
      </w:r>
    </w:p>
    <w:p>
      <w:pPr>
        <w:spacing w:after="0" w:line="264" w:lineRule="exact"/>
        <w:rPr>
          <w:sz w:val="20"/>
          <w:szCs w:val="20"/>
          <w:color w:val="auto"/>
        </w:rPr>
      </w:pPr>
    </w:p>
    <w:p>
      <w:pPr>
        <w:ind w:left="680" w:hanging="348"/>
        <w:spacing w:after="0"/>
        <w:tabs>
          <w:tab w:leader="none" w:pos="680"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7"/>
          <w:szCs w:val="17"/>
          <w:color w:val="auto"/>
        </w:rPr>
        <w:t>I have reviewed this Quarterly Report on Form 10-Q of First Watch Restaurant Group, Inc.;</w:t>
      </w:r>
    </w:p>
    <w:p>
      <w:pPr>
        <w:spacing w:after="0" w:line="265" w:lineRule="exact"/>
        <w:rPr>
          <w:rFonts w:ascii="Arial" w:cs="Arial" w:eastAsia="Arial" w:hAnsi="Arial"/>
          <w:sz w:val="18"/>
          <w:szCs w:val="18"/>
          <w:color w:val="auto"/>
        </w:rPr>
      </w:pPr>
    </w:p>
    <w:p>
      <w:pPr>
        <w:ind w:left="660" w:hanging="328"/>
        <w:spacing w:after="0" w:line="267" w:lineRule="auto"/>
        <w:tabs>
          <w:tab w:leader="none" w:pos="675"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3" w:lineRule="exact"/>
        <w:rPr>
          <w:rFonts w:ascii="Arial" w:cs="Arial" w:eastAsia="Arial" w:hAnsi="Arial"/>
          <w:sz w:val="18"/>
          <w:szCs w:val="18"/>
          <w:color w:val="auto"/>
        </w:rPr>
      </w:pPr>
    </w:p>
    <w:p>
      <w:pPr>
        <w:ind w:left="660" w:hanging="328"/>
        <w:spacing w:after="0" w:line="267" w:lineRule="auto"/>
        <w:tabs>
          <w:tab w:leader="none" w:pos="675"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3" w:lineRule="exact"/>
        <w:rPr>
          <w:rFonts w:ascii="Arial" w:cs="Arial" w:eastAsia="Arial" w:hAnsi="Arial"/>
          <w:sz w:val="18"/>
          <w:szCs w:val="18"/>
          <w:color w:val="auto"/>
        </w:rPr>
      </w:pPr>
    </w:p>
    <w:p>
      <w:pPr>
        <w:ind w:left="660" w:hanging="328"/>
        <w:spacing w:after="0" w:line="283" w:lineRule="auto"/>
        <w:tabs>
          <w:tab w:leader="none" w:pos="675"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200" w:lineRule="exact"/>
        <w:rPr>
          <w:rFonts w:ascii="Arial" w:cs="Arial" w:eastAsia="Arial" w:hAnsi="Arial"/>
          <w:sz w:val="18"/>
          <w:szCs w:val="18"/>
          <w:color w:val="auto"/>
        </w:rPr>
      </w:pPr>
    </w:p>
    <w:p>
      <w:pPr>
        <w:jc w:val="both"/>
        <w:ind w:left="980" w:hanging="324"/>
        <w:spacing w:after="0" w:line="257" w:lineRule="auto"/>
        <w:tabs>
          <w:tab w:leader="none" w:pos="1011" w:val="left"/>
        </w:tabs>
        <w:numPr>
          <w:ilvl w:val="1"/>
          <w:numId w:val="17"/>
        </w:numPr>
        <w:rPr>
          <w:rFonts w:ascii="Arial" w:cs="Arial" w:eastAsia="Arial" w:hAnsi="Arial"/>
          <w:sz w:val="18"/>
          <w:szCs w:val="18"/>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980" w:hanging="324"/>
        <w:spacing w:after="0"/>
        <w:tabs>
          <w:tab w:leader="none" w:pos="98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[Omitted];</w:t>
      </w:r>
    </w:p>
    <w:p>
      <w:pPr>
        <w:spacing w:after="0" w:line="263" w:lineRule="exact"/>
        <w:rPr>
          <w:rFonts w:ascii="Times New Roman" w:cs="Times New Roman" w:eastAsia="Times New Roman" w:hAnsi="Times New Roman"/>
          <w:sz w:val="17"/>
          <w:szCs w:val="17"/>
          <w:color w:val="auto"/>
        </w:rPr>
      </w:pPr>
    </w:p>
    <w:p>
      <w:pPr>
        <w:ind w:left="980" w:hanging="324"/>
        <w:spacing w:after="0" w:line="283" w:lineRule="auto"/>
        <w:tabs>
          <w:tab w:leader="none" w:pos="1014" w:val="left"/>
        </w:tabs>
        <w:numPr>
          <w:ilvl w:val="1"/>
          <w:numId w:val="17"/>
        </w:numPr>
        <w:rPr>
          <w:rFonts w:ascii="Arial" w:cs="Arial" w:eastAsia="Arial" w:hAnsi="Arial"/>
          <w:sz w:val="18"/>
          <w:szCs w:val="18"/>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8"/>
          <w:szCs w:val="18"/>
          <w:color w:val="auto"/>
        </w:rPr>
      </w:pPr>
    </w:p>
    <w:p>
      <w:pPr>
        <w:jc w:val="both"/>
        <w:ind w:left="980" w:hanging="324"/>
        <w:spacing w:after="0" w:line="257" w:lineRule="auto"/>
        <w:tabs>
          <w:tab w:leader="none" w:pos="1011" w:val="left"/>
        </w:tabs>
        <w:numPr>
          <w:ilvl w:val="1"/>
          <w:numId w:val="17"/>
        </w:numPr>
        <w:rPr>
          <w:rFonts w:ascii="Arial" w:cs="Arial" w:eastAsia="Arial" w:hAnsi="Arial"/>
          <w:sz w:val="18"/>
          <w:szCs w:val="18"/>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3" w:lineRule="exact"/>
        <w:rPr>
          <w:rFonts w:ascii="Arial" w:cs="Arial" w:eastAsia="Arial" w:hAnsi="Arial"/>
          <w:sz w:val="18"/>
          <w:szCs w:val="18"/>
          <w:color w:val="auto"/>
        </w:rPr>
      </w:pPr>
    </w:p>
    <w:p>
      <w:pPr>
        <w:ind w:left="660" w:hanging="328"/>
        <w:spacing w:after="0" w:line="283" w:lineRule="auto"/>
        <w:tabs>
          <w:tab w:leader="none" w:pos="675" w:val="left"/>
        </w:tabs>
        <w:numPr>
          <w:ilvl w:val="0"/>
          <w:numId w:val="17"/>
        </w:numPr>
        <w:rPr>
          <w:rFonts w:ascii="Arial" w:cs="Arial" w:eastAsia="Arial" w:hAnsi="Arial"/>
          <w:sz w:val="18"/>
          <w:szCs w:val="18"/>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6" w:lineRule="exact"/>
        <w:rPr>
          <w:rFonts w:ascii="Arial" w:cs="Arial" w:eastAsia="Arial" w:hAnsi="Arial"/>
          <w:sz w:val="18"/>
          <w:szCs w:val="18"/>
          <w:color w:val="auto"/>
        </w:rPr>
      </w:pPr>
    </w:p>
    <w:p>
      <w:pPr>
        <w:ind w:left="980" w:right="20" w:hanging="324"/>
        <w:spacing w:after="0" w:line="281" w:lineRule="auto"/>
        <w:tabs>
          <w:tab w:leader="none" w:pos="967"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Times New Roman" w:cs="Times New Roman" w:eastAsia="Times New Roman" w:hAnsi="Times New Roman"/>
          <w:sz w:val="17"/>
          <w:szCs w:val="17"/>
          <w:color w:val="auto"/>
        </w:rPr>
      </w:pPr>
    </w:p>
    <w:p>
      <w:pPr>
        <w:ind w:left="980" w:hanging="324"/>
        <w:spacing w:after="0" w:line="281" w:lineRule="auto"/>
        <w:tabs>
          <w:tab w:leader="none" w:pos="977"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August 9, 2022</w:t>
      </w:r>
    </w:p>
    <w:p>
      <w:pPr>
        <w:spacing w:after="0" w:line="16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u w:val="single" w:color="auto"/>
          <w:color w:val="auto"/>
        </w:rPr>
        <w:t>/s/ Mel Hope</w:t>
      </w:r>
    </w:p>
    <w:p>
      <w:pPr>
        <w:spacing w:after="0" w:line="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Mel Hope</w:t>
      </w:r>
    </w:p>
    <w:p>
      <w:pPr>
        <w:spacing w:after="0" w:line="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1">
            <w:col w:w="11240"/>
          </w:cols>
          <w:pgMar w:left="320" w:top="1410" w:right="339" w:bottom="1440" w:gutter="0" w:footer="0" w:header="0"/>
        </w:sectPr>
      </w:pPr>
    </w:p>
    <w:bookmarkStart w:id="38" w:name="page39"/>
    <w:bookmarkEnd w:id="38"/>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 18 U.S.C. SECTION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38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 connection with the Quarterly Report on Form 10-Q of First Watch Restaurant Group, Inc. (the “Company”) for the quarter ended June 26, 2022, as filed with the Securities and Exchange Commission on the date hereof (the “Report”), Christopher A. Tomasso, Chief Executive Officer of the Company, and Mel Hope, Chief Financial Officer of the Company, hereby certify, pursuant to 18 U.S.C. Section 1350, as adopted pursuant to Section 906 of the Sarbanes-Oxley Act of 2002, that, to their knowledge:</w:t>
      </w:r>
    </w:p>
    <w:p>
      <w:pPr>
        <w:spacing w:after="0" w:line="118"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9, 2022</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u w:val="single" w:color="auto"/>
          <w:color w:val="auto"/>
        </w:rPr>
        <w:t>/s/ Christopher A. Tomasso</w:t>
      </w:r>
    </w:p>
    <w:p>
      <w:pPr>
        <w:spacing w:after="0" w:line="1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Christopher A. Tomasso</w:t>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u w:val="single" w:color="auto"/>
          <w:color w:val="auto"/>
        </w:rPr>
        <w:t>/s/ Mel Hope</w:t>
      </w:r>
    </w:p>
    <w:p>
      <w:pPr>
        <w:spacing w:after="0" w:line="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Mel Hope</w:t>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(Principal Financial Officer)</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2"/>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lowerRoman"/>
      <w:start w:val="3"/>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lowerRoman"/>
      <w:start w:val="1"/>
    </w:lvl>
  </w:abstractNum>
  <w:abstractNum w:abstractNumId="9">
    <w:nsid w:val="DED7263"/>
    <w:multiLevelType w:val="hybridMultilevel"/>
    <w:lvl w:ilvl="0">
      <w:lvlJc w:val="left"/>
      <w:lvlText w:val="(%1)"/>
      <w:numFmt w:val="lowerRoman"/>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decimal"/>
      <w:start w:val="10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2022-08-09T06:09:04Z</dcterms:created>
  <dcterms:modified xsi:type="dcterms:W3CDTF">2022-08-09T06:09:04Z</dcterms:modified>
</cp:coreProperties>
</file>