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4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First Watch Restaurant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ectPr>
          <w:pgSz w:w="11900" w:h="16838" w:orient="portrait"/>
          <w:cols w:equalWidth="0" w:num="1">
            <w:col w:w="11240"/>
          </w:cols>
          <w:pgMar w:left="320" w:top="1251"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001-40866</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82-4271369</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(I.R.S. Employer Identification Number)</w:t>
      </w:r>
    </w:p>
    <w:p>
      <w:pPr>
        <w:spacing w:after="0" w:line="32" w:lineRule="exact"/>
        <w:rPr>
          <w:sz w:val="24"/>
          <w:szCs w:val="24"/>
          <w:color w:val="auto"/>
        </w:rPr>
      </w:pPr>
    </w:p>
    <w:p>
      <w:pPr>
        <w:sectPr>
          <w:pgSz w:w="11900" w:h="16838" w:orient="portrait"/>
          <w:cols w:equalWidth="0" w:num="3">
            <w:col w:w="3840" w:space="720"/>
            <w:col w:w="2520" w:space="720"/>
            <w:col w:w="3440"/>
          </w:cols>
          <w:pgMar w:left="320" w:top="1251" w:right="339" w:bottom="1440" w:gutter="0" w:footer="0" w:header="0"/>
          <w:type w:val="continuous"/>
        </w:sectPr>
      </w:pPr>
    </w:p>
    <w:p>
      <w:pPr>
        <w:ind w:left="700"/>
        <w:spacing w:after="0"/>
        <w:rPr>
          <w:sz w:val="20"/>
          <w:szCs w:val="20"/>
          <w:color w:val="auto"/>
        </w:rPr>
      </w:pPr>
      <w:r>
        <w:rPr>
          <w:rFonts w:ascii="Arial" w:cs="Arial" w:eastAsia="Arial" w:hAnsi="Arial"/>
          <w:sz w:val="18"/>
          <w:szCs w:val="18"/>
          <w:b w:val="1"/>
          <w:bCs w:val="1"/>
          <w:color w:val="auto"/>
        </w:rPr>
        <w:t>incorporation or organization)</w:t>
      </w:r>
    </w:p>
    <w:p>
      <w:pPr>
        <w:spacing w:after="0" w:line="40"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8725 Pendery Place</w:t>
      </w:r>
      <w:r>
        <w:rPr>
          <w:rFonts w:ascii="Arial" w:cs="Arial" w:eastAsia="Arial" w:hAnsi="Arial"/>
          <w:sz w:val="18"/>
          <w:szCs w:val="18"/>
          <w:b w:val="1"/>
          <w:bCs w:val="1"/>
          <w:color w:val="3051F2"/>
        </w:rPr>
        <w:t>,</w:t>
      </w:r>
      <w:r>
        <w:rPr>
          <w:rFonts w:ascii="Arial" w:cs="Arial" w:eastAsia="Arial" w:hAnsi="Arial"/>
          <w:sz w:val="18"/>
          <w:szCs w:val="18"/>
          <w:b w:val="1"/>
          <w:bCs w:val="1"/>
          <w:color w:val="auto"/>
        </w:rPr>
        <w:t xml:space="preserve"> Suite 201</w:t>
      </w:r>
      <w:r>
        <w:rPr>
          <w:rFonts w:ascii="Arial" w:cs="Arial" w:eastAsia="Arial" w:hAnsi="Arial"/>
          <w:sz w:val="18"/>
          <w:szCs w:val="18"/>
          <w:b w:val="1"/>
          <w:bCs w:val="1"/>
          <w:color w:val="3051F2"/>
        </w:rPr>
        <w:t>,</w:t>
      </w:r>
    </w:p>
    <w:p>
      <w:pPr>
        <w:spacing w:after="0" w:line="32"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Bradenton, FL 34201</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and zip code)</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 907-9800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1251" w:right="339" w:bottom="1440" w:gutter="0" w:footer="0" w:header="0"/>
          <w:type w:val="continuous"/>
        </w:sectPr>
      </w:pPr>
    </w:p>
    <w:p>
      <w:pPr>
        <w:spacing w:after="0" w:line="18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98"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0" w:type="dxa"/>
            <w:vAlign w:val="bottom"/>
            <w:gridSpan w:val="4"/>
          </w:tcPr>
          <w:p>
            <w:pPr>
              <w:ind w:left="14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60" w:type="dxa"/>
            <w:vAlign w:val="bottom"/>
          </w:tcPr>
          <w:p>
            <w:pPr>
              <w:spacing w:after="0"/>
              <w:rPr>
                <w:sz w:val="19"/>
                <w:szCs w:val="19"/>
                <w:color w:val="auto"/>
              </w:rPr>
            </w:pPr>
          </w:p>
        </w:tc>
        <w:tc>
          <w:tcPr>
            <w:tcW w:w="4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5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9"/>
              </w:rPr>
              <w:t>Common stock, $0.01 par value</w:t>
            </w:r>
          </w:p>
        </w:tc>
        <w:tc>
          <w:tcPr>
            <w:tcW w:w="1420" w:type="dxa"/>
            <w:vAlign w:val="bottom"/>
          </w:tcPr>
          <w:p>
            <w:pPr>
              <w:spacing w:after="0"/>
              <w:rPr>
                <w:sz w:val="23"/>
                <w:szCs w:val="23"/>
                <w:color w:val="auto"/>
              </w:rPr>
            </w:pPr>
          </w:p>
        </w:tc>
        <w:tc>
          <w:tcPr>
            <w:tcW w:w="2640" w:type="dxa"/>
            <w:vAlign w:val="bottom"/>
            <w:gridSpan w:val="2"/>
            <w:vMerge w:val="restart"/>
          </w:tcPr>
          <w:p>
            <w:pPr>
              <w:jc w:val="center"/>
              <w:ind w:right="1400"/>
              <w:spacing w:after="0"/>
              <w:rPr>
                <w:sz w:val="20"/>
                <w:szCs w:val="20"/>
                <w:color w:val="auto"/>
              </w:rPr>
            </w:pPr>
            <w:r>
              <w:rPr>
                <w:rFonts w:ascii="Arial" w:cs="Arial" w:eastAsia="Arial" w:hAnsi="Arial"/>
                <w:sz w:val="18"/>
                <w:szCs w:val="18"/>
                <w:b w:val="1"/>
                <w:bCs w:val="1"/>
                <w:color w:val="auto"/>
              </w:rPr>
              <w:t>FWRG</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126"/>
        </w:trPr>
        <w:tc>
          <w:tcPr>
            <w:tcW w:w="256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1620"/>
        <w:spacing w:after="0" w:line="283" w:lineRule="exact"/>
        <w:rPr>
          <w:sz w:val="20"/>
          <w:szCs w:val="20"/>
          <w:color w:val="auto"/>
        </w:rPr>
      </w:pPr>
      <w:r>
        <w:rPr>
          <w:rFonts w:ascii="Arial" w:cs="Arial" w:eastAsia="Arial" w:hAnsi="Arial"/>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 Results of Operations and Financial Condition.</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January 10, 2022, First Watch Restaurant Group, Inc. (the “Company”) issued a press release announcing certain preliminary operational results for the fourth quarter and fiscal year ended December 26, 2021. A copy of the release is attached as Exhibit 99.1 hereto.</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information furnished pursuant to Item 2.02 and Exhibit 99.1 of this Current Report on Form 8-K shall not be deemed to be “filed” for the purposes of Section 18 of the Securities Exchange Act of 1934, as amended (the “Exchange Act”), or otherwise subject to the liabilities of that section. The information in this Current Report shall not be incorporated by reference into any filing under the Securities Act of 1933, as amended, or the Exchange Act, whether made before or after the date of this Current Report, regardless of any general incorporation language in such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 Financial Statements and Exhibits.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620" w:type="dxa"/>
            <w:vAlign w:val="bottom"/>
            <w:gridSpan w:val="2"/>
          </w:tcPr>
          <w:p>
            <w:pPr>
              <w:spacing w:after="0"/>
              <w:rPr>
                <w:sz w:val="17"/>
                <w:szCs w:val="17"/>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1"/>
                <w:szCs w:val="21"/>
                <w:color w:val="auto"/>
              </w:rPr>
            </w:pPr>
          </w:p>
        </w:tc>
        <w:tc>
          <w:tcPr>
            <w:tcW w:w="978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First Watch Restaurant Group, Inc. dated January 10, 2022</w:t>
              </w:r>
            </w:hyperlink>
          </w:p>
        </w:tc>
      </w:tr>
      <w:tr>
        <w:trPr>
          <w:trHeight w:val="20"/>
        </w:trPr>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91"/>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8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02"/>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 on this 10th day of January, 2022.</w:t>
      </w:r>
    </w:p>
    <w:p>
      <w:pPr>
        <w:spacing w:after="0" w:line="200" w:lineRule="exact"/>
        <w:rPr>
          <w:sz w:val="20"/>
          <w:szCs w:val="20"/>
          <w:color w:val="auto"/>
        </w:rPr>
      </w:pPr>
    </w:p>
    <w:p>
      <w:pPr>
        <w:spacing w:after="0" w:line="299" w:lineRule="exact"/>
        <w:rPr>
          <w:sz w:val="20"/>
          <w:szCs w:val="20"/>
          <w:color w:val="auto"/>
        </w:rPr>
      </w:pPr>
    </w:p>
    <w:tbl>
      <w:tblPr>
        <w:tblLayout w:type="fixed"/>
        <w:tblInd w:w="5820" w:type="dxa"/>
        <w:tblCellMar>
          <w:top w:w="0" w:type="dxa"/>
          <w:left w:w="0" w:type="dxa"/>
          <w:bottom w:w="0" w:type="dxa"/>
          <w:right w:w="0" w:type="dxa"/>
        </w:tblCellMar>
      </w:tblPr>
      <w:tr>
        <w:trPr>
          <w:trHeight w:val="249"/>
        </w:trPr>
        <w:tc>
          <w:tcPr>
            <w:tcW w:w="740" w:type="dxa"/>
            <w:vAlign w:val="bottom"/>
          </w:tcPr>
          <w:p>
            <w:pPr>
              <w:spacing w:after="0"/>
              <w:rPr>
                <w:sz w:val="21"/>
                <w:szCs w:val="21"/>
                <w:color w:val="auto"/>
              </w:rPr>
            </w:pPr>
          </w:p>
        </w:tc>
        <w:tc>
          <w:tcPr>
            <w:tcW w:w="4680" w:type="dxa"/>
            <w:vAlign w:val="bottom"/>
          </w:tcPr>
          <w:p>
            <w:pPr>
              <w:jc w:val="center"/>
              <w:ind w:right="686"/>
              <w:spacing w:after="0"/>
              <w:rPr>
                <w:sz w:val="20"/>
                <w:szCs w:val="20"/>
                <w:color w:val="auto"/>
              </w:rPr>
            </w:pPr>
            <w:r>
              <w:rPr>
                <w:rFonts w:ascii="Arial" w:cs="Arial" w:eastAsia="Arial" w:hAnsi="Arial"/>
                <w:sz w:val="20"/>
                <w:szCs w:val="20"/>
                <w:b w:val="1"/>
                <w:bCs w:val="1"/>
                <w:color w:val="auto"/>
                <w:w w:val="91"/>
              </w:rPr>
              <w:t>First Watch Restaurant Group, Inc.</w:t>
            </w: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680" w:type="dxa"/>
            <w:vAlign w:val="bottom"/>
          </w:tcPr>
          <w:p>
            <w:pPr>
              <w:jc w:val="center"/>
              <w:ind w:right="686"/>
              <w:spacing w:after="0"/>
              <w:rPr>
                <w:sz w:val="20"/>
                <w:szCs w:val="20"/>
                <w:color w:val="auto"/>
              </w:rPr>
            </w:pPr>
            <w:r>
              <w:rPr>
                <w:rFonts w:ascii="Arial" w:cs="Arial" w:eastAsia="Arial" w:hAnsi="Arial"/>
                <w:sz w:val="20"/>
                <w:szCs w:val="20"/>
                <w:color w:val="auto"/>
                <w:w w:val="89"/>
              </w:rPr>
              <w:t>(Registrant)</w:t>
            </w:r>
          </w:p>
        </w:tc>
        <w:tc>
          <w:tcPr>
            <w:tcW w:w="0" w:type="dxa"/>
            <w:vAlign w:val="bottom"/>
          </w:tcPr>
          <w:p>
            <w:pPr>
              <w:spacing w:after="0"/>
              <w:rPr>
                <w:sz w:val="1"/>
                <w:szCs w:val="1"/>
                <w:color w:val="auto"/>
              </w:rPr>
            </w:pPr>
          </w:p>
        </w:tc>
      </w:tr>
      <w:tr>
        <w:trPr>
          <w:trHeight w:val="53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Mel Hope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Mel Hope</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551815</wp:posOffset>
            </wp:positionV>
            <wp:extent cx="1791335" cy="94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 ANNOUNCES PRELIMINARY OPERATIONAL METRICS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COMPANY RAISES FOURTH QUARTER GUIDANCE ON THE STRENGTH OF</w:t>
      </w:r>
    </w:p>
    <w:p>
      <w:pPr>
        <w:jc w:val="center"/>
        <w:spacing w:after="0"/>
        <w:rPr>
          <w:sz w:val="20"/>
          <w:szCs w:val="20"/>
          <w:color w:val="auto"/>
        </w:rPr>
      </w:pPr>
      <w:r>
        <w:rPr>
          <w:rFonts w:ascii="Arial" w:cs="Arial" w:eastAsia="Arial" w:hAnsi="Arial"/>
          <w:sz w:val="18"/>
          <w:szCs w:val="18"/>
          <w:i w:val="1"/>
          <w:iCs w:val="1"/>
          <w:color w:val="auto"/>
        </w:rPr>
        <w:t>36.7% GROWTH IN SAME-RESTAURANT SALES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BRADENTON, FL — January 10, 2022 </w:t>
      </w:r>
      <w:r>
        <w:rPr>
          <w:rFonts w:ascii="Arial" w:cs="Arial" w:eastAsia="Arial" w:hAnsi="Arial"/>
          <w:sz w:val="18"/>
          <w:szCs w:val="18"/>
          <w:color w:val="auto"/>
        </w:rPr>
        <w:t>— First Watch Restaurant Group, Inc. (NASDAQ: FWRG) (</w:t>
      </w:r>
      <w:r>
        <w:rPr>
          <w:rFonts w:ascii="Arial" w:cs="Arial" w:eastAsia="Arial" w:hAnsi="Arial"/>
          <w:sz w:val="18"/>
          <w:szCs w:val="18"/>
          <w:i w:val="1"/>
          <w:iCs w:val="1"/>
          <w:color w:val="auto"/>
        </w:rPr>
        <w:t>“</w:t>
      </w:r>
      <w:r>
        <w:rPr>
          <w:rFonts w:ascii="Arial" w:cs="Arial" w:eastAsia="Arial" w:hAnsi="Arial"/>
          <w:sz w:val="18"/>
          <w:szCs w:val="18"/>
          <w:color w:val="auto"/>
        </w:rPr>
        <w:t>First Watch</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Daytime Dining concept serving breakfast, brunch and lunch, today reported certain preliminary operational results for the thirteen weeks ended December 26, 2021 (</w:t>
      </w:r>
      <w:r>
        <w:rPr>
          <w:rFonts w:ascii="Arial" w:cs="Arial" w:eastAsia="Arial" w:hAnsi="Arial"/>
          <w:sz w:val="18"/>
          <w:szCs w:val="18"/>
          <w:i w:val="1"/>
          <w:iCs w:val="1"/>
          <w:color w:val="auto"/>
        </w:rPr>
        <w:t>“</w:t>
      </w:r>
      <w:r>
        <w:rPr>
          <w:rFonts w:ascii="Arial" w:cs="Arial" w:eastAsia="Arial" w:hAnsi="Arial"/>
          <w:sz w:val="18"/>
          <w:szCs w:val="18"/>
          <w:color w:val="auto"/>
        </w:rPr>
        <w:t>fourth quarter”) and fiscal year ended December 26, 2021 (</w:t>
      </w:r>
      <w:r>
        <w:rPr>
          <w:rFonts w:ascii="Arial" w:cs="Arial" w:eastAsia="Arial" w:hAnsi="Arial"/>
          <w:sz w:val="18"/>
          <w:szCs w:val="18"/>
          <w:i w:val="1"/>
          <w:iCs w:val="1"/>
          <w:color w:val="auto"/>
        </w:rPr>
        <w:t>“</w:t>
      </w:r>
      <w:r>
        <w:rPr>
          <w:rFonts w:ascii="Arial" w:cs="Arial" w:eastAsia="Arial" w:hAnsi="Arial"/>
          <w:sz w:val="18"/>
          <w:szCs w:val="18"/>
          <w:color w:val="auto"/>
        </w:rPr>
        <w:t>fiscal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proud to share these preliminary results from First Watch’s fourth quarter. Our 36.7% same-restaurant sales growth is driven by more than 30% same-restaurant traffic growth, building upon the 28 consecutive quarters of positive same-restaurant sales we achieved prior to the pandemic, from fiscal 2013 to fiscal 2019,” said Chris Tomasso, Chief Executive Officer and President of First Watch. “Our continued strong performance is possible because of the dedication of our operations teams throughout the country, whose resilience and gracious service are reflected in these results.”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Traffic Highlights: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080" w:type="dxa"/>
            <w:vAlign w:val="bottom"/>
          </w:tcPr>
          <w:p>
            <w:pPr>
              <w:spacing w:after="0"/>
              <w:rPr>
                <w:sz w:val="19"/>
                <w:szCs w:val="19"/>
                <w:color w:val="auto"/>
              </w:rPr>
            </w:pPr>
          </w:p>
        </w:tc>
        <w:tc>
          <w:tcPr>
            <w:tcW w:w="2120" w:type="dxa"/>
            <w:vAlign w:val="bottom"/>
            <w:gridSpan w:val="2"/>
          </w:tcPr>
          <w:p>
            <w:pPr>
              <w:ind w:left="400"/>
              <w:spacing w:after="0"/>
              <w:rPr>
                <w:sz w:val="20"/>
                <w:szCs w:val="20"/>
                <w:color w:val="auto"/>
              </w:rPr>
            </w:pPr>
            <w:r>
              <w:rPr>
                <w:rFonts w:ascii="Arial" w:cs="Arial" w:eastAsia="Arial" w:hAnsi="Arial"/>
                <w:sz w:val="17"/>
                <w:szCs w:val="17"/>
                <w:b w:val="1"/>
                <w:bCs w:val="1"/>
                <w:color w:val="auto"/>
              </w:rPr>
              <w:t>Fourth Quarter</w:t>
            </w:r>
          </w:p>
        </w:tc>
        <w:tc>
          <w:tcPr>
            <w:tcW w:w="2020" w:type="dxa"/>
            <w:vAlign w:val="bottom"/>
          </w:tcPr>
          <w:p>
            <w:pPr>
              <w:ind w:left="560"/>
              <w:spacing w:after="0"/>
              <w:rPr>
                <w:sz w:val="20"/>
                <w:szCs w:val="20"/>
                <w:color w:val="auto"/>
              </w:rPr>
            </w:pPr>
            <w:r>
              <w:rPr>
                <w:rFonts w:ascii="Arial" w:cs="Arial" w:eastAsia="Arial" w:hAnsi="Arial"/>
                <w:sz w:val="17"/>
                <w:szCs w:val="17"/>
                <w:b w:val="1"/>
                <w:bCs w:val="1"/>
                <w:color w:val="auto"/>
              </w:rPr>
              <w:t>Fiscal 2021</w:t>
            </w:r>
          </w:p>
        </w:tc>
      </w:tr>
      <w:tr>
        <w:trPr>
          <w:trHeight w:val="209"/>
        </w:trPr>
        <w:tc>
          <w:tcPr>
            <w:tcW w:w="7080" w:type="dxa"/>
            <w:vAlign w:val="bottom"/>
          </w:tcPr>
          <w:p>
            <w:pPr>
              <w:spacing w:after="0"/>
              <w:rPr>
                <w:sz w:val="20"/>
                <w:szCs w:val="20"/>
                <w:color w:val="auto"/>
              </w:rPr>
            </w:pPr>
            <w:r>
              <w:rPr>
                <w:rFonts w:ascii="Arial" w:cs="Arial" w:eastAsia="Arial" w:hAnsi="Arial"/>
                <w:sz w:val="17"/>
                <w:szCs w:val="17"/>
                <w:color w:val="auto"/>
              </w:rPr>
              <w:t>Same-Restaurant Sales Growth</w:t>
            </w: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+36.7%</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+63.0%</w:t>
            </w:r>
          </w:p>
        </w:tc>
      </w:tr>
      <w:tr>
        <w:trPr>
          <w:trHeight w:val="227"/>
        </w:trPr>
        <w:tc>
          <w:tcPr>
            <w:tcW w:w="7080" w:type="dxa"/>
            <w:vAlign w:val="bottom"/>
          </w:tcPr>
          <w:p>
            <w:pPr>
              <w:spacing w:after="0" w:line="227" w:lineRule="exact"/>
              <w:rPr>
                <w:sz w:val="20"/>
                <w:szCs w:val="20"/>
                <w:color w:val="auto"/>
              </w:rPr>
            </w:pPr>
            <w:r>
              <w:rPr>
                <w:rFonts w:ascii="Arial" w:cs="Arial" w:eastAsia="Arial" w:hAnsi="Arial"/>
                <w:sz w:val="17"/>
                <w:szCs w:val="17"/>
                <w:color w:val="auto"/>
              </w:rPr>
              <w:t xml:space="preserve">Same-Restaurant Sales Growth compared to 2019 </w:t>
            </w:r>
            <w:r>
              <w:rPr>
                <w:rFonts w:ascii="Arial" w:cs="Arial" w:eastAsia="Arial" w:hAnsi="Arial"/>
                <w:sz w:val="22"/>
                <w:szCs w:val="22"/>
                <w:color w:val="auto"/>
                <w:vertAlign w:val="superscript"/>
              </w:rPr>
              <w:t>(*)</w:t>
            </w:r>
          </w:p>
        </w:tc>
        <w:tc>
          <w:tcPr>
            <w:tcW w:w="2020" w:type="dxa"/>
            <w:vAlign w:val="bottom"/>
          </w:tcPr>
          <w:p>
            <w:pPr>
              <w:jc w:val="center"/>
              <w:spacing w:after="0"/>
              <w:rPr>
                <w:sz w:val="20"/>
                <w:szCs w:val="20"/>
                <w:color w:val="auto"/>
              </w:rPr>
            </w:pPr>
            <w:r>
              <w:rPr>
                <w:rFonts w:ascii="Arial" w:cs="Arial" w:eastAsia="Arial" w:hAnsi="Arial"/>
                <w:sz w:val="17"/>
                <w:szCs w:val="17"/>
                <w:color w:val="auto"/>
                <w:w w:val="99"/>
              </w:rPr>
              <w:t>+20.6%</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9"/>
              </w:rPr>
              <w:t>+14.3%</w:t>
            </w:r>
          </w:p>
        </w:tc>
      </w:tr>
      <w:tr>
        <w:trPr>
          <w:trHeight w:val="205"/>
        </w:trPr>
        <w:tc>
          <w:tcPr>
            <w:tcW w:w="7080" w:type="dxa"/>
            <w:vAlign w:val="bottom"/>
          </w:tcPr>
          <w:p>
            <w:pPr>
              <w:spacing w:after="0"/>
              <w:rPr>
                <w:sz w:val="20"/>
                <w:szCs w:val="20"/>
                <w:color w:val="auto"/>
              </w:rPr>
            </w:pPr>
            <w:r>
              <w:rPr>
                <w:rFonts w:ascii="Arial" w:cs="Arial" w:eastAsia="Arial" w:hAnsi="Arial"/>
                <w:sz w:val="17"/>
                <w:szCs w:val="17"/>
                <w:color w:val="auto"/>
              </w:rPr>
              <w:t>Same-Restaurant Traffic Growth</w:t>
            </w:r>
          </w:p>
        </w:tc>
        <w:tc>
          <w:tcPr>
            <w:tcW w:w="2020" w:type="dxa"/>
            <w:vAlign w:val="bottom"/>
          </w:tcPr>
          <w:p>
            <w:pPr>
              <w:jc w:val="center"/>
              <w:spacing w:after="0"/>
              <w:rPr>
                <w:sz w:val="20"/>
                <w:szCs w:val="20"/>
                <w:color w:val="auto"/>
              </w:rPr>
            </w:pPr>
            <w:r>
              <w:rPr>
                <w:rFonts w:ascii="Arial" w:cs="Arial" w:eastAsia="Arial" w:hAnsi="Arial"/>
                <w:sz w:val="17"/>
                <w:szCs w:val="17"/>
                <w:color w:val="auto"/>
                <w:w w:val="99"/>
              </w:rPr>
              <w:t>+31.9%</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9"/>
              </w:rPr>
              <w:t>+52.6%</w:t>
            </w:r>
          </w:p>
        </w:tc>
      </w:tr>
      <w:tr>
        <w:trPr>
          <w:trHeight w:val="295"/>
        </w:trPr>
        <w:tc>
          <w:tcPr>
            <w:tcW w:w="7080" w:type="dxa"/>
            <w:vAlign w:val="bottom"/>
          </w:tcPr>
          <w:p>
            <w:pPr>
              <w:spacing w:after="0"/>
              <w:rPr>
                <w:sz w:val="20"/>
                <w:szCs w:val="20"/>
                <w:color w:val="auto"/>
              </w:rPr>
            </w:pPr>
            <w:r>
              <w:rPr>
                <w:rFonts w:ascii="Arial" w:cs="Arial" w:eastAsia="Arial" w:hAnsi="Arial"/>
                <w:sz w:val="17"/>
                <w:szCs w:val="17"/>
                <w:color w:val="auto"/>
              </w:rPr>
              <w:t xml:space="preserve">Same-Restaurant Traffic Growth compared to 2019 </w:t>
            </w:r>
            <w:r>
              <w:rPr>
                <w:rFonts w:ascii="Arial" w:cs="Arial" w:eastAsia="Arial" w:hAnsi="Arial"/>
                <w:sz w:val="22"/>
                <w:szCs w:val="22"/>
                <w:color w:val="auto"/>
                <w:vertAlign w:val="superscript"/>
              </w:rPr>
              <w:t>(*)</w:t>
            </w:r>
          </w:p>
        </w:tc>
        <w:tc>
          <w:tcPr>
            <w:tcW w:w="2020" w:type="dxa"/>
            <w:vAlign w:val="bottom"/>
          </w:tcPr>
          <w:p>
            <w:pPr>
              <w:jc w:val="center"/>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rPr>
              <w:t>-0.5%</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ind w:left="100" w:hanging="92"/>
        <w:spacing w:after="0"/>
        <w:tabs>
          <w:tab w:leader="none" w:pos="10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Comparison to the thirteen weeks ended December 29, 2019 and fiscal year ended December 29, 2019 is provided for enhanced comparability.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Development:</w:t>
      </w:r>
    </w:p>
    <w:p>
      <w:pPr>
        <w:spacing w:after="0" w:line="18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First Watch opened 8 system-wide restaurants during the fourth quarter, consisting of 5 company-owned restaurants and 3 franchise-owned restaurants. In addition, during the quarter the Company accelerated the planned closure of a 30-year-old company-owned restaurant.</w:t>
      </w:r>
    </w:p>
    <w:p>
      <w:pPr>
        <w:spacing w:after="0" w:line="18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There were 31 system-wide restaurant openings during fiscal 2021, consisting of 22 company-owned restaurants and 9 franchise-owned restaurants.</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At December 26, 2021, First Watch had 435 system-wide restaurants, consisting of 341 company-owned restaurants and 94 franchise-owned restaurants across 28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Updated Outlook:</w:t>
      </w:r>
    </w:p>
    <w:p>
      <w:pPr>
        <w:spacing w:after="0" w:line="24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Based upon the preliminary same-restaurant sales growth noted above and considering certain end-of-year expenses, management expects Adjusted EBITDA</w:t>
      </w:r>
      <w:r>
        <w:rPr>
          <w:rFonts w:ascii="Arial" w:cs="Arial" w:eastAsia="Arial" w:hAnsi="Arial"/>
          <w:sz w:val="13"/>
          <w:szCs w:val="13"/>
          <w:color w:val="auto"/>
        </w:rPr>
        <w:t>***</w:t>
      </w:r>
      <w:r>
        <w:rPr>
          <w:rFonts w:ascii="Arial" w:cs="Arial" w:eastAsia="Arial" w:hAnsi="Arial"/>
          <w:sz w:val="18"/>
          <w:szCs w:val="18"/>
          <w:color w:val="auto"/>
        </w:rPr>
        <w:t xml:space="preserve"> to be slightly above the high-end of the previously announced Adjusted EBITDA range of $10.2 million to $11.2 million for the fourth quarter.</w:t>
      </w:r>
    </w:p>
    <w:p>
      <w:pPr>
        <w:spacing w:after="0" w:line="237" w:lineRule="auto"/>
        <w:rPr>
          <w:sz w:val="20"/>
          <w:szCs w:val="20"/>
          <w:color w:val="auto"/>
        </w:rPr>
      </w:pPr>
      <w:r>
        <w:rPr>
          <w:rFonts w:ascii="Arial" w:cs="Arial" w:eastAsia="Arial" w:hAnsi="Arial"/>
          <w:sz w:val="22"/>
          <w:szCs w:val="22"/>
          <w:color w:val="auto"/>
        </w:rPr>
        <w:t>___________________</w:t>
      </w:r>
    </w:p>
    <w:p>
      <w:pPr>
        <w:jc w:val="both"/>
        <w:ind w:firstLine="8"/>
        <w:spacing w:after="0" w:line="270" w:lineRule="auto"/>
        <w:tabs>
          <w:tab w:leader="none" w:pos="195"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We have not reconciled guidance for Adjusted EBITDA to the corresponding GAAP financial measure because we do not provide guidance for the various reconciling items.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are not available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Conference Participation:</w:t>
      </w:r>
    </w:p>
    <w:p>
      <w:pPr>
        <w:spacing w:after="0" w:line="26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previously announced, Chris Tomasso, Chief Executive Officer and President, and Mel Hope, Chief Financial Officer, will host a fireside chat at the 24th Annual ICR Conference today at 3:30 p.m. Eastern Time. The fireside chat webcast will be available at https://investors.firstwatch.com in the News &amp; Events section and will be archived on the site shortly after it has concluded.</w:t>
      </w:r>
    </w:p>
    <w:p>
      <w:pPr>
        <w:spacing w:after="0" w:line="21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Company will also be participating at the Jefferies 11th Annual Winter Restaurant, Foodservice, Gaming, Lodging &amp; Leisure Summit, which is being held virtually January 24-25, 2022. The presentation webcast will be available at https://investors.firstwatch.com in the News &amp; Events section and will be archived on the site shortly after it has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3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Definitions: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to these terms as used in this release:</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a non-GAAP financial measure, is defined as net income (loss) before depreciation and amortization,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and items that the Company does not consider in the evaluation of its ongoing core operating performance. Adjusted EBITDA as shown is not adjusted to reflect the impact of pre-opening expenses or deferred rent (income) expense.</w:t>
      </w:r>
    </w:p>
    <w:p>
      <w:pPr>
        <w:spacing w:after="0" w:line="18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Same-restaurant sales growth</w:t>
      </w:r>
      <w:r>
        <w:rPr>
          <w:rFonts w:ascii="Arial" w:cs="Arial" w:eastAsia="Arial" w:hAnsi="Arial"/>
          <w:sz w:val="18"/>
          <w:szCs w:val="18"/>
          <w:color w:val="auto"/>
        </w:rPr>
        <w:t>: the percentage change in year-over-year restaurant sales (excluding gift card breakage) for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base, which is defined as the number of company-owned First Watch branded restaurants open for 18 months or longer as of the beginning of the fiscal year (</w:t>
      </w:r>
      <w:r>
        <w:rPr>
          <w:rFonts w:ascii="Arial" w:cs="Arial" w:eastAsia="Arial" w:hAnsi="Arial"/>
          <w:sz w:val="18"/>
          <w:szCs w:val="18"/>
          <w:i w:val="1"/>
          <w:iCs w:val="1"/>
          <w:color w:val="auto"/>
        </w:rPr>
        <w:t>“</w:t>
      </w:r>
      <w:r>
        <w:rPr>
          <w:rFonts w:ascii="Arial" w:cs="Arial" w:eastAsia="Arial" w:hAnsi="Arial"/>
          <w:sz w:val="18"/>
          <w:szCs w:val="18"/>
          <w:color w:val="auto"/>
        </w:rPr>
        <w:t>Comparable Restaurant Base</w:t>
      </w:r>
      <w:r>
        <w:rPr>
          <w:rFonts w:ascii="Arial" w:cs="Arial" w:eastAsia="Arial" w:hAnsi="Arial"/>
          <w:sz w:val="18"/>
          <w:szCs w:val="18"/>
          <w:i w:val="1"/>
          <w:iCs w:val="1"/>
          <w:color w:val="auto"/>
        </w:rPr>
        <w:t>”</w:t>
      </w:r>
      <w:r>
        <w:rPr>
          <w:rFonts w:ascii="Arial" w:cs="Arial" w:eastAsia="Arial" w:hAnsi="Arial"/>
          <w:sz w:val="18"/>
          <w:szCs w:val="18"/>
          <w:color w:val="auto"/>
        </w:rPr>
        <w:t>). For the thirteen weeks ended December 26, 2021 there were 269 restaurants in the one-year Comparable Restaurant Base and 210 restaurants in the two-year Comparable Restaurant Base. We gather daily sales data and regularly analyze the customer traffic counts and the mix of menu items sold to aid in developing menu pricing, product offerings and promotional strategies designed to produce sustainable same-restaurant sales growth.</w:t>
      </w:r>
    </w:p>
    <w:p>
      <w:pPr>
        <w:spacing w:after="0" w:line="197"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b w:val="1"/>
          <w:bCs w:val="1"/>
          <w:i w:val="1"/>
          <w:iCs w:val="1"/>
          <w:color w:val="auto"/>
        </w:rPr>
        <w:t>Same-restaurant traffic growth</w:t>
      </w:r>
      <w:r>
        <w:rPr>
          <w:rFonts w:ascii="Arial" w:cs="Arial" w:eastAsia="Arial" w:hAnsi="Arial"/>
          <w:sz w:val="18"/>
          <w:szCs w:val="18"/>
          <w:color w:val="auto"/>
        </w:rPr>
        <w:t>: the percentage change in traffic counts as compared to the same period in the prior year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Restaurant Base. For the thirteen weeks ended December 26, 2021 there were 269 restaurants in the one-year Comparable Restaurant Base and 210 restaurants in the two-year Comparable Restaurant Base. We gather daily traffic data and regularly analyze customer traffic to aid in developing menu pricing, product offerings and promotional strategies.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restaurants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number of restaurants, including all company-owned and franchise- owned restaurants.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U.S. generally accepted accounting principles (“GAAP”), the Company uses Adjusted EBITDA (a “non-GAAP financial measure”). This non-GAAP financial measure is not a measurement of the Company’s financial performance under GAAP and should not be considered as an alternative to net income (loss), income (loss) from operations, or any other performance measures derived in accordance with GAAP, or as an alternative to cash flow from operating activities as a measure of our liquidity. This non-GAAP financial measure may differ from similarly titled measures used by other companies due to different methods of calculation.</w:t>
      </w:r>
    </w:p>
    <w:p>
      <w:pPr>
        <w:spacing w:after="0" w:line="19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uses Adjusted EBITDA (i) as a factor in evaluating management’s performance when determining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(ii) to evaluate the Company’s operating results and the effectiveness of our business strategies (iii) internally as benchmarks to compare the Company’s performance to that of its competitors and (iv) to provide investors with additional transparency of the Company’s operations. The use of Adjusted EBITDA as a performance measure permits a comparative assessment of the Company’s operating performance relative to the Company’s performance based on the Company’s GAAP results, while isolating the effects of some items that are either nonrecurring in nature or vary from period to period without any correlation to the Company’s ongoing core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First Watch:</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lunch and brunch along with First Watch-specific specialties such as our protein-packed Quinoa Power Bowl®, Farmstand Breakfast Tacos, Avocado Toast, Morning Meditation (juiced in-house daily), our Vodka Kale Tonic, Chickichangas and our famous Million Dollar Bacon. In 2021, First Watch was recognized as FSR Magazine’s Best Menu and as the fastest-growing full-service restaurant company based on unit growth. There are more than 430 First Watch restaurants in 28 states, and the restaurant concept is majority owned by Advent International, one of the world’s largest private-equity firms. For more information, visit www.firstwatch.com.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4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to historical information, this release may contain a number of “forward-looking statements” as defined in the Private Securities Litigation Reform Act of 1995. Forward-looking statements include, without limitation, information concerning First Watch’s possible or assumed future results of operations, new restaurant openings, business strategies, competitive position, industry environment, potential growth opportunities and the effects of regulation. These statements are based on First Watch’s current expectations and beliefs, as well as a number of assumptions concerning future events. When used in this press release, the words “estimates,” “projected,” “expects,” “anticipates,” “forecasts,” “plans,” “intends,” “believes,” “seeks,” “target,” “may,” “will,” “should,” “future,” “propose,” “preliminary,” “guidance,” “on track” and variations of these words or similar expressions (or the negative versions of such words or expressions) are intended to identify forward-looking statements.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adverse effects of the COVID-19 pandemic or other infectious diseases;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majority stockholder may differ from those of public stockholders. Additional factors or events that could cause our actual performance to differ from these forward-looking statements may emerge from time to time, and it is not possible for us to predict all of them. These factors include but are not limited to those described under “Risk Factors” in the Company’s Registration Statement filed on Form S-1 with the Securities and Exchange Commission (the “SEC”), as such factors may be updated from time to time in its other filings with the SEC, accessible on the SEC’s website at www.sec.gov and Investors Relations section of the Company’s website at https://investors.firstwatch.com/financialinformation/sec-filings.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Relations 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203.682.8253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000FF"/>
        </w:rPr>
        <w:t>investors@firstwatch.com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0000FF"/>
        </w:rPr>
        <w:t>FirstWatch@icrinc.com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sectPr>
      <w:pgSz w:w="11900" w:h="16838" w:orient="portrait"/>
      <w:cols w:equalWidth="0" w:num="1">
        <w:col w:w="10139"/>
      </w:cols>
      <w:pgMar w:left="320" w:top="10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2022-01-10T06:03:48Z</dcterms:created>
  <dcterms:modified xsi:type="dcterms:W3CDTF">2022-01-10T06:03:48Z</dcterms:modified>
</cp:coreProperties>
</file>