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Kussell William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360"/>
        <w:spacing w:after="0" w:line="294" w:lineRule="auto"/>
        <w:rPr>
          <w:sz w:val="20"/>
          <w:szCs w:val="20"/>
          <w:color w:val="auto"/>
        </w:rPr>
      </w:pPr>
      <w:r>
        <w:rPr>
          <w:rFonts w:ascii="Times New Roman" w:cs="Times New Roman" w:eastAsia="Times New Roman" w:hAnsi="Times New Roman"/>
          <w:sz w:val="17"/>
          <w:szCs w:val="17"/>
          <w:color w:val="0000FF"/>
        </w:rPr>
        <w:t>C/O FIRST WATCH RESTAURANT GROUP, INC.</w:t>
      </w:r>
    </w:p>
    <w:p>
      <w:pPr>
        <w:spacing w:after="0" w:line="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8725 PENDERY PLACE, STE. 201</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BRADENTON</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34201</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7"/>
        </w:trPr>
        <w:tc>
          <w:tcPr>
            <w:tcW w:w="80" w:type="dxa"/>
            <w:vAlign w:val="bottom"/>
          </w:tcPr>
          <w:p>
            <w:pPr>
              <w:spacing w:after="0"/>
              <w:rPr>
                <w:sz w:val="19"/>
                <w:szCs w:val="19"/>
                <w:color w:val="auto"/>
              </w:rPr>
            </w:pPr>
          </w:p>
        </w:tc>
        <w:tc>
          <w:tcPr>
            <w:tcW w:w="374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First Watch Restaurant Group,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FWRG</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4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5"/>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200" w:type="dxa"/>
            <w:vAlign w:val="bottom"/>
            <w:gridSpan w:val="2"/>
            <w:vMerge w:val="continue"/>
          </w:tcPr>
          <w:p>
            <w:pPr>
              <w:spacing w:after="0"/>
              <w:rPr>
                <w:sz w:val="10"/>
                <w:szCs w:val="10"/>
                <w:color w:val="auto"/>
              </w:rPr>
            </w:pPr>
          </w:p>
        </w:tc>
        <w:tc>
          <w:tcPr>
            <w:tcW w:w="28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2"/>
        </w:trPr>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2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93"/>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840" w:type="dxa"/>
            <w:vAlign w:val="bottom"/>
            <w:tcBorders>
              <w:bottom w:val="single" w:sz="8" w:color="2C2C2C"/>
            </w:tcBorders>
          </w:tcPr>
          <w:p>
            <w:pPr>
              <w:spacing w:after="0"/>
              <w:rPr>
                <w:sz w:val="16"/>
                <w:szCs w:val="16"/>
                <w:color w:val="auto"/>
              </w:rPr>
            </w:pPr>
          </w:p>
        </w:tc>
        <w:tc>
          <w:tcPr>
            <w:tcW w:w="7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05/21/2026</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80" w:type="dxa"/>
            <w:vAlign w:val="bottom"/>
            <w:tcBorders>
              <w:bottom w:val="single" w:sz="8" w:color="2C2C2C"/>
            </w:tcBorders>
          </w:tcPr>
          <w:p>
            <w:pPr>
              <w:spacing w:after="0"/>
              <w:rPr>
                <w:sz w:val="19"/>
                <w:szCs w:val="19"/>
                <w:color w:val="auto"/>
              </w:rPr>
            </w:pPr>
          </w:p>
        </w:tc>
        <w:tc>
          <w:tcPr>
            <w:tcW w:w="120" w:type="dxa"/>
            <w:vAlign w:val="bottom"/>
            <w:tcBorders>
              <w:bottom w:val="single" w:sz="8" w:color="2C2C2C"/>
            </w:tcBorders>
          </w:tcPr>
          <w:p>
            <w:pPr>
              <w:spacing w:after="0"/>
              <w:rPr>
                <w:sz w:val="19"/>
                <w:szCs w:val="19"/>
                <w:color w:val="auto"/>
              </w:rPr>
            </w:pPr>
          </w:p>
        </w:tc>
        <w:tc>
          <w:tcPr>
            <w:tcW w:w="2840" w:type="dxa"/>
            <w:vAlign w:val="bottom"/>
            <w:tcBorders>
              <w:bottom w:val="single" w:sz="8" w:color="2C2C2C"/>
            </w:tcBorders>
          </w:tcPr>
          <w:p>
            <w:pPr>
              <w:spacing w:after="0"/>
              <w:rPr>
                <w:sz w:val="19"/>
                <w:szCs w:val="19"/>
                <w:color w:val="auto"/>
              </w:rPr>
            </w:pPr>
          </w:p>
        </w:tc>
        <w:tc>
          <w:tcPr>
            <w:tcW w:w="780" w:type="dxa"/>
            <w:vAlign w:val="bottom"/>
            <w:tcBorders>
              <w:bottom w:val="single" w:sz="8" w:color="2C2C2C"/>
            </w:tcBorders>
          </w:tcPr>
          <w:p>
            <w:pPr>
              <w:spacing w:after="0"/>
              <w:rPr>
                <w:sz w:val="19"/>
                <w:szCs w:val="19"/>
                <w:color w:val="auto"/>
              </w:rPr>
            </w:pPr>
          </w:p>
        </w:tc>
        <w:tc>
          <w:tcPr>
            <w:tcW w:w="200" w:type="dxa"/>
            <w:vAlign w:val="bottom"/>
            <w:tcBorders>
              <w:bottom w:val="single" w:sz="8" w:color="2C2C2C"/>
            </w:tcBorders>
          </w:tcPr>
          <w:p>
            <w:pPr>
              <w:spacing w:after="0"/>
              <w:rPr>
                <w:sz w:val="19"/>
                <w:szCs w:val="19"/>
                <w:color w:val="auto"/>
              </w:rPr>
            </w:pPr>
          </w:p>
        </w:tc>
        <w:tc>
          <w:tcPr>
            <w:tcW w:w="3100" w:type="dxa"/>
            <w:vAlign w:val="bottom"/>
            <w:tcBorders>
              <w:bottom w:val="single" w:sz="8" w:color="2C2C2C"/>
            </w:tcBorders>
            <w:gridSpan w:val="2"/>
          </w:tcPr>
          <w:p>
            <w:pPr>
              <w:spacing w:after="0"/>
              <w:rPr>
                <w:sz w:val="19"/>
                <w:szCs w:val="19"/>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5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2"/>
                <w:szCs w:val="12"/>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2"/>
                <w:szCs w:val="12"/>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12,345</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38,747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4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grant by the Issuer of restricted stock units ("RSUs") to the Reporting Person, which vest on May 21, 2027, subject to Reporting Person's continuous service through the vesting date. Each RSU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Jay Wolszczak, as attorney- </w:t>
      </w:r>
      <w:r>
        <w:rPr>
          <w:rFonts w:ascii="Times New Roman" w:cs="Times New Roman" w:eastAsia="Times New Roman" w:hAnsi="Times New Roman"/>
          <w:sz w:val="34"/>
          <w:szCs w:val="34"/>
          <w:color w:val="0000FF"/>
          <w:vertAlign w:val="subscript"/>
        </w:rPr>
        <w:t>05/22/2026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001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2870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702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518338" TargetMode="External"/><Relationship Id="rId14" Type="http://schemas.openxmlformats.org/officeDocument/2006/relationships/hyperlink" Target="http://www.sec.gov/cgi-bin/browse-edgar?action=getcompany&amp;CIK=00017899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2026-05-22T15:04:27Z</dcterms:created>
  <dcterms:modified xsi:type="dcterms:W3CDTF">2026-05-22T15:04:27Z</dcterms:modified>
</cp:coreProperties>
</file>