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27, 2022</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59,048,446 shares of common stock as of May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26, 2021 (“2021 Form 10-K”), including under Part I. Item 1A. “Risk Factors” and Part II. Item 7. “Management’s Discussion and Analysis of Financial Condition and Results of Operations.” 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c>
          <w:tcPr>
            <w:tcW w:w="0" w:type="dxa"/>
            <w:vAlign w:val="bottom"/>
          </w:tcPr>
          <w:p>
            <w:pPr>
              <w:spacing w:after="0"/>
              <w:rPr>
                <w:sz w:val="1"/>
                <w:szCs w:val="1"/>
                <w:color w:val="auto"/>
              </w:rPr>
            </w:pPr>
          </w:p>
        </w:tc>
      </w:tr>
      <w:tr>
        <w:trPr>
          <w:trHeight w:val="19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67,697</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345,219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143,000</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324,995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 of accumulated depreciation of $123,285 and $115,582, respectively</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164,695</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1,049,336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1,046,917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15,889</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Note payable</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330,495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07"/>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537,973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542,488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2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300,000,000 shares authorized; 59,048,446 shares issued and outstanding</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(100,399)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511,363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12"/>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1,049,336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1,046,917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27, 2022</w:t>
            </w:r>
          </w:p>
        </w:tc>
        <w:tc>
          <w:tcPr>
            <w:tcW w:w="200" w:type="dxa"/>
            <w:vAlign w:val="bottom"/>
          </w:tcPr>
          <w:p>
            <w:pPr>
              <w:spacing w:after="0"/>
              <w:rPr>
                <w:sz w:val="16"/>
                <w:szCs w:val="16"/>
                <w:color w:val="auto"/>
              </w:rPr>
            </w:pPr>
          </w:p>
        </w:tc>
        <w:tc>
          <w:tcPr>
            <w:tcW w:w="15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28, 2021</w:t>
            </w:r>
          </w:p>
        </w:tc>
      </w:tr>
      <w:tr>
        <w:trPr>
          <w:trHeight w:val="202"/>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170,669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125,366</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r>
      <w:tr>
        <w:trPr>
          <w:trHeight w:val="207"/>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127,169</w:t>
            </w:r>
          </w:p>
        </w:tc>
      </w:tr>
      <w:tr>
        <w:trPr>
          <w:trHeight w:val="19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operating expenses (exclusive of depreciation and amortization shown below):</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26,916</w:t>
            </w: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40,049</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22,020</w:t>
            </w: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13,301</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7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165,352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123,324</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07"/>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and total comprehensive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59,983,150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2"/>
                <w:szCs w:val="12"/>
                <w:color w:val="auto"/>
              </w:rPr>
            </w:pPr>
          </w:p>
        </w:tc>
        <w:tc>
          <w:tcPr>
            <w:tcW w:w="21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26,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0" w:type="dxa"/>
            <w:vAlign w:val="bottom"/>
          </w:tcPr>
          <w:p>
            <w:pPr>
              <w:spacing w:after="0"/>
              <w:rPr>
                <w:sz w:val="1"/>
                <w:szCs w:val="1"/>
                <w:color w:val="auto"/>
              </w:rPr>
            </w:pPr>
          </w:p>
        </w:tc>
      </w:tr>
      <w:tr>
        <w:trPr>
          <w:trHeight w:val="212"/>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27, 2022</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611,172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(100,399)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20" w:type="dxa"/>
            <w:vAlign w:val="bottom"/>
            <w:gridSpan w:val="4"/>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vMerge w:val="restart"/>
          </w:tcPr>
          <w:p>
            <w:pPr>
              <w:spacing w:after="0"/>
              <w:rPr>
                <w:sz w:val="16"/>
                <w:szCs w:val="16"/>
                <w:color w:val="auto"/>
              </w:rPr>
            </w:pPr>
          </w:p>
        </w:tc>
        <w:tc>
          <w:tcPr>
            <w:tcW w:w="214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27,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320,866</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28,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423,474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(104,974)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318,953</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27, 2022</w:t>
            </w:r>
          </w:p>
        </w:tc>
        <w:tc>
          <w:tcPr>
            <w:tcW w:w="160" w:type="dxa"/>
            <w:vAlign w:val="bottom"/>
          </w:tcPr>
          <w:p>
            <w:pPr>
              <w:spacing w:after="0"/>
              <w:rPr>
                <w:sz w:val="16"/>
                <w:szCs w:val="16"/>
                <w:color w:val="auto"/>
              </w:rPr>
            </w:pP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MARCH 28, 2021</w:t>
            </w:r>
          </w:p>
        </w:tc>
        <w:tc>
          <w:tcPr>
            <w:tcW w:w="0" w:type="dxa"/>
            <w:vAlign w:val="bottom"/>
          </w:tcPr>
          <w:p>
            <w:pPr>
              <w:spacing w:after="0"/>
              <w:rPr>
                <w:sz w:val="1"/>
                <w:szCs w:val="1"/>
                <w:color w:val="auto"/>
              </w:rPr>
            </w:pPr>
          </w:p>
        </w:tc>
      </w:tr>
      <w:tr>
        <w:trPr>
          <w:trHeight w:val="20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compensation and deferred payroll taxes, current and long-term</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0" w:type="dxa"/>
            <w:vAlign w:val="bottom"/>
          </w:tcPr>
          <w:p>
            <w:pPr>
              <w:spacing w:after="0"/>
              <w:rPr>
                <w:sz w:val="1"/>
                <w:szCs w:val="1"/>
                <w:color w:val="auto"/>
              </w:rPr>
            </w:pPr>
          </w:p>
        </w:tc>
      </w:tr>
      <w:tr>
        <w:trPr>
          <w:trHeight w:val="207"/>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(10,509)</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7"/>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(10,593)</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13"/>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39,097</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27, 2022</w:t>
            </w:r>
          </w:p>
        </w:tc>
        <w:tc>
          <w:tcPr>
            <w:tcW w:w="180" w:type="dxa"/>
            <w:vAlign w:val="bottom"/>
          </w:tcPr>
          <w:p>
            <w:pPr>
              <w:spacing w:after="0"/>
              <w:rPr>
                <w:sz w:val="16"/>
                <w:szCs w:val="16"/>
                <w:color w:val="auto"/>
              </w:rPr>
            </w:pP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28, 2021</w:t>
            </w:r>
          </w:p>
        </w:tc>
      </w:tr>
      <w:tr>
        <w:trPr>
          <w:trHeight w:val="20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converted to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of operating lease assets and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of finance lease assets and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liabilities from acquisition of property, fixtures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28 states operating under the “First Watch” trade name, which are focused on made-to-order breakfast, brunch and lunch. The Company does not operate outside of the United States and all of its assets are located in the United States. As of March 27, 2022 and December 26, 2021, the Company operated 346 company-owned restaurants and 341 company-owned restaurants, respectively, and had 95 franchise-owned restaurants and 94 franchise-owned restaurants, respectively.</w:t>
      </w:r>
    </w:p>
    <w:p>
      <w:pPr>
        <w:spacing w:after="0" w:line="287"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Company’s fiscal quarters are comprised of 13 weeks each, except for fiscal years consisting of 53 weeks for which the fourth quarter will consist of 14 weeks, and end on the 13th Sunday of each quarter (14th Sunday of the fourth quarter, when applicable). The quarters ended March 27, 2022 and March 28, 2021 were both 13-week periods. These unaudited interim consolidated financial statements should be read in conjunction with the audited consolidated financial statements and notes thereto included in the Company's Annual Report on Form 10-K as of and for the year ended December 26, 2021 (“2021 Form 10-K”).</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2021 Form 10-K and include all adjustments necessary for the fair statement of the consolidated financial statements for the interim periods presented. The results of operations for interim periods are not necessarily indicative of the results to be expected for other interim periods or the entire fiscal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note payable and other current liabilities, approximate their fair values due to their short-term maturities. At March 27, 2022, the carrying amount of the Company’s outstanding debt under the new facilities pursuant to the new credit agreement executed in October 2021 approximated its fair value.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(“ASU 2020-04”). The new guidance provides optional expedients and exceptions for applying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contracts, hedging relationships and other transactions affected by reference rate reform if certain criteria are met. ASU 2020-04 was effective beginning March 12, 2020 and may be applied prospectively to contract modifications made and hedging relationships entered into or evaluated on or before December 31, 2022. Management is currently evaluating its contracts and the optional expedients provided by the new standard.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19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4,654</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w:t>
            </w: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80" w:type="dxa"/>
            <w:vAlign w:val="bottom"/>
          </w:tcPr>
          <w:p>
            <w:pPr>
              <w:spacing w:after="0"/>
              <w:rPr>
                <w:sz w:val="18"/>
                <w:szCs w:val="18"/>
                <w:color w:val="auto"/>
              </w:rPr>
            </w:pPr>
          </w:p>
        </w:tc>
        <w:tc>
          <w:tcPr>
            <w:tcW w:w="1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19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r>
      <w:tr>
        <w:trPr>
          <w:trHeight w:val="21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13"/>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w:t>
            </w:r>
          </w:p>
        </w:tc>
      </w:tr>
      <w:tr>
        <w:trPr>
          <w:trHeight w:val="21"/>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80" w:type="dxa"/>
            <w:vAlign w:val="bottom"/>
          </w:tcPr>
          <w:p>
            <w:pPr>
              <w:spacing w:after="0"/>
              <w:rPr>
                <w:sz w:val="18"/>
                <w:szCs w:val="18"/>
                <w:color w:val="auto"/>
              </w:rPr>
            </w:pPr>
          </w:p>
        </w:tc>
        <w:tc>
          <w:tcPr>
            <w:tcW w:w="1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19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1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80" w:type="dxa"/>
            <w:vAlign w:val="bottom"/>
          </w:tcPr>
          <w:p>
            <w:pPr>
              <w:spacing w:after="0"/>
              <w:rPr>
                <w:sz w:val="18"/>
                <w:szCs w:val="18"/>
                <w:color w:val="auto"/>
              </w:rPr>
            </w:pPr>
          </w:p>
        </w:tc>
        <w:tc>
          <w:tcPr>
            <w:tcW w:w="1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19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87,131</w:t>
            </w:r>
          </w:p>
        </w:tc>
      </w:tr>
      <w:tr>
        <w:trPr>
          <w:trHeight w:val="21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20,754</w:t>
            </w:r>
          </w:p>
        </w:tc>
      </w:tr>
      <w:tr>
        <w:trPr>
          <w:trHeight w:val="213"/>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17,481</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125,366</w:t>
            </w:r>
          </w:p>
        </w:tc>
      </w:tr>
      <w:tr>
        <w:trPr>
          <w:trHeight w:val="46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9"/>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r>
      <w:tr>
        <w:trPr>
          <w:trHeight w:val="213"/>
        </w:trPr>
        <w:tc>
          <w:tcPr>
            <w:tcW w:w="7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r>
      <w:tr>
        <w:trPr>
          <w:trHeight w:val="212"/>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173,112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127,169</w:t>
            </w: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r>
      <w:tr>
        <w:trPr>
          <w:trHeight w:val="212"/>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w:t>
            </w:r>
          </w:p>
        </w:tc>
      </w:tr>
      <w:tr>
        <w:trPr>
          <w:trHeight w:val="21"/>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and general liability reserves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r>
      <w:tr>
        <w:trPr>
          <w:trHeight w:val="212"/>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15,889</w:t>
            </w: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 Classification</w:t>
            </w: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324,995</w:t>
            </w:r>
          </w:p>
        </w:tc>
      </w:tr>
      <w:tr>
        <w:trPr>
          <w:trHeight w:val="21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r>
      <w:tr>
        <w:trPr>
          <w:trHeight w:val="212"/>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326,887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338,460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330,495</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210"/>
        </w:trPr>
        <w:tc>
          <w:tcPr>
            <w:tcW w:w="39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377,976</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370,698</w:t>
            </w:r>
          </w:p>
        </w:tc>
      </w:tr>
      <w:tr>
        <w:trPr>
          <w:trHeight w:val="23"/>
        </w:trPr>
        <w:tc>
          <w:tcPr>
            <w:tcW w:w="39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-728345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-453390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-179705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2620" w:space="720"/>
            <w:col w:w="7900"/>
          </w:cols>
          <w:pgMar w:left="320" w:top="121" w:right="339" w:bottom="1440"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w:t>
            </w:r>
          </w:p>
        </w:tc>
        <w:tc>
          <w:tcPr>
            <w:tcW w:w="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08"/>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Classification</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0" w:type="dxa"/>
            <w:vAlign w:val="bottom"/>
          </w:tcPr>
          <w:p>
            <w:pPr>
              <w:spacing w:after="0"/>
              <w:rPr>
                <w:sz w:val="1"/>
                <w:szCs w:val="1"/>
                <w:color w:val="auto"/>
              </w:rPr>
            </w:pPr>
          </w:p>
        </w:tc>
      </w:tr>
      <w:tr>
        <w:trPr>
          <w:trHeight w:val="157"/>
        </w:trPr>
        <w:tc>
          <w:tcPr>
            <w:tcW w:w="302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lease expense</w:t>
            </w:r>
          </w:p>
        </w:tc>
        <w:tc>
          <w:tcPr>
            <w:tcW w:w="426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43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10,852</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lease expense</w:t>
            </w:r>
          </w:p>
        </w:tc>
        <w:tc>
          <w:tcPr>
            <w:tcW w:w="4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4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contingent rent of $0.4 million and $0.1 million during the thirteen weeks ended March 27, 2022 and March 28, 2021, respectively.</w:t>
      </w:r>
    </w:p>
    <w:p>
      <w:pPr>
        <w:spacing w:after="0" w:line="9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160" w:type="dxa"/>
            <w:vAlign w:val="bottom"/>
          </w:tcPr>
          <w:p>
            <w:pPr>
              <w:spacing w:after="0"/>
              <w:rPr>
                <w:sz w:val="18"/>
                <w:szCs w:val="18"/>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19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10,637</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520" w:type="dxa"/>
            <w:vAlign w:val="bottom"/>
          </w:tcPr>
          <w:p>
            <w:pPr>
              <w:spacing w:after="0"/>
              <w:rPr>
                <w:sz w:val="18"/>
                <w:szCs w:val="18"/>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1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19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3"/>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6"/>
        </w:trPr>
        <w:tc>
          <w:tcPr>
            <w:tcW w:w="7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10"/>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2022, future minimum lease payments for operating and finance leases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199"/>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79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Total future minimum lease payments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2"/>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w:t>
            </w:r>
          </w:p>
        </w:tc>
      </w:tr>
      <w:tr>
        <w:trPr>
          <w:trHeight w:val="21"/>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$48.0 million of executed operating leases that have not commenced as of March 27,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Stock-based awards are granted to employees and non-employee directors. 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 No awards were granted under the 2017 Equity Plan during the thirteen weeks ended March 27, 2022 and the Company does not intend to grant any further awards under the 2017 Equity Plan. A total of 999,277 time-based stock option awards were granted under the 2021 Equity Plan during the thirteen weeks ended March 27, 2022 which vest over a three-year requisite service period from the date of grant and expire 10 years after the grant date. At March 27, 2022, a total of 3,034,795 common shares were available to grant under the 2021 Equity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Company’s stock-based compensation plans during the thirteen weeks ended March 27,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9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20" w:type="dxa"/>
            <w:vAlign w:val="bottom"/>
          </w:tcPr>
          <w:p>
            <w:pPr>
              <w:spacing w:after="0"/>
              <w:rPr>
                <w:sz w:val="16"/>
                <w:szCs w:val="16"/>
                <w:color w:val="auto"/>
              </w:rPr>
            </w:pPr>
          </w:p>
        </w:tc>
        <w:tc>
          <w:tcPr>
            <w:tcW w:w="1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26,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4,409,331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March 27, 2022</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5,373,948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March 27, 2022</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1,798,387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options for the Company’s stock-based compensation plans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3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Weighted-Average Grant Date</w:t>
            </w:r>
          </w:p>
        </w:tc>
        <w:tc>
          <w:tcPr>
            <w:tcW w:w="0" w:type="dxa"/>
            <w:vAlign w:val="bottom"/>
          </w:tcPr>
          <w:p>
            <w:pPr>
              <w:spacing w:after="0"/>
              <w:rPr>
                <w:sz w:val="1"/>
                <w:szCs w:val="1"/>
                <w:color w:val="auto"/>
              </w:rPr>
            </w:pPr>
          </w:p>
        </w:tc>
      </w:tr>
      <w:tr>
        <w:trPr>
          <w:trHeight w:val="214"/>
        </w:trPr>
        <w:tc>
          <w:tcPr>
            <w:tcW w:w="636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26, 2021</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2,633,391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March 27, 2022</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3,575,561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Stock Options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is estimated on the date of grant using the Black-Scholes valuation model. The assumptions utilized to estimate the grant-date fair value of the stock option awards granted during the thirteen weeks ended March 27, 2022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5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5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have sufficient historical stock option exercise activity and therefore Management estimated the expected term of stock options granted using the simplified method, which represents the mid-point between the vesting period and the contractual term for each grant. The expected volatility of stock options is based on the historical volatilities of a set of publicly traded peer companies in a similar industry.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$2.3 million and $0.1 million for the thirteen weeks ended March 27, 2022 and March 28, 2021,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the Nasdaq.</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27, 2022, the amount of stock-based compensation expense not yet recognized was approximately $17.6 million and will be recognized over a weighted-average period of approximately 1.6 years.</w:t>
      </w:r>
    </w:p>
    <w:p>
      <w:pPr>
        <w:spacing w:after="0" w:line="3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211"/>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6,917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(2,217)</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(2,277)</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bl>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effective income tax rate for the thirteen weeks ended March 27, 2022 was 32.9% as compared to 7.9% for the thirteen weeks ended March 28, 2021. The change in the effective income tax rates was primarily due to (i) forecasted 2022</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pre-tax book income as compared to forecasted 2021 pre-tax book loss, (ii) the change in the valuation allowance for federal and state deferred tax assets and (iii) limitations on deductions of certain compensation.</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blended federal and state statutory rate of approximately 25.0%. The effective income tax rates for the thirteen weeks ended March 27, 2022 and March 28, 2021 were different than the blended federal and state statutory rate primarily due to (i) the benefit of tax credits for FICA taxes on certain employees’ tips, (ii) the change in the valuation allowance for federal and state deferred tax assets and (iii) limitations on deductions of certain compensation.</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ultimate liability with respect to these matters was not material as of March 27, 2022. In the event any litigation losses become probable and estimable, the Company will recognize any anticipated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Unclaimed Property</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April 22, 2022, the Company entered into Delaware’s Voluntary Disclosure Agreement Program in order to voluntarily comply with Delaware’s abandoned property law in exchange for certain protections and benefits.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Any potential loss, or range of loss, that may result from this matter is not currently reasonably estimable.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Net Income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(loss)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0" w:type="dxa"/>
            <w:vAlign w:val="bottom"/>
          </w:tcPr>
          <w:p>
            <w:pPr>
              <w:spacing w:after="0"/>
              <w:rPr>
                <w:sz w:val="1"/>
                <w:szCs w:val="1"/>
                <w:color w:val="auto"/>
              </w:rPr>
            </w:pPr>
          </w:p>
        </w:tc>
      </w:tr>
      <w:tr>
        <w:trPr>
          <w:trHeight w:val="198"/>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59,983,150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0" w:type="dxa"/>
            <w:vAlign w:val="bottom"/>
          </w:tcPr>
          <w:p>
            <w:pPr>
              <w:spacing w:after="0"/>
              <w:rPr>
                <w:sz w:val="1"/>
                <w:szCs w:val="1"/>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62"/>
        </w:trPr>
        <w:tc>
          <w:tcPr>
            <w:tcW w:w="7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Option awards outstanding not included in diluted net income (loss) per common share as their effect is anti-</w:t>
            </w:r>
          </w:p>
        </w:tc>
        <w:tc>
          <w:tcPr>
            <w:tcW w:w="18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2,150,374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2,645,613</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(loss)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March 28, 2021, all preferred shares and all stock option awards were excluded from the calculation of diluted net loss per common share because of their anti-dilutive impact. The performance-based stock option awards were excluded from the diluted net loss per common share calculation as the performance condition was not considered probable of being met.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as of and for the fiscal year ended December 26, 2021 and notes included in our 2021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Form 10-Q and in our 2021 Form 10-K, including under “Item 1A. Risk Factors” and “Item 7. Management’s Discussion and Analysis of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brunch and lunch. In March 2022, First Watch was awarded ADP’s prestigious Culture at Work award. The Company is majority owned by Advent International Corporation, one of the world’s largest private-equity firms. On October 1, 2021, the Company’s common stock began trading on Nasdaq under the ticker symbol “FWRG.”</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operate outside of the United States. The Company operates and franchises restaurants in 28 states under the “First Watch” trade name and as of March 27, 2022, the Company had 346 company-owned restaurants and 95 franchise-owned restaurants.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highlights for the thirteen weeks ended March 27, 2022 (“first quarter of 2022”) as compared to the thirteen weeks ended March 28, 2021 (“first quarter of 2021”) reflect the continued momentum of our strong operating performance and include the following:</w:t>
      </w:r>
    </w:p>
    <w:p>
      <w:pPr>
        <w:spacing w:after="0" w:line="189" w:lineRule="exact"/>
        <w:rPr>
          <w:sz w:val="20"/>
          <w:szCs w:val="20"/>
          <w:color w:val="auto"/>
        </w:rPr>
      </w:pPr>
    </w:p>
    <w:p>
      <w:pPr>
        <w:ind w:left="580" w:hanging="41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36.1% to $173.1 million in the first quarter of 2022 from $127.2 million in the first quarter of 2021</w:t>
      </w:r>
    </w:p>
    <w:p>
      <w:pPr>
        <w:spacing w:after="0" w:line="27"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System-wide sales increased 35.6% to $214.1 million in the first quarter of 2022 from $158.0 million in the first quarter of 2021</w:t>
      </w:r>
    </w:p>
    <w:p>
      <w:pPr>
        <w:spacing w:after="0" w:line="9" w:lineRule="exact"/>
        <w:rPr>
          <w:rFonts w:ascii="Times New Roman" w:cs="Times New Roman" w:eastAsia="Times New Roman" w:hAnsi="Times New Roman"/>
          <w:sz w:val="18"/>
          <w:szCs w:val="18"/>
          <w:color w:val="auto"/>
        </w:rPr>
      </w:pPr>
    </w:p>
    <w:p>
      <w:pPr>
        <w:ind w:left="580" w:hanging="410"/>
        <w:spacing w:after="0" w:line="19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27.2% (26.1% relative to the first quarter of 2019</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ind w:left="580" w:hanging="410"/>
        <w:spacing w:after="0" w:line="19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21.9% (3.4% relative to the first quarter of 2019</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ind w:left="580" w:hanging="41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of 4.5% during the first quarter of 2022 compared to 3.1% in the first quarter of 2021</w:t>
      </w:r>
    </w:p>
    <w:p>
      <w:pPr>
        <w:spacing w:after="0" w:line="7" w:lineRule="exact"/>
        <w:rPr>
          <w:rFonts w:ascii="Times New Roman" w:cs="Times New Roman" w:eastAsia="Times New Roman" w:hAnsi="Times New Roman"/>
          <w:sz w:val="18"/>
          <w:szCs w:val="18"/>
          <w:color w:val="auto"/>
        </w:rPr>
      </w:pPr>
    </w:p>
    <w:p>
      <w:pPr>
        <w:ind w:left="580" w:hanging="410"/>
        <w:spacing w:after="0" w:line="19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increased to 19.6% in the first quarter of 2022 from 17.5% in the first quarter of 2021</w:t>
      </w:r>
    </w:p>
    <w:p>
      <w:pPr>
        <w:ind w:left="580" w:hanging="410"/>
        <w:spacing w:after="0" w:line="249"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$4.6 million, or $0.08 per diluted share, in the first quarter of 2022 compared to Net loss of $(2.0) million, or $(0.05) per diluted share, in the first quarter of 2021</w:t>
      </w:r>
    </w:p>
    <w:p>
      <w:pPr>
        <w:ind w:left="580" w:hanging="410"/>
        <w:spacing w:after="0" w:line="19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increased to $19.4 million in the first quarter of 2022 from $13.0 million in the first quarter of 2021</w:t>
      </w:r>
    </w:p>
    <w:p>
      <w:pPr>
        <w:ind w:left="580" w:hanging="410"/>
        <w:spacing w:after="0" w:line="249"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7 system-wide restaurants in 5 states resulting in a total of 441 system-wide restaurants (346 company-owned and 95 franchise-owned) across 28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right="380" w:firstLine="8"/>
        <w:spacing w:after="0" w:line="275" w:lineRule="auto"/>
        <w:tabs>
          <w:tab w:leader="none" w:pos="12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Comparison to the thirteen weeks ended March 31, 2019 (“first quarter of 2019”) is presented for enhanced comparability due to the economic impact of COVID-19. ** See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thirteen weeks ended March 27, 2022 and March 28, 2021, there were 305 restaurants and 270 restaurants in our Comparable Restaurant Base, respectively.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as compared to the same period in the prior year using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(loss) before depreciation and amortization, interest expense, income taxes, and items that we do not consider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our evaluation of ongoing core operating performance as identified in the reconciliation of Net income (loss), the most directly comparable measure in accordance with accounting principles generally accepted in the United States of America (“GAAP”), to Adjusted EBITDA, included in the section </w:t>
      </w:r>
      <w:r>
        <w:rPr>
          <w:rFonts w:ascii="Times New Roman" w:cs="Times New Roman" w:eastAsia="Times New Roman" w:hAnsi="Times New Roman"/>
          <w:sz w:val="18"/>
          <w:szCs w:val="18"/>
          <w:i w:val="1"/>
          <w:iCs w:val="1"/>
          <w:color w:val="auto"/>
        </w:rPr>
        <w:t xml:space="preserve">Non-GAAP Financial Measures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i w:val="1"/>
          <w:iCs w:val="1"/>
          <w:color w:val="auto"/>
        </w:rPr>
        <w:t>.</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 a reconciliation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below for a reconciliation to the most directly comparable GAAP measure.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1"/>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211"/>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214,121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157,964</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System-wide restaurants</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415</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328</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Franchise-owned</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Same-restaurant sales growth</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Same-restaurant traffic growth</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3,845</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9"/>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21,924</w:t>
            </w:r>
          </w:p>
        </w:tc>
      </w:tr>
      <w:tr>
        <w:trPr>
          <w:trHeight w:val="216"/>
        </w:trPr>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(in thousands)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(2,042)</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margin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12,982</w:t>
            </w:r>
          </w:p>
        </w:tc>
      </w:tr>
      <w:tr>
        <w:trPr>
          <w:trHeight w:val="281"/>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right="20" w:firstLine="8"/>
        <w:spacing w:after="0" w:line="248" w:lineRule="auto"/>
        <w:tabs>
          <w:tab w:leader="none" w:pos="25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xml:space="preserve"> section below.</w:t>
      </w:r>
    </w:p>
    <w:p>
      <w:pPr>
        <w:spacing w:after="0" w:line="1" w:lineRule="exact"/>
        <w:rPr>
          <w:rFonts w:ascii="Times New Roman" w:cs="Times New Roman" w:eastAsia="Times New Roman" w:hAnsi="Times New Roman"/>
          <w:sz w:val="16"/>
          <w:szCs w:val="16"/>
          <w:color w:val="auto"/>
        </w:rPr>
      </w:pPr>
    </w:p>
    <w:p>
      <w:pPr>
        <w:ind w:firstLine="8"/>
        <w:spacing w:after="0" w:line="270" w:lineRule="auto"/>
        <w:tabs>
          <w:tab w:leader="none" w:pos="23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(loss) and Net income (loss)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Same-Restaurant Sales Growth and Same-Restaurant Traffic Growth</w:t>
            </w: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Same-Restaurant Sales</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Same-Restaurant Traffic</w:t>
            </w:r>
          </w:p>
        </w:tc>
        <w:tc>
          <w:tcPr>
            <w:tcW w:w="222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Comparable Restaurant</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Growth</w:t>
            </w:r>
          </w:p>
        </w:tc>
        <w:tc>
          <w:tcPr>
            <w:tcW w:w="2220" w:type="dxa"/>
            <w:vAlign w:val="bottom"/>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Base</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27, 2022</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28, 2021</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29, 2020</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2019</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897"/>
        </w:trPr>
        <w:tc>
          <w:tcPr>
            <w:tcW w:w="4360" w:type="dxa"/>
            <w:vAlign w:val="bottom"/>
          </w:tcPr>
          <w:p>
            <w:pPr>
              <w:spacing w:after="0"/>
              <w:rPr>
                <w:sz w:val="24"/>
                <w:szCs w:val="24"/>
                <w:color w:val="auto"/>
              </w:rPr>
            </w:pPr>
          </w:p>
        </w:tc>
        <w:tc>
          <w:tcPr>
            <w:tcW w:w="208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Thirteen Weeks Ended March 27, 2022 Compared to Thirteen Weeks Ended March 28,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Restaurant sales for the thirteen weeks ended March 27, 2022 and March 28,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60" w:type="dxa"/>
            <w:vAlign w:val="bottom"/>
            <w:tcBorders>
              <w:bottom w:val="single" w:sz="8" w:color="auto"/>
            </w:tcBorders>
          </w:tcPr>
          <w:p>
            <w:pPr>
              <w:spacing w:after="0"/>
              <w:rPr>
                <w:sz w:val="18"/>
                <w:szCs w:val="18"/>
                <w:color w:val="auto"/>
              </w:rPr>
            </w:pPr>
          </w:p>
        </w:tc>
      </w:tr>
      <w:tr>
        <w:trPr>
          <w:trHeight w:val="21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198"/>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170,669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98.6 %</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7"/>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173,112</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72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operating expenses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(exclusive of depreciation and amortization shown below):</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21.5 %</w:t>
            </w:r>
          </w:p>
        </w:tc>
      </w:tr>
      <w:tr>
        <w:trPr>
          <w:trHeight w:val="213"/>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31.9 %</w:t>
            </w:r>
          </w:p>
        </w:tc>
      </w:tr>
      <w:tr>
        <w:trPr>
          <w:trHeight w:val="21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r>
      <w:tr>
        <w:trPr>
          <w:trHeight w:val="213"/>
        </w:trPr>
        <w:tc>
          <w:tcPr>
            <w:tcW w:w="7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1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165,352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95.5 %</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97.0 %</w:t>
            </w:r>
          </w:p>
        </w:tc>
      </w:tr>
      <w:tr>
        <w:trPr>
          <w:trHeight w:val="212"/>
        </w:trPr>
        <w:tc>
          <w:tcPr>
            <w:tcW w:w="72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7"/>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and total comprehensive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132,892</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87,131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52.5 %</w:t>
            </w:r>
          </w:p>
        </w:tc>
      </w:tr>
      <w:tr>
        <w:trPr>
          <w:trHeight w:val="21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3"/>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total restaurant sales during the thirteen weeks ended March 27, 2022 as compared to the same period in the prior year was primarily due to</w:t>
      </w:r>
    </w:p>
    <w:p>
      <w:pPr>
        <w:spacing w:after="0" w:line="27" w:lineRule="exact"/>
        <w:rPr>
          <w:sz w:val="20"/>
          <w:szCs w:val="20"/>
          <w:color w:val="auto"/>
        </w:rPr>
      </w:pPr>
    </w:p>
    <w:p>
      <w:pPr>
        <w:jc w:val="both"/>
        <w:ind w:firstLine="8"/>
        <w:spacing w:after="0" w:line="255"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 million of higher restaurant sales from the Comparable Restaurant Base, driven by same-restaurant traffic growth of 21.9%, menu price increases and sustained off-premises sales, (ii) 20 NROs that have opened since March 28, 2021 and (iii) certain dining room restrictions imposed pursuant to state and local government mandates during the thirteen weeks ended March 28, 2021 in response to COVID-19.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37.1 %</w:t>
            </w:r>
          </w:p>
        </w:tc>
      </w:tr>
      <w:tr>
        <w:trPr>
          <w:trHeight w:val="219"/>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35.5 %</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franchise revenues during the thirteen weeks ended March 27, 2022 as compared to the same period in the prior year was primarily driven by the increase in sales from franchise-owned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39,403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26,916</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bl>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Food and beverage costs as a percent of restaurant sales increased during the thirteen weeks ended March 27, 2022 as compared to the same period in the prior year primarily due to (i) higher prices for pork and avocados, partially offset by (ii) menu price increases.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Food and beverage costs increased during the thirteen weeks ended March 27, 2022 as compared to the same period in the prior year primarily as a result of (i) the increase in restaurant sales and (ii) higher prices across the market basket due to cost increases in certain commodities.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currently expects a continuation of cost pressures in our market basket for the balance of the year, with inflation of 10.0% to 13.0%, as well as increases in fuel surcharges associated with our deliveries.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55,142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40,049</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the thirteen weeks ended March 27, 2022 as compared to the same period in the prior year primarily as a result of (i) the increase in wages and staffing levels, partially offset by (ii) greater sales leverage driven by the increase in restaurant sales and (iii) rebates from our group health plan.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weeks ended March 27, 2022 as compared to the same period in the prior year was primarily due to (i) an increase in wages and staffing levels and (ii) 20 NROs that have opened since March 28, 2021, partially offset by (iii) rebates from our group health plan.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and other related expenses have continued to experience volatility associated with the tight labor pools in the markets in which the Company operates and the dining room traffic recovery trends which have responded to the occurrences of new COVID-19 variants.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27,317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22,020</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restaurant operating expenses as a percentage of restaurant sales during the thirteen weeks ended March 27, 2022 was lower than the same period in the prior year primarily due to leveraging in-restaurant dining sales.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weeks ended March 27, 2022 as compared to the same period in the prior year was mainly due to (i) an additional $2.3 million in operating supplies expense primarily driven by higher prices and the increase in restaurant sales, as well as (ii) an increase in credit card fees, utilities, repairs and maintenance and insurance expense primarily driven by the increase in restaurant sales.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percentage of sales, other restaurant operating expenses are expected to trend higher than prior to COVID-19 due principally to the additional cost of to-go supplies associated with off-premises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14,383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13,301</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decrease in occupancy expenses for the thirteen weeks ended March 27, 2022 as compared to the same period in the prior year was primarily due to sales leverage driven by the increase in restaurant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weeks ended March 27, 2022 as compared to the same period in the prior year was primarily due to the increase in the number of company-owned restaurants and the number of leases that had commenced.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pre-opening expenses during the thirteen weeks ended March 27, 2022 as compared to the same period in the prior year was primarily due a lower number of NROs opened, as well as those expected to open, during the current period compared to the same period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and stock-based compensation. General and administrative expenses are impacted by changes in our employee headcount and costs related to strategic and growth initiatives. In preparation for and after the consummation of the Company’s initial public offering (“IPO”) in October 2021, we have incurred and we expect to incur in the future significant additional legal, accounting and other expenses associated with being a public company, including costs associated with our compliance with the Sarbanes-Oxley Act.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63.7 %</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March 27, 2022 as compared to the same period in the prior year was mainly due to (i) $2.2 million of stock-based compensation expense from certain stock option awards that converted into time-based stock option awards upon the Company’s IPO, (ii) the increase of $1.3 million in compensation expense from wage increases and additional employee headcount to support growth, (iii) the additional $1.0 million in marketing spend, (iv) the increase of $1.0 million related to insurance expense and (v) the additional $0.6 million related to legal and accounting fees associated with being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Corporation in August 2017 as well as reacquired rights from our acquisitions of franchise-owned restaurants.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27, 2022</w:t>
            </w: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2021</w:t>
            </w:r>
          </w:p>
        </w:tc>
        <w:tc>
          <w:tcPr>
            <w:tcW w:w="12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weeks ended March 27, 2022 as compared to the same period in the prior year was primarily due to incremental depreciation of capital expenditures associated with NROs.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and Loss on Disposal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3740" w:type="dxa"/>
            <w:vAlign w:val="bottom"/>
            <w:tcBorders>
              <w:bottom w:val="single" w:sz="8" w:color="auto"/>
            </w:tcBorders>
            <w:gridSpan w:val="6"/>
          </w:tcPr>
          <w:p>
            <w:pPr>
              <w:ind w:left="14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impairment losses recognized on intangible assets or fixed assets during the thirteen weeks ended March 27, 2022 and March 28, 2021. Loss on disposal of assets recognized during the periods indicated were related to retirements, replacements and disposals of fixed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56"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terminations, (iii) costs incurred in connection with the acquisition of franchise-owned restaurants, (iv) costs incurred in connection with the conversion of certain restaurants to company-owned restaurants operating under the First Watch trade name and (v) costs related to restaurant closures.</w:t>
      </w: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40" w:type="dxa"/>
            <w:vAlign w:val="bottom"/>
            <w:tcBorders>
              <w:bottom w:val="single" w:sz="8" w:color="auto"/>
            </w:tcBorders>
          </w:tcPr>
          <w:p>
            <w:pPr>
              <w:spacing w:after="0"/>
              <w:rPr>
                <w:sz w:val="18"/>
                <w:szCs w:val="18"/>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1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700"/>
              <w:spacing w:after="0" w:line="211" w:lineRule="exact"/>
              <w:rPr>
                <w:sz w:val="20"/>
                <w:szCs w:val="20"/>
                <w:color w:val="auto"/>
              </w:rPr>
            </w:pPr>
            <w:r>
              <w:rPr>
                <w:rFonts w:ascii="Times New Roman" w:cs="Times New Roman" w:eastAsia="Times New Roman" w:hAnsi="Times New Roman"/>
                <w:sz w:val="24"/>
                <w:szCs w:val="24"/>
                <w:color w:val="auto"/>
                <w:vertAlign w:val="subscript"/>
              </w:rPr>
              <w:t>n/m</w:t>
            </w:r>
            <w:r>
              <w:rPr>
                <w:rFonts w:ascii="Times New Roman" w:cs="Times New Roman" w:eastAsia="Times New Roman" w:hAnsi="Times New Roman"/>
                <w:sz w:val="9"/>
                <w:szCs w:val="9"/>
                <w:color w:val="auto"/>
              </w:rPr>
              <w:t xml:space="preserve"> (1)</w:t>
            </w: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203"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Transaction expenses, net primarily includes a termination fee in connection with the closure of one company-owned restaurant during the thirteen weeks ended March 27, 2022.</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7,760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3,845</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298"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Income from operations margin increased during the thirteen weeks ended March 27, 2022 as compared to the same period in the prior year primarily due to (i) leveraging restaurant sales, (ii) menu price increases and (iii) rebates from our group health plan, partially offset by (iv) higher prices for pork and avocados, (v) the increase in restaurant-level wages and staffing and (vi) the increase in general and administrative expenses mainly due to additional stock-based compensation expense and insurance expense.</w:t>
      </w:r>
    </w:p>
    <w:p>
      <w:pPr>
        <w:spacing w:after="0" w:line="180"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during the thirteen weeks ended March 27, 2022 as compared to the same period in the prior year mainly due to (i) the increase in total revenues, partially offset by (ii) the increase in operating costs and expenses driven by our restaurant growth, higher prices for certain commodities and supplies, as well as the increase in wages and staffing levels, in addition to (iii) the increase in general and administrative expenses mainly due to additional stock-based compensation expense, wage increases and additional employee headcount.</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5"/>
          </w:tcPr>
          <w:p>
            <w:pPr>
              <w:ind w:left="1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27, 2022</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2021</w:t>
            </w:r>
          </w:p>
        </w:tc>
        <w:tc>
          <w:tcPr>
            <w:tcW w:w="12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6,316</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during the thirteen weeks ended March 27, 2022 as compared to the same period in the prior year was primarily due to lower outstanding debt and reduced interest rates from the new term loan A facility (“the New Term Facility”) pursuant to our new credit agreement executed in October 2021, (the “ New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140" w:type="dxa"/>
            <w:vAlign w:val="bottom"/>
            <w:tcBorders>
              <w:bottom w:val="single" w:sz="8" w:color="auto"/>
            </w:tcBorders>
          </w:tcPr>
          <w:p>
            <w:pPr>
              <w:spacing w:after="0"/>
              <w:rPr>
                <w:sz w:val="18"/>
                <w:szCs w:val="18"/>
                <w:color w:val="auto"/>
              </w:rPr>
            </w:pPr>
          </w:p>
        </w:tc>
      </w:tr>
      <w:tr>
        <w:trPr>
          <w:trHeight w:val="21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1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720"/>
              <w:spacing w:after="0" w:line="212" w:lineRule="exact"/>
              <w:rPr>
                <w:sz w:val="20"/>
                <w:szCs w:val="20"/>
                <w:color w:val="auto"/>
              </w:rPr>
            </w:pPr>
            <w:r>
              <w:rPr>
                <w:rFonts w:ascii="Times New Roman" w:cs="Times New Roman" w:eastAsia="Times New Roman" w:hAnsi="Times New Roman"/>
                <w:sz w:val="16"/>
                <w:szCs w:val="16"/>
                <w:color w:val="auto"/>
                <w:w w:val="88"/>
              </w:rPr>
              <w:t xml:space="preserve">n/m </w:t>
            </w:r>
            <w:r>
              <w:rPr>
                <w:rFonts w:ascii="Times New Roman" w:cs="Times New Roman" w:eastAsia="Times New Roman" w:hAnsi="Times New Roman"/>
                <w:sz w:val="21"/>
                <w:szCs w:val="21"/>
                <w:color w:val="auto"/>
                <w:w w:val="88"/>
                <w:vertAlign w:val="superscript"/>
              </w:rPr>
              <w:t>(1)</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Not meaningful.</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thirteen weeks ended March 27, 2022 was 32.9% as compared to 7.9% for the thirteen weeks ended March 28, 2021. The change in the effective income tax rates was primarily due to (i) forecasted 2022</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pre-tax book income as compared to forecasted 2021 pre-tax book loss, (ii) the change in the valuation allowance for federal and state deferred tax assets and (iii) limitations on deductions of certain compensation.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blended federal and state statutory rate of approximately 25.0%. The effective income tax rates for the thirteen weeks ended March 27, 2022 and March 28, 2021 were different than the blended federal and state statutory rate primarily due to (i) the benefit of tax credits for FICA taxes on certain employees’ tips, (ii) the change in the valuation allowance for federal and state deferred tax assets and (iii) limitations on deductions of certain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line="212" w:lineRule="exact"/>
              <w:rPr>
                <w:sz w:val="20"/>
                <w:szCs w:val="20"/>
                <w:color w:val="auto"/>
              </w:rPr>
            </w:pPr>
            <w:r>
              <w:rPr>
                <w:rFonts w:ascii="Times New Roman" w:cs="Times New Roman" w:eastAsia="Times New Roman" w:hAnsi="Times New Roman"/>
                <w:sz w:val="16"/>
                <w:szCs w:val="16"/>
                <w:color w:val="auto"/>
              </w:rPr>
              <w:t xml:space="preserve">n/m </w:t>
            </w:r>
            <w:r>
              <w:rPr>
                <w:rFonts w:ascii="Times New Roman" w:cs="Times New Roman" w:eastAsia="Times New Roman" w:hAnsi="Times New Roman"/>
                <w:sz w:val="21"/>
                <w:szCs w:val="21"/>
                <w:color w:val="auto"/>
                <w:vertAlign w:val="superscript"/>
              </w:rPr>
              <w:t>(1)</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Not meaningful.</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margin was 2.7% during the thirteen weeks ended March 27, 2022 as compared to Net loss margin of (1.6)% during the same period in the prior year primarily due to (i) the increase in income from operations and (ii) the reduction in interest expense, partially offset by (iii) income tax expense.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for the thirteen weeks ended March 27, 2022 as compared to Net loss for the thirteen weeks ended March 28, 2021 was primarily due to (i) the increase in income from operations and (ii) the reduction in interest expense, partially offset by (iii) income tax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21,924</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weeks ended March 27, 2022 increased as compared to the same period in the prior year primarily due to (i) leveraging restaurant sales, (ii) menu price increases and (iii) rebates from our group health plan, partially offset by (iv) higher prices for pork and avocados and (v) the increase in wages and staffing.</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for the thirteen weeks ended March 27, 2022 increased as compared to the same period in the prior year mainly due to (i) the increase in same-restaurant sales growth, driven by same-restaurant traffic growth, menu price increases, and sustained of off-premises sales, (ii) 20 NROs that have opened since March 28, 2021 and (iii) rebates from our group health plan, partially offset by (iv) higher prices for certain commodities and supplies and (iv) the increase in wages.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1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60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top w:val="single" w:sz="8" w:color="auto"/>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19,364</w:t>
            </w:r>
          </w:p>
        </w:tc>
        <w:tc>
          <w:tcPr>
            <w:tcW w:w="80" w:type="dxa"/>
            <w:vAlign w:val="bottom"/>
            <w:tcBorders>
              <w:top w:val="single" w:sz="8" w:color="BFE4FF"/>
            </w:tcBorders>
            <w:shd w:val="clear" w:color="auto" w:fill="BFE4FF"/>
          </w:tcPr>
          <w:p>
            <w:pPr>
              <w:spacing w:after="0"/>
              <w:rPr>
                <w:sz w:val="18"/>
                <w:szCs w:val="18"/>
                <w:color w:val="auto"/>
              </w:rPr>
            </w:pPr>
          </w:p>
        </w:tc>
        <w:tc>
          <w:tcPr>
            <w:tcW w:w="220" w:type="dxa"/>
            <w:vAlign w:val="bottom"/>
            <w:tcBorders>
              <w:top w:val="single" w:sz="8" w:color="auto"/>
            </w:tcBorders>
            <w:shd w:val="clear" w:color="auto" w:fill="BFE4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12,982</w:t>
            </w:r>
          </w:p>
        </w:tc>
        <w:tc>
          <w:tcPr>
            <w:tcW w:w="100" w:type="dxa"/>
            <w:vAlign w:val="bottom"/>
            <w:tcBorders>
              <w:top w:val="single" w:sz="8" w:color="BFE4FF"/>
            </w:tcBorders>
            <w:shd w:val="clear" w:color="auto" w:fill="BFE4FF"/>
          </w:tcPr>
          <w:p>
            <w:pPr>
              <w:spacing w:after="0"/>
              <w:rPr>
                <w:sz w:val="18"/>
                <w:szCs w:val="18"/>
                <w:color w:val="auto"/>
              </w:rPr>
            </w:pPr>
          </w:p>
        </w:tc>
        <w:tc>
          <w:tcPr>
            <w:tcW w:w="12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49.2 %</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2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margin increased during the thirteen weeks ended March 27, 2022 as compared to the same period in the prior year primarily due to (i) the increase in restaurant level operating profit, partially offset by (ii) the increase in general and administrate expenses mainly due to additional insurance expense.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EBITDA for the thirteen weeks ended March 27, 2022 as compared to the same period in the prior year was primarily due to (i) the increase in restaurant level operating profit, partially offset by (ii) the increase in general and administrative expenses mainly due to wage increases and additional employee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4" w:lineRule="exact"/>
        <w:rPr>
          <w:sz w:val="20"/>
          <w:szCs w:val="20"/>
          <w:color w:val="auto"/>
        </w:rPr>
      </w:pPr>
    </w:p>
    <w:p>
      <w:pPr>
        <w:ind w:left="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(loss) and Net income (loss) margin, the most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GAAP 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2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28, 2021</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7,786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6,316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2,277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11,885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IPO-readiness and strategic transition costs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(5)</w:t>
            </w: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COVID-19 related charges </w:t>
            </w:r>
            <w:r>
              <w:rPr>
                <w:rFonts w:ascii="Times New Roman" w:cs="Times New Roman" w:eastAsia="Times New Roman" w:hAnsi="Times New Roman"/>
                <w:sz w:val="21"/>
                <w:szCs w:val="21"/>
                <w:color w:val="auto"/>
                <w:vertAlign w:val="superscript"/>
              </w:rPr>
              <w:t>(6)</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Borders>
              <w:bottom w:val="single" w:sz="8" w:color="CCEEFF"/>
            </w:tcBorders>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(7)</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19,364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736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173,112</w:t>
            </w:r>
          </w:p>
        </w:tc>
        <w:tc>
          <w:tcPr>
            <w:tcW w:w="8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127,169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 margin</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EBITDA margin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73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(income) </w:t>
            </w:r>
            <w:r>
              <w:rPr>
                <w:rFonts w:ascii="Times New Roman" w:cs="Times New Roman" w:eastAsia="Times New Roman" w:hAnsi="Times New Roman"/>
                <w:sz w:val="21"/>
                <w:szCs w:val="21"/>
                <w:color w:val="auto"/>
                <w:vertAlign w:val="superscript"/>
              </w:rPr>
              <w:t>(8)</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108"/>
        </w:trPr>
        <w:tc>
          <w:tcPr>
            <w:tcW w:w="40" w:type="dxa"/>
            <w:vAlign w:val="bottom"/>
            <w:vMerge w:val="continue"/>
          </w:tcPr>
          <w:p>
            <w:pPr>
              <w:spacing w:after="0"/>
              <w:rPr>
                <w:sz w:val="9"/>
                <w:szCs w:val="9"/>
                <w:color w:val="auto"/>
              </w:rPr>
            </w:pPr>
          </w:p>
        </w:tc>
        <w:tc>
          <w:tcPr>
            <w:tcW w:w="7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jc w:val="both"/>
        <w:ind w:left="80" w:right="20" w:firstLine="8"/>
        <w:spacing w:after="0" w:line="249" w:lineRule="auto"/>
        <w:tabs>
          <w:tab w:leader="none" w:pos="3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assessment and redesign of our systems and processes. In 2021, the costs also include information technology support and external professional service costs incurred in connection with IPO-readiness efforts. These costs are recorded within General and administrative expenses on the Consolidated Statements of Operations and Comprehensive Income (Loss).</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 (Loss).</w:t>
      </w:r>
    </w:p>
    <w:p>
      <w:pPr>
        <w:ind w:left="80" w:firstLine="8"/>
        <w:spacing w:after="0" w:line="253" w:lineRule="auto"/>
        <w:tabs>
          <w:tab w:leader="none" w:pos="33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as we assessed the redesign of our systems and processes. These costs are recorded within General and administrative expenses on the Consolidated Statements of Operations and Comprehensive Income (Loss).</w:t>
      </w:r>
    </w:p>
    <w:p>
      <w:pPr>
        <w:ind w:left="80" w:firstLine="8"/>
        <w:spacing w:after="0" w:line="255" w:lineRule="auto"/>
        <w:tabs>
          <w:tab w:leader="none" w:pos="3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320" w:hanging="232"/>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restaurant closures.</w:t>
      </w:r>
    </w:p>
    <w:p>
      <w:pPr>
        <w:spacing w:after="0" w:line="8" w:lineRule="exact"/>
        <w:rPr>
          <w:rFonts w:ascii="Times New Roman" w:cs="Times New Roman" w:eastAsia="Times New Roman" w:hAnsi="Times New Roman"/>
          <w:sz w:val="16"/>
          <w:szCs w:val="16"/>
          <w:color w:val="auto"/>
        </w:rPr>
      </w:pPr>
    </w:p>
    <w:p>
      <w:pPr>
        <w:ind w:left="320" w:hanging="232"/>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15" w:lineRule="exact"/>
        <w:rPr>
          <w:rFonts w:ascii="Times New Roman" w:cs="Times New Roman" w:eastAsia="Times New Roman" w:hAnsi="Times New Roman"/>
          <w:sz w:val="16"/>
          <w:szCs w:val="16"/>
          <w:color w:val="auto"/>
        </w:rPr>
      </w:pPr>
    </w:p>
    <w:p>
      <w:pPr>
        <w:ind w:left="320" w:hanging="232"/>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 (Loss).</w:t>
      </w:r>
    </w:p>
    <w:p>
      <w:pPr>
        <w:spacing w:after="0" w:line="5" w:lineRule="exact"/>
        <w:rPr>
          <w:rFonts w:ascii="Times New Roman" w:cs="Times New Roman" w:eastAsia="Times New Roman" w:hAnsi="Times New Roman"/>
          <w:sz w:val="16"/>
          <w:szCs w:val="16"/>
          <w:color w:val="auto"/>
        </w:rPr>
      </w:pPr>
    </w:p>
    <w:p>
      <w:pPr>
        <w:ind w:left="80" w:firstLine="8"/>
        <w:spacing w:after="0" w:line="275" w:lineRule="auto"/>
        <w:tabs>
          <w:tab w:leader="none" w:pos="3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(Loss) from operations and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from 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211"/>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3,845</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22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(1,803)</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11,953</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7,786</w:t>
            </w:r>
          </w:p>
        </w:tc>
      </w:tr>
      <w:tr>
        <w:trPr>
          <w:trHeight w:val="216"/>
        </w:trPr>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r>
      <w:tr>
        <w:trPr>
          <w:trHeight w:val="216"/>
        </w:trPr>
        <w:tc>
          <w:tcPr>
            <w:tcW w:w="7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COVID-19 related charges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33,439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21,924</w:t>
            </w:r>
          </w:p>
        </w:tc>
      </w:tr>
      <w:tr>
        <w:trPr>
          <w:trHeight w:val="216"/>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170,669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125,366</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r>
      <w:tr>
        <w:trPr>
          <w:trHeight w:val="216"/>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81"/>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Deferred rent expense (income) </w:t>
            </w:r>
            <w:r>
              <w:rPr>
                <w:rFonts w:ascii="Times New Roman" w:cs="Times New Roman" w:eastAsia="Times New Roman" w:hAnsi="Times New Roman"/>
                <w:sz w:val="21"/>
                <w:szCs w:val="21"/>
                <w:color w:val="auto"/>
                <w:vertAlign w:val="superscript"/>
              </w:rPr>
              <w:t>(4)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(938)</w:t>
            </w: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tabs>
          <w:tab w:leader="none" w:pos="2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restaurant closures.</w:t>
      </w:r>
    </w:p>
    <w:p>
      <w:pPr>
        <w:spacing w:after="0" w:line="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15" w:lineRule="exact"/>
        <w:rPr>
          <w:rFonts w:ascii="Times New Roman" w:cs="Times New Roman" w:eastAsia="Times New Roman" w:hAnsi="Times New Roman"/>
          <w:sz w:val="16"/>
          <w:szCs w:val="16"/>
          <w:color w:val="auto"/>
        </w:rPr>
      </w:pPr>
    </w:p>
    <w:p>
      <w:pPr>
        <w:ind w:firstLine="8"/>
        <w:spacing w:after="0" w:line="275" w:lineRule="auto"/>
        <w:tabs>
          <w:tab w:leader="none" w:pos="24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 (Loss).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27, 2022, we had cash and cash equivalents of $46.5 million and $99.4 million in outstanding borrowings, excluding unamortized debt issuance costs and deferred issuance costs. As of March 27, 2022, we had availability of $75.0 million under our revolving credit facility pursuant to our New Credit Agreement. Our principal uses of cash include capital expenditures for the development, acquisition or remodeling of restaurants, lease obligations, debt service payments and strategic infrastructure investments. Our requirements for working capital are not significant because our customers pay for their food and beverage purchases in cash or on debit or credit cards at the time of the sale and we are able to sell many of our inventory items before payment is due to the supplier of such items.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our New Credit Agreement and available cash and cash equivalents will be sufficient to meet our liquidity needs for at least the next 12 months. We anticipate that to the extent that we require additional liquidity, it will be funded through additional indebtedness, the issuance of equity, or a combination thereof. Although we believe that our current level of total available liquidity is sufficient to meet our short-term and long-term liquidity requirements, we regularly evaluate opportunities to improve our liquidity position in order to enhance financial flexibility. Although we have no specific current plans to do so, if we decide to pursue one or more significant acquisitions, we may incur additional debt or sell additional equity to finance such acquisitions, which would result in additional expenses or dilution.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$60.0 million to $70.0 million in 2022, which will be invested primarily in new restaurant projects, planned remodels and new in-restaurant technology. We plan to fund the capital expenditures primarily with cash generated from our operating activities as well as with borrowings from our new facilities pursuant to our New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thirteen weeks ended March 27, 2022 and March 28,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27, 2022</w:t>
            </w:r>
          </w:p>
        </w:tc>
        <w:tc>
          <w:tcPr>
            <w:tcW w:w="200" w:type="dxa"/>
            <w:vAlign w:val="bottom"/>
          </w:tcPr>
          <w:p>
            <w:pPr>
              <w:spacing w:after="0"/>
              <w:rPr>
                <w:sz w:val="18"/>
                <w:szCs w:val="18"/>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28, 2021</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(10,593)</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(5,616)</w:t>
            </w:r>
          </w:p>
        </w:tc>
      </w:tr>
      <w:tr>
        <w:trPr>
          <w:trHeight w:val="23"/>
        </w:trPr>
        <w:tc>
          <w:tcPr>
            <w:tcW w:w="7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during the thirteen weeks ended March 27, 2022 increased to $8.0 million from $5.8 million during the thirteen weeks ended March 28, 2021 primarily due to (i) the increase in net income of $6.7 million and (ii) the impact of non-cash charges of $5.4 million, partially offset by (iii) a net change in operating assets and liabilities of $(9.9) million. The increase in the non-cash charges was primarily driven by (i) additional stock-based compensation expense resulting from certain stock option awards that converted into time-based stock option awards upon closing of the IPO and (ii) deferred income taxes mainly due to forecasted 2022 pre-tax book income. The net change of $(9.9) million in operating assets and liabilities was a result of (i) higher accrued compensation and (ii) the timing of operational payments.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to $11.5 million during the thirteen weeks ended March 27, 2022 from $10.6 million during the thirteen weeks ended March 28, 2021 primarily as a result of the increase in capital expenditures to support our restaurant growth and new restaurant technology.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flows used in financing activities increased to $1.9 million during the thirteen weeks ended March 27, 2022 from $0.9 million during the thirteen weeks ended March 28, 2021 primarily due to repayments made on the note payable.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2021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exposure to market risks as disclosed in the 2021 Form 10-K.</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to be disclosed in our reports filed under the Exchange Act, such as this Quarterly Report on Form 10-Q, is recorded, processed, summarized and reported within the time periods specified in the SEC’s rules and forms.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which were previously identified and disclosed in connection with our IPO and in our periodic reports filed with the SEC, our Chief Executive Officer and Chief Financial Officer concluded that, as of March 27, 2022,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Weaknesses in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The material weaknesses we identified were as follows: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210"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 consolidated financial statements, which were recorded prior to the issuance of our fiscal 2018 consolidated financial statements.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taken certain measures to remediate the material weaknesses described above, including hiring additional personnel, designing and implementing formal procedures and controls supporting the Company’s period-end financial reporting process, such as controls over the preparation and review of account reconciliations and disclosures in the consolidated financial statements and designing certain information technology general controls. We are in the process of implementing additional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 personnel, evaluating our financial and information technology control environment and augmenting our internal controls with new accounting policies and procedures, and designing and implementing financial reporting controls, income tax controls, and information technology general controls. At this time, we cannot provide an estimate of costs expected to be incurred in connection with implementing a remediation plan; however, these remediation measures will be time consuming and will place significant demands on our financial and operational resources.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the efforts taken to date and those planned for remediation will improve the effectiveness of our internal control over financial reporting, these remediation efforts are ongoing and will require a sufficient period of time to operate for management to be able to conclude that the design is effective to address the risks of material misstatement and that such controls are operating effectively through testing of such controls. We may conclude that additional measures are necessary to remediate the material weaknesses in our internal control over financial reporting, which may necessitate additional evaluation and implementation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2021 Form 10-K which could materially affect our business, financial condition or future results. The information presented below updates, and should be read in conjunction with, the risk factors disclosed in our 2021 Form 10-K. Except as presented below, there have been no material changes to the risk factors disclosed in our 2021 Form 10-K, but these are not the only risks facing our Company. Additional risks and uncertainties not currently known to us or that we currently deem to be immaterial also may adversely affect our business, financial condition or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with respect to our gift cards under the property laws of some states.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gift cards, which may be used to purchase food and beverages in our restaurants, may be considered stored value cards by certain states in accordance with their abandoned and unclaimed property laws. These laws could require a company to remit to the state cash in an amount equal to all or a designated portion of the unredeemed balance on the gift cards based on certain card attributes and the length of time that the cards are inactive. We recognize income from unredeemed cards when we determine that the likelihood of the cards being redeemed is remote and that recognition is appropriate based on governing state statutes.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received a letter, dated February 21, 2022, from the Delaware Secretary of State inviting us to participate in the Delaware Secretary of State’s Abandoned or Unclaimed Property Voluntary Disclosure Agreement Program to avoid being sent an audit notice by the Delaware Department of Finance. On April 22, 2022, we entered into Delaware’s Voluntary Disclosure Agreement Program in order to voluntarily comply with Delaware’s abandoned property law in exchange for certain protections and benefits. We intend to work in good faith to complete a review of our books and records related to unclaimed or abandoned property during the periods required under the program. Amounts incurred and paid to resolve past due unclaimed property obligations in Delaware could have a material adverse effect on our financial condition and results of operations.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materially adversely affected.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rely on a third-party service provider to administer aspects of our gift cards. Any failure on the part of this service provider to fulfill their contract in a way that adversely effects the use or purchase of our gift cards could result in a material adverse effect on our business, financial condition and results of operations.</w:t>
      </w:r>
    </w:p>
    <w:p>
      <w:pPr>
        <w:spacing w:after="0" w:line="3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200" w:lineRule="exact"/>
        <w:rPr>
          <w:sz w:val="20"/>
          <w:szCs w:val="20"/>
          <w:color w:val="auto"/>
        </w:rPr>
      </w:pPr>
    </w:p>
    <w:p>
      <w:pPr>
        <w:spacing w:after="0" w:line="302" w:lineRule="exact"/>
        <w:rPr>
          <w:sz w:val="20"/>
          <w:szCs w:val="20"/>
          <w:color w:val="auto"/>
        </w:rPr>
      </w:pPr>
    </w:p>
    <w:p>
      <w:pPr>
        <w:ind w:left="40"/>
        <w:spacing w:after="0"/>
        <w:tabs>
          <w:tab w:leader="none" w:pos="37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671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2400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6920" w:space="560"/>
            <w:col w:w="3740"/>
          </w:cols>
          <w:pgMar w:left="320" w:top="121" w:right="359" w:bottom="1440" w:gutter="0" w:footer="0" w:header="0"/>
        </w:sectPr>
      </w:pPr>
    </w:p>
    <w:p>
      <w:pPr>
        <w:ind w:left="900" w:right="3960"/>
        <w:spacing w:after="0" w:line="207"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Employment Agreement, dated March 9, 2022, by and between First Watch Restaurants,</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Inc. and Christopher A. Tomasso</w:t>
        </w:r>
      </w:hyperlink>
    </w:p>
    <w:p>
      <w:pPr>
        <w:ind w:left="200"/>
        <w:spacing w:after="0"/>
        <w:tabs>
          <w:tab w:leader="none" w:pos="74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March 11, 2022, Form 8-K, Exhibit 10.1</w:t>
      </w:r>
    </w:p>
    <w:p>
      <w:pPr>
        <w:sectPr>
          <w:pgSz w:w="11900" w:h="16838" w:orient="portrait"/>
          <w:cols w:equalWidth="0" w:num="1">
            <w:col w:w="11220"/>
          </w:cols>
          <w:pgMar w:left="320" w:top="121" w:right="359" w:bottom="1440" w:gutter="0" w:footer="0" w:header="0"/>
          <w:type w:val="continuous"/>
        </w:sectPr>
      </w:pPr>
    </w:p>
    <w:p>
      <w:pPr>
        <w:spacing w:after="0" w:line="31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5"/>
              </w:rPr>
              <w:t>31.1</w:t>
            </w: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u w:val="single" w:color="auto"/>
                <w:color w:val="0000FF"/>
                <w:w w:val="99"/>
              </w:rPr>
              <w:t>Certification of the Chief Executive Officer pursuant to Section 302 of the Sarbanes-</w:t>
            </w:r>
          </w:p>
        </w:tc>
        <w:tc>
          <w:tcPr>
            <w:tcW w:w="0" w:type="dxa"/>
            <w:vAlign w:val="bottom"/>
          </w:tcPr>
          <w:p>
            <w:pPr>
              <w:spacing w:after="0"/>
              <w:rPr>
                <w:sz w:val="1"/>
                <w:szCs w:val="1"/>
                <w:color w:val="auto"/>
              </w:rPr>
            </w:pPr>
          </w:p>
        </w:tc>
      </w:tr>
      <w:tr>
        <w:trPr>
          <w:trHeight w:val="148"/>
        </w:trPr>
        <w:tc>
          <w:tcPr>
            <w:tcW w:w="480" w:type="dxa"/>
            <w:vAlign w:val="bottom"/>
            <w:vMerge w:val="continue"/>
          </w:tcPr>
          <w:p>
            <w:pPr>
              <w:spacing w:after="0"/>
              <w:rPr>
                <w:sz w:val="12"/>
                <w:szCs w:val="12"/>
                <w:color w:val="auto"/>
              </w:rPr>
            </w:pPr>
          </w:p>
        </w:tc>
        <w:tc>
          <w:tcPr>
            <w:tcW w:w="6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u w:val="single" w:color="auto"/>
                <w:color w:val="0000FF"/>
              </w:rPr>
              <w:t>Oxley Act of 2002</w:t>
            </w:r>
          </w:p>
        </w:tc>
        <w:tc>
          <w:tcPr>
            <w:tcW w:w="0" w:type="dxa"/>
            <w:vAlign w:val="bottom"/>
          </w:tcPr>
          <w:p>
            <w:pPr>
              <w:spacing w:after="0"/>
              <w:rPr>
                <w:sz w:val="1"/>
                <w:szCs w:val="1"/>
                <w:color w:val="auto"/>
              </w:rPr>
            </w:pPr>
          </w:p>
        </w:tc>
      </w:tr>
      <w:tr>
        <w:trPr>
          <w:trHeight w:val="86"/>
        </w:trPr>
        <w:tc>
          <w:tcPr>
            <w:tcW w:w="480" w:type="dxa"/>
            <w:vAlign w:val="bottom"/>
          </w:tcPr>
          <w:p>
            <w:pPr>
              <w:spacing w:after="0"/>
              <w:rPr>
                <w:sz w:val="7"/>
                <w:szCs w:val="7"/>
                <w:color w:val="auto"/>
              </w:rPr>
            </w:pPr>
          </w:p>
        </w:tc>
        <w:tc>
          <w:tcPr>
            <w:tcW w:w="6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5"/>
              </w:rPr>
              <w:t>31.2</w:t>
            </w:r>
          </w:p>
        </w:tc>
        <w:tc>
          <w:tcPr>
            <w:tcW w:w="62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302 of the Sarbanes-</w:t>
            </w:r>
          </w:p>
        </w:tc>
        <w:tc>
          <w:tcPr>
            <w:tcW w:w="0" w:type="dxa"/>
            <w:vAlign w:val="bottom"/>
          </w:tcPr>
          <w:p>
            <w:pPr>
              <w:spacing w:after="0"/>
              <w:rPr>
                <w:sz w:val="1"/>
                <w:szCs w:val="1"/>
                <w:color w:val="auto"/>
              </w:rPr>
            </w:pPr>
          </w:p>
        </w:tc>
      </w:tr>
      <w:tr>
        <w:trPr>
          <w:trHeight w:val="149"/>
        </w:trPr>
        <w:tc>
          <w:tcPr>
            <w:tcW w:w="480" w:type="dxa"/>
            <w:vAlign w:val="bottom"/>
            <w:vMerge w:val="continue"/>
          </w:tcPr>
          <w:p>
            <w:pPr>
              <w:spacing w:after="0"/>
              <w:rPr>
                <w:sz w:val="12"/>
                <w:szCs w:val="12"/>
                <w:color w:val="auto"/>
              </w:rPr>
            </w:pPr>
          </w:p>
        </w:tc>
        <w:tc>
          <w:tcPr>
            <w:tcW w:w="6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u w:val="single" w:color="auto"/>
                <w:color w:val="0000FF"/>
              </w:rPr>
              <w:t>Oxley Act of 2002</w:t>
            </w:r>
          </w:p>
        </w:tc>
        <w:tc>
          <w:tcPr>
            <w:tcW w:w="0" w:type="dxa"/>
            <w:vAlign w:val="bottom"/>
          </w:tcPr>
          <w:p>
            <w:pPr>
              <w:spacing w:after="0"/>
              <w:rPr>
                <w:sz w:val="1"/>
                <w:szCs w:val="1"/>
                <w:color w:val="auto"/>
              </w:rPr>
            </w:pPr>
          </w:p>
        </w:tc>
      </w:tr>
      <w:tr>
        <w:trPr>
          <w:trHeight w:val="86"/>
        </w:trPr>
        <w:tc>
          <w:tcPr>
            <w:tcW w:w="480" w:type="dxa"/>
            <w:vAlign w:val="bottom"/>
          </w:tcPr>
          <w:p>
            <w:pPr>
              <w:spacing w:after="0"/>
              <w:rPr>
                <w:sz w:val="7"/>
                <w:szCs w:val="7"/>
                <w:color w:val="auto"/>
              </w:rPr>
            </w:pPr>
          </w:p>
        </w:tc>
        <w:tc>
          <w:tcPr>
            <w:tcW w:w="6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right="160" w:firstLine="745"/>
        <w:spacing w:after="0" w:line="222" w:lineRule="auto"/>
        <w:rPr>
          <w:sz w:val="20"/>
          <w:szCs w:val="20"/>
          <w:color w:val="auto"/>
        </w:rPr>
      </w:pPr>
      <w:r>
        <w:rPr>
          <w:rFonts w:ascii="Times New Roman" w:cs="Times New Roman" w:eastAsia="Times New Roman" w:hAnsi="Times New Roman"/>
          <w:sz w:val="18"/>
          <w:szCs w:val="18"/>
          <w:u w:val="single" w:color="auto"/>
          <w:color w:val="0000FF"/>
        </w:rPr>
        <w:t xml:space="preserve">Certification of Chief Executive Officer and Chief Financial Officer pursuant to 18 </w:t>
      </w:r>
      <w:r>
        <w:rPr>
          <w:rFonts w:ascii="Times New Roman" w:cs="Times New Roman" w:eastAsia="Times New Roman" w:hAnsi="Times New Roman"/>
          <w:sz w:val="18"/>
          <w:szCs w:val="18"/>
          <w:color w:val="000000"/>
        </w:rPr>
        <w:t xml:space="preserve">32.1** </w:t>
      </w:r>
      <w:r>
        <w:rPr>
          <w:rFonts w:ascii="Times New Roman" w:cs="Times New Roman" w:eastAsia="Times New Roman" w:hAnsi="Times New Roman"/>
          <w:sz w:val="18"/>
          <w:szCs w:val="18"/>
          <w:u w:val="single" w:color="auto"/>
          <w:color w:val="0000FF"/>
        </w:rPr>
        <w:t>U.S.C. Section 1350, as adopted pursuant to Section 906 of the Sarbanes-Oxley Act of</w:t>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p>
      <w:pPr>
        <w:spacing w:after="0" w:line="11" w:lineRule="exact"/>
        <w:rPr>
          <w:sz w:val="20"/>
          <w:szCs w:val="20"/>
          <w:color w:val="auto"/>
        </w:rPr>
      </w:pPr>
    </w:p>
    <w:p>
      <w:pPr>
        <w:ind w:left="900" w:right="340" w:hanging="642"/>
        <w:spacing w:after="0" w:line="24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10-Q for the first fiscal quarter ended March 27, 2022, filed on May 10, 2022, formatted in Inline Extensible Business Reporting Language (“iXBRL”)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38" w:lineRule="exact"/>
        <w:rPr>
          <w:sz w:val="20"/>
          <w:szCs w:val="20"/>
          <w:color w:val="auto"/>
        </w:rPr>
      </w:pPr>
    </w:p>
    <w:p>
      <w:pPr>
        <w:sectPr>
          <w:pgSz w:w="11900" w:h="16838" w:orient="portrait"/>
          <w:cols w:equalWidth="0" w:num="2">
            <w:col w:w="7280" w:space="200"/>
            <w:col w:w="3740"/>
          </w:cols>
          <w:pgMar w:left="320" w:top="121" w:right="359" w:bottom="1440" w:gutter="0" w:footer="0" w:header="0"/>
          <w:type w:val="continuous"/>
        </w:sectPr>
      </w:pPr>
    </w:p>
    <w:p>
      <w:pPr>
        <w:ind w:left="260"/>
        <w:spacing w:after="0"/>
        <w:tabs>
          <w:tab w:leader="none" w:pos="880" w:val="left"/>
          <w:tab w:leader="none" w:pos="7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(formatted as iXBRL and contained in Exhibit 101)</w:t>
      </w:r>
      <w:r>
        <w:rPr>
          <w:sz w:val="20"/>
          <w:szCs w:val="20"/>
          <w:color w:val="auto"/>
        </w:rPr>
        <w:tab/>
      </w:r>
      <w:r>
        <w:rPr>
          <w:rFonts w:ascii="Times New Roman" w:cs="Times New Roman" w:eastAsia="Times New Roman" w:hAnsi="Times New Roman"/>
          <w:sz w:val="17"/>
          <w:szCs w:val="17"/>
          <w:color w:val="auto"/>
        </w:rPr>
        <w:t>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Denotes a management contract or compensatory plan or arrangement.</w:t>
      </w:r>
    </w:p>
    <w:p>
      <w:pPr>
        <w:spacing w:after="0" w:line="9" w:lineRule="exact"/>
        <w:rPr>
          <w:sz w:val="20"/>
          <w:szCs w:val="20"/>
          <w:color w:val="auto"/>
        </w:rPr>
      </w:pPr>
    </w:p>
    <w:p>
      <w:pPr>
        <w:jc w:val="both"/>
        <w:ind w:firstLine="8"/>
        <w:spacing w:after="0" w:line="260" w:lineRule="auto"/>
        <w:tabs>
          <w:tab w:leader="none" w:pos="21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10,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264"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265"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27"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18"/>
          <w:szCs w:val="18"/>
          <w:color w:val="auto"/>
        </w:rPr>
      </w:pPr>
    </w:p>
    <w:p>
      <w:pPr>
        <w:ind w:left="1020" w:hanging="364"/>
        <w:spacing w:after="0"/>
        <w:tabs>
          <w:tab w:leader="none" w:pos="1020" w:val="left"/>
        </w:tabs>
        <w:numPr>
          <w:ilvl w:val="1"/>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[Omitted];</w:t>
      </w:r>
    </w:p>
    <w:p>
      <w:pPr>
        <w:spacing w:after="0" w:line="252" w:lineRule="exact"/>
        <w:rPr>
          <w:rFonts w:ascii="Arial" w:cs="Arial" w:eastAsia="Arial" w:hAnsi="Arial"/>
          <w:sz w:val="18"/>
          <w:szCs w:val="18"/>
          <w:color w:val="auto"/>
        </w:rPr>
      </w:pPr>
    </w:p>
    <w:p>
      <w:pPr>
        <w:ind w:left="980" w:hanging="324"/>
        <w:spacing w:after="0" w:line="283" w:lineRule="auto"/>
        <w:tabs>
          <w:tab w:leader="none" w:pos="1014" w:val="left"/>
        </w:tabs>
        <w:numPr>
          <w:ilvl w:val="1"/>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660" w:hanging="328"/>
        <w:spacing w:after="0" w:line="283" w:lineRule="auto"/>
        <w:tabs>
          <w:tab w:leader="none" w:pos="67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2022</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264"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265"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8"/>
          <w:szCs w:val="18"/>
          <w:color w:val="auto"/>
        </w:rPr>
      </w:pPr>
    </w:p>
    <w:p>
      <w:pPr>
        <w:ind w:left="660" w:hanging="328"/>
        <w:spacing w:after="0" w:line="283" w:lineRule="auto"/>
        <w:tabs>
          <w:tab w:leader="none" w:pos="67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[Omitted];</w:t>
      </w:r>
    </w:p>
    <w:p>
      <w:pPr>
        <w:spacing w:after="0" w:line="263" w:lineRule="exact"/>
        <w:rPr>
          <w:rFonts w:ascii="Times New Roman" w:cs="Times New Roman" w:eastAsia="Times New Roman" w:hAnsi="Times New Roman"/>
          <w:sz w:val="17"/>
          <w:szCs w:val="17"/>
          <w:color w:val="auto"/>
        </w:rPr>
      </w:pPr>
    </w:p>
    <w:p>
      <w:pPr>
        <w:ind w:left="980" w:hanging="324"/>
        <w:spacing w:after="0" w:line="283" w:lineRule="auto"/>
        <w:tabs>
          <w:tab w:leader="none" w:pos="1014" w:val="left"/>
        </w:tabs>
        <w:numPr>
          <w:ilvl w:val="1"/>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660" w:hanging="328"/>
        <w:spacing w:after="0" w:line="283" w:lineRule="auto"/>
        <w:tabs>
          <w:tab w:leader="none" w:pos="67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2022</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5" w:name="page36"/>
    <w:bookmarkEnd w:id="3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March 27, 2022,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7" Type="http://schemas.openxmlformats.org/officeDocument/2006/relationships/hyperlink" Target="https://www.sec.gov/Archives/edgar/data/1789940/000178994022000005/exh101-tomassoemployment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2022-05-10T06:08:06Z</dcterms:created>
  <dcterms:modified xsi:type="dcterms:W3CDTF">2022-05-10T06:08:06Z</dcterms:modified>
</cp:coreProperties>
</file>