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right="1940" w:hanging="330"/>
        <w:spacing w:after="0" w:line="314" w:lineRule="auto"/>
        <w:tabs>
          <w:tab w:leader="none" w:pos="5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25,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4220" w:right="1520" w:hanging="4050"/>
        <w:spacing w:after="0" w:line="265" w:lineRule="auto"/>
        <w:tabs>
          <w:tab w:leader="none" w:pos="55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001-040866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10795</wp:posOffset>
            </wp:positionV>
            <wp:extent cx="171450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First Watch Restaurant Group,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8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60" w:type="dxa"/>
            <w:vAlign w:val="bottom"/>
          </w:tcPr>
          <w:p>
            <w:pPr>
              <w:spacing w:after="0"/>
              <w:rPr>
                <w:sz w:val="18"/>
                <w:szCs w:val="18"/>
                <w:color w:val="auto"/>
              </w:rPr>
            </w:pPr>
          </w:p>
        </w:tc>
        <w:tc>
          <w:tcPr>
            <w:tcW w:w="3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82-4271369</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tcPr>
          <w:p>
            <w:pPr>
              <w:spacing w:after="0"/>
              <w:rPr>
                <w:sz w:val="19"/>
                <w:szCs w:val="19"/>
                <w:color w:val="auto"/>
              </w:rPr>
            </w:pPr>
          </w:p>
        </w:tc>
        <w:tc>
          <w:tcPr>
            <w:tcW w:w="346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7120" w:type="dxa"/>
            <w:vAlign w:val="bottom"/>
            <w:gridSpan w:val="2"/>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8725 Pendery Place, Suite 201, Bradenton, FL 34201</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7120" w:type="dxa"/>
            <w:vAlign w:val="bottom"/>
            <w:gridSpan w:val="2"/>
          </w:tcPr>
          <w:p>
            <w:pPr>
              <w:jc w:val="center"/>
              <w:ind w:right="199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0" w:type="dxa"/>
            <w:vAlign w:val="bottom"/>
          </w:tcPr>
          <w:p>
            <w:pPr>
              <w:spacing w:after="0"/>
              <w:rPr>
                <w:sz w:val="1"/>
                <w:szCs w:val="1"/>
                <w:color w:val="auto"/>
              </w:rPr>
            </w:pPr>
          </w:p>
        </w:tc>
      </w:tr>
      <w:tr>
        <w:trPr>
          <w:trHeight w:val="384"/>
        </w:trPr>
        <w:tc>
          <w:tcPr>
            <w:tcW w:w="3880" w:type="dxa"/>
            <w:vAlign w:val="bottom"/>
          </w:tcPr>
          <w:p>
            <w:pPr>
              <w:spacing w:after="0"/>
              <w:rPr>
                <w:sz w:val="24"/>
                <w:szCs w:val="24"/>
                <w:color w:val="auto"/>
              </w:rPr>
            </w:pPr>
          </w:p>
        </w:tc>
        <w:tc>
          <w:tcPr>
            <w:tcW w:w="3660" w:type="dxa"/>
            <w:vAlign w:val="bottom"/>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(941) 907-9800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36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68"/>
        </w:trPr>
        <w:tc>
          <w:tcPr>
            <w:tcW w:w="388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66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FWRG</w:t>
            </w:r>
          </w:p>
        </w:tc>
        <w:tc>
          <w:tcPr>
            <w:tcW w:w="34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83"/>
        </w:trPr>
        <w:tc>
          <w:tcPr>
            <w:tcW w:w="38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12(b) of the Act: </w:t>
      </w:r>
      <w:r>
        <w:rPr>
          <w:rFonts w:ascii="Times New Roman" w:cs="Times New Roman" w:eastAsia="Times New Roman" w:hAnsi="Times New Roman"/>
          <w:sz w:val="16"/>
          <w:szCs w:val="16"/>
          <w:b w:val="1"/>
          <w:bCs w:val="1"/>
          <w:color w:val="auto"/>
        </w:rPr>
        <w:t>None</w:t>
      </w:r>
    </w:p>
    <w:p>
      <w:pPr>
        <w:spacing w:after="0" w:line="17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44"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9" w:lineRule="exact"/>
        <w:rPr>
          <w:sz w:val="24"/>
          <w:szCs w:val="24"/>
          <w:color w:val="auto"/>
        </w:rPr>
      </w:pPr>
    </w:p>
    <w:p>
      <w:pPr>
        <w:ind w:right="18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8"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3" w:lineRule="exact"/>
        <w:rPr>
          <w:sz w:val="24"/>
          <w:szCs w:val="24"/>
          <w:color w:val="auto"/>
        </w:rPr>
      </w:pPr>
    </w:p>
    <w:p>
      <w:pPr>
        <w:ind w:left="20"/>
        <w:spacing w:after="0" w:line="215" w:lineRule="exact"/>
        <w:tabs>
          <w:tab w:leader="none" w:pos="1660" w:val="left"/>
          <w:tab w:leader="none" w:pos="3320" w:val="left"/>
          <w:tab w:leader="none" w:pos="5580" w:val="left"/>
          <w:tab w:leader="none" w:pos="7520" w:val="left"/>
          <w:tab w:leader="none" w:pos="98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Accelerated filer</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Emerging growth company</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Non-accelerated filer</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Smaller reporting company</w:t>
      </w:r>
      <w:r>
        <w:rPr>
          <w:rFonts w:ascii="Arial Unicode MS" w:cs="Arial Unicode MS" w:eastAsia="Arial Unicode MS" w:hAnsi="Arial Unicode MS"/>
          <w:sz w:val="16"/>
          <w:szCs w:val="16"/>
          <w:color w:val="auto"/>
        </w:rPr>
        <w:tab/>
        <w:t>☒</w:t>
      </w:r>
    </w:p>
    <w:p>
      <w:pPr>
        <w:spacing w:after="0" w:line="352"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04" w:lineRule="exact"/>
        <w:rPr>
          <w:sz w:val="24"/>
          <w:szCs w:val="24"/>
          <w:color w:val="auto"/>
        </w:rPr>
      </w:pPr>
    </w:p>
    <w:p>
      <w:pPr>
        <w:ind w:right="22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205" w:lineRule="exact"/>
        <w:rPr>
          <w:sz w:val="24"/>
          <w:szCs w:val="24"/>
          <w:color w:val="auto"/>
        </w:rPr>
      </w:pPr>
    </w:p>
    <w:p>
      <w:pPr>
        <w:ind w:right="30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18" w:lineRule="exact"/>
        <w:rPr>
          <w:sz w:val="24"/>
          <w:szCs w:val="24"/>
          <w:color w:val="auto"/>
        </w:rPr>
      </w:pPr>
    </w:p>
    <w:p>
      <w:pPr>
        <w:ind w:right="320"/>
        <w:spacing w:after="0" w:line="209"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92"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30"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(based on the closing price on the last business day of the registrant’s most recently completed second fiscal quarter as reported on the Nasdaq Stock Market) was approximately $163.3 million.</w:t>
      </w:r>
    </w:p>
    <w:p>
      <w:pPr>
        <w:sectPr>
          <w:pgSz w:w="11900" w:h="16838" w:orient="portrait"/>
          <w:cols w:equalWidth="0" w:num="1">
            <w:col w:w="11240"/>
          </w:cols>
          <w:pgMar w:left="320" w:top="1154"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As of March 3, 2023, 59,259,299 shares of common stock of the registrant were outstanding.</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2023 Annual Meeting of Stockholders are incorporated by reference into Part III of this Annual Report on Form 10-K where indicated. Such Definitive Proxy Statement will be filed with the Securities and Exchange Commission within 120</w:t>
      </w:r>
    </w:p>
    <w:p>
      <w:pPr>
        <w:spacing w:after="0"/>
        <w:tabs>
          <w:tab w:leader="none" w:pos="860" w:val="left"/>
          <w:tab w:leader="none" w:pos="1720" w:val="left"/>
          <w:tab w:leader="none" w:pos="2480" w:val="left"/>
          <w:tab w:leader="none" w:pos="3260" w:val="left"/>
          <w:tab w:leader="none" w:pos="3960" w:val="left"/>
          <w:tab w:leader="none" w:pos="4700" w:val="left"/>
          <w:tab w:leader="none" w:pos="6040" w:val="left"/>
          <w:tab w:leader="none" w:pos="6960" w:val="left"/>
          <w:tab w:leader="none" w:pos="7820" w:val="left"/>
          <w:tab w:leader="none" w:pos="8780" w:val="left"/>
          <w:tab w:leader="none" w:pos="10060" w:val="left"/>
          <w:tab w:leader="none" w:pos="10820" w:val="left"/>
        </w:tabs>
        <w:rPr>
          <w:sz w:val="20"/>
          <w:szCs w:val="20"/>
          <w:color w:val="auto"/>
        </w:rPr>
      </w:pPr>
      <w:r>
        <w:rPr>
          <w:rFonts w:ascii="Times New Roman" w:cs="Times New Roman" w:eastAsia="Times New Roman" w:hAnsi="Times New Roman"/>
          <w:sz w:val="18"/>
          <w:szCs w:val="18"/>
          <w:color w:val="auto"/>
        </w:rPr>
        <w:t>days</w:t>
      </w:r>
      <w:r>
        <w:rPr>
          <w:sz w:val="20"/>
          <w:szCs w:val="20"/>
          <w:color w:val="auto"/>
        </w:rPr>
        <w:tab/>
      </w:r>
      <w:r>
        <w:rPr>
          <w:rFonts w:ascii="Times New Roman" w:cs="Times New Roman" w:eastAsia="Times New Roman" w:hAnsi="Times New Roman"/>
          <w:sz w:val="18"/>
          <w:szCs w:val="18"/>
          <w:color w:val="auto"/>
        </w:rPr>
        <w:t>after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registrant’s</w:t>
      </w:r>
      <w:r>
        <w:rPr>
          <w:sz w:val="20"/>
          <w:szCs w:val="20"/>
          <w:color w:val="auto"/>
        </w:rPr>
        <w:tab/>
      </w:r>
      <w:r>
        <w:rPr>
          <w:rFonts w:ascii="Times New Roman" w:cs="Times New Roman" w:eastAsia="Times New Roman" w:hAnsi="Times New Roman"/>
          <w:sz w:val="18"/>
          <w:szCs w:val="18"/>
          <w:color w:val="auto"/>
        </w:rPr>
        <w:t>fiscal</w:t>
      </w:r>
      <w:r>
        <w:rPr>
          <w:sz w:val="20"/>
          <w:szCs w:val="20"/>
          <w:color w:val="auto"/>
        </w:rPr>
        <w:tab/>
      </w: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ended</w:t>
      </w:r>
      <w:r>
        <w:rPr>
          <w:sz w:val="20"/>
          <w:szCs w:val="20"/>
          <w:color w:val="auto"/>
        </w:rPr>
        <w:tab/>
      </w: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gridSpan w:val="15"/>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9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4100" w:type="dxa"/>
            <w:vAlign w:val="bottom"/>
            <w:gridSpan w:val="10"/>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2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6200" w:type="dxa"/>
            <w:vAlign w:val="bottom"/>
            <w:gridSpan w:val="19"/>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8280" w:type="dxa"/>
            <w:vAlign w:val="bottom"/>
            <w:gridSpan w:val="26"/>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7680" w:type="dxa"/>
            <w:vAlign w:val="bottom"/>
            <w:gridSpan w:val="25"/>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3660" w:type="dxa"/>
            <w:vAlign w:val="bottom"/>
            <w:gridSpan w:val="7"/>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0E32E1"/>
            </w:tcBorders>
            <w:gridSpan w:val="29"/>
          </w:tcPr>
          <w:p>
            <w:pPr>
              <w:spacing w:after="0"/>
              <w:rPr>
                <w:sz w:val="20"/>
                <w:szCs w:val="20"/>
                <w:color w:val="auto"/>
              </w:rPr>
            </w:pPr>
            <w:r>
              <w:rPr>
                <w:rFonts w:ascii="Times New Roman" w:cs="Times New Roman" w:eastAsia="Times New Roman" w:hAnsi="Times New Roman"/>
                <w:sz w:val="18"/>
                <w:szCs w:val="18"/>
                <w:color w:val="0E32E1"/>
                <w:w w:val="99"/>
              </w:rPr>
              <w:t>Item 5. Market for Registrant's Common Equity, Related Stockholder Matters and Issuer Purchases of Equity Securities</w:t>
            </w:r>
          </w:p>
        </w:tc>
        <w:tc>
          <w:tcPr>
            <w:tcW w:w="9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Item 6. Reserved</w:t>
            </w:r>
          </w:p>
        </w:tc>
        <w:tc>
          <w:tcPr>
            <w:tcW w:w="8280" w:type="dxa"/>
            <w:vAlign w:val="bottom"/>
            <w:gridSpan w:val="26"/>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0E32E1"/>
            </w:tcBorders>
            <w:gridSpan w:val="26"/>
          </w:tcPr>
          <w:p>
            <w:pPr>
              <w:spacing w:after="0"/>
              <w:rPr>
                <w:sz w:val="20"/>
                <w:szCs w:val="20"/>
                <w:color w:val="auto"/>
              </w:rPr>
            </w:pPr>
            <w:r>
              <w:rPr>
                <w:rFonts w:ascii="Times New Roman" w:cs="Times New Roman" w:eastAsia="Times New Roman" w:hAnsi="Times New Roman"/>
                <w:sz w:val="18"/>
                <w:szCs w:val="18"/>
                <w:color w:val="0E32E1"/>
              </w:rPr>
              <w:t>Item 7. Management's Discussion and Analysis of Financial Condition and Results of Operations</w:t>
            </w:r>
          </w:p>
        </w:tc>
        <w:tc>
          <w:tcPr>
            <w:tcW w:w="2540" w:type="dxa"/>
            <w:vAlign w:val="bottom"/>
            <w:gridSpan w:val="4"/>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080" w:type="dxa"/>
            <w:vAlign w:val="bottom"/>
            <w:tcBorders>
              <w:bottom w:val="single" w:sz="8" w:color="0E32E1"/>
            </w:tcBorders>
            <w:gridSpan w:val="21"/>
          </w:tcPr>
          <w:p>
            <w:pPr>
              <w:spacing w:after="0"/>
              <w:rPr>
                <w:sz w:val="20"/>
                <w:szCs w:val="20"/>
                <w:color w:val="auto"/>
              </w:rPr>
            </w:pPr>
            <w:r>
              <w:rPr>
                <w:rFonts w:ascii="Times New Roman" w:cs="Times New Roman" w:eastAsia="Times New Roman" w:hAnsi="Times New Roman"/>
                <w:sz w:val="18"/>
                <w:szCs w:val="18"/>
                <w:color w:val="0E32E1"/>
              </w:rPr>
              <w:t>Item 7A. Quantitative and Qualitative Disclosures About Market Risk</w:t>
            </w:r>
          </w:p>
        </w:tc>
        <w:tc>
          <w:tcPr>
            <w:tcW w:w="3840" w:type="dxa"/>
            <w:vAlign w:val="bottom"/>
            <w:gridSpan w:val="8"/>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50"/>
        </w:trPr>
        <w:tc>
          <w:tcPr>
            <w:tcW w:w="9580" w:type="dxa"/>
            <w:vAlign w:val="bottom"/>
            <w:gridSpan w:val="30"/>
          </w:tcPr>
          <w:p>
            <w:pPr>
              <w:spacing w:after="0"/>
              <w:rPr>
                <w:sz w:val="20"/>
                <w:szCs w:val="20"/>
                <w:color w:val="auto"/>
              </w:rPr>
            </w:pPr>
            <w:r>
              <w:rPr>
                <w:rFonts w:ascii="Times New Roman" w:cs="Times New Roman" w:eastAsia="Times New Roman" w:hAnsi="Times New Roman"/>
                <w:sz w:val="18"/>
                <w:szCs w:val="18"/>
                <w:color w:val="0E32E1"/>
              </w:rPr>
              <w:t>Item 8. Financial Statements and Supplementary Data</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59</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E32E1"/>
          </w:tcPr>
          <w:p>
            <w:pPr>
              <w:spacing w:after="0" w:line="20" w:lineRule="exact"/>
              <w:rPr>
                <w:sz w:val="1"/>
                <w:szCs w:val="1"/>
                <w:color w:val="auto"/>
              </w:rPr>
            </w:pPr>
          </w:p>
        </w:tc>
        <w:tc>
          <w:tcPr>
            <w:tcW w:w="1480" w:type="dxa"/>
            <w:vAlign w:val="bottom"/>
            <w:gridSpan w:val="4"/>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2460" w:type="dxa"/>
            <w:vAlign w:val="bottom"/>
            <w:gridSpan w:val="3"/>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6420" w:type="dxa"/>
            <w:vAlign w:val="bottom"/>
            <w:gridSpan w:val="20"/>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8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PART III</w:t>
            </w:r>
          </w:p>
        </w:tc>
        <w:tc>
          <w:tcPr>
            <w:tcW w:w="3360" w:type="dxa"/>
            <w:vAlign w:val="bottom"/>
            <w:gridSpan w:val="5"/>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60" w:type="dxa"/>
            <w:vAlign w:val="bottom"/>
            <w:gridSpan w:val="2"/>
          </w:tcPr>
          <w:p>
            <w:pPr>
              <w:spacing w:after="0"/>
              <w:rPr>
                <w:sz w:val="20"/>
                <w:szCs w:val="20"/>
                <w:color w:val="auto"/>
              </w:rPr>
            </w:pPr>
          </w:p>
        </w:tc>
        <w:tc>
          <w:tcPr>
            <w:tcW w:w="660" w:type="dxa"/>
            <w:vAlign w:val="bottom"/>
            <w:tcBorders>
              <w:top w:val="single" w:sz="8" w:color="0000FF"/>
            </w:tcBorders>
            <w:gridSpan w:val="3"/>
          </w:tcPr>
          <w:p>
            <w:pPr>
              <w:spacing w:after="0"/>
              <w:rPr>
                <w:sz w:val="20"/>
                <w:szCs w:val="20"/>
                <w:color w:val="auto"/>
              </w:rPr>
            </w:pPr>
          </w:p>
        </w:tc>
        <w:tc>
          <w:tcPr>
            <w:tcW w:w="3980" w:type="dxa"/>
            <w:vAlign w:val="bottom"/>
            <w:gridSpan w:val="9"/>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7080" w:type="dxa"/>
            <w:vAlign w:val="bottom"/>
            <w:gridSpan w:val="22"/>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600" w:type="dxa"/>
            <w:vAlign w:val="bottom"/>
            <w:gridSpan w:val="2"/>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93</w:t>
            </w:r>
          </w:p>
        </w:tc>
        <w:tc>
          <w:tcPr>
            <w:tcW w:w="0" w:type="dxa"/>
            <w:vAlign w:val="bottom"/>
          </w:tcPr>
          <w:p>
            <w:pPr>
              <w:spacing w:after="0"/>
              <w:rPr>
                <w:sz w:val="1"/>
                <w:szCs w:val="1"/>
                <w:color w:val="auto"/>
              </w:rPr>
            </w:pPr>
          </w:p>
        </w:tc>
      </w:tr>
      <w:tr>
        <w:trPr>
          <w:trHeight w:val="237"/>
        </w:trPr>
        <w:tc>
          <w:tcPr>
            <w:tcW w:w="9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93</w:t>
            </w:r>
          </w:p>
        </w:tc>
        <w:tc>
          <w:tcPr>
            <w:tcW w:w="0" w:type="dxa"/>
            <w:vAlign w:val="bottom"/>
          </w:tcPr>
          <w:p>
            <w:pPr>
              <w:spacing w:after="0"/>
              <w:rPr>
                <w:sz w:val="1"/>
                <w:szCs w:val="1"/>
                <w:color w:val="auto"/>
              </w:rPr>
            </w:pPr>
          </w:p>
        </w:tc>
      </w:tr>
      <w:tr>
        <w:trPr>
          <w:trHeight w:val="250"/>
        </w:trPr>
        <w:tc>
          <w:tcPr>
            <w:tcW w:w="61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3480" w:type="dxa"/>
            <w:vAlign w:val="bottom"/>
            <w:gridSpan w:val="6"/>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93</w:t>
            </w:r>
          </w:p>
        </w:tc>
        <w:tc>
          <w:tcPr>
            <w:tcW w:w="0" w:type="dxa"/>
            <w:vAlign w:val="bottom"/>
          </w:tcPr>
          <w:p>
            <w:pPr>
              <w:spacing w:after="0"/>
              <w:rPr>
                <w:sz w:val="1"/>
                <w:szCs w:val="1"/>
                <w:color w:val="auto"/>
              </w:rPr>
            </w:pPr>
          </w:p>
        </w:tc>
      </w:tr>
      <w:tr>
        <w:trPr>
          <w:trHeight w:val="236"/>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IV</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1340" w:type="dxa"/>
            <w:vAlign w:val="bottom"/>
            <w:gridSpan w:val="5"/>
          </w:tcPr>
          <w:p>
            <w:pPr>
              <w:spacing w:after="0"/>
              <w:rPr>
                <w:sz w:val="20"/>
                <w:szCs w:val="20"/>
                <w:color w:val="auto"/>
              </w:rPr>
            </w:pPr>
          </w:p>
        </w:tc>
        <w:tc>
          <w:tcPr>
            <w:tcW w:w="660" w:type="dxa"/>
            <w:vAlign w:val="bottom"/>
            <w:tcBorders>
              <w:top w:val="single" w:sz="8" w:color="0000FF"/>
            </w:tcBorders>
            <w:gridSpan w:val="3"/>
          </w:tcPr>
          <w:p>
            <w:pPr>
              <w:spacing w:after="0"/>
              <w:rPr>
                <w:sz w:val="20"/>
                <w:szCs w:val="20"/>
                <w:color w:val="auto"/>
              </w:rPr>
            </w:pPr>
          </w:p>
        </w:tc>
        <w:tc>
          <w:tcPr>
            <w:tcW w:w="3980" w:type="dxa"/>
            <w:vAlign w:val="bottom"/>
            <w:gridSpan w:val="9"/>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93</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59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360" w:type="dxa"/>
            <w:vAlign w:val="bottom"/>
            <w:gridSpan w:val="7"/>
          </w:tcPr>
          <w:p>
            <w:pPr>
              <w:spacing w:after="0"/>
              <w:rPr>
                <w:sz w:val="21"/>
                <w:szCs w:val="21"/>
                <w:color w:val="auto"/>
              </w:rPr>
            </w:pPr>
          </w:p>
        </w:tc>
        <w:tc>
          <w:tcPr>
            <w:tcW w:w="5980" w:type="dxa"/>
            <w:vAlign w:val="bottom"/>
            <w:gridSpan w:val="17"/>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95</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7340" w:type="dxa"/>
            <w:vAlign w:val="bottom"/>
            <w:gridSpan w:val="2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340" w:type="dxa"/>
            <w:vAlign w:val="bottom"/>
            <w:gridSpan w:val="24"/>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95</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10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(the “Annual Report on Form 10-K”)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the section titled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Forward-looking statements are based on our current expectations and assumptions regarding our business, the economy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consumer preferences and economic conditions such as inflation and recession;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open new restaurants in new and existing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same-restaurant sales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and limited-time menu offerings may fail to generate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adverse effects of the COVID-19 pandemic, including the emergence of COVID-19 variants, or other infectious disease on our financial condition, results of operations, and supply chain;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prevent instances of food-borne illness in our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train, reward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sustainability activities, including environmental, social and governance (“ESG”) matters;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adverse demographic, unemployment, economic, regulatory and weather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protect our network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federal and local environmental, labor, employment and food safety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our duty to comply with covenants under our credit agreement;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ongoing conflict between Russia and Ukraine and the related impact on transportation and energy costs and other macroeconomic conditions as a result of such conflict;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International Corporation, our controlling stockholder, may differ from those of our public stockholders.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on Form 10-K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Watch Restaurant Group, Inc. is a Delaware holding company that was acquired by funds affiliated with or managed by Advent International Corporation (“Advent”) in August 2017 (the “Advent Acquisition”). Unless the context otherwise requires, “we,” “us,” “our,” “First Watch,” the “Company,” “Management” and other similar references refer to First Watch Restaurant Group, Inc. and, unless otherwise stated, all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opening our doors in 1983, we have been a pioneer in Daytime Dining, serving made-to-order breakfast, brunch and lunch using the freshest of ingredients. We have built our brand on our commitment to operational excellence, our culinary mission centered around a fresh, continuously evolving menu, and our “You First” culture. Our focus on one daytime shift enables us to optimize restaurant operations while generating an average unit volume of $2.0 million per restaurant in 2022 in only 7.5 hours per day. This daytime focus also provides us with a competitive advantage allowing us to attract and retain employees who are passionate about hospitality and drawn to our “No Night Shifts Ever” approach.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25, 2022, we had a total of 474 restaurants across 29 states, 366 of which were company-owned and 108 were franchise-owned.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Promise: Yeah, It’s Fresh!</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First Watch, we take a creative approach to Daytime Dining led by our commitment to freshness. Each item is made-to-order and prepared with care. We do not use microwave ovens, heat lamps or deep fryers in our kitchens. Every morning, we arrive at the crack of dawn to slice and juice fresh fruits and vegetables, bake muffins, brew our fresh coffee and whip up our French Toast batter from scratch. Our award-winning chef-driven menu includes elevated executions of classic favorites for breakfast, brunch and lunch, along with First Watch-specific specialties such as our protein-packed Breakfast Quinoa, Farmstand Breakfast Tacos, Avocado Toast, Morning Meditation (juiced in-house daily), our Pomegranate Sunrise, Chickichangas and our famous Million Dollar Bacon. While our menu constantly evolves, our promise of freshness never wavers.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You First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four decades, we have cultivated an organizational culture built on our foundational concept of “You First,” which puts serving others above all else. As a company, we put our employees first and empower them to do whatever it takes to put our customers first. We also work hard to provide an opportunity for limitless growth and meaningful relationships, and we prioritize personal and professional growth so that our people can thrive. We believe our approach and operating model have enabled us to retain and attract the best and brightest employees in the industry and are key factors in our ability to meet the growing demand we are seeing across the country. In 2022, a five-year longitudinal study of employee surveys on Glassdoor published by William Blair ranked us #1 for work/life balance and we were in the top 10 in overall employee satisfaction, among casual dining concepts. Also in 2022, First Watch was recognized with ADP’s Culture at Work Award and named a Top 100 Most Loved Workplace ® by Newsweek and the Best Practice Institute.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our You First culture by giving to important local organizations and causes in communities where our restaurants operate. First Watch also supports national and international causes we care about, such as our Project Sunrise partnership. Through Project Sunrise we source our coffee beans from women-owned farms in Colombia, and we pay an annual quality incentive bonus to farmers to further support their high-quality production. This program in turn empowers these women leaders to reinvest in their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believe First Watch has the potential for more than 2,200 restaurants in the continental United States. In 2021, First Watch was recognized by FSR Magazine as the fastest-growing full-service restaurant company in the United States based on unit growth and in 2022, we continued to realize that potential by opening 43 new company-owned and franchise-owned restaurants, which we collectively refer to as “system-wide” restaurants, across 16 states. Our growth strategy targets an accelerating pace of new restaurant development with a long-term goal of a percentage increase of system-wide restaurants in the low double digits.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selecting new locations, we evaluate specific market characteristics, demographics, traffic patterns, co-tenants and growth potential. Our development approach has proven that First Watch has tremendous portability across markets, with new restaurants boasting consistent and a strong average unit volume across all geographies. In 2022, our new company-owned restaurants generated an annualized average unit volume of $2.2 million. Our new restaurant performance continues to accelerate and we are confident in our ability to continue this growth by elevating both the quality of real estate as well as the introduction of new design features that allow our teams to serve the significant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Franchise-Owned Restaurants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element of our growth strategy, from time to time, we have acquired restaurants from our franchisees. We believe there is potential to increase value through strategic acquisitions of our franchise-owned restaurants. As of December 25, 2022, we had 15 franchisees operating 108 restaurants with 39 total new restaurant development obligations. At December 25, 2022, sixty franchise-owned restaurants are subject to our option to purchase.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Restaurant Traffic and Build Sales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attractive returns on invested capital in each restaurant starts with our focus on traffic and customer frequency in the building of our sales through:</w:t>
      </w:r>
    </w:p>
    <w:p>
      <w:pPr>
        <w:spacing w:after="0" w:line="248" w:lineRule="exact"/>
        <w:rPr>
          <w:sz w:val="20"/>
          <w:szCs w:val="20"/>
          <w:color w:val="auto"/>
        </w:rPr>
      </w:pPr>
    </w:p>
    <w:p>
      <w:pPr>
        <w:jc w:val="both"/>
        <w:ind w:left="820" w:hanging="326"/>
        <w:spacing w:after="0" w:line="262" w:lineRule="auto"/>
        <w:tabs>
          <w:tab w:leader="none" w:pos="81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Delivering an Excellent On-Premise Dining Experience. </w:t>
      </w:r>
      <w:r>
        <w:rPr>
          <w:rFonts w:ascii="Times New Roman" w:cs="Times New Roman" w:eastAsia="Times New Roman" w:hAnsi="Times New Roman"/>
          <w:sz w:val="18"/>
          <w:szCs w:val="18"/>
          <w:color w:val="auto"/>
        </w:rPr>
        <w:t>Excellence in restaurant-level execution, recognized by customers and reinforced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hundreds of accolades we have received, increases the visit frequency of our customers, promotes trial by new consumers and ultimately encourages loyalty. Our single menu, throughout the day and across all restaurants in our system, streamlines our supply chain and restaurant operations, simplifies our employee training and provides for a consistent and superior customer dining experience.</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820" w:hanging="326"/>
        <w:spacing w:after="0" w:line="25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Menu Innovation. </w:t>
      </w:r>
      <w:r>
        <w:rPr>
          <w:rFonts w:ascii="Times New Roman" w:cs="Times New Roman" w:eastAsia="Times New Roman" w:hAnsi="Times New Roman"/>
          <w:sz w:val="18"/>
          <w:szCs w:val="18"/>
          <w:color w:val="auto"/>
        </w:rPr>
        <w:t>We continuously evolve our on-trend menu which highlights our commitment to quality and freshness and is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operationally efficient. When it comes to sourcing, we are guided by a core philosophy: “Follow The Sun.” Our five highly anticipated seasonal menus and the introduction of new platforms drive customer frequency and incremental revenue opportunities. This means that we welcome each season into our menu with exceptional ingredients harvested when they are most flavorful and fresh. In addition, successful platform introductions over the past few years, such as our Fresh Juice program and Shareables, add incremental revenue opportunities while enhancing our culinary credibility. We have seen the incidences from our Fresh Juice and Shareables platforms rise from 9.6% and 3.4%, respectively, in the fourth fiscal quarter ended December 30, 2018 to 15.4% and 7.1%, respectively, in 2022.</w:t>
      </w:r>
    </w:p>
    <w:p>
      <w:pPr>
        <w:spacing w:after="0" w:line="209"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Convenience and Increased Accessibility of Our Off-Premises Offering. </w:t>
      </w:r>
      <w:r>
        <w:rPr>
          <w:rFonts w:ascii="Times New Roman" w:cs="Times New Roman" w:eastAsia="Times New Roman" w:hAnsi="Times New Roman"/>
          <w:sz w:val="18"/>
          <w:szCs w:val="18"/>
          <w:color w:val="auto"/>
        </w:rPr>
        <w:t>We believe our integrated technology and improvements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optimize our customers’ convenience when ordering directly from us as well as our third-party delivery partners. In 2022, our total off-premises sales accounted for 20.6% of our total restaurant sales. Even as our in-restaurant dining sales recovered from the COVID-19 pandemic, off-premises sales remained strong, indicating continued customer demand. We see future opportunity to refine and grow this demand largely by focusing on in-restaurant infrastructure, especially in our new restaurant prototypes, which include dedicated make lines and to-go rooms, separate entrances and dedicated parking spots to enhance the experience of both our off-premises and dine-in customers.</w:t>
      </w:r>
    </w:p>
    <w:p>
      <w:pPr>
        <w:spacing w:after="0" w:line="209" w:lineRule="exact"/>
        <w:rPr>
          <w:rFonts w:ascii="Times New Roman" w:cs="Times New Roman" w:eastAsia="Times New Roman" w:hAnsi="Times New Roman"/>
          <w:sz w:val="18"/>
          <w:szCs w:val="18"/>
          <w:color w:val="auto"/>
        </w:rPr>
      </w:pPr>
    </w:p>
    <w:p>
      <w:pPr>
        <w:jc w:val="both"/>
        <w:ind w:left="820" w:hanging="326"/>
        <w:spacing w:after="0" w:line="26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 Alcohol as Only First Watch Can. </w:t>
      </w:r>
      <w:r>
        <w:rPr>
          <w:rFonts w:ascii="Times New Roman" w:cs="Times New Roman" w:eastAsia="Times New Roman" w:hAnsi="Times New Roman"/>
          <w:sz w:val="18"/>
          <w:szCs w:val="18"/>
          <w:color w:val="auto"/>
        </w:rPr>
        <w:t>Our alcohol platform is unique and reflects our culinary innovation in combining fresh juices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ingredients with a variety of liquors. We have continued to expand on this strategic initiative and acquire the necessary licenses. As of December 25, 2022, our alcohol menu was offered in about 85.0% of our system-wide restaurants.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820" w:hanging="326"/>
        <w:spacing w:after="0" w:line="25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Our Brand Awareness. </w:t>
      </w:r>
      <w:r>
        <w:rPr>
          <w:rFonts w:ascii="Times New Roman" w:cs="Times New Roman" w:eastAsia="Times New Roman" w:hAnsi="Times New Roman"/>
          <w:sz w:val="18"/>
          <w:szCs w:val="18"/>
          <w:color w:val="auto"/>
        </w:rPr>
        <w:t>For 40 years, our awareness has grown primarily through word-of-mouth as our service, menu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created loyal fans. While we believe that organic growth of awareness contributes to our local feel, we also recognize the potential of strategically marketing in appropriate channels to accelerate our brand awareness. We continue to build expertise in, and deploy tested strategies for, utilizing targeted digital channels to reach certain attractive customer segments and build top-of-mind awareness. By using our first party data, we have been able to identify higher frequency customers and target similar customers with digital media vehicles. These demand generation strategies have aided us to “balance out” our customer base in recent years by growing penetration with Millennial and Gen Z segments.</w:t>
      </w:r>
    </w:p>
    <w:p>
      <w:pPr>
        <w:spacing w:after="0" w:line="209" w:lineRule="exact"/>
        <w:rPr>
          <w:rFonts w:ascii="Times New Roman" w:cs="Times New Roman" w:eastAsia="Times New Roman" w:hAnsi="Times New Roman"/>
          <w:sz w:val="18"/>
          <w:szCs w:val="18"/>
          <w:color w:val="auto"/>
        </w:rPr>
      </w:pPr>
    </w:p>
    <w:p>
      <w:pPr>
        <w:ind w:left="820" w:hanging="326"/>
        <w:spacing w:after="0" w:line="28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Platforms and Initiatives. </w:t>
      </w:r>
      <w:r>
        <w:rPr>
          <w:rFonts w:ascii="Times New Roman" w:cs="Times New Roman" w:eastAsia="Times New Roman" w:hAnsi="Times New Roman"/>
          <w:sz w:val="18"/>
          <w:szCs w:val="18"/>
          <w:color w:val="auto"/>
        </w:rPr>
        <w:t>We continue to evolve the First Watch concept and offerings via the implementation of initiatives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w:t>
      </w:r>
    </w:p>
    <w:p>
      <w:pPr>
        <w:spacing w:after="0" w:line="46" w:lineRule="exact"/>
        <w:rPr>
          <w:rFonts w:ascii="Times New Roman" w:cs="Times New Roman" w:eastAsia="Times New Roman" w:hAnsi="Times New Roman"/>
          <w:sz w:val="18"/>
          <w:szCs w:val="18"/>
          <w:color w:val="auto"/>
        </w:rPr>
      </w:pPr>
    </w:p>
    <w:p>
      <w:pPr>
        <w:ind w:left="1300" w:hanging="32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Weekday Occasions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believe that the broad appeal of our menu and the quality of our ingredients give us a competitive advantage over many alternatives that offer breakfast and lunch and provide us with the opportunity to significantly increase market share by driving incremental customer visits during the week. As a result of an evolving consumer landscape, there has been a significant migration of people from urban to suburban areas, where a meaningful portion of our restaurants exist. This migration, coupled with trending work-from-home flexibility, presents First Watch with an incremental customer opportunity during the weekday business hours which we believe will further propel long-term growth.</w:t>
      </w:r>
    </w:p>
    <w:p>
      <w:pPr>
        <w:spacing w:after="0" w:line="74" w:lineRule="exact"/>
        <w:rPr>
          <w:rFonts w:ascii="Times New Roman" w:cs="Times New Roman" w:eastAsia="Times New Roman" w:hAnsi="Times New Roman"/>
          <w:sz w:val="18"/>
          <w:szCs w:val="18"/>
          <w:color w:val="auto"/>
        </w:rPr>
      </w:pP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Customer Technology &amp; Customer Data:</w:t>
      </w:r>
      <w:r>
        <w:rPr>
          <w:rFonts w:ascii="Times New Roman" w:cs="Times New Roman" w:eastAsia="Times New Roman" w:hAnsi="Times New Roman"/>
          <w:sz w:val="18"/>
          <w:szCs w:val="18"/>
          <w:color w:val="auto"/>
        </w:rPr>
        <w:t xml:space="preserve"> We accelerated the implementation of customer data acquisition systems in order to better inform the habits and behaviors of our customers. With the large increase in remote digital orders, we also sought to digitize in-restaurant orders for the purpose of creating an omnichannel view of the First Watch customer. By integrating remote waitlist, remote orders, tokenized credit card transactions and WiFi into one system, we now have the ability to better understand trial and frequency. Since the establishment of these systems, we have gathered customer information for over 10 million unique customer profiles, 4 million of which are opted into communication. The advancements in these foundational systems have allowed us to learn more about our customers and the behaviors that drive customer lifetime value. We see this as a long-term opportunity to drive increased visit frequency as we have the ability to build new customer technology features that elevate the customer experience through reduced friction.</w:t>
      </w:r>
    </w:p>
    <w:p>
      <w:pPr>
        <w:spacing w:after="0" w:line="76" w:lineRule="exact"/>
        <w:rPr>
          <w:rFonts w:ascii="Times New Roman" w:cs="Times New Roman" w:eastAsia="Times New Roman" w:hAnsi="Times New Roman"/>
          <w:sz w:val="18"/>
          <w:szCs w:val="18"/>
          <w:color w:val="auto"/>
        </w:rPr>
      </w:pP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Serving More Demand:</w:t>
      </w:r>
      <w:r>
        <w:rPr>
          <w:rFonts w:ascii="Times New Roman" w:cs="Times New Roman" w:eastAsia="Times New Roman" w:hAnsi="Times New Roman"/>
          <w:sz w:val="18"/>
          <w:szCs w:val="18"/>
          <w:color w:val="auto"/>
        </w:rPr>
        <w:t xml:space="preserve"> First Watch has long appreciated significant demand that regularly exceeds our capacity to serve. Following 2020, the composition of our sales shifted with the increase in our off-premises sales. Combined with a significant acceleration in our business, we focused on optimizing our back-of-house roles, functions and processes. New technologies, such as the implementation of kitchen display screens in all company-owned restaurants in 2022, have increased our ability to serve more demand during peak hours. This focus has also extended to the front-of-house, where we have implemented new practices to increase table turns, optimize seat utilization and drive improved customer satisfaction scores. This initiative to serve more of our existing demand is highly desirable, given that these additional customers are already visiting our restaurants and do not require investment in customer acquisition. We are confident this enduring initiative will continue to create value for First Watch.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and Food Safety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emphasizes high food quality and a commitment to food safety in each restaurant through the careful training and supervision of personnel and by following rigorous quality and cleanliness standards. Food preparation and cleaning procedures are defined, monitored and maintained by our quality assurance department. We contract with third-party inspectors to regularly monitor restaurant performance through unannounced non-biased food safety assessments with program standards that meet or exceed those of local health departments. These inspections are intended to achieve active managerial control in our restaurants in an effort to reduce risk factors and maintain a strong food safety culture.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 management incentive plans provide strong motivation to meet and exceed standards. In addition, as part of our overall food quality assurance, we have a process in place to review vendors’ food safety practices to ensure they meet or exceed industry standards.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Staff</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25, 2022, we had approximately 12,000 employees. None of our employees are part of a collective bargaining agreement and based upon independent surveys and our internal evaluations, we believe our “You First” organizational culture continues to foster overall favorable relations with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restaurant operates with a staff of approximately 20 to 30 team members led by general manager(s).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 restaurant’s 7:00 a.m. to 2:30 p.m. shift, our staff focus on gracious service, food preparation, order accuracy and “instagrammable” plating. We employ a narrow span of control, which we believe contributes to the consistency of our restaurants’ performance across our system. The general managers interview each applicant and identify motivated employees who are friendly, service oriented, eager to prepare high-quality food and a fit for our “You First” culture.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training programs share our legacy and culture of operating excellence. We have established a training facility at our corporate headquarters named the F.A.R.M. (“First Watch Academy of Restaurant Management”), to which we invite managers-in-training for a week-long brand experience where they learn everything from our history and cultural pillars to leadership and management tools. We have enhanced this training program to also focus on building a more diverse and inclusive team. In addition, managers-in-training also complete a comprehensive 10-week C.A.F.E. (“Culture and Food Experience”) training program in the restaurants, alongside experienced managers. Training for all in-restaurant management positions was also enhanced to clearly define and delineate roles in order to drive both results and engagement. New hourly employees participate in at least three days of initial onboarding training and shadowing. Our general managers and directors of operations conduct in-restaurant training for our staff who also train online through our Virtual Learning Academy.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Supply Chain department manages and negotiates directly with qualified, national suppliers and distributors with the dual goals of securing the supply of high quality, fresh products and controlling cost. Our selected vendors undergo inspection to ensure that products purchased conform to our standards. Our Quality Assurance department requires third-party supplier audits or Global Food Safety Initiative certification for all food distributors and manufacturing facilities to ensure good manufacturing practices, food safety, pest control, sanitation, training, regulatory compliance and food defense systems are in place. To ensure freshness, most of our restaurants accept produce and broadline distribution deliveries at least three times per week.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our restaurants use digital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variety of marketing channels, including affiliate partnerships, social media interactions, digital marketing, direct mailers, public relations initiatives and local community sponsorships, email communications, promotions and partnerships. We focus on increasing our engagement with social media platforms in order to generate brand awareness and also to gather information we can then apply to future marketing efforts.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25, 2022, we had 15 franchisees that operated 108 restaurants and our existing franchisees had 39 total new restaurant development obligations. Typically, our franchise agreements provide an initial term of 10 years with additional renewal terms that total 10 years subject to various conditions that include upgrades to the restaurant facility and brand image. All franchise agreements grant licenses to use our trademarks, trade secrets and proprietary methods, recipes and procedures. The initial franchise fee for each restaurant is $35,000 to $40,000. Franchisees are required to pay 4.0%-4.5% of franchised restaurant sales in royalties and contribute 1.0%-3.0% of franchised restaurant sales to a system fund, which is used for advertising, marketing and public relations programs and materials on a system-wide basis. Presently, we are not extending franchise agreements to new franchisees.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First” Culture Elevates Employee and Customer Satisfaction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First Watch has a simple mission statement based on its “You First.” culture - “Making days brighter at every opportunity.” We have been people-focused from our inception as we have always believed our employees are our greatest asset. We believe that putting our employees first, in turn, leads them to put customers first. We believe the Company’s culture plays a significant role in higher retention of all employees, as the Company had historically experienced below industry turnover. This culture was also a key factor in the Company’s achievement of top 50 status in Newsweek’s Top 100 Most Loved Workplaces, a designation that was a result of an assessment of First Watch’s people practices along with an independent survey of approximately 1,000 of our employees. First Watch also introduced a new Vision, Mission and Values statement to all employees to further reinforce its award-winning culture and emphasis on both employee and customer engagement and loyalty.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2020, we developed and launched an annual campaign, branded #beabetterhuman, which has taken our people-focused approach to a new level. We turned participation in the #beabetterhuman campaign into an opportunity for employees to give back to the community. The #beabetterhuman initiative included a six-part live, interactive web series tackling sensitive topics such as unconscious bias, privilege and mental health. The #beabetterhuman campaign was designed to educate our entire workforce, raise awareness and influence change. In order to provide employees with a chance to make a difference, for each employee that participated in all six #beabetterhuman web sessions, First Watch made a donation to Bryan Stevenson’s Equal Justice Initiative (featured in the book and film “Just Mercy”). We continue to build upon the success of the program with training on the program for new managers and an ongoing #beabetterhuman series on Facebook, Instagram and Glassdoor highlighting diverse employees within the restaurants and their unique and inspiring stories.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R.I.S.E. (Race Inclusion and Support Exchange) Council was created to engage high performing diverse leaders in dialogue on how to best advance the Company’s diversity efforts. As a result of ideas that the R.I.S.E. Council surfaced, The Rising 20, a new mentor program was established as an important step in the #beabetterhuman campaign to help accelerate the development and advancement of under-represented groups within First Watch. In this mentoring program, employees are partnered with a senior leader in the organization for a six-month guided mentorship journey targeting personal development and professional growth. In addition, the program includes a self-assessment and career goal setting workshops.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both 2021 and 2022, First Watch also worked with an independent Diversity, Equity, and Inclusion (“DEI”) consultant to track our DEI data, complete a thorough assessment of our current state and benchmark on key metrics. Leveraging this data, along with their analytics and strategy platform, we then identified efforts to prioritize DEI in order to drive impact and took action. First Watch was pleased to achieve solid positioning in the benchmarking results and significant year-over-year improvement.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CEO and President, Chris Tomasso, Chief People Officer, Laura Sorensen and Chief Operating Officer, Dan Jones, hosted nineteen separate 90 minute calls with hourly employees across the country for their second annual W.H.Y. Tour – their “We Hear You” listening tour. The purpose of the in-depth sessions was to learn more about the issues that matter most to our hourly workforce. As a result of this tour, the Company was able to take swift action on the most meaningful issues. New employee benefits, practices and operational tools have been introduced as a direct result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feedback from each tour, reinforcing the Company’s culture of listening to its employees and taking action on the issues that matter the most to them.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Passionate Leadership Team and Deep Bench of Talent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led by passionate executives who have an extensive mix of experience in our brand and with other leading national restaurant concepts and consumer facing businesses. We have a deep bench of talent throughout the organization. Our executives and key employees average more than 15 years of industry experience and our directors of operations have an average tenure at First Watch of approximately ten years. In addition, our restaurant staff includes hundreds of fully-trained, tested, high-performing managers throughout our system who are poised to step into the general manager role as we execute our growth strategy and open new restaurants.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extensive federal, state and local government laws and regulations, including those relating to, among others, public health and safety, zoning and fire codes, alcoholic beverage control and franchising.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also subject to the Fair Labor Standards Act, the Immigration Reform and Control Act of 1986, the Americans with Disabilities Act and various federal and state laws governing such matters as minimum wages, exempt versus non-exempt, overtime, unemployment tax rates, workers’ compensation rates, citizenship requirements and other working conditions. New laws, regulations or interpretations could impact our business or our cost of compliance.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 various risks we face from regulation and compliance matters, 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registered “First Watch the Daytime Cafe,” “You First,” “Yeah, It’s Fresh!” and certain other names used by our restaurants as trademarks or service marks with the United States Patent and Trademark Office (“USPTO”). In addition, the First Watch logo, website name and address and Facebook and Twitter accounts are our intellectual property. Our policy is to pursue and maintain registration of service marks and trademarks and to oppose vigorously any infringement or dilution of the service marks or trademarks. We maintain certain recipes for our menu items, as well as certain standards, specifications and operating procedures, as trade secrets or confidential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restaurant industry is highly competitive and fragmented, with restaurants competing directly and indirectly with regard to dining experience, food quality, service, price and location. We also compete with grocery store chains and meal subscription services. In addition, there is active competition for management personnel, real estate sites, supplies and restaurant employees. Competition is also influenced strongly by marketing and brand reputation.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consumers increasingly seek higher quality breakfast, brunch and lunch experiences, we believe we are well-positioned to compete with a wide range of national, regional and local establishments that operate during our hours of operation. More directly, we do not believe there is a comparable offering within our segment that operates at scale as First Watch does and we view our primary competition as a network of independent restaurants that also serve breakfast and lunch in neighborhoods across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are subject to seasonal fluctuations. Additionally, the timing of holidays, weather conditions and the number of new restaurant openings may affect sales volumes seasonally.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discussion of risks related to seasonal and periodic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We completed our initial public offering (“IPO”) in October 2021 and our common stock is listed on the Nasdaq Global Select Market (“Nasdaq”) under the symbol “FWRG.”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consumer website is located at www.firstwatch.com, and our investor relations website is located at https://investors.firstwatch.com. We make available, free of charge, through our internet website,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Annual Report on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and our investor relations website (https://investors.firstwatch.com) in order to achieve broad, non-exclusionary distribution of information to the public and for complying with our disclosure obligations under Regulation FD.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set forth in this Annual Report on Form 10-K, including 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and our consolidated financial statements and related notes. If any of the risks and uncertainties described in the cautionary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actually occur or continue to occur, our business, financial condition, results of operations, cash flow and the trading price of our common stock could be materially and adversely affected. The considerations and risks that follow are organized within relevant headings but may be relevant to other headings as well. Moreover, the risks below are not the only risks we face and additional risks not currently known to us or that we presently deem immaterial may emerge or become material at any time and may negatively impact our business, reputation, financial condition, results of operations, cash flow or the trading price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of our control, that could cause our actual results to be harmed. These risks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78" w:lineRule="exact"/>
        <w:rPr>
          <w:sz w:val="20"/>
          <w:szCs w:val="20"/>
          <w:color w:val="auto"/>
        </w:rPr>
      </w:pPr>
    </w:p>
    <w:p>
      <w:pPr>
        <w:ind w:left="660" w:hanging="409"/>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vulnerability to changes in economic conditions and other factors, many of which are largely outside of our control</w:t>
      </w:r>
    </w:p>
    <w:p>
      <w:pPr>
        <w:spacing w:after="0" w:line="13"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open new restaurants in new and existing markets or to operate them as profitably as we have experienced in the past</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effectively manage our growth</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generate same-restaurant sales growth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409"/>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marketing programs and limited-time menu offerings may fail to generate profits</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22" w:lineRule="exact"/>
        <w:rPr>
          <w:rFonts w:ascii="Arial" w:cs="Arial" w:eastAsia="Arial" w:hAnsi="Arial"/>
          <w:sz w:val="22"/>
          <w:szCs w:val="22"/>
          <w:color w:val="auto"/>
        </w:rPr>
      </w:pPr>
    </w:p>
    <w:p>
      <w:pPr>
        <w:ind w:left="660" w:hanging="409"/>
        <w:spacing w:after="0" w:line="242"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continued adverse effects of the COVID-19 pandemic, including the potential impact of the emergence of COVID-19 variants, or other infectious disease on our financial condition, results of operations, and supply chain</w:t>
      </w:r>
    </w:p>
    <w:p>
      <w:pPr>
        <w:spacing w:after="0" w:line="3" w:lineRule="exact"/>
        <w:rPr>
          <w:rFonts w:ascii="Arial" w:cs="Arial" w:eastAsia="Arial" w:hAnsi="Arial"/>
          <w:sz w:val="22"/>
          <w:szCs w:val="22"/>
          <w:color w:val="auto"/>
        </w:rPr>
      </w:pPr>
    </w:p>
    <w:p>
      <w:pPr>
        <w:ind w:left="660" w:hanging="409"/>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1" w:lineRule="exact"/>
        <w:rPr>
          <w:rFonts w:ascii="Arial" w:cs="Arial" w:eastAsia="Arial" w:hAnsi="Arial"/>
          <w:sz w:val="22"/>
          <w:szCs w:val="22"/>
          <w:color w:val="auto"/>
        </w:rPr>
      </w:pPr>
    </w:p>
    <w:p>
      <w:pPr>
        <w:ind w:left="660" w:hanging="40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food safety and food-borne illness concerns</w:t>
      </w:r>
    </w:p>
    <w:p>
      <w:pPr>
        <w:spacing w:after="0" w:line="29" w:lineRule="exact"/>
        <w:rPr>
          <w:rFonts w:ascii="Times New Roman" w:cs="Times New Roman" w:eastAsia="Times New Roman" w:hAnsi="Times New Roman"/>
          <w:sz w:val="18"/>
          <w:szCs w:val="18"/>
          <w:color w:val="auto"/>
        </w:rPr>
      </w:pPr>
    </w:p>
    <w:p>
      <w:pPr>
        <w:ind w:left="660" w:hanging="409"/>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spacing w:after="0" w:line="5" w:lineRule="exact"/>
        <w:rPr>
          <w:rFonts w:ascii="Arial" w:cs="Arial" w:eastAsia="Arial" w:hAnsi="Arial"/>
          <w:sz w:val="22"/>
          <w:szCs w:val="22"/>
          <w:color w:val="auto"/>
        </w:rPr>
      </w:pPr>
    </w:p>
    <w:p>
      <w:pPr>
        <w:ind w:left="660" w:hanging="409"/>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geographic concentration</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17" w:lineRule="exact"/>
        <w:rPr>
          <w:rFonts w:ascii="Arial" w:cs="Arial" w:eastAsia="Arial" w:hAnsi="Arial"/>
          <w:sz w:val="22"/>
          <w:szCs w:val="22"/>
          <w:color w:val="auto"/>
        </w:rPr>
      </w:pPr>
    </w:p>
    <w:p>
      <w:pPr>
        <w:ind w:left="660" w:hanging="409"/>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effectively manage the accelerated impact of social media</w:t>
      </w:r>
    </w:p>
    <w:p>
      <w:pPr>
        <w:spacing w:after="0" w:line="14" w:lineRule="exact"/>
        <w:rPr>
          <w:rFonts w:ascii="Arial" w:cs="Arial" w:eastAsia="Arial" w:hAnsi="Arial"/>
          <w:sz w:val="22"/>
          <w:szCs w:val="22"/>
          <w:color w:val="auto"/>
        </w:rPr>
      </w:pPr>
    </w:p>
    <w:p>
      <w:pPr>
        <w:ind w:left="660" w:hanging="409"/>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insurance may not provide adequate levels of coverage against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Intellectual Property</w:t>
      </w:r>
    </w:p>
    <w:p>
      <w:pPr>
        <w:spacing w:after="0" w:line="2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to adequately protect our network security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federal and state laws and regulations relating to privacy, data protection, advertising and consumer protection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state property law liability with our gift cards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to enforce and maintain our trademarks and other intellectual property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adverse litigation outcomes with respect to our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 and the Workforce</w:t>
      </w:r>
    </w:p>
    <w:p>
      <w:pPr>
        <w:spacing w:after="0" w:line="2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our executive officers or other key employees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identify qualified individuals for our workforce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to maintain our corporate culture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unionization activities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sustainability activities, including ESG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7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federal and local environmental, labor, employment, food safety, franchise, zoning and other applicable laws and regulations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distraction and expense of litigation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leasing properties subject to long-term and non-cancelable leases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sale of alcoholic beverages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Accounting and Financial Reporting Matters</w:t>
      </w:r>
    </w:p>
    <w:p>
      <w:pPr>
        <w:spacing w:after="0" w:line="2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principles or estimates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impairment in the carrying value of our goodwill or indefinite-lived intangible assets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access additional capital to support business growth</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level of indebtedness and our duty to comply with covenants under our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Company and Organizational Structure</w:t>
      </w:r>
    </w:p>
    <w:p>
      <w:pPr>
        <w:spacing w:after="0" w:line="27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interests of Advent may differ from those of our public stockholders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on our operating subsidiaries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lack of significant experience managing a public company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our status as an emerging growth company and a Delaware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stock could be reduced by future offerings of debt or equity securities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our status as a controlled company with highly concentrated ownership of common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possible significant fluctuations in our quarterly results of operations that could fall below the expectations of securities analysts and investors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dilutive impact from grants under our equity incentive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service businesses depend on consumer discretionary spending and are often affected by changes in consumer tastes, national, regional and local economic conditions and demographic trends. For example, due in large part to trends related to increased work-from-home accommodations by employers, we experienced and continue to experience changes in our breakfast and lunch business as it relates to customers who visit us before starting the workday, on their way to work or during corporate lunch breaks. Factors such as traffic patterns, weather, fuel prices, local demographics and the type, number and locations of competing restaurants may adversely affect the performances of individual locations. In addition, economic downturns, geopolitical tensions, inflation or increased food or energy costs could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There can also be no assurance that consumers will continue to regard our menu offerings favorably, that we will be able to develop new menu items that appeal to consumer preferences or that there will not be a drop in consumer demands for restaurant dining during breakfast and lunch dayparts. Restaurant traffic and our resulting sales depend in part on our ability to anticipate, identify and respond to changing consumer preferences and economic conditions. In addition, the restaurant industry is subject to scrutiny due to the perception that restaurant company practices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negatively influence the demand for our menu offerings.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laws and regulations regarding the ingredients and nutritional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and may be adversely affected by, a number of other factors, many of which are also largely outside of our control.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have been in the past and will continue to be subject to a number of other factors, many of which are largely outside our control. Any one or more of the factors listed below or described elsewhere in this risk factors section could have a material adverse impact on our business, financial condition and/or results of operations: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real estate costs in certain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inflationary pressures;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our supply chain;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governmental rules and approaches to taxation;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adverse outcomes of litigation;</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severe weather or other natural or man-made disasters affecting a large market or several closely located markets that may temporarily but significantly impact our restaurant operations in such markets;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climate, including changes to the frequency of severe weather events, that impact the cost and availability of goods and services, energy and other materials throughout our supply chain; and</w:t>
      </w:r>
    </w:p>
    <w:p>
      <w:pPr>
        <w:spacing w:after="0" w:line="24"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labor discord or disruption, geopolitical events, war, terrorism, political instability, acts of public violence, boycotts, hostilities and social unrest and other health pandemics that lead to avoidance of public places or restrictions on public gatherings such as in our restaurants.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part of our growth strategy includes opening new restaurants in existing and new markets and operating those restaurants on a profitable basis. We must identify target markets where we can enter or expand.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2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identify a sufficient number of available and suitable restaurant sites;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compete for restaurant sites;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reach acceptable agreements regarding the lease or purchase of restaurant sites;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obtain or have available the financing required to develop and operate new restaurants, including construction and opening costs, which includes access to leases and equipment leases at favorable interest and capitalization rates;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respond to unforeseen engineering or environmental problems with our selected restaurant sites;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mitigate the impact of inclement weather, natural disasters and other calamities on the development of restaurant sites;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hire, train and retain the skilled management and other employees necessary to meet staffing needs of new restaurants;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respond to construction and equipment cost increases for new restaurants.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open new restaurants, or if planned restaurant openings are significantly delayed, it could have a material adverse effect on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system-wide restaurants are geographically concentrated in the southeast portion of the United States and we may encounter new challenges as we enter new markets. The challenges of entering new markets include: difficulties in hiring experienced personnel; increased labor costs;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brand has been important in the success of company-owned and franchise-owned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manage our growth effectively could harm our business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to enhance these systems, procedures and controls and to recruit,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Opening new restaurants in existing markets may negatively impact sales at our and our franchisees’ existing restaurants.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consumer target area of our and our franchisees’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the results of operations and same-restaurant sales growth for our restaurants in such markets due to the close proximity with our other restaurants and market saturation. Existing restaurants could also make it more difficult to build our and our franchisees’ consumer base for a new restaurant in the same market. Sales cannibalization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visitors to any of the retail centers, lifestyle centers, or entertainment centers where our restaurants are located could negatively affect our restaurant sales.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mobility restrictions and fear of contracting infectious diseases. A decline in traffic at these locations for a sustained period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same-restaurant sales growth may be lower than we expect in future periods.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initiatives to build sales. It is possible such initiatives will not be successful, that we will not achieve our target same-restaurant sales growth or that the change in same-restaurant sales growth could be negative, which may cause a decrease in sales growth and ability to achieve profitability.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and our limited time new offerings may not be successful and could fail to meet expectations, and our new menu items, advertising campaigns and restaurant designs and remodels may not generate increased sales or profits.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and seasonal menu items, advertising campaigns and restaurant designs and remodels to raise brand awareness and attract and retain 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we offer as a key part of our promotional activities from time to time, may not perform as anticipated, which could have an adverse impact on our results of operations for the related period. If these initiatives are not successful, it could result in us incurring expenses without the benefit of higher revenues, which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cost of food could have a material adverse effect on our business,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beverage costs, including, among other things, pork, coffee, eggs, avocados, potatoes, bread, cheese, fresh fruit and produce items. We are susceptible to increases in the cost of food due to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Further, increases in fuel prices could result in increased distribution costs.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price or availability of certain food products could affect our profitability and reputation. While some commodities we purchase are subject to contract pricing, as our contracts expire, we may not be able to successfully re-negotiate terms that protect us from price inflation in the future. International commodities we purchase are also subject to supply shortages or interruptions.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the cost of ingredients can result from a number of factors, including seasonality, increases in the cost of grain, disease and viruses and other factors that affect availability and greater international demand for domestic pork products. In 2022, we experienced significant increases in the cost of eggs primarily due to an outbreak of avian influenza that is expected to continue into 2023. In the event of cost increases with respect to one or more of our raw ingredients, we may choose to temporarily suspend or permanently discontinue serving menu items rather than pay the increased cost for the ingredients. Any such changes to our available menu could negatively impact our restaurant traffic, business and same-restaurant sales growth during the shortage and thereafter. While future cost increases can be partially offset by increasing menu prices, there can be no assurance that we will be able to offset future cost increases by increasing menu prices. If we or our franchisees implement menu prices increases, there can be no assurance that increased menu prices will be fully absorbed by our customers without any resulting change to their visit frequencies or purchasing patterns. Competitive conditions may limit our menu pricing flexibility and if we or our franchisees implement menu price increases to protect our margins, restaurant traffic could be materially adversely affected, at both company-owned and franchise-owned restaurants.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results of operations, and supply chain have been and may continue to be adversely affected for an extended period of time by the COVID-19 pandemic or other infectious diseases.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is continuing to have, a significant impact on our business and results of operations. At the peak of the COVID-19 outbreak, all of our company-owned restaurants were closed. For franchised restaurants that remained open, same-store sales declined due to modified operating hours and reduced customer traffic. While all of our company-owned and franchised restaurants have reopened, we expect that our operations will continue to be impacted by the continuing effects of COVID-19, including resurgences and variants of the virus. It remains difficult to predict the full impact of the COVID-19 pandemic on the broader economy and how consumer behavior may change, and whether such change is temporary or permanent. Social distancing, telecommuting and reductions in travel may become the new normal. In addition, the COVID-19 pandemic has required and may continue to require us to make controversial decisions about precautionary measures, such as vaccinations, showing proof of vaccinations and face coverings, that could impact our results, including by impacting our brand, our employee retention and satisfaction, and our customer traffic. All of these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conditions could fundamentally impact the way we work and the customer experience we provide, and could have continuing adverse effects on our results of operations, cash flows and financial condition. As a result, we may incur impairment charges to our inventory, restaurant and corporate assets—and our ability to realize the benefits from deferred tax assets may become limited—any of which may have a significant or material impact on our financial results.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also has affected and may continue to adversely affect the ability of certain of our suppliers, from whom we purchase domestic and international commodities, to fulfill their obligations to us, which may negatively affect our restaurant operations. These suppliers include third parties that supply and/or prepare our ingredients, packaging, paper and cleaning products and other necessary operating materials, as well as distribution centers, and logistics and transportation services providers, including those in the trucking industry. If our suppliers are unable to fulfill their obligations to us, we could face shortages of food items or other supplies at our restaurants, which could have a material adverse effect on our business, financial condition and results of operations.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Prolonged volatility or significant disruption of global financial markets due in part to the COVID-19 pandemic could have a negative impact on our ability to access capital markets and other funding sources, on acceptable terms or at all and impede our ability to comply with debt covenants.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restaurants may not be profitable or may close, and the performance of our restaurants that we have experienced in the past may not be indicative of future results.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restaurants open with an initial start-up period of higher or lower than normal sales volumes. Our restaurant level operating profit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and same-restaurant sales growth may not increase at the rates our existing restaurants have achieved over the past several years. Our ability to operate new restaurants profitably and increase our average unit volume and same-restaurant sales growth will depend on many factors, some of which are beyond our control, including:</w:t>
      </w:r>
    </w:p>
    <w:p>
      <w:pPr>
        <w:spacing w:after="0" w:line="21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awareness and understanding of our brand;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which can affect restaurant traffic, local labor costs and prices we pay for the food products and other supplies we use;</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 patterns and food preferences that may differ from region to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discretionary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or maintaining adequate relationships with distributors or suppliers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prices for commodities;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inefficiency in our labor costs as the staff gains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either from our competitors in the restaurant industry or our own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and permanent site characteristics of new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increases in costs, any of which could give rise to delays or cost overruns.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We also compete with a number of non-traditional market participants, such 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convenience stores, grocery stores, coffee shops, meal kit delivery services, and “ghost” or dark kitchens, where meals are prepared at separate takeaway premises rather than a restaurant. Competition from food delivery services companies has also increased in recent years, particularly during the COVID-19 pandemic, and is expected to continue to increase.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continued success also depends in part on the continued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concerns may have an adverse effect on our business by decreasing sales and increasing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Food safety is a top priority, and we dedicate substantial resources to help ensure that our customers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employee hygiene and cleanliness failures or improper employee conduct, customers entering our restaurants while ill and contaminating food ingredients or surfaces at our restaurants could lead to product liability or other claims. Such incidents or reports could negatively affect our brand and reputation and could have a material adverse effect on our business, financial condition and results of operations. Similar incidents or reports occurring at competitors in our industry unrelated to us could likewise create negative publicity, which could negatively impact consumer behavior towards us.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to consumers that our food safety controls, procedures and training will be fully effective in preventing all food safety and public health issues at our restaurants, including any occurrences of pathogens, bacteria, parasites or other toxins infecting our food supply. These potential public health issues, in addition to food tampering, could adversely affect food prices and availability of certain food products, generate negative publicity, and lead to closure of restaurants resulting in a decline in our sales or profitability. In addition, there is no guarantee that our restaurant locations will maintain the high levels of internal controls and training we require at our restaurants.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and may affect multiple restaurant locations as a result. We cannot assure that all food items will be properly maintained during transport throughout the supply chain and that our employees will identify all products that may be spoiled and should not be used in our restaurants. The risk of food-borne illness may also increase whenever our menu items are served outside of our control, such as by third-party food delivery services companies, customer take out or at catered events. We do not have direct control over our third-party suppliers, transporters or delivery services, and may not have visibility into their practices.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negatively affect sales at all our restaurants if highly publicized, such as on national media outlets or through social media, especially due to the geographic concentration of many of our restaurants. This risk exists even if it were later determined that the illness was wrongly attributed to one of our restaurants. Potential food safety incidents, whether at our restaurants or involving our business partners, could lead to wide public exposure and negative publicity, which could materially harm our business.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franchisees can have a material adverse effect on our business,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23% and 22% of our system-wide restaurants were franchised as of December 25, 2022 and December 26, 2021, respectively, our results of operations are dependent in part upon the operational and financial success of our franchisees.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we cannot give assurance that the franchisees operate restaurants in a manner consistent with our standards, guidelines and requirements, or hire and train qualified managers and other restaurant personnel.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good relationships with our franchisees due to conflicts of interest or otherwise, revenues could decrease and we may be unable to expand our presence in certain markets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restaurants, which could, even if we prevail, have a material adverse effect on our business, financial condition and results of operations.</w:t>
      </w: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contract with one distributor, which we refer to as our “broad line” distributor, to provide virtually all of our food distribution services in the United States. As of December 25, 2022, we utilized 16 affiliated distribution centers and each distribution center carries two to three weeks of inventory for our core ingredients. In the event of a catastrophe, such as a fire, our broad line distributor can supply the restaurants affected by their respective distribution center from another affiliated distribution center. If a catastrophe, such as a fire or extreme adverse weather conditions such as storms, floods, severe thunderstorms and hurricanes, were to occur at the distribution center that services the concentration of our restaurants located in Florida, we would be at immediate risk of product shortages because that distribution center supplies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23.0% of our company-owned restaurants as of December 25, 2022, which collectively represented 31.0% of our restaurant sales for 2022. The other 15 distribution centers collectively supply the other 77.0% of our company-owned restaurants, which represented the remaining 69% of our sales.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25, 2022, we purchased substantially all of our pork from two suppliers, substantially all of our eggs from one supplier and all of our coffee from one supplier. We purchase these ingredients pursuant to purchase orders at prevailing market or negotiated contract prices and are not limited by minimum purchase requirements. The cancellation of our supply arrangements with any one of these suppliers or the disruption, delay or inability of these suppliers to deliver these major products to our restaurants or distribution centers due to problems in production or distribution, inclement weather, unanticipated demand or other conditions may materially and adversely affect our results of operations while we establish alternative supplier and distribution channels, all of which may materially and adversely affect our results of operations while we establish these alternate supplier and distribution channels. Accordingly, although we believe that alternative supply and distribution sources are available, there can be no assurance that we will continue to be able to identify or negotiate with such sources on terms that are commercially reasonable to us. If our existing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our suppliers or distributors fail to comply with food safety or other laws and regulations, or face allegations of non-compliance, their operations may be disrupted. We also could experience shortages of key ingredients if our suppliers need to close or restrict operations due to the impact of a pandemic or other infectious diseases. If our suppliers’ employees are unable to work or our suppliers’ operations are disrupted due to a pandemic or other infectious diseases, we and our franchisees could face shortages of food items or other supplies, and our and our franchisees’ operations and sales could be materially adversely impacted by such supply interruptions. If that were to occur, we may not be able to find replacement suppliers on commercially reasonable terms or a timely basis, if at all.</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 generally, we are subject to additional risks related to the increases to energy or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conflict could adversely impact, among other things, our raw material, energy and transportation costs, as well as certain of our suppliers, global and local macroeconomic conditions, and cause further supply chain disruptions.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system-wide restaurant base is geographically concentrated in the southeast portion of the United States, and we could be negatively affected by conditions specific to that region.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in the southeast portion of the United States represented approximately 41.0% of our system-wide restaurants as of December 25, 2022. Our restaurants in Florida represented approximately 23.0% of our system-wide restaurants as of December 25, 2022. Adverse changes in demographic, unemployment, economic, regulatory or weather conditions in the southeast portion of the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and negative publicity could have a material adverse effect on our business, financial condition and results of operations.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success in existing markets, and will be critical to our success as we enter into new markets. Any incident that erodes consumer loyalty to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Any publicity relating to health concerns, perceived or specific outbreaks of infectious diseases attributed to one or more of our restaurants, or non-compliance with government restrictions imposed by federal, state and local governments could result in a significant decrease in customer traffic in all of our restaurants and could have a material adverse effect on our business, financial condition and results of operations. Furthermore, similar negative publicity or occurrences with respect to other restaurants or other restaurant chains could also decrease our customer traffic and have a similar material adverse effect on our business. In addition, incidents of restaurant commentary have increased dramatically with the proliferation of social media platforms. Negative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including our franchise-owned restaurants. The risk of negative publicity is particularly great with respect to our franchise-owned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could have a material adverse effect on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customers and brand relevance, particularly given the rise in digital orders by customers at home due to the increased work-from-home customer base.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website or social media platforms and may be adverse to our reputation or business. This harm may be immediate, without affording us an opportunity for redress or correction.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franchisees rely heavily on our computer systems and network infrastructure across our operations, including point-of-sale processing at our restaurants,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and our franchisees’ operations depend upon our and our franchisees’ ability to protect our computer equipment and systems against damage from physical theft, fire, power loss, telecommunications failure or other catastrophic events, as well as from internal and external security breaches, viruses and other disruptive problems. Any actual or perceived breach in the security of our information technology systems or those of our franchisees and third-party service providers could lead to damage or failure of our computer systems or network infrastructure that causes an interruption in our operations could have a material adverse effect on our business and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Furthermore, before and during the COVID-19 pandemic, at various times we have allowed certain of our team members in our corporate headquarters to work from home. The significant increase in remote working, particularly for an extended period of time, could increase certain risks to our business, including an increased risk of cybersecurity events, vulnerability of our systems and improper dissemination of confidential or personal information, if our physical and cybersecurity measures or our corporate policies are not effective. The costs to us to eliminate any of the foregoing cybersecurity vulnerabilities or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a cyber-incident could be significant and have a material adverse impact on our business, financial condition and results of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franchisees,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or our franchisees, and our respective security measures, as well as those of our technology vendors,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continuing to expand, upgrade and develop our information technology capabilities.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w:t>
      </w:r>
    </w:p>
    <w:p>
      <w:pPr>
        <w:spacing w:after="0" w:line="1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the collection, transmission and retention of large volumes of customer and employee data, including credit and debit card numbers and other personally identifiable information, in various information technology systems that we and our franchisees maintain, and in those maintained by our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standards for systems currently used for transmission and approval of electronic payment transactions, and the technology utilized in electronic payment themselves, all of which can put electronic payment data at risk, are determined and controlled by the payment card industry, not by us. For example, we are subject to industry requirements such as the Payment Card Industry Data Security Standard, or PCI-DSS, as well as certain other industry standards. Any failure to comply with these rules and/or requirements could significantly harm our brand, reputation, business and results of operations, and in the case of PCI-DSS, could result in monetary penalties and/or the exclusion from applicable card brands. We also rely on independent service providers for payment processing, including payments made using credit and debit cards. If these independent service providers become unwilling or unable to provide these services to us or if the cost of using these providers increases, our business could be harmed.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of consumer data, particularly in the context of digital marketing, which we rely upon to attract new customers. We are, and may increasingly become, subject to other various laws, directives, industry standards and regulations, as well as contractual obligations, relating to data privacy and security in the jurisdictions in which we operate. The information, security and privacy requirements imposed by governmental regulation are increasingly demanding and are subject to potentially differing interpretations. Laws and expectations relating to privacy continue to evolve, and we continue to adapt to changing needs. For example, the definition of “personal information” or “personal data” under newer privacy laws is much broader than the definition of “personally identifiable information” that appears in older privacy laws, and many jurisdictions have or will soon enact new privacy laws. Specifically, certain states in which we operate or may operate in the future have enacted or may soon enact comprehensive privacy laws that may be more stringent or broader in scope, or offer greater individual rights, with respect to personal information than current federal, international or other state laws, and such laws may differ from each other, all of which may complicate compliance efforts. The California Consumer Privacy Act (“CCPA”), for example,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became fully effective in January 2023, significantly modifies the CCPA. These modifications will require us to incur additional costs and expenses in our effort to comply. Virginia and Colorado recently enacted similar data privacy legislation that will take effect in 2023, and several other states and countries are considering expanding or passing privacy laws in the near term. Our failure to adhere to or successfully implement appropriate processes to adhere to the requirements of evolving laws and regulations in this area could expose us and our franchisees to financial penalties and legal liability. Our and our franchisees’ systems may not be able to satisfy these changing requirements and customer and employee expectations, or may require significant additional investments or time in order to do so.</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Many applications and other devices allow consumers to avoid receiving advertisements by paying for subscriptions or other downloads.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our gift cards under the property laws of some states.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received a letter, dated February 21, 2022, from the Delaware Secretary of State inviting us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program. We intend to work in good faith to complete a review of our books and records related to unclaimed or abandoned property during the periods required under the program. Amounts incurred and paid to resolve past due unclaimed property obligations in Delaware could have a material adverse effect on our financial condition and results of operations.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not currently required to remit any amounts relating to future unredeemed gift cards to states as our subsidiary that is the issuer of our gift cards was re-domiciled in Florida on December 9, 2022, a jurisdiction which exempts gift cards from the abandoned and unclaimed property laws. If this exemption was no longer available to us, our financial condition and results of operations could be adversely affected. We recognize income from unredeemed cards when we determine that the likelihood of the cards being redeemed is remote and that recognition is appropriate based on governing state statutes.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through December 25, 2022, we relied on a third-party service provider to administer aspects of our gift cards. Any failure on the part of this service provider to fulfill their contract in a way that adversely effects the use or purchase of our gift cards prior to the termination of our contract with the third-party service provider could result in a material adverse effect on our business, financial condition and results of operations.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registered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certain other names, logos and slogans used by our restaurants as trademarks or service marks with the USPTO. The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trademark is also registered in Canada. In addition, the First Watch logo, website domain name and Facebook, Instagram and Twitter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 third-party misappropriates or infringes on our intellectual property, whether in print, on the Internet or through other media, the value of our brands may be negatively affected, which could have a material adverse effect on our business, including the failure of our brands and branded products to achieve and maintain market acceptance. There can be no assurance that all the steps we have taken to protect our intellectual property in the United States will be adequate.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confidential information, despite the existence of confidentiality agreements and other measures. If any of our trade secrets or information were to be disclosed to or independently developed by a competitor,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third parties will not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our intellectual property were invalidated or deemed unenforceable, we may not be able to prevent third parties from using such intellectual property or similar intellectual property to compete with us, which, in turn, could lead to a decline in our brand and the goodwill associated therewith and the results of operations. If our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resources and could have a material adverse effect on our business, financial condition and results of operations regardless of whether we are able to successfully enforce our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and the Workforce</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accumulated knowledge, skills and experience of our executive officers and certain other key employees.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qualified individuals for our workforce could slow our growth and adversely impact our ability to operate our restaurants.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managers and employees to meet the needs of our existing restaurants and to staff new restaurants.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could have a material adverse effect on our business, financial condition and results of operations. Any such inability could also delay the planned openings of new restaurants and could adversely impact our existing restaurants. The inability to retain or recruit qualified employees, increased costs of attracting qualified employees or delays in restaurant openings could have a material adverse effect on our business, financial condition and results of operations.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systemic staffing complexities for us and other restaurant operators, including among others a decreased applicant pool for all positions, safety concerns, and ongoing staff call-outs and exclusions due to illness. The restaurant industry has also experienced since the start of the COVID-19 pandemic aggressive competition for talent, wage inflation and pressure to improve benefits and workplace conditions to remain competitive. In addition, our existing wages and benefits programs, combined with the highly competitive wage pressure resulting from the labor shortage, may be insufficient to attract and retain the best talent. Our failure to recruit and retain new restaurant employees in a timely manner or higher employee turnover levels all could affect our ability to open new restaurants and grow sales at existing restaurants, and we may experience higher than projected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corporate culture as we grow could have a material adverse effect on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Unionization activities may disrupt our operations and increase our costs.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activities, including environmental, social and governance matters, could result in reputational risks, increased costs and other risks.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Customers, investors, lenders, regulators and other industry stakeholders have placed increasing importance on corporate ESG practices, which could cause us to incur additional costs and changes to our operations. If our ESG practices or disclosures do not meet stakeholders’ evolving expectations and standards, our customer and employee retention, our access to certain types of capital, and our brand and reputation may be negatively impacted, which could affect our business operations and financial condition. We could also incur additional costs and require additional resources to monitor, report and comply with various ESG practices and regulations, which could increase our operating costs and affect our results of operations and financial condition.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from time to time, we may communicate certain initiatives regarding climate change and other ESG matters. We could fail or be perceived to fail to achieve such initiatives, which may negatively affect our reputation. The future adoption of new technology or processes to achieve such initiatives could also result in the impairment of existing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could have a material adverse effect on our business, financial condition and results of operations and 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employment eligibility verification requirements, workers’ compensation rates, overtime, family leave, working conditions, safety standards, immigration status, unemployment tax rates, state and local payroll taxes,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or others through private actions, class actions, administrative proceedings, regulatory actions or other litigation. Moreover, employment and labor claims asserted against franchisees may at times be made against us as a franchisor.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Similar lawsuits have been instituted from time to time alleging violations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 Additionally, if we or our franchisees are unable to properly identify unauthorized workers, such workers will be subject to deportation and may subject us to fines or penalties. If any of our workers are found to be unauthorized, we could experience adverse publicity that may negatively impact our brand, disrupt our operations, make it more difficult to hire and keep qualified employees, cause temporary increases in our labor costs as we train new employees and result in adverse publicity.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party to litigation that could distract management, increase our expenses or subject us to material monetary damages or other remedies.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negatively impact our reputation, which could have a material adverse effect on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our franchisees face labor shortages or increased labor costs or health care costs, it could have a material adverse effect on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is a primary component in the cost of operating our restaurants. If we or our franchisees face labor shortages or increased labor costs because of increased competition for employees, higher employee-turnover rates, unionization of restaurant workers, or increases in the federally-mandated or state-mandated minimum wage, change in exempt and non-exempt status, unemployment tax rates, workers’ compensation rates, overtime, family leave, safety standards, payroll taxes, citizenship requirements or other employee benefits costs (including costs associated with health insurance coverage or workers’ compensation insurance), our operating expenses could increase and our growth could be adversely affected.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 may also result in increases in the wage rates paid for non-minimum wage positions. We may be unable to increase our menu prices in order to pass future increased labor costs on to our customers, in which case our operating margins would be negatively affected. If menu prices are increased by us or our franchisees to cover increased labor costs, the higher prices could adversely affect demand for our menu items, resulting in lower sales and decreased franchise revenues.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10 years, providing for two to four renewal options of five years each as well as rent escalations. Generally, our leases are triple-net leases that require us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our sale of alcoholic beverages.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serve alcoholic beverages at our restaurants.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alcoholic beverages manufacturers, wholesalers and distributors, inventory control and handling, storage and dispensing of alcoholic beverages. Any future failure to comply with these regulations and obtain or retain licenses could have a material adverse effect on our business, financial condition and results of operations.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federal, state and local laws with which compliance is both costly and complex.</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restaurant industry is subject to extensive federal, state and local laws and regulations, including those relating to the environment,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our suppliers may initiate or otherwise be subject to food recalls that may impact the availability of certain products, result in adverse publicity or require us to take actions that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also subject to extensive laws and regulations relating to public company compliance, disclosure and governance matters, including accounting and tax regulations, SEC and Nasdaq disclosure requirements. 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Americans with Disabilities Act, which, among other things, requires our restaurants to meet federally mandated requirements for the disabled,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Reporting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applicable to us could have a material adverse effect on our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in the carrying value of our goodwill or indefinite-lived intangible assets could have a material adverse effect on our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25, 2022, we had $345.2 million of goodwill and $138.9 million of indefinite-lived intangible assets. We test goodwill and indefinite-lived intangible assets for impairment annually on the first day of the fourth quarter of each fiscal year and whenever events or changes in circumstances indicate that impairment may have occurred. We performed a qualitative annual impairment assessment of goodwill and indefinite-lived intangible assets on the first day of the fourth quarter of 2022. Based on the results of the qualitative assessment, we did not perform a quantitative assessment and no impairment was recognized in 2022.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accurately predict the amount and timing of any impairment of assets and an impairment test in the future may indicate that an impairment has occurred. In the event that the book value of goodwill or other indefinite-lived intangible assets is impaired, any such impairment would be charged to earnings in the period of impairment and could have a material adverse effect on our financial condition and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estimates related to our long-lived assets and definite-lived intangible assets or operating results that are lower than our current estimates at certain restaurant locations may cause us to incur impairment losses on certain long-lived assets, which may adversely affect our 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losses or accelerate the amortization on certain long-lived assets, which may adversely affect our financial condition and results of operations.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which could result in us failing to prevent or detect material misstatements of our consolidated financial statements due to error or fraud. If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common stock.</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newly public company, we are required to comply with Section 404 of the Sarbanes-Oxley Act (“Section 404”) in accordance with the rules and regulations of the SEC, which requires management to certify financial and other information in our quarterly and annual reports and provide an annual management report on the effectiveness of our internal control over financial reporting commencing with our second annual report after our IPO. In addition, under Section 404 our independent registered public accounting firm will also need to attest to the effectiveness of our internal control over financial reporting in the future to the extent that we are no longer an emerging growth company, as defined in the Jumpstart Our Business Startups Act (the “JOBS Act”). To achieve compliance with the rules and regulations of the SEC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material weaknesses in our internal control over financial reporting. The material weaknesses we identified were as follows: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210" w:lineRule="exact"/>
        <w:rPr>
          <w:sz w:val="20"/>
          <w:szCs w:val="20"/>
          <w:color w:val="auto"/>
        </w:rPr>
      </w:pPr>
    </w:p>
    <w:p>
      <w:pPr>
        <w:jc w:val="both"/>
        <w:ind w:left="820" w:hanging="326"/>
        <w:spacing w:after="0" w:line="26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206" w:lineRule="exact"/>
        <w:rPr>
          <w:rFonts w:ascii="Times New Roman" w:cs="Times New Roman" w:eastAsia="Times New Roman" w:hAnsi="Times New Roman"/>
          <w:sz w:val="18"/>
          <w:szCs w:val="18"/>
          <w:color w:val="auto"/>
        </w:rPr>
      </w:pPr>
    </w:p>
    <w:p>
      <w:pPr>
        <w:jc w:val="both"/>
        <w:ind w:left="820" w:hanging="326"/>
        <w:spacing w:after="0" w:line="245"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208" w:lineRule="exact"/>
        <w:rPr>
          <w:rFonts w:ascii="Times New Roman" w:cs="Times New Roman" w:eastAsia="Times New Roman" w:hAnsi="Times New Roman"/>
          <w:sz w:val="18"/>
          <w:szCs w:val="18"/>
          <w:color w:val="auto"/>
        </w:rPr>
      </w:pPr>
    </w:p>
    <w:p>
      <w:pPr>
        <w:jc w:val="both"/>
        <w:ind w:left="820" w:hanging="326"/>
        <w:spacing w:after="0" w:line="253"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certain measures to remediate the material weaknesses described above, as described in Item 9A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Volatility in the financial markets like we are currently experiencing could affect our ability to access capital markets at a time when we desire, or need, to do so, which could have an impact on our flexibility to pursue additional expansion opportunities and maintain our desired level of revenue growth in the future.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have a material adverse effect on our business,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principal amount of debt outstanding, excluding finance lease liabilities, financing obligations and unamortized debt discount and deferred issuance costs as of December 25, 2022 was $98.1 million. Our indebtedness could have significant effects on our business, such as:</w:t>
      </w:r>
    </w:p>
    <w:p>
      <w:pPr>
        <w:spacing w:after="0" w:line="189" w:lineRule="exact"/>
        <w:rPr>
          <w:sz w:val="20"/>
          <w:szCs w:val="20"/>
          <w:color w:val="auto"/>
        </w:rPr>
      </w:pPr>
    </w:p>
    <w:p>
      <w:pPr>
        <w:ind w:left="820" w:hanging="326"/>
        <w:spacing w:after="0" w:line="26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9" w:lineRule="exact"/>
        <w:rPr>
          <w:rFonts w:ascii="Times New Roman" w:cs="Times New Roman" w:eastAsia="Times New Roman" w:hAnsi="Times New Roman"/>
          <w:sz w:val="18"/>
          <w:szCs w:val="18"/>
          <w:color w:val="auto"/>
        </w:rPr>
      </w:pPr>
    </w:p>
    <w:p>
      <w:pPr>
        <w:ind w:left="820" w:right="20" w:hanging="326"/>
        <w:spacing w:after="0" w:line="26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financial condition and results of operations.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credit agreement dated as of October 6, 2021 (the “Credit Agreement”), which provides for (i) a $100.0 million term loan A facility (the “Term Facility”) and (ii) a $75.0 million revolving credit facility (the “Revolving Credit Facility”) and together with the Term Facility, the “Facilities”), we are required to maintain, on a consolidated basis, both (a) a maximum total rent adjusted net leverage ratio of (i) consolidated total net debt to (ii) consolidated EBITDA plus consolidated cash rental expense with certain adjustments and (b) a minimum fixed charge coverage ratio of (i) consolidated EBITDA plus consolidated cash rental expense with certain adjustments to (ii) consolidated fixed charges, in each case, as set forth in the Credit Agreement and tested as of the last day of each fiscal quarter (commencing with the fiscal quarter ending March 27, 2022). Our ability to borrow under the Revolving Credit Facility is subject to the absence of a default or event of default under the Credit Agreement, including our compliance with these financial covenants. Events beyond our control, including changes in general economic and business conditions, may affect our ability to comply with the financial covenants. We cannot assure you that we will comply with the financial covenants in the future, or that our lenders will waive any failure to comply with the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covenants under our Credit Agreement or the volatile credit and capital markets could have a material adverse effect on our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manage our debt is dependent on our level of positive cash flow from company-owned and franchise-owned restaurants.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the Credit Agreement for our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Organizational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Advent may conflict with our interests or the interests of the holders of our common stock in the future.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Advent engages in a range of investing activities, including investments in restaurants and other consumer-related companies in particular. In the ordinary course of its business activities, Advent may engage in activities where its interests conflict with our interests or those of our stockholders. Our amended and restated certificate of incorporation contains provisions renouncing any interest or expectancy held by our directors affiliated with Advent in certain corporate opportunities. Accordingly, the interests of Advent may supersede ours, causing them or their affiliates to compete against us or to pursue opportunities instead of us, for which we have no recourse. Such actions on the part of Advent and inaction on our part could have a material adverse effect on our business, financial condition and results of operations. In addition, Advent may have an interest in pursuing acquisitions, divestitures and other transactions that, in its judgment, could enhance its investment in us, even though such transactions might involve risks to you, such as debt-financed acquisitions.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First Watch Restaurant Group, Inc. is a holding company with no operations and relies on its operating subsidiaries to provide it with funds necessary to meet its financial obligations and to pay dividends.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First Watch Restaurant Group, Inc. is a holding company with no material direct operations. First Watch Restaurant Group, Inc.’s principal assets are the equity interests it indirectly holds in its operating subsidiaries which own our operating assets. As a result, First Watch Restaurant Group, Inc. is dependent on loans, dividends and other payments from its operating subsidiaries to generate the funds necessary to meet its financial obligations and to pay dividends on its common stock. Its subsidiaries are legally distinct from First Watch Restaurant Group, Inc. and may be prohibited or restricted from paying dividends, including pursuant to the restrictions contained in our Credit Agreement, or otherwise making funds available to us under certain conditions. Although First Watch Restaurant Group, Inc. does not expect to pay dividends on its common stock for the foreseeable future, if it is unable to obtain funds from its subsidiaries, it may be unable to, or its board of directors (the “Board”) may exercise its discretion not to, pay dividends.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does not have significant experience managing a public company and our current resources may not be sufficient to fulfill our public company obligations.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regulatory requirements, including those of the SEC and Nasdaq. These requirements include record keeping, financial reporting and corporate governance rules and regulations. Our management team does not have significant experience in managing a public company and, historically,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 emerging growth company, we are eligible to take advantage of certain exemptions from various reporting requirements that are applicable to other public companies that are not emerging growth companies, including, but not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for, or prevent a third party from, acquiring control of us without the approval of our Board. Among other things, these provisions:</w:t>
      </w:r>
    </w:p>
    <w:p>
      <w:pPr>
        <w:spacing w:after="0" w:line="207"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with staggered three-year terms;</w:t>
      </w:r>
    </w:p>
    <w:p>
      <w:pPr>
        <w:spacing w:after="0" w:line="27"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to fix the number of directors;</w:t>
      </w:r>
    </w:p>
    <w:p>
      <w:pPr>
        <w:spacing w:after="0" w:line="9"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of our Board to fill any vacancy on our Board, whether such vacancy occurs as a result of an increase in the number of directors or otherwise;</w:t>
      </w: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on by stockholders at stockholder meetings.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Advent could impede a merger, takeover, or other business combination, or discourage a potential investor from making a tender offer for our common stock, which, under certain circumstances, could reduce the market value of our common stock.</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of America as the sole and exclusive forum for claims arising under the Securities Act of 1933, as amended, which, in each case, could limit our stockholders’ ability to obtain a favorable judicial forum for disputes with us or our directors, officers, employees, agents or other stockholders.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or, if the Court of Chancery lacks jurisdiction, a state court located within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Delaware General Corporation Law (the “DGCL”) or this Certificate or the Bylaws (as either may be amended from time to time), or as to which the DGCL confers jurisdiction on the Court of Chancery of the State of Delaware; or</w:t>
      </w:r>
    </w:p>
    <w:p>
      <w:pPr>
        <w:spacing w:after="0" w:line="3" w:lineRule="exact"/>
        <w:rPr>
          <w:sz w:val="20"/>
          <w:szCs w:val="20"/>
          <w:color w:val="auto"/>
        </w:rPr>
      </w:pPr>
    </w:p>
    <w:p>
      <w:pPr>
        <w:jc w:val="both"/>
        <w:ind w:firstLine="8"/>
        <w:spacing w:after="0" w:line="250"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governed by the internal affairs doctrine. For the avoidance of doubt, our amended and restated certificate of incorporation also provides that the foregoing exclusive forum provision does not apply to actions brought to enforce any liability or duty created by the Securities Act or the Exchange Act, or any other claim or cause of action for which the federal courts have exclusive jurisdiction.</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 of America.</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common stock.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Advent indirectly beneficially owns approximately 70.0% of our outstanding common stock. As a result, Advent beneficially owns shares sufficient for majority votes over all matters requiring stockholder votes, including: the election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the corporate governance rules of Nasdaq.</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corporate governance rules requiring that listed companies have (i) a majority of the Board consist of “independent” directors under the listing standards of Nasdaq, (ii) independent director oversight of director nominations and (iii) a compensation committee composed entirely of independent directors. Although we are eligible to use some or all of these exemptions, our Board is comprised of a majority of independent directors, and our nominating and corporate governance committee and compensation committee consists entirely of independent directors. However, if we are to use some or all of these exemptions in the future, you may not have the same protections afforded to stockholders of companies that are subject to all of the corporate governance requirements of Nasdaq.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Our Credit Agreement for our Facilities restricts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negatively affected by sales of substantial amounts of our common stock in the public 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issued and outstanding shares, all the common stock sold in our initial public offering is freely transferable, except for any shares held by our “affiliates,” as that term is defined in Rule 144 under the Securities Act. Approximately 70.0% of our outstanding common stock is indirectly beneficially owned by Advent, and can be resold into the public markets in the future in accordance with the requirements of Rule 144.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decline significantly in connection with any sales by Advent of its common stock. A decline in the price of our common stock might impede our ability to raise capital through the issuance of additional common stock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the First Watch Restaurant Group, Inc. 2021 Equity Incentive Plan (the “2021 Equity Plan”) and the First Watch Restaurant Group, Inc. 2017 Omnibus Equity Incentive Plan (the “2017 Equity Plan”) will dilute all other stockholdings.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25, 2022, we had an aggregate of 10,172,312 shares of common stock authorized for issuance under the 2021 Equity Plan and 2017 Equity Plan. Additionally, the 2021 Equity Plan contains an “evergreen provision,” pursuant to which the aggregate number of shares available for issuance will automatically increase on the first day of each fiscal year, beginning on December 26, 2022 and continuing for each fiscal year until, and including, the fiscal year ending on (and including) December 30, 2030. While we do not intend to grant any further awards under the 2017 Equity Plan, we may issue all the shares underlying the awards granted under the 2017 Plan and all of the shares authorized for issuance under the 2021 Equity Plan without any action or approval by our stockholders, subject to certain exceptions. Any common stock issued in connection with the 2021 Equity Plan or the 2017 Equity Plan would dilute the ownership percentage held by existing stockholders.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and results of operations. We will need to hire more employees in the future to comply with these requirements, which will increase our costs and expenses.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the requirements of being a public company, including the Sarbanes-Oxley Act, we have and will need to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lease all our company-owned restaurant facilities. As of December 25, 2022, we had 366 company-owned restaurants and 108 franchise-owned restaurants located in 29 states, including a large presence in Florida, Texas, Ohio and Arizona. As of December 25, 2022, company-owned and franchise-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restaurants by jurisdiction were: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Company-owned</w:t>
            </w:r>
          </w:p>
        </w:tc>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Franchise-owned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“FWRG.”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 2023, there were 32 stockholders of record of our common stock. The number of record holders does not include persons who held shares of our common stock in nominee or “street name”accounts through brokers.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intend to pay cash dividends on our common stock in the foreseeable future. However, in the future, subject to the factors described below and our future liquidity and capitalization, we may change this policy and choose to pay dividends. Additionally, our ability to pay dividends is currently restricted by the terms of our Credit Agreement.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 Any future determination to pay dividends will be at the discretion of our Board and will take into account: (i) restrictions in our debt instruments, including our Credit Agreement; (ii) general economic business conditions; (iii) our earnings, financial condition, and results of operations; (iv) our capital requirements; (v) our prospects; (vi) legal restrictions; and (vii) such other factors as our Board may deem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Stock Performance Graph</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annual stockholders return on our common stock from October 1, 2021, the date our common stock began trading on Nasdaq, through December 25, 2022, to that of the total return index for the Nasdaq Composite Index and the S&amp;P Restaurants Index assuming an investment of $100 on October 1, 2021. The graph uses the closing market price on October 1, 2021 of $22.13 per share as the initial value of our common stock. In calculating total annual stockholder return, reinvestment of dividends, if any, is assumed. The indices are included for comparative purposes only. They do not necessarily reflect management’s opinion that such indices are an appropriate measure of the relative performance of our common stock. The values shown are neither indicative nor determinative of future performance. Information used in the graph and table was obtained from Zacks Investment Research, a source believed to be reliable, but we are not responsible for any errors or omissions in such information. 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5657850"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October 1, 2021</w:t>
            </w:r>
          </w:p>
        </w:tc>
        <w:tc>
          <w:tcPr>
            <w:tcW w:w="500" w:type="dxa"/>
            <w:vAlign w:val="bottom"/>
          </w:tcPr>
          <w:p>
            <w:pPr>
              <w:spacing w:after="0"/>
              <w:rPr>
                <w:sz w:val="20"/>
                <w:szCs w:val="20"/>
                <w:color w:val="auto"/>
              </w:rPr>
            </w:pPr>
          </w:p>
        </w:tc>
        <w:tc>
          <w:tcPr>
            <w:tcW w:w="27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December 25, 2022</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Watch Restaurant Group, Inc.</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w:t>
            </w:r>
          </w:p>
        </w:tc>
      </w:tr>
      <w:tr>
        <w:trPr>
          <w:trHeight w:val="226"/>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 Index</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72.77</w:t>
            </w:r>
          </w:p>
        </w:tc>
      </w:tr>
      <w:tr>
        <w:trPr>
          <w:trHeight w:val="2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Restaurants Index</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w:t>
            </w:r>
          </w:p>
        </w:tc>
      </w:tr>
    </w:tbl>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section and other parts of this Annual Report on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industry outlook, our expectations for the future of our business and our liquidity and capital resources as well as other non-historical statements.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Our actual results may differ materially from those contained in or implied by these forward-looking statements.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on current expectations and are subject to numerous risks and uncertainties. All forward-looking statements are expressly qualified in their entirety by these cautionary statements. You should evaluate all forward-looking statements made in this Annual Report on Form 10-K in the context of the risks and uncertainties disclosed in Part I, Item 1A of this Annual Report on Form 10-K under the heading “Risk Factors” and in this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Annual Report on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2022, First Watch was recognized with ADP’s coveted Culture at Work Award and named a Top 100 Most Loved Workplace® by Newsweek and the Best Practice Institute. The Company is majority owned by Advent International Corporation, one of the world’s largest private-equity firms. The Company’s common stock trades on Nasdaq under the ticker symbol “FWRG.”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December 25, 2022, the Company had 366 company-owned restaurants and 108 franchise-owned restaurants. The Company does not operate outside of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52- or 53-week fiscal years end on the last Sunday of each calendar year. Its fiscal quarters are comprised of 13 weeks each and end on the 13th Sunday of each quarter, save for 53-week years during which the fourth quarter ends on the 14th Sunday of the fourth quarter. All references to 2022, 2021 and 2020 reflect the results of the 52-week fiscal years ended December 25, 2022, December 26, 2021 and December 27, 2020, respectively. We report financial and operating information in one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There were 301 restaurants and 269 restaurants in our Comparable Restaurant Base in 2022 and in 2021, respectively. There were 207 restaurants in the three-year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Unit Volume </w:t>
      </w:r>
      <w:r>
        <w:rPr>
          <w:rFonts w:ascii="Times New Roman" w:cs="Times New Roman" w:eastAsia="Times New Roman" w:hAnsi="Times New Roman"/>
          <w:sz w:val="18"/>
          <w:szCs w:val="18"/>
          <w:color w:val="auto"/>
        </w:rPr>
        <w:t>(“AUV”): the total restaurant sales (excluding gift card breakage) recognized in the Comparable Restaurant Base,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restaurants in the Comparable Restaurant Base during the period. This measurement allows management to assess changes in consumer spending patterns at our restaurants and the overall performance of our restaurant base.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evaluation of ongoing core operating performance as identified in the reconciliation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Net income (loss),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(loss)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(Loss)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(Loss)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the Company continued to capture strong consumer demand and same-restaurant traffic growth as the dining rooms in the Comparable Restaurant Base returned to more than 90% of 2019 usage levels, while the off-premises channel proved to be a growth vehicle with sales increasing 6.3% from 2021. Our AUV increased 13.8% to $2.0 million in 2022, from $1.8 million in 2021. Despite the inflationary environment, customer demand allowed management to offset much of the inflationary pressure with modest menu price increases while continuing to drive same-restaurant traffic growth. Additionally, the Company’s development team continued to accelerate new restaurant openings and populate the pipeline of prospective restaurant projects. The 29 NROs opened with warm customer response and generated an annualized average unit volume of $2.2 million, which exceeded our AUV.</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highlights for 2022 include the following:</w:t>
      </w:r>
    </w:p>
    <w:p>
      <w:pPr>
        <w:spacing w:after="0" w:line="252" w:lineRule="exact"/>
        <w:rPr>
          <w:sz w:val="20"/>
          <w:szCs w:val="20"/>
          <w:color w:val="auto"/>
        </w:rPr>
      </w:pPr>
    </w:p>
    <w:p>
      <w:pPr>
        <w:ind w:left="580" w:hanging="41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21.5% to $730.2 million from $601.2 million in 2021</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sales increased 21.9% to $914.8 million from $750.7 million in 2021</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14.5% (29.6% relative to 2019*)</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7.7% (6.5% relative to 2019*)</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$16.9 million and Income from operations margin of 2.4% compared to Income from operations of $22.2 million and Income from operations margin of 3.8% in 2021</w:t>
      </w:r>
    </w:p>
    <w:p>
      <w:pPr>
        <w:ind w:left="580" w:hanging="410"/>
        <w:spacing w:after="0" w:line="196"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$128.9 million and Restaurant level operating profit margin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17.9% compared to Restaurant level operating profit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$115.4 million and Restaurant level operating profit margin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19.5% in 2021</w:t>
      </w:r>
    </w:p>
    <w:p>
      <w:pPr>
        <w:spacing w:after="0" w:line="1"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$6.9 million compared to Net loss of $(2.1) million in 2021</w:t>
      </w:r>
    </w:p>
    <w:p>
      <w:pPr>
        <w:spacing w:after="0" w:line="7" w:lineRule="exact"/>
        <w:rPr>
          <w:rFonts w:ascii="Times New Roman" w:cs="Times New Roman" w:eastAsia="Times New Roman" w:hAnsi="Times New Roman"/>
          <w:sz w:val="18"/>
          <w:szCs w:val="18"/>
          <w:color w:val="auto"/>
        </w:rPr>
      </w:pPr>
    </w:p>
    <w:p>
      <w:pPr>
        <w:ind w:left="580" w:hanging="410"/>
        <w:spacing w:after="0" w:line="197"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increased to $69.3 million from $66.3 million in 2021</w:t>
      </w:r>
    </w:p>
    <w:p>
      <w:pPr>
        <w:ind w:left="580" w:hanging="410"/>
        <w:spacing w:after="0" w:line="249"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43 system-wide restaurants (29 company-owned and 14 franchise-owned) across 16 states resulting in a total of 474 system-wide restaurants (366 company-owned and 108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1400" w:firstLine="8"/>
        <w:spacing w:after="0" w:line="275" w:lineRule="auto"/>
        <w:tabs>
          <w:tab w:leader="none" w:pos="12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Comparison to the fiscal year ended December 29, 2019 (“2019”) is presented for enhanced comparability due to the economic impact of COVID-19. ** See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Customer and Supply Chain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surging inflation impacting consumers in 2022, we saw a return of in-restaurant dining levels similar to 2019 levels while our off-premises sales remained strong, indicating continued customer demand.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unusually high commodity inflation impacted costs throughout 2022 with some deceleration in the third and fourth quarters as the Company began to lap prior year inflation-impacted periods. The Company’s market basket experienced cost inflation of approximately 13.0% in 2022. Notably, egg prices and the supply of cage-free shell eggs used in our recipes were under pressure most of the year due to multiple occurrences of Avian Influenza in the United States. Management solved for shortages by expanding sourcing but at higher than planned prices. In 2023, we expect continued cost inflation for our entire market basket in the range of 4.0% 6.0%.</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2022, there was an increase in the volume of job applications and an overall easing of staffing constraints and labor shortages that developed in 2020 and 2021. Restaurant staffing in both hourly and manager level positions enabled us to serve our increased in-restaurant dining and off-premises demand and sets us up to execute on our strategic development plan and open new restaurants. We experienced restaurant-level hourly labor inflation of approximately 11.0% in 2022, which combined with the increase in staffing levels, contributed to increased labor and other related expenses at the restaurant level. In 2023, we expect restaurant-level hourly labor inflation of 9.0% to 11.0% and we intend to focus on optimizing our staffing as our restaurants have returned to a more normal seasonality.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timing of new restaurant construction were similarly challenged in 2022 due to the elevated inflation, uneven equipment delivery and supply chain interruptions. As a result, our development team often negotiated with landlords for early entry into new restaurant facilities so we could better control the pace of interior build out and installation of equipment, dining room packages and First Watch trade dress.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largely mitigated the inflationary impacts through pricing actions and we will continue to price to offset inflation while remaining focused on maximizing traffic in our restaurants. In late January 2023, we increased in-restaurant menu prices 4.1% to continue to offset the negative effects of inflationary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Highlights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had a total of 43 new system-wide restaurants in 16 states and we closed 4 company-owned restaurants. At December 25, 2022, the Company had a total of 474 system-wide restaurants. Restaurant closures generally result from lease expirations where management is optimizing the Company’s overall market development strategy.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FISCAL YEAR 2022</w:t>
            </w:r>
          </w:p>
        </w:tc>
        <w:tc>
          <w:tcPr>
            <w:tcW w:w="19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Company-owned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Franchise-owned</w:t>
            </w:r>
          </w:p>
        </w:tc>
        <w:tc>
          <w:tcPr>
            <w:tcW w:w="1920" w:type="dxa"/>
            <w:vAlign w:val="bottom"/>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6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341</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restaurants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Closures/Disenfranchised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6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366</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4"/>
        </w:trPr>
        <w:tc>
          <w:tcPr>
            <w:tcW w:w="5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open 38 to 42 company-owned restaurants and 10 to 12 franchise-owned restaurants during the fiscal year ending December 31, 2023 (“2023”). We also plan on closing 3 company-owned restaurants, resulting in a total of 45-51, net new system-wide restaurants in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80"/>
        </w:trPr>
        <w:tc>
          <w:tcPr>
            <w:tcW w:w="46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System-wide sales (in thousands)</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914,816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750,674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426,303</w:t>
            </w: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System-wide restaurants</w:t>
            </w:r>
          </w:p>
        </w:tc>
        <w:tc>
          <w:tcPr>
            <w:tcW w:w="13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409</w:t>
            </w:r>
          </w:p>
        </w:tc>
      </w:tr>
      <w:tr>
        <w:trPr>
          <w:trHeight w:val="233"/>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Company-owned</w:t>
            </w: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321</w:t>
            </w:r>
          </w:p>
        </w:tc>
      </w:tr>
      <w:tr>
        <w:trPr>
          <w:trHeight w:val="226"/>
        </w:trPr>
        <w:tc>
          <w:tcPr>
            <w:tcW w:w="4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Franchise-owned</w:t>
            </w:r>
          </w:p>
        </w:tc>
        <w:tc>
          <w:tcPr>
            <w:tcW w:w="13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88</w:t>
            </w:r>
          </w:p>
        </w:tc>
      </w:tr>
      <w:tr>
        <w:trPr>
          <w:trHeight w:val="23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Same-restaurant sales growth</w:t>
            </w: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Same-restaurant traffic growth</w:t>
            </w:r>
          </w:p>
        </w:tc>
        <w:tc>
          <w:tcPr>
            <w:tcW w:w="1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3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AUV (in thousands)</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1,119</w:t>
            </w: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 (in thousands)</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16,913</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22,243</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(47,222)</w:t>
            </w:r>
          </w:p>
        </w:tc>
      </w:tr>
      <w:tr>
        <w:trPr>
          <w:trHeight w:val="23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 margin</w:t>
            </w: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9"/>
        </w:trPr>
        <w:tc>
          <w:tcPr>
            <w:tcW w:w="468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level operating profit (in thousands) </w:t>
            </w:r>
            <w:r>
              <w:rPr>
                <w:rFonts w:ascii="Times New Roman" w:cs="Times New Roman" w:eastAsia="Times New Roman" w:hAnsi="Times New Roman"/>
                <w:sz w:val="22"/>
                <w:szCs w:val="22"/>
                <w:color w:val="auto"/>
                <w:vertAlign w:val="superscript"/>
              </w:rPr>
              <w:t>(1)</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128,936</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115,404</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28,236</w:t>
            </w:r>
          </w:p>
        </w:tc>
      </w:tr>
      <w:tr>
        <w:trPr>
          <w:trHeight w:val="230"/>
        </w:trPr>
        <w:tc>
          <w:tcPr>
            <w:tcW w:w="46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level operating profit margin </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(in thousands)</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(49,681)</w:t>
            </w:r>
          </w:p>
        </w:tc>
      </w:tr>
      <w:tr>
        <w:trPr>
          <w:trHeight w:val="23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margin</w:t>
            </w: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9"/>
        </w:trPr>
        <w:tc>
          <w:tcPr>
            <w:tcW w:w="468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Adjusted EBITDA (in thousands) </w:t>
            </w:r>
            <w:r>
              <w:rPr>
                <w:rFonts w:ascii="Times New Roman" w:cs="Times New Roman" w:eastAsia="Times New Roman" w:hAnsi="Times New Roman"/>
                <w:sz w:val="22"/>
                <w:szCs w:val="22"/>
                <w:color w:val="auto"/>
                <w:vertAlign w:val="superscript"/>
              </w:rPr>
              <w:t>(2)</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69,278</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66,301</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(5,744)</w:t>
            </w:r>
          </w:p>
        </w:tc>
      </w:tr>
      <w:tr>
        <w:trPr>
          <w:trHeight w:val="229"/>
        </w:trPr>
        <w:tc>
          <w:tcPr>
            <w:tcW w:w="46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Adjusted EBITDA margin </w:t>
            </w:r>
            <w:r>
              <w:rPr>
                <w:rFonts w:ascii="Times New Roman" w:cs="Times New Roman" w:eastAsia="Times New Roman" w:hAnsi="Times New Roman"/>
                <w:sz w:val="22"/>
                <w:szCs w:val="22"/>
                <w:color w:val="auto"/>
                <w:vertAlign w:val="superscript"/>
              </w:rPr>
              <w:t>(2)</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firstLine="8"/>
        <w:spacing w:after="0" w:line="248" w:lineRule="auto"/>
        <w:tabs>
          <w:tab w:leader="none" w:pos="24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(Loss) from operations and Income (Loss)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firstLine="8"/>
        <w:spacing w:after="0" w:line="270" w:lineRule="auto"/>
        <w:tabs>
          <w:tab w:leader="none" w:pos="23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(loss) and Net income (loss)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that follows includes a comparison of our results of operations for 2022 and 2021.</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items in our Consolidated Statements of Operations and Comprehensive Income (Loss) in relation to Total revenues or, where indicated, Restaurant sales for 2022 and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00" w:type="dxa"/>
            <w:vAlign w:val="bottom"/>
            <w:tcBorders>
              <w:bottom w:val="single" w:sz="8" w:color="auto"/>
            </w:tcBorders>
          </w:tcPr>
          <w:p>
            <w:pPr>
              <w:spacing w:after="0"/>
              <w:rPr>
                <w:sz w:val="20"/>
                <w:szCs w:val="20"/>
                <w:color w:val="auto"/>
              </w:rPr>
            </w:pP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9"/>
        </w:trPr>
        <w:tc>
          <w:tcPr>
            <w:tcW w:w="7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operating expenses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(exclusive of depreciation and amortization shown below):</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Food and beverage costs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22.7 %</w:t>
            </w:r>
          </w:p>
        </w:tc>
      </w:tr>
      <w:tr>
        <w:trPr>
          <w:trHeight w:val="226"/>
        </w:trPr>
        <w:tc>
          <w:tcPr>
            <w:tcW w:w="7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31.9 %</w:t>
            </w:r>
          </w:p>
        </w:tc>
      </w:tr>
      <w:tr>
        <w:trPr>
          <w:trHeight w:val="23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26"/>
        </w:trPr>
        <w:tc>
          <w:tcPr>
            <w:tcW w:w="7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Occupancy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3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Pre-opening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(income), net</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578,950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96.3 %</w:t>
            </w:r>
          </w:p>
        </w:tc>
      </w:tr>
      <w:tr>
        <w:trPr>
          <w:trHeight w:val="227"/>
        </w:trPr>
        <w:tc>
          <w:tcPr>
            <w:tcW w:w="72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Income from operations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and total 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4"/>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Percentages are calculated as a percentage of restaurant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6"/>
        </w:trPr>
        <w:tc>
          <w:tcPr>
            <w:tcW w:w="3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In-restaurant dining sales</w:t>
            </w:r>
          </w:p>
        </w:tc>
        <w:tc>
          <w:tcPr>
            <w:tcW w:w="1380" w:type="dxa"/>
            <w:vAlign w:val="bottom"/>
          </w:tcPr>
          <w:p>
            <w:pPr>
              <w:jc w:val="right"/>
              <w:ind w:right="11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571,048</w:t>
            </w:r>
          </w:p>
        </w:tc>
        <w:tc>
          <w:tcPr>
            <w:tcW w:w="100" w:type="dxa"/>
            <w:vAlign w:val="bottom"/>
          </w:tcPr>
          <w:p>
            <w:pPr>
              <w:spacing w:after="0"/>
              <w:rPr>
                <w:sz w:val="19"/>
                <w:szCs w:val="19"/>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452,989</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26.1 %</w:t>
            </w:r>
          </w:p>
        </w:tc>
      </w:tr>
      <w:tr>
        <w:trPr>
          <w:trHeight w:val="23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Third-party delivery sales</w:t>
            </w:r>
          </w:p>
        </w:tc>
        <w:tc>
          <w:tcPr>
            <w:tcW w:w="1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16.4 %</w:t>
            </w:r>
          </w:p>
        </w:tc>
      </w:tr>
      <w:tr>
        <w:trPr>
          <w:trHeight w:val="226"/>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Take-out sales</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Restaurant sales</w:t>
            </w: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719,181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during 2022 as compared to 2021 was primarily due to (i) same-restaurant sales growth of 14.5%, driven by same-restaurant traffic growth of 7.7%, the increase in average check per person and the increase in third-party delivery sales, in addition to (ii) $26.8 million from 29 NROs.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6"/>
        </w:trPr>
        <w:tc>
          <w:tcPr>
            <w:tcW w:w="4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Royalty and system fund contributions</w:t>
            </w:r>
          </w:p>
        </w:tc>
        <w:tc>
          <w:tcPr>
            <w:tcW w:w="1400" w:type="dxa"/>
            <w:vAlign w:val="bottom"/>
          </w:tcPr>
          <w:p>
            <w:pPr>
              <w:jc w:val="right"/>
              <w:ind w:right="121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100" w:type="dxa"/>
            <w:vAlign w:val="bottom"/>
          </w:tcPr>
          <w:p>
            <w:pPr>
              <w:spacing w:after="0"/>
              <w:rPr>
                <w:sz w:val="19"/>
                <w:szCs w:val="19"/>
                <w:color w:val="auto"/>
              </w:rPr>
            </w:pPr>
          </w:p>
        </w:tc>
        <w:tc>
          <w:tcPr>
            <w:tcW w:w="1460" w:type="dxa"/>
            <w:vAlign w:val="bottom"/>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8,575</w:t>
            </w:r>
          </w:p>
        </w:tc>
        <w:tc>
          <w:tcPr>
            <w:tcW w:w="10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24.6 %</w:t>
            </w:r>
          </w:p>
        </w:tc>
      </w:tr>
      <w:tr>
        <w:trPr>
          <w:trHeight w:val="233"/>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Initial fees</w:t>
            </w:r>
          </w:p>
        </w:tc>
        <w:tc>
          <w:tcPr>
            <w:tcW w:w="1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Franchise revenues</w:t>
            </w:r>
          </w:p>
        </w:tc>
        <w:tc>
          <w:tcPr>
            <w:tcW w:w="1400" w:type="dxa"/>
            <w:vAlign w:val="bottom"/>
          </w:tcPr>
          <w:p>
            <w:pPr>
              <w:jc w:val="right"/>
              <w:ind w:right="121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10,981</w:t>
            </w:r>
          </w:p>
        </w:tc>
        <w:tc>
          <w:tcPr>
            <w:tcW w:w="100" w:type="dxa"/>
            <w:vAlign w:val="bottom"/>
          </w:tcPr>
          <w:p>
            <w:pPr>
              <w:spacing w:after="0"/>
              <w:rPr>
                <w:sz w:val="18"/>
                <w:szCs w:val="18"/>
                <w:color w:val="auto"/>
              </w:rPr>
            </w:pPr>
          </w:p>
        </w:tc>
        <w:tc>
          <w:tcPr>
            <w:tcW w:w="1460" w:type="dxa"/>
            <w:vAlign w:val="bottom"/>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10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24.1 %</w:t>
            </w:r>
          </w:p>
        </w:tc>
      </w:tr>
    </w:tbl>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franchise revenues during 2022 as compared to 2021 was primarily driven by (i) the increase in sales from franchise-owned restaurants and (ii) $0.4 million from 14 franchise-owned NROs.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and beverage costs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172,561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134,201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38,360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1.3%</w:t>
            </w:r>
          </w:p>
        </w:tc>
        <w:tc>
          <w:tcPr>
            <w:tcW w:w="760" w:type="dxa"/>
            <w:vAlign w:val="bottom"/>
          </w:tcPr>
          <w:p>
            <w:pPr>
              <w:spacing w:after="0"/>
              <w:rPr>
                <w:sz w:val="19"/>
                <w:szCs w:val="19"/>
                <w:color w:val="auto"/>
              </w:rPr>
            </w:pPr>
          </w:p>
        </w:tc>
      </w:tr>
    </w:tbl>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2022 as compared to 2021 primarily due to inflation across the market basket, partially offset by menu price increases.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Food and beverage costs increased during 2022 as compared to 2021 primarily as a result of (i) the increase in restaurant sales, (ii) inflation across the market basket and (iii) $6.8 million from 29 NROs.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238,257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189,167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49,090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1.2%</w:t>
            </w:r>
          </w:p>
        </w:tc>
        <w:tc>
          <w:tcPr>
            <w:tcW w:w="760" w:type="dxa"/>
            <w:vAlign w:val="bottom"/>
          </w:tcPr>
          <w:p>
            <w:pPr>
              <w:spacing w:after="0"/>
              <w:rPr>
                <w:sz w:val="19"/>
                <w:szCs w:val="19"/>
                <w:color w:val="auto"/>
              </w:rPr>
            </w:pPr>
          </w:p>
        </w:tc>
      </w:tr>
    </w:tbl>
    <w:p>
      <w:pPr>
        <w:spacing w:after="0" w:line="3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2022 as compared to 2021 primarily as a result of the increase in wages and staffing levels. This increase was partially offset by (i) retention bonuses recognized in 2021 and (ii) a decrease in health insurance costs, which includes rebates from our group health plan.</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2022 as compared to 2021 was primarily due to (i) the increase in wages and staffing levels and (ii) $11.0 million from 29 NROs. This increase was partially offset by (i) retention bonuses recognized during 2021 and (ii) a decrease in health insurance costs, which includes rebates from our group health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114,476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94,847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19,629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1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(0.1)%</w:t>
            </w:r>
          </w:p>
        </w:tc>
        <w:tc>
          <w:tcPr>
            <w:tcW w:w="760" w:type="dxa"/>
            <w:vAlign w:val="bottom"/>
          </w:tcPr>
          <w:p>
            <w:pPr>
              <w:spacing w:after="0"/>
              <w:rPr>
                <w:sz w:val="19"/>
                <w:szCs w:val="19"/>
                <w:color w:val="auto"/>
              </w:rPr>
            </w:pPr>
          </w:p>
        </w:tc>
      </w:tr>
    </w:tbl>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restaurant operating expenses as a percentage of restaurant sales during 2022 was slightly lower as compared to 2021 primarily due to leveraging in-restaurant dining sales, which was partially offset by the increase in the cost of to-go supplies and repairs and maintenance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2022 as compared to 2021 was mainly due to (i) $9.6 million related to credit card fees, utilities, repairs and maintenance and insurance primarily driven by the increase in restaurant sales and restaurant growth, (ii) $7.2 million in operating supplies expense primarily driven by inflation and the increase in restaurant sales and restaurant growth, as well as (iii) $1.2 million in third-party delivery services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2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59,919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55,433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rPr>
              <w:t>4,486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(1.1)%</w:t>
            </w:r>
          </w:p>
        </w:tc>
        <w:tc>
          <w:tcPr>
            <w:tcW w:w="720" w:type="dxa"/>
            <w:vAlign w:val="bottom"/>
          </w:tcPr>
          <w:p>
            <w:pPr>
              <w:spacing w:after="0"/>
              <w:rPr>
                <w:sz w:val="19"/>
                <w:szCs w:val="19"/>
                <w:color w:val="auto"/>
              </w:rPr>
            </w:pPr>
          </w:p>
        </w:tc>
      </w:tr>
    </w:tbl>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occupancy expenses as a percentage of restaurant sales during 2022 as compared to 2021 was primarily due to sales leverage driven by increased restaurant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occupancy expenses during 2022 as compared to 2021 was primarily due to the increase in the number of company-owned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Pre-opening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2,104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Pre-opening expenses have continued to increase over the last few years, in part due to management’s decision to gain early access to facilities during the build-out phase. Early access improves the Company’s influence over the pace and timing of completion of new restaurants.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2022 as compared to 2021 was primarily due to (i) the higher number of restaurants opened, in addition to (ii) the higher number of restaurants expected to open and the related increase in pre-opening 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Company’s initial public offering (“IPO”) in October 2021, we have incurred and we expect to incur in the future significant additional legal, accounting and other expenses associated with being a public company, including costs associated with our compliance with the Sarbanes-Oxley Act.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84,959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70,388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14,571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2022 as compared to 2021 was mainly due to (i) $7.3 million of stock-based compensation expense primarily from certain stock option awards that converted into time-based stock option awards upon the Company’s IPO, in addition to stock option awards and restricted stock units granted under the 2021 Equity Plan, (ii) $2.8 million related to health insurance costs and insurance expense associated with being a public company, (iii) $2.5 million related to legal, accounting and consulting services associated with being a public company, (iv) $1.7 million of expenses associated with investments in technology initiatives and the redesign of our systems and processes, as well as (v) $1.3 million in marketing expenses. This increase was partially offset by the one-time expense of $5.6 million that was recognized in 2021 in connection with the modifications of certain stock option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34,230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rPr>
              <w:t>1,851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0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2022 as compared to 2021 was primarily due to incremental depreciation of capital expenditures associated with NROs.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Loss on Disposal of Assets</w:t>
      </w:r>
    </w:p>
    <w:p>
      <w:pPr>
        <w:spacing w:after="0" w:line="22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 and natural disasters.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539</w:t>
            </w:r>
          </w:p>
        </w:tc>
        <w:tc>
          <w:tcPr>
            <w:tcW w:w="90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(1)</w:t>
            </w:r>
          </w:p>
        </w:tc>
      </w:tr>
    </w:tbl>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2022 and 2021, the amounts represent write-off of assets retired as a result of restaurant closures or replacements of assets.</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(Income), Net</w:t>
      </w:r>
    </w:p>
    <w:p>
      <w:pPr>
        <w:spacing w:after="0" w:line="229"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Transaction expenses (income),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related to restaurant closures and (v) costs related to certain equity offerings.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(income), net</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rPr>
              <w:t>3,669</w:t>
            </w:r>
          </w:p>
        </w:tc>
        <w:tc>
          <w:tcPr>
            <w:tcW w:w="86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n/m </w:t>
            </w:r>
            <w:r>
              <w:rPr>
                <w:rFonts w:ascii="Times New Roman" w:cs="Times New Roman" w:eastAsia="Times New Roman" w:hAnsi="Times New Roman"/>
                <w:sz w:val="22"/>
                <w:szCs w:val="22"/>
                <w:color w:val="auto"/>
                <w:vertAlign w:val="superscript"/>
              </w:rPr>
              <w:t>(1)</w:t>
            </w:r>
          </w:p>
        </w:tc>
      </w:tr>
    </w:tbl>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215" w:lineRule="exact"/>
        <w:rPr>
          <w:sz w:val="20"/>
          <w:szCs w:val="20"/>
          <w:color w:val="auto"/>
        </w:rPr>
      </w:pPr>
    </w:p>
    <w:p>
      <w:pPr>
        <w:jc w:val="both"/>
        <w:ind w:left="100" w:right="20"/>
        <w:spacing w:after="0" w:line="266" w:lineRule="auto"/>
        <w:rPr>
          <w:sz w:val="20"/>
          <w:szCs w:val="20"/>
          <w:color w:val="auto"/>
        </w:rPr>
      </w:pPr>
      <w:r>
        <w:rPr>
          <w:rFonts w:ascii="Times New Roman" w:cs="Times New Roman" w:eastAsia="Times New Roman" w:hAnsi="Times New Roman"/>
          <w:sz w:val="18"/>
          <w:szCs w:val="18"/>
          <w:color w:val="auto"/>
        </w:rPr>
        <w:t>Transaction expenses, net during 2022 was primarily due to $2.0 million of costs incurred in connection with the secondary public offering of the Company’s common stock by entities affiliated with our majority owner, Advent International Corporation (the “Secondary Offering”) and the Registration Statement on Form S-3.</w:t>
      </w:r>
    </w:p>
    <w:p>
      <w:pPr>
        <w:spacing w:after="0" w:line="176"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Transaction income, net in 2021 was primarily due to recognizing a gain of $2.0 million related to a lease termination for the redevelopment of a restaurant facility by a landlord, partially offset by the $0.8 million loss recognized related to the revaluation of the contingent consideration payable to previous stockholders for tax savings generated through use of loss carryforwards and general business credits arising from Company operations prior to August 2017.</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Income from Operations Margin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9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16,913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22,243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rPr>
              <w:t>(5,330)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(1.4)%</w:t>
            </w:r>
          </w:p>
        </w:tc>
        <w:tc>
          <w:tcPr>
            <w:tcW w:w="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0" w:name="page51"/>
    <w:bookmarkEnd w:id="50"/>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Income from operations margin decreased during 2022 as compared to 2021 primarily due to (i) inflation across commodities and supplies, (ii) the increase in restaurant-level wages and staffing, (iii) higher general and administrative expenses mainly due to stock-based compensation expense, public company costs and costs for strategic initiatives, as well as (iv) the increase in transaction costs. This decrease was partially offset by menu price increases.</w:t>
      </w:r>
    </w:p>
    <w:p>
      <w:pPr>
        <w:spacing w:after="0" w:line="176"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during 2022 as compared to 2021 primarily due to (i) inflation across commodities and supplies, (ii) the increase in restaurant-level wages and staffing, (iii) higher operating costs and expenses driven by the increase in restaurant sales and restaurant growth, (iv) higher general and administrative expenses mainly due to stock-based compensation expense, public company costs and costs for strategic initiatives, as well as (v) the increase in transaction costs. This decrease was partially offset by the increase in restaurant sales and franchise revenues.</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7"/>
                <w:szCs w:val="17"/>
                <w:color w:val="auto"/>
              </w:rPr>
              <w:t>14,867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r>
    </w:tbl>
    <w:p>
      <w:pPr>
        <w:spacing w:after="0" w:line="31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during 2022 as compared to 2021 was primarily due to the full repayment of our borrowings under our previous senior credit facilities in October 2021, which were replaced by lower outstanding debt and reduced interest rates from the Term Facility pursuant to our Credit Agreement.</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jc w:val="both"/>
        <w:ind w:left="100"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items deemed to be non-operating based on management’s assessment of the nature of the item in relation to our core operations.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rPr>
              <w:t>2,684</w:t>
            </w:r>
          </w:p>
        </w:tc>
        <w:tc>
          <w:tcPr>
            <w:tcW w:w="88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n/m </w:t>
            </w:r>
            <w:r>
              <w:rPr>
                <w:rFonts w:ascii="Times New Roman" w:cs="Times New Roman" w:eastAsia="Times New Roman" w:hAnsi="Times New Roman"/>
                <w:sz w:val="22"/>
                <w:szCs w:val="22"/>
                <w:color w:val="auto"/>
                <w:vertAlign w:val="superscript"/>
              </w:rPr>
              <w:t>(1)</w:t>
            </w:r>
          </w:p>
        </w:tc>
      </w:tr>
    </w:tbl>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114"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The change in Other income (expense), net in 2022 as compared to 2021 primarily related to (i) the loss on extinguishment of debt recognized in connection with the full repayment of our borrowings under our previous senior credit facilities in 2021 and (ii) approximately $0.4 million of insurance recoveries recognized in connection with Hurricane Ian.</w: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rPr>
              <w:t>(5,684)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(2,477)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(3,207)</w:t>
            </w:r>
          </w:p>
        </w:tc>
        <w:tc>
          <w:tcPr>
            <w:tcW w:w="88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n/m </w:t>
            </w:r>
            <w:r>
              <w:rPr>
                <w:rFonts w:ascii="Times New Roman" w:cs="Times New Roman" w:eastAsia="Times New Roman" w:hAnsi="Times New Roman"/>
                <w:sz w:val="22"/>
                <w:szCs w:val="22"/>
                <w:color w:val="auto"/>
                <w:vertAlign w:val="superscript"/>
              </w:rPr>
              <w:t>(1)</w:t>
            </w:r>
          </w:p>
        </w:tc>
      </w:tr>
      <w:tr>
        <w:trPr>
          <w:trHeight w:val="291"/>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669.5 %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w w:val="91"/>
              </w:rPr>
              <w:t xml:space="preserve">n/m </w:t>
            </w:r>
            <w:r>
              <w:rPr>
                <w:rFonts w:ascii="Times New Roman" w:cs="Times New Roman" w:eastAsia="Times New Roman" w:hAnsi="Times New Roman"/>
                <w:sz w:val="22"/>
                <w:szCs w:val="22"/>
                <w:color w:val="auto"/>
                <w:w w:val="91"/>
                <w:vertAlign w:val="superscript"/>
              </w:rPr>
              <w:t>(1)</w:t>
            </w:r>
          </w:p>
        </w:tc>
        <w:tc>
          <w:tcPr>
            <w:tcW w:w="880" w:type="dxa"/>
            <w:vAlign w:val="bottom"/>
          </w:tcPr>
          <w:p>
            <w:pPr>
              <w:spacing w:after="0"/>
              <w:rPr>
                <w:sz w:val="24"/>
                <w:szCs w:val="24"/>
                <w:color w:val="auto"/>
              </w:rPr>
            </w:pPr>
          </w:p>
        </w:tc>
      </w:tr>
    </w:tbl>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222"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18"/>
          <w:szCs w:val="18"/>
          <w:color w:val="auto"/>
        </w:rPr>
        <w:t>The change in the effective income tax rates for 2022 as compared to 2021 was mainly due to (i) the Company’s increased profitability, (ii) the benefit of tax credits for FICA taxes on certain employees’ tip wages, (iii) non-deductible costs associated with the Secondary Offering and the Registration Statement on Form S-3 and (iv) impacts of executive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83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and Net Income (Loss) Margin</w:t>
            </w: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2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7"/>
                <w:szCs w:val="17"/>
                <w:color w:val="auto"/>
                <w:w w:val="87"/>
              </w:rPr>
              <w:t xml:space="preserve">n/m </w:t>
            </w:r>
            <w:r>
              <w:rPr>
                <w:rFonts w:ascii="Times New Roman" w:cs="Times New Roman" w:eastAsia="Times New Roman" w:hAnsi="Times New Roman"/>
                <w:sz w:val="22"/>
                <w:szCs w:val="22"/>
                <w:color w:val="auto"/>
                <w:w w:val="87"/>
                <w:vertAlign w:val="superscript"/>
              </w:rPr>
              <w:t>(1)</w:t>
            </w:r>
          </w:p>
        </w:tc>
      </w:tr>
      <w:tr>
        <w:trPr>
          <w:trHeight w:val="2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margin</w:t>
            </w:r>
          </w:p>
        </w:tc>
        <w:tc>
          <w:tcPr>
            <w:tcW w:w="5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87"/>
              </w:rPr>
              <w:t xml:space="preserve">n/m </w:t>
            </w:r>
            <w:r>
              <w:rPr>
                <w:rFonts w:ascii="Times New Roman" w:cs="Times New Roman" w:eastAsia="Times New Roman" w:hAnsi="Times New Roman"/>
                <w:sz w:val="22"/>
                <w:szCs w:val="22"/>
                <w:color w:val="auto"/>
                <w:w w:val="87"/>
                <w:vertAlign w:val="superscript"/>
              </w:rPr>
              <w:t>(1)</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Not meaningful.</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and Net income margin during 2022 as compared to Net loss and Net loss margin during 2021 was primarily due to (i) lower interest expense and (ii) the loss on extinguishment of debt recognized in 2021. This was partially offset by (i) the decrease in income from operations, (ii) costs associated with the Secondary Offering and the Registration Statement on Form S-3, as well as (iii) the increase in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128,936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115,404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13,532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(1.6)%</w:t>
            </w:r>
          </w:p>
        </w:tc>
        <w:tc>
          <w:tcPr>
            <w:tcW w:w="740" w:type="dxa"/>
            <w:vAlign w:val="bottom"/>
          </w:tcPr>
          <w:p>
            <w:pPr>
              <w:spacing w:after="0"/>
              <w:rPr>
                <w:sz w:val="19"/>
                <w:szCs w:val="19"/>
                <w:color w:val="auto"/>
              </w:rPr>
            </w:pPr>
          </w:p>
        </w:tc>
      </w:tr>
    </w:tbl>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2022 decreased as compared to 2021 primarily due to (i) inflation across commodities and supplies and (ii) the increase in restaurant-level wages and staffing. This decrease was partially offset by (i) leveraging the increase in restaurant sales and (ii) menu price increases.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during 2022 increased as compared to 2021 primarily due to same-restaurant sales growth, driven by same-restaurant traffic growth, the increase in average check per person and the increase in third-party delivery sales. This increase was partially offset by (i) inflation across commodities and supplies, (ii) the increase in restaurant-level wages and staffing and (iii) the increase in operating costs and expenses driven by higher restaurant sales and our restaurant growth.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39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3"/>
        </w:trPr>
        <w:tc>
          <w:tcPr>
            <w:tcW w:w="39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BFE4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BFE4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520" w:type="dxa"/>
            <w:vAlign w:val="bottom"/>
            <w:shd w:val="clear" w:color="auto" w:fill="BFE4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7"/>
                <w:szCs w:val="17"/>
                <w:color w:val="auto"/>
              </w:rPr>
              <w:t>69,278</w:t>
            </w:r>
          </w:p>
        </w:tc>
        <w:tc>
          <w:tcPr>
            <w:tcW w:w="80" w:type="dxa"/>
            <w:vAlign w:val="bottom"/>
            <w:shd w:val="clear" w:color="auto" w:fill="BFE4FF"/>
          </w:tcPr>
          <w:p>
            <w:pPr>
              <w:spacing w:after="0"/>
              <w:rPr>
                <w:sz w:val="19"/>
                <w:szCs w:val="19"/>
                <w:color w:val="auto"/>
              </w:rPr>
            </w:pPr>
          </w:p>
        </w:tc>
        <w:tc>
          <w:tcPr>
            <w:tcW w:w="740" w:type="dxa"/>
            <w:vAlign w:val="bottom"/>
            <w:shd w:val="clear" w:color="auto" w:fill="BFE4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BFE4FF"/>
          </w:tcPr>
          <w:p>
            <w:pPr>
              <w:jc w:val="right"/>
              <w:ind w:right="113"/>
              <w:spacing w:after="0"/>
              <w:rPr>
                <w:sz w:val="20"/>
                <w:szCs w:val="20"/>
                <w:color w:val="auto"/>
              </w:rPr>
            </w:pPr>
            <w:r>
              <w:rPr>
                <w:rFonts w:ascii="Times New Roman" w:cs="Times New Roman" w:eastAsia="Times New Roman" w:hAnsi="Times New Roman"/>
                <w:sz w:val="17"/>
                <w:szCs w:val="17"/>
                <w:color w:val="auto"/>
              </w:rPr>
              <w:t>66,301</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BFE4FF"/>
          </w:tcPr>
          <w:p>
            <w:pPr>
              <w:jc w:val="right"/>
              <w:ind w:right="613"/>
              <w:spacing w:after="0"/>
              <w:rPr>
                <w:sz w:val="20"/>
                <w:szCs w:val="20"/>
                <w:color w:val="auto"/>
              </w:rPr>
            </w:pPr>
            <w:r>
              <w:rPr>
                <w:rFonts w:ascii="Times New Roman" w:cs="Times New Roman" w:eastAsia="Times New Roman" w:hAnsi="Times New Roman"/>
                <w:sz w:val="17"/>
                <w:szCs w:val="17"/>
                <w:color w:val="auto"/>
              </w:rPr>
              <w:t>2,977</w:t>
            </w: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(1.5)%</w:t>
            </w:r>
          </w:p>
        </w:tc>
        <w:tc>
          <w:tcPr>
            <w:tcW w:w="700" w:type="dxa"/>
            <w:vAlign w:val="bottom"/>
          </w:tcPr>
          <w:p>
            <w:pPr>
              <w:spacing w:after="0"/>
              <w:rPr>
                <w:sz w:val="19"/>
                <w:szCs w:val="19"/>
                <w:color w:val="auto"/>
              </w:rPr>
            </w:pPr>
          </w:p>
        </w:tc>
      </w:tr>
    </w:tbl>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EBITDA margin during 2022 as compared to 2021 was primarily due to (i) the decrease in restaurant level operating profit margin and (ii) the increase in general and administrative expenses mainly due to legal, accounting, consulting and insurance costs associated with being a public company, costs for strategic initiatives, as well as the increase in marketing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EBITDA during 2022 as compared to 2021 was primarily due to the increase in restaurant level operating profit. This increase was partially offset by higher general and administrative expenses mainly due to legal, accounting, consulting and insurance costs associated with being a public company, costs for strategic initiatives, as well as the increase in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54" w:lineRule="exact"/>
        <w:rPr>
          <w:sz w:val="20"/>
          <w:szCs w:val="20"/>
          <w:color w:val="auto"/>
        </w:rPr>
      </w:pPr>
    </w:p>
    <w:p>
      <w:pPr>
        <w:ind w:left="8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(Loss) and Net income (loss) margin,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GAAP measures to Adjusted EBITDA and Adjusted EBITDA margin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(49,681)</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32,379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30,725</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20,099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22,815</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Income taxes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(19,873)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52,848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(16,014)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IPO-readiness and strategic transition costs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line="232" w:lineRule="exact"/>
              <w:rPr>
                <w:sz w:val="20"/>
                <w:szCs w:val="20"/>
                <w:color w:val="auto"/>
              </w:rPr>
            </w:pPr>
            <w:r>
              <w:rPr>
                <w:rFonts w:ascii="Times New Roman" w:cs="Times New Roman" w:eastAsia="Times New Roman" w:hAnsi="Times New Roman"/>
                <w:sz w:val="17"/>
                <w:szCs w:val="17"/>
                <w:color w:val="auto"/>
              </w:rPr>
              <w:t xml:space="preserve">Transaction expenses (income), net </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Impairments and loss on disposal of assets </w:t>
            </w:r>
            <w:r>
              <w:rPr>
                <w:rFonts w:ascii="Times New Roman" w:cs="Times New Roman" w:eastAsia="Times New Roman" w:hAnsi="Times New Roman"/>
                <w:sz w:val="22"/>
                <w:szCs w:val="22"/>
                <w:color w:val="auto"/>
                <w:vertAlign w:val="superscript"/>
              </w:rPr>
              <w:t>(4)</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Recruiting and relocation costs </w:t>
            </w:r>
            <w:r>
              <w:rPr>
                <w:rFonts w:ascii="Times New Roman" w:cs="Times New Roman" w:eastAsia="Times New Roman" w:hAnsi="Times New Roman"/>
                <w:sz w:val="22"/>
                <w:szCs w:val="22"/>
                <w:color w:val="auto"/>
                <w:vertAlign w:val="superscript"/>
              </w:rPr>
              <w:t>(5)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Severance costs </w:t>
            </w:r>
            <w:r>
              <w:rPr>
                <w:rFonts w:ascii="Times New Roman" w:cs="Times New Roman" w:eastAsia="Times New Roman" w:hAnsi="Times New Roman"/>
                <w:sz w:val="22"/>
                <w:szCs w:val="22"/>
                <w:color w:val="auto"/>
                <w:vertAlign w:val="superscript"/>
              </w:rPr>
              <w:t>(6)</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Delaware Voluntary Disclosure Agreement Program </w:t>
            </w:r>
            <w:r>
              <w:rPr>
                <w:rFonts w:ascii="Times New Roman" w:cs="Times New Roman" w:eastAsia="Times New Roman" w:hAnsi="Times New Roman"/>
                <w:sz w:val="22"/>
                <w:szCs w:val="22"/>
                <w:color w:val="auto"/>
                <w:vertAlign w:val="superscript"/>
              </w:rPr>
              <w:t>(7)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Costs in connection with natural disasters, net of insurance recoveries </w:t>
            </w:r>
            <w:r>
              <w:rPr>
                <w:rFonts w:ascii="Times New Roman" w:cs="Times New Roman" w:eastAsia="Times New Roman" w:hAnsi="Times New Roman"/>
                <w:sz w:val="22"/>
                <w:szCs w:val="22"/>
                <w:color w:val="auto"/>
                <w:vertAlign w:val="superscript"/>
              </w:rPr>
              <w:t>(8)</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COVID-19 related charges </w:t>
            </w:r>
            <w:r>
              <w:rPr>
                <w:rFonts w:ascii="Times New Roman" w:cs="Times New Roman" w:eastAsia="Times New Roman" w:hAnsi="Times New Roman"/>
                <w:sz w:val="22"/>
                <w:szCs w:val="22"/>
                <w:color w:val="auto"/>
                <w:vertAlign w:val="superscript"/>
              </w:rPr>
              <w:t>(9)</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4,749</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69,278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66,301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6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730,162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601,193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342,388</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income (loss) margin</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information</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614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7"/>
                <w:szCs w:val="17"/>
                <w:color w:val="auto"/>
              </w:rPr>
              <w:t xml:space="preserve">Deferred rent expense (income) </w:t>
            </w:r>
            <w:r>
              <w:rPr>
                <w:rFonts w:ascii="Times New Roman" w:cs="Times New Roman" w:eastAsia="Times New Roman" w:hAnsi="Times New Roman"/>
                <w:sz w:val="22"/>
                <w:szCs w:val="22"/>
                <w:color w:val="auto"/>
                <w:vertAlign w:val="superscript"/>
              </w:rPr>
              <w:t>(10)</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10,087</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6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jc w:val="both"/>
        <w:ind w:left="80" w:firstLine="8"/>
        <w:spacing w:after="0" w:line="249" w:lineRule="auto"/>
        <w:tabs>
          <w:tab w:leader="none" w:pos="3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assessment and redesign of our systems and processes. In 2021 and 2020, the costs also include information technology support and external professional service costs incurred in connection with IPO-readiness efforts.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 (Loss).</w:t>
      </w:r>
    </w:p>
    <w:p>
      <w:pPr>
        <w:jc w:val="both"/>
        <w:ind w:left="80" w:firstLine="8"/>
        <w:spacing w:after="0" w:line="254" w:lineRule="auto"/>
        <w:tabs>
          <w:tab w:leader="none" w:pos="31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related to restaurant closures and (v) costs related to secondary offerings of the Company’s common stock.</w:t>
      </w:r>
    </w:p>
    <w:p>
      <w:pPr>
        <w:ind w:left="80" w:right="20" w:firstLine="8"/>
        <w:spacing w:after="0" w:line="255" w:lineRule="auto"/>
        <w:tabs>
          <w:tab w:leader="none" w:pos="3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restaurant closures and natural disasters. There were no impairments recognized during the periods presented.</w:t>
      </w:r>
    </w:p>
    <w:p>
      <w:pPr>
        <w:ind w:left="80" w:firstLine="8"/>
        <w:spacing w:after="0" w:line="248" w:lineRule="auto"/>
        <w:tabs>
          <w:tab w:leader="none" w:pos="3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12" w:lineRule="exact"/>
        <w:rPr>
          <w:rFonts w:ascii="Times New Roman" w:cs="Times New Roman" w:eastAsia="Times New Roman" w:hAnsi="Times New Roman"/>
          <w:sz w:val="16"/>
          <w:szCs w:val="16"/>
          <w:color w:val="auto"/>
        </w:rPr>
      </w:pPr>
    </w:p>
    <w:p>
      <w:pPr>
        <w:ind w:left="80" w:firstLine="8"/>
        <w:spacing w:after="0" w:line="264" w:lineRule="auto"/>
        <w:tabs>
          <w:tab w:leader="none" w:pos="33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professional service costs incurred in connection with the Delaware Voluntary Disclosure Agreement Program </w:t>
      </w:r>
      <w:r>
        <w:rPr>
          <w:rFonts w:ascii="Times New Roman" w:cs="Times New Roman" w:eastAsia="Times New Roman" w:hAnsi="Times New Roman"/>
          <w:sz w:val="17"/>
          <w:szCs w:val="17"/>
          <w:color w:val="auto"/>
        </w:rPr>
        <w:t>related to unclaimed or abandoned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property. These costs are </w:t>
      </w:r>
      <w:r>
        <w:rPr>
          <w:rFonts w:ascii="Times New Roman" w:cs="Times New Roman" w:eastAsia="Times New Roman" w:hAnsi="Times New Roman"/>
          <w:sz w:val="16"/>
          <w:szCs w:val="16"/>
          <w:color w:val="auto"/>
        </w:rPr>
        <w:t>recorded in General and administrative expenses on the Consolidated Statements of Operations and Comprehensive Income (Loss).</w:t>
      </w:r>
    </w:p>
    <w:p>
      <w:pPr>
        <w:jc w:val="both"/>
        <w:ind w:left="80" w:firstLine="8"/>
        <w:spacing w:after="0" w:line="254"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net of insurance recoveries, in connection with Hurricane Ian. The costs include inventory obsolescence and spoilage, compensation for employees and support for hurricane relief, which were recorded in Food and beverage costs, Labor and other expenses and General and administrative expenses on the Consolidated Statements of Operations and Comprehensive Income (Loss).</w:t>
      </w:r>
    </w:p>
    <w:p>
      <w:pPr>
        <w:ind w:left="320" w:hanging="232"/>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9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16,913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22,243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(47,222)</w:t>
            </w: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Franchise revenues</w:t>
            </w: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(8,850)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(4,955)</w:t>
            </w: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70,388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46,322</w:t>
            </w:r>
          </w:p>
        </w:tc>
      </w:tr>
      <w:tr>
        <w:trPr>
          <w:trHeight w:val="23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32,379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30,725</w:t>
            </w:r>
          </w:p>
        </w:tc>
      </w:tr>
      <w:tr>
        <w:trPr>
          <w:trHeight w:val="229"/>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Transaction expenses (income), net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(258)</w:t>
            </w:r>
          </w:p>
        </w:tc>
      </w:tr>
      <w:tr>
        <w:trPr>
          <w:trHeight w:val="229"/>
        </w:trPr>
        <w:tc>
          <w:tcPr>
            <w:tcW w:w="598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Impairments and loss on disposal of assets </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315</w:t>
            </w:r>
          </w:p>
        </w:tc>
      </w:tr>
      <w:tr>
        <w:trPr>
          <w:trHeight w:val="230"/>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Costs in connection with natural disasters </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98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COVID-19 related charges </w:t>
            </w:r>
            <w:r>
              <w:rPr>
                <w:rFonts w:ascii="Times New Roman" w:cs="Times New Roman" w:eastAsia="Times New Roman" w:hAnsi="Times New Roman"/>
                <w:sz w:val="22"/>
                <w:szCs w:val="22"/>
                <w:color w:val="auto"/>
                <w:vertAlign w:val="superscript"/>
              </w:rPr>
              <w:t>(4)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3,309</w:t>
            </w:r>
          </w:p>
        </w:tc>
      </w:tr>
      <w:tr>
        <w:trPr>
          <w:trHeight w:val="207"/>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128,936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115,404</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28,236</w:t>
            </w:r>
          </w:p>
        </w:tc>
      </w:tr>
      <w:tr>
        <w:trPr>
          <w:trHeight w:val="219"/>
        </w:trPr>
        <w:tc>
          <w:tcPr>
            <w:tcW w:w="5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719,181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592,343</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337,433</w:t>
            </w:r>
          </w:p>
        </w:tc>
      </w:tr>
      <w:tr>
        <w:trPr>
          <w:trHeight w:val="23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26"/>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19"/>
        </w:trPr>
        <w:tc>
          <w:tcPr>
            <w:tcW w:w="5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information</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3"/>
        </w:trPr>
        <w:tc>
          <w:tcPr>
            <w:tcW w:w="598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7"/>
                <w:szCs w:val="17"/>
                <w:color w:val="auto"/>
              </w:rPr>
              <w:t xml:space="preserve">Deferred rent expense (income) </w:t>
            </w:r>
            <w:r>
              <w:rPr>
                <w:rFonts w:ascii="Times New Roman" w:cs="Times New Roman" w:eastAsia="Times New Roman" w:hAnsi="Times New Roman"/>
                <w:sz w:val="22"/>
                <w:szCs w:val="22"/>
                <w:color w:val="auto"/>
                <w:vertAlign w:val="superscript"/>
              </w:rPr>
              <w:t>(5)</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(2,075)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10,029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jc w:val="both"/>
        <w:ind w:firstLine="8"/>
        <w:spacing w:after="0" w:line="247" w:lineRule="auto"/>
        <w:tabs>
          <w:tab w:leader="none" w:pos="2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related to restaurant closures and (v) costs related to secondary offerings of the Company’s common stock.</w:t>
      </w:r>
    </w:p>
    <w:p>
      <w:pPr>
        <w:spacing w:after="0" w:line="2" w:lineRule="exact"/>
        <w:rPr>
          <w:rFonts w:ascii="Times New Roman" w:cs="Times New Roman" w:eastAsia="Times New Roman" w:hAnsi="Times New Roman"/>
          <w:sz w:val="16"/>
          <w:szCs w:val="16"/>
          <w:color w:val="auto"/>
        </w:rPr>
      </w:pPr>
    </w:p>
    <w:p>
      <w:pPr>
        <w:ind w:right="20" w:firstLine="8"/>
        <w:spacing w:after="0" w:line="246" w:lineRule="auto"/>
        <w:tabs>
          <w:tab w:leader="none" w:pos="26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certain restaurant closures and natural disasters. There were no impairments recognized during the periods presented.</w:t>
      </w:r>
    </w:p>
    <w:p>
      <w:pPr>
        <w:ind w:right="20" w:firstLine="8"/>
        <w:spacing w:after="0" w:line="248" w:lineRule="auto"/>
        <w:tabs>
          <w:tab w:leader="none" w:pos="23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Hurricane Ian. The costs include inventory obsolescence and spoilage as well as compensation for employees, which were recorded in Food and beverage costs and Labor and other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15" w:lineRule="exact"/>
        <w:rPr>
          <w:rFonts w:ascii="Times New Roman" w:cs="Times New Roman" w:eastAsia="Times New Roman" w:hAnsi="Times New Roman"/>
          <w:sz w:val="16"/>
          <w:szCs w:val="16"/>
          <w:color w:val="auto"/>
        </w:rPr>
      </w:pPr>
    </w:p>
    <w:p>
      <w:pPr>
        <w:ind w:firstLine="8"/>
        <w:spacing w:after="0" w:line="275" w:lineRule="auto"/>
        <w:tabs>
          <w:tab w:leader="none" w:pos="24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25, 2022, the Company had cash and cash equivalents of $49.7 million and outstanding borrowings under the Term Facility of $98.1 million, excluding unamortized debt issuance costs and deferred issuance costs. In addition, availability under our Revolving Credit Facility was $75.0 million.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our Credit Agreement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 On November 7, 2022, we filed a Registration Statement on Form S-3 that allows the Company to sell up to 5,000,000 shares of common stock from time to time in one or more offerings.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$100.0 million to $110.0 million in 2023, which will be invested primarily in new restaurant projects and planned remodels. We plan to fund the capital expenditures primarily with cash generated from our operating activities as well as with borrowings from our facilities pursuant to our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6"/>
                <w:szCs w:val="16"/>
                <w:color w:val="auto"/>
              </w:rPr>
              <w:t>62,971</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jc w:val="center"/>
              <w:ind w:left="777"/>
              <w:spacing w:after="0"/>
              <w:rPr>
                <w:sz w:val="20"/>
                <w:szCs w:val="20"/>
                <w:color w:val="auto"/>
              </w:rPr>
            </w:pPr>
            <w:r>
              <w:rPr>
                <w:rFonts w:ascii="Times New Roman" w:cs="Times New Roman" w:eastAsia="Times New Roman" w:hAnsi="Times New Roman"/>
                <w:sz w:val="16"/>
                <w:szCs w:val="16"/>
                <w:color w:val="auto"/>
              </w:rPr>
              <w:t>(35,682)</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6"/>
                <w:szCs w:val="16"/>
                <w:color w:val="auto"/>
              </w:rPr>
              <w:t>(14,271)</w:t>
            </w: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797"/>
              <w:spacing w:after="0"/>
              <w:rPr>
                <w:sz w:val="20"/>
                <w:szCs w:val="20"/>
                <w:color w:val="auto"/>
              </w:rPr>
            </w:pPr>
            <w:r>
              <w:rPr>
                <w:rFonts w:ascii="Times New Roman" w:cs="Times New Roman" w:eastAsia="Times New Roman" w:hAnsi="Times New Roman"/>
                <w:sz w:val="16"/>
                <w:szCs w:val="16"/>
                <w:color w:val="auto"/>
              </w:rPr>
              <w:t>13,018</w:t>
            </w:r>
          </w:p>
        </w:tc>
      </w:tr>
      <w:tr>
        <w:trPr>
          <w:trHeight w:val="23"/>
        </w:trPr>
        <w:tc>
          <w:tcPr>
            <w:tcW w:w="6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2022 was $62.9 million as compared to $63.0 million during 2021 primarily due to (i) the increase in net income of $9.0 million and (ii) the impact of non-cash charges of $7.4 million, which were offset by (iii) a net change in operating assets and liabilities of $16.4 million. The increase in the non-cash charges was primarily driven by (i) additional stock-based compensation expense resulting from certain stock option awards that converted into time-based stock option awards upon closing of the IPO as well as new stock option awards and restricted stock units issued under the 2021 Equity Plan, (ii) the increase in non-cash operating lease costs and depreciation expense mainly due to our restaurant growth. The net change in operating assets and liabilities of $16.4 million was primarily a result of (i) the timing of employee compensation payments, (ii) the payment of payroll taxes deferred in 2020 as a result of the Coronavirus, Aid, Relief and Economic Security Act and (iii) the timing of operational payments.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$63.1 million during 2022 from $35.7 million during 2021 primarily as a result of the increase in capital expenditures to support our restaurant growth and new restaurant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to $2.0 million during 2022 from $14.3 million during 2021 primarily as a result of the repayment of our outstanding borrowings under our previous senior credit facilities, which was partially offset by proceeds from our IPO and proceeds from our borrowings under our Credit Agreement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Material contractual obligations arising in the normal course of business primarily consist of operating and finance lease obligations, long-term debt, and purchase obligations. The timing and nature of these commitments are expected to have an impact on our liquidity and capital requirements in future periods.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consolidated financial statements for additional information relating to our long-term debt and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accompanying consolidated financial statements for additional information related to our operating and financing leases.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include agreements related to the construction or remodeling of restaurant facilities, the purchase of food, beverages, paper goods and other supplies, equipment purchases, marketing-related contracts, software license commitments, technology and other service contracts in the normal course of business. These obligations are generally pursuant to short-term purchase orders at prevailing market prices and are recorded as liabilities when the related goods are received or services rendered. These commitments are cancellable and there are no material financial penalties associated with these commitments in the event of early termination.</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Purchase obligations also include firm minimum commitments in excess of 12 months for certain supply contracts. Refer to Note 15,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the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and related notes included elsewhere in this Annual Report on Form 10-K,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 accounting policies and estimates that we believe to be the most critical to an understanding of our financial condition and results of operations and that require the most complex and subjective management judgments are discussed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intangibles are tested for impairment annually, on the first day of the fourth quarter of the fiscal year, or whenever events or changes in circumstances indicate that the carrying amount may not be recoverable.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Any adverse change in these factors could have a significant impact on the recoverability of our goodwill and indefinite-lived intangible assets and could have a material impact on our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one reporting unit to which we have attributed goodwill. 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qualitative assessment is not performed or if we determine that it is not more likely than not that the fair value of the reporting unit exceeds the carrying value, the fair value of the reporting unit is calculated using the best information available, including market information (also referred to as the market approach) and discounted cash flow projections (also referred to as the income approach). The market approach estimates fair value by applying projected cash flow earnings multiples to the reporting unit’s operating performance. The multiples are derived from comparable publicly-traded companies with similar operating and investment characteristics. The income approach uses internal future cash flow estimates, which are influenced by revenue growth rates, operating margins and new restaurant openings, that are discounted using a weighted-average cost of capital that reflects current market conditions. We recognize an impairment loss when the carrying value of the reporting unit exceeds the estimated fair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the quantitative assessment for indefinite-lived intangibles, we estimate the fair value of trade names and trademarks using the relief-from-royalty method, which requires assumptions related to projected sales, assumed royalty rates that could be payable if we did not own the trademarks and a discount rate. We recognize an impairment loss when the carrying value of the asset exceeds the estimated fair value.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subjective estimates associated with management’s judgments and assumptions in fair value calculations at the measurement date are affected by various factors including changes in economic conditions, our operating performance and our business strategies.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2022 and 2021, we elected to perform a qualitative assessment for our annual impairment review of goodwill and indefinite-lived intangibles. In considering the qualitative approach related to goodwill, we considered factors including, but not limited to, macro-economic conditions, market and industry conditions, the competitive environment, results of prior impairment tests, operational stability, the overall financial performance of the reporting unit and the impacts of the discount rates. Management also considered the specific future outlook for the reporting unit. As it relates to our trade names and trademarks, we evaluate similar factors as the goodwill assessment, in addition to impacts of potential changes to the assumed royalty rate. Based on the results of the qualitative assessment, Management concluded that impairment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its indefinite-lived intangibles was not likely and as a result, management was not required to perform a quantitative assessment.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definite-lived intangible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 Long-lived assets are reviewed for impairment whenever events or changes in circumstances indicate that the carrying amount of an asset group may not be recoverable. Recoverability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judgment is used to determine the expected useful lives of long-lived assets and the estimated future cash flows, including projected sales growth, operating margins and ongoing maintenance and improvement of the assets. If the carrying amount of the asset group exceeds its estimated undiscounted future cash flows, an impairment charge is recognized.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Definite-lived intangible assets consist of franchise rights which arose from the purchase price allocation in connection with the Advent Acquisition and also include reacquired rights from the Company’s acquisitions of franchised restaurants. Definite-lived intangible assets are amortized on a straight-line basis over their estimated useful lives and are reviewed for impairment when events or change in circumstances indicate that the carrying amount of such assets may not be recoverable. Significant judgments are used to determine if an indicator of impairment has occurred. Such indicators may include, among others: negative operating performance of our restaurants, economic and restaurant industry trends, legal factors, significant competition or changes in our business strategy. Adverse changes in these factors could have a significant impact on the recoverability of these assets and the resulting impairment charge could be material to our consolidated financial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Recoverability of definite-lived intangible assets is measured by a comparison of the carrying amount of the asset group to the estimated undiscounted future cash flows expected to be generated by the asset group. If the total future undiscounted net cash flows are less than the carrying amount, this may be an indicator of impairment. An impairment loss is recognized when the asset’s carrying value exceeds its estimated fair value, which is generally estimated using discounted future cash flows expected from future use of the asset group. Management did not identify any triggering events in 2022 and 2021 and no impairment charges were recorded in 2022 and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our restaurant facilities and corporate offices, as well as certain restaurant equipment under various non-cancelable agreements. At the inception of each lease, we evaluate the expected term which includes reasonably certain renewal options, and the classification as either an operating leases or a finance lease. Lease liabilities represent the present value of future lease payments. To determine the present value of the lease liability, we estimate the incremental borrowing rates corresponding to the reasonably certain lease term as our leases do not provide implicit rates. Assumptions used in determining our incremental borrowing rate include a market yield implied by our outstanding secured term loans interpolated for various maturities using our synthetic credit rating, which is determined using a regression analysis of rated publicly-traded comparable companies and their financial data.</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impairment of the right-of-use asset at the asset group level whenever events or changes in circumstances indicate that the carrying value of the asset may not be recoverable.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management’s judgments and in the assumptions being used may produce materially different amounts in the recognition of the right-of-use assets, lease liabilities and lease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or liabilities are recognized for the estimated future tax effects attributable to temporary differences between the carrying value and the tax basis of assets and liabilities as well as tax credit carryforwards. The estimates we make under this method include, among other items, depreciation and amortization expense allowable for tax purposes, credits for items such as taxes paid on reported employee tip wages, effective rates for state and local income taxes and the deductibility of certain items.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our annual effective income tax rate is adjusted as additional information becomes available during the reporting period.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for all deductible temporary differences to the extent that it is probable that taxable income will be available against which the deductible temporary differences can be utilized. A valuation allowance for deferred tax assets is provided when it is more likely than not that a portion of the deferred tax assets will not be realized. Potential for recovery of deferred tax assets is evaluated by estimating the taxable income in any available carry back period, considering future taxable income expected, scheduling of anticipated reversal of taxable temporary differences and considering prudent and feasible tax planning strategies.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and evaluate the rationale for recording a valuation allowance against deferred tax assets. As we increase earnings and utilize deferred tax assets, it is possible the valuation allowance could be reduced or eliminated. In addition, our ability to utilize net operating loss carryforwards and tax credit carryforwards could be adversely impacted by, among other things, a future “ownership change” as defined under Section 382 of the Internal Revenue Code. Changes in assumptions regarding our level and composition of earnings, tax laws or the deferred tax valuation allowance and the results of tax audits, may materially impact the effective income tax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Fair Value of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Stock-based compensation expense is measured based on the award’s grant date fair value. Stock-based compensation expense related to time-based stock option awards issued under the 2017 Equity Plan is recognized on an accelerated recognition method over the requisite service period. Prior to our IPO, we had not recognized any stock-based compensation expense for our performance-based stock option awards issued under the 2017 Equity Plan as the satisfaction of the performance conditions were not considered probable. Upon consummation of the Company’s IPO in October 2021, certain performance-based stock option awards issued under the 2017 Equity Plan for which the performance and market conditions were satisfied as a result of the Company’s IPO, converted into time-based stock option awards with the related stock-based compensation expense to be recognized on an accelerated recognition method over the remaining service period. The performance-based stock option awards that did not convert into time-based stock option awards were canceled and unrecognized compensation expense for those canceled performance-based stock option awards was recognized on the date of the Company’s IPO. No awards were granted under the 2017 Equity Plan during 2022 and the Company does not intend to grant any further awards under the 2017 Equity Plan. Stock-based compensation expense related to time-based stock option awards issued under the 2021 Equity Plan is recognized on a straight-line basis over the requisite service period. Forfeitures are recognized as they occur for all awards.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fair value of stock option awards using the Black-Scholes valuation model, which involves several assumptions and judgments including the expected term of the stock option, expected volatility, the risk-free interest rate and the expected dividend yield. The Company does not have sufficient historical stock option exercise activity and therefore we estimated the expected term of stock options granted under the 2021 Plan using the simplified method, which represents the mid-point between the vesting period and the contractual term for each grant. Prior to the IPO, the expected term of stock option awards was determined based on data from publicly traded companies. The expected volatility of stock option awards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 These assumptions represented management’s best estimate, which involved inherent uncertainties and the application of management’s judgment. As a result, if we had used significantly different assumptions or estimates, our stock-based compensation expense could have been materially different.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common stock and our stock-based awards’ grant date fair value is determined based on the closing price on our common stock on Nasdaq. Prior to our IPO and our common stock being listed on Nasdaq, given the absence of a public trading market for our common stock, the estimated fair value had been determined with input from management exercising reasonable judgment and considering several objective and subjective factors including: (i) third-party valuations of our common stock, (ii) a combination of the income approach and the market approach and (iii) general economic outlook including economic growth, inflation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prior to the IPO, we determined the Company’s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the accompanying notes to the consolidated financial statements for additional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and Food Price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is dependent on, among other things, our ability to anticipate and react to changes in the costs of key operating resources, including food and beverage, energy, fuel costs and other commodities. We have been able to partly offset cost increases resulting from a number of factors, including market conditions, shortages or interruptions in supply due to weather, the macroeconomic impacts of the Russia-Ukraine conflict or other conditions beyond our control, governmental regulations and inflation, by increasing our menu prices, as well as making other operational adjustments that increase productivity. However, elevated inflation in commodity markets and substantial increases in costs and expenses could impact our results of operations to the extent that such increases cannot be offset by menu price increases. Currently we do not use financial instruments to hedge our commodity risk.</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market basket experienced cost inflation of approximately 13.0% in 2022. In 2023, we expect continued cost inflation for our entire market basket in the range of 4.0% 6.0%.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we have locked prices for approximately 15.0% of our market basket. Other commodities are purchased based upon negotiated price ranges established with vendors and are subject to fixed prices or fixed formulas for 30 to 90 day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25, 2022, we had $98.1 million in outstanding borrowings, excluding unamortized debt discount and deferred issuance costs. Our loans pursuant to our Credit Agreement incur interest at a floating rate and we also pay an unused commitment fee of between 25 and 50 basis points on the undrawn commitments under our revolving credit facility pursuant to our Credit Agreement, depending on the Total Rent Adjusted Net Leverage Ratio, as defined in our Credit Agreement.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notes to the consolidated financial statements included in Item 8 of Part II of this Annual Report on Form 10-K for additional information. We currently do not hedge our interest rate exposure and we manage exposure to adverse interest rate changes through our normal operating and financing activities.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outstanding variable rate loan balance for the Term Facility at December 25, 2022, a potential change from a hypothetical 100 basis point increase/decrease in short-term interest rates would cause an increase or decrease in interest expense of approximately $1.8 million over the next 12 months.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40" w:type="dxa"/>
            <w:vAlign w:val="bottom"/>
            <w:gridSpan w:val="7"/>
          </w:tcPr>
          <w:p>
            <w:pPr>
              <w:ind w:left="780"/>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9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 December 25, 2022 and December 26, 2021</w:t>
            </w: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shd w:val="clear" w:color="auto" w:fill="0000FF"/>
          </w:tcPr>
          <w:p>
            <w:pPr>
              <w:spacing w:after="0" w:line="20" w:lineRule="exact"/>
              <w:rPr>
                <w:sz w:val="1"/>
                <w:szCs w:val="1"/>
                <w:color w:val="auto"/>
              </w:rPr>
            </w:pPr>
          </w:p>
        </w:tc>
        <w:tc>
          <w:tcPr>
            <w:tcW w:w="1100" w:type="dxa"/>
            <w:vAlign w:val="bottom"/>
            <w:tcBorders>
              <w:top w:val="single" w:sz="8" w:color="0000FF"/>
            </w:tcBorders>
            <w:shd w:val="clear" w:color="auto" w:fill="0000FF"/>
          </w:tcPr>
          <w:p>
            <w:pPr>
              <w:spacing w:after="0" w:line="20" w:lineRule="exact"/>
              <w:rPr>
                <w:sz w:val="1"/>
                <w:szCs w:val="1"/>
                <w:color w:val="auto"/>
              </w:rPr>
            </w:pPr>
          </w:p>
        </w:tc>
        <w:tc>
          <w:tcPr>
            <w:tcW w:w="72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8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(Loss) - For Fiscal Years 2022, 2021 and 2020</w:t>
            </w:r>
          </w:p>
        </w:tc>
        <w:tc>
          <w:tcPr>
            <w:tcW w:w="9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80" w:type="dxa"/>
            <w:vAlign w:val="bottom"/>
            <w:tcBorders>
              <w:bottom w:val="single" w:sz="8" w:color="0000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Equity - For Fiscal Years 2022, 2021 and 2020</w:t>
            </w:r>
          </w:p>
        </w:tc>
        <w:tc>
          <w:tcPr>
            <w:tcW w:w="378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For Fiscal Years 2022, 2021and 2020</w:t>
            </w:r>
          </w:p>
        </w:tc>
        <w:tc>
          <w:tcPr>
            <w:tcW w:w="348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40" w:type="dxa"/>
            <w:vAlign w:val="bottom"/>
            <w:gridSpan w:val="7"/>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First Watch Restaurant Group,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Watch Restaurant Group, Inc. and its subsidiaries (the “Company”) as of December 25, 2022 and December 26, 2021, and the related consolidated statements of operations and comprehensive income (loss), of equity and of cash flows for each of the three years in the period ended December 25, 2022, including the related notes (collectively referred to as the “consolidated financial statements”). In our opinion, the consolidated financial statements present fairly, in all material respects, the financial position of the Company as of December 25, 2022 and December 26, 2021, and the results of its operations and its cash flows for each of the three years in the period ended December 25, 2022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180" w:type="dxa"/>
            <w:vAlign w:val="bottom"/>
          </w:tcPr>
          <w:p>
            <w:pPr>
              <w:spacing w:after="0"/>
              <w:rPr>
                <w:sz w:val="18"/>
                <w:szCs w:val="18"/>
                <w:color w:val="auto"/>
              </w:rPr>
            </w:pPr>
          </w:p>
        </w:tc>
        <w:tc>
          <w:tcPr>
            <w:tcW w:w="1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0" w:type="dxa"/>
            <w:vAlign w:val="bottom"/>
          </w:tcPr>
          <w:p>
            <w:pPr>
              <w:spacing w:after="0"/>
              <w:rPr>
                <w:sz w:val="1"/>
                <w:szCs w:val="1"/>
                <w:color w:val="auto"/>
              </w:rPr>
            </w:pPr>
          </w:p>
        </w:tc>
      </w:tr>
      <w:tr>
        <w:trPr>
          <w:trHeight w:val="19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67,697</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324,995</w:t>
            </w:r>
          </w:p>
        </w:tc>
        <w:tc>
          <w:tcPr>
            <w:tcW w:w="0" w:type="dxa"/>
            <w:vAlign w:val="bottom"/>
          </w:tcPr>
          <w:p>
            <w:pPr>
              <w:spacing w:after="0"/>
              <w:rPr>
                <w:sz w:val="1"/>
                <w:szCs w:val="1"/>
                <w:color w:val="auto"/>
              </w:rPr>
            </w:pPr>
          </w:p>
        </w:tc>
      </w:tr>
      <w:tr>
        <w:trPr>
          <w:trHeight w:val="165"/>
        </w:trPr>
        <w:tc>
          <w:tcPr>
            <w:tcW w:w="6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$145,720 and $115,582,</w:t>
            </w:r>
          </w:p>
        </w:tc>
        <w:tc>
          <w:tcPr>
            <w:tcW w:w="22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164,695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1,104,446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Note payable</w:t>
            </w: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96,523</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99,753</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07"/>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542,488</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59,211,019 and 59,048,446 shares</w:t>
            </w:r>
          </w:p>
        </w:tc>
        <w:tc>
          <w:tcPr>
            <w:tcW w:w="2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at December 25, 2022 and December 26, 2021, respectively</w:t>
            </w:r>
          </w:p>
        </w:tc>
        <w:tc>
          <w:tcPr>
            <w:tcW w:w="22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2"/>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1,104,446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719,181</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592,343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337,433</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601,193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342,388</w:t>
            </w:r>
          </w:p>
        </w:tc>
      </w:tr>
      <w:tr>
        <w:trPr>
          <w:trHeight w:val="19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62"/>
        </w:trPr>
        <w:tc>
          <w:tcPr>
            <w:tcW w:w="5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76,975</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120,380</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49,450</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46,322</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(income),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578,950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389,610</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(69,554)</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and total comprehensive income (loss)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(49,681)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59,097,512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60,140,045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220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vMerge w:val="restart"/>
          </w:tcPr>
          <w:p>
            <w:pPr>
              <w:spacing w:after="0"/>
              <w:rPr>
                <w:sz w:val="16"/>
                <w:szCs w:val="16"/>
                <w:color w:val="auto"/>
              </w:rPr>
            </w:pPr>
          </w:p>
        </w:tc>
        <w:tc>
          <w:tcPr>
            <w:tcW w:w="210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2"/>
                <w:szCs w:val="12"/>
                <w:color w:val="auto"/>
              </w:rPr>
            </w:pPr>
          </w:p>
        </w:tc>
        <w:tc>
          <w:tcPr>
            <w:tcW w:w="22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 December 29,</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(53,251)</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329,797</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3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issuance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(49,681)</w:t>
            </w:r>
          </w:p>
        </w:tc>
        <w:tc>
          <w:tcPr>
            <w:tcW w:w="0" w:type="dxa"/>
            <w:vAlign w:val="bottom"/>
          </w:tcPr>
          <w:p>
            <w:pPr>
              <w:spacing w:after="0"/>
              <w:rPr>
                <w:sz w:val="1"/>
                <w:szCs w:val="1"/>
                <w:color w:val="auto"/>
              </w:rPr>
            </w:pPr>
          </w:p>
        </w:tc>
      </w:tr>
      <w:tr>
        <w:trPr>
          <w:trHeight w:val="24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145"/>
        </w:trPr>
        <w:tc>
          <w:tcPr>
            <w:tcW w:w="20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27,</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320,866</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issuance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177,074</w:t>
            </w: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preferred</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3,156,812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December 26,</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issued upon</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 net</w:t>
            </w: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December 25,</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189"/>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30,725</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11,727</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(19,991)</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offering costs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compensation and deferred payroll taxes, current and long-term</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8,073</w:t>
            </w:r>
          </w:p>
        </w:tc>
      </w:tr>
      <w:tr>
        <w:trPr>
          <w:trHeight w:val="213"/>
        </w:trPr>
        <w:tc>
          <w:tcPr>
            <w:tcW w:w="6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(18,364)</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4"/>
        </w:trPr>
        <w:tc>
          <w:tcPr>
            <w:tcW w:w="68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(26,974)</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payable borrowing</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54,600</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common stock issuance, net of underwriting discounts and commissions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preferred stock issuance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(39,000)</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73,314</w:t>
            </w:r>
          </w:p>
        </w:tc>
      </w:tr>
      <w:tr>
        <w:trPr>
          <w:trHeight w:val="219"/>
        </w:trPr>
        <w:tc>
          <w:tcPr>
            <w:tcW w:w="6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w:t>
            </w: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6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11,121</w:t>
            </w:r>
          </w:p>
        </w:tc>
      </w:tr>
      <w:tr>
        <w:trPr>
          <w:trHeight w:val="210"/>
        </w:trPr>
        <w:tc>
          <w:tcPr>
            <w:tcW w:w="63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49,923</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52,115</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converted to long-term debt</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33,857</w:t>
            </w:r>
          </w:p>
        </w:tc>
        <w:tc>
          <w:tcPr>
            <w:tcW w:w="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liabilities from acquisition of property, fixtures and equipment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The Company’s outstanding stock was purchased by funds affiliated with or managed by Advent International Corporation on August 21, 2017 (the “Advent Acquisition”).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restaurants through its wholly owned subsidiary, First Watch Restaurants, Inc., and is a franchisor through its wholly owned subsidiary, First Watch Franchise Development Co. As of December 25, 2022 and December 26, 2021, the Company operated 366 company-owned restaurants and 341 company-owned restaurants, respectively, and had 108 franchise-owned restaurants and 94 franchise-owned restaurants,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its initial public offering (“IPO”) on October 5, 2021, in which the Company sold 10,877,850 shares of common stock, which included the underwriters’ full exercise of their option to purchase up to an additional 1,418,850 shares of common stock, at the initial public offering price of $18.00 per share. The Company received aggregate net proceeds of $182.1 million after deducting underwriting discounts and commissions of $13.7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fiscal years ended December 25, 2022 (“Fiscal 2022”), December 26, 2021 (“Fiscal 2021”) and December 27, 2020 (“Fiscal 2020”) contained 52 weeks. The accompanying consolidated financial statements of the Company have been prepared by the Company in accordance with generally accepted accounting principles in the United States of America (“GAAP”).</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income (loss) is a measure of net income (loss) and all other changes in equity that result from transactions other than with equity holders, and would normally be recorded in the Consolidated Statements of Equity and the Consolidated Statements of Comprehensive Income (Loss). The Company does not have any components of other comprehensive income (loss) recorded within its consolidated financial statements. Accordingly, there is no difference between net income (loss) and comprehensive income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its wholly owned subsidiaries. All intercompany transactions and balances have been eliminated in consolidation.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ownership interests in any franchisee and does not provide financial support to franchisees. As a result, the Company’s franchise relationships are not variable interest entities and are not 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 estimates and such differences could be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 does not have any customer that represents more than 10.0% of total revenues for the periods presented.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combinations are accounted for using the purchase method of accounting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consideration transferred in a business combination, identifiable assets acquired and liabilities assumed are measured at their estimated fair value as of the date of the acquisition. Goodwill is recognized for the amount by which the purchase consideration exceeds the fair values of the net assets acquired. Costs incurred in connection with business combinations are expensed as incurred.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1</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Quoted prices (unadjusted) in active markets for identical assets or liabilities</w:t>
            </w:r>
          </w:p>
        </w:tc>
      </w:tr>
      <w:tr>
        <w:trPr>
          <w:trHeight w:val="226"/>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Level 2</w:t>
            </w:r>
          </w:p>
        </w:tc>
        <w:tc>
          <w:tcPr>
            <w:tcW w:w="10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Observable inputs available other than quoted prices included in Level 1</w:t>
            </w:r>
          </w:p>
        </w:tc>
      </w:tr>
      <w:tr>
        <w:trPr>
          <w:trHeight w:val="23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3</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Unobservable inputs based on assumptions that cannot be determined by observable market data</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receivable, accounts payable, accrued expenses, note payable and other current liabilities, approximate their fair values due to their short-term maturities.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an original maturity of three months or less. Amounts receivable from credit card processors are considered cash equivalents because they are highly liquid and are typically converted to cash within three business days.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by a contractual agreement for the settlement of insurance claims.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market and credit risk, are cash and cash equivalents and restricted cash. At times, cash balances may be in excess of the Federal Deposit Insurance Corporation insurance limits. The Company has not experienced any losses to date as a result of these risks. Management periodically assesses the quality of the financial institutions and believes that the risk related to these deposits is minimal.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 primarily of receivables from franchisees, receivables from third-party delivery providers, receivables from gift card sales and vendor rebates. The Company believes all amounts to be collectible based on a variety of factors it evaluates, including historical experience, current economic conditions and other factors. Accordingly, no allowance for credit losses or doubtful accounts has been recorded as of December 25, 2022 and December 26,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consists primarily of food and beverage costs and is stated at the lower of cost (determined by the first-in, first-out method) or net realizable value. Adjustments are not deemed necessary to reduce inventory to net realizable value due to the rapid turnover and utilization of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professional accounting, and other third-party fees that are directly associated with in-process equity financings are capitalized as deferred offering costs until such financings are consummated. After consummation of the equity financing, these costs are recorded in equity as a reduction of additional paid-in capital generated as a result of the offering. The Company incurred $5.0 million of costs in connection with the IPO in Fiscal 2021, which were recorded in equity as a reduction of additional paid in capital. The Company incurred $2.0 million in deferred offering costs in Fiscal 2020, which were expensed in General and administrative expenses as a result of halting the Company’s public registration of equity in Fiscal 2020.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restaurant facilities, corporate offices and certain restaurant equipment are leased under various agreements having initial terms expiring between 2023 and 2037. Restaurant facility leases generally have renewal periods of five to 20 years, exercisable at the option of the Company. At the commencement of each lease, an evaluation is performed to determine whether (i) the contract involves the use of property or equipment, (ii) the Company controls the use of the asset and (iii) the Company has the right to direct the use of the asset. Management determines the classification of lease contracts as operating or finance leases. The majority of the Company’s real estate leases are classified as operating leases and the majority of the Company’s equipment leases are classified as finance leases.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operating leases with lease terms greater than twelve months, a lease liability is recognized for future fixed lease payments and a corresponding right-of-use asset is recognized representing the Company’s right to use the underlying asset during the lease term. The lease liability is initially measured as the present value of the future fixed lease payments that will be made over the lease term using the Company’s incremental borrowing rate as there are no implicit rates provided in the lease contracts. The Company’s incremental borrowing rate is based on a market yield implied by the Company’s outstanding secured term loan interpolated for various maturities using the Company’s synthetic credit rating, which was determined using a regression analysis of rated publicly-traded comparable companies and their financial data. Occupancy expense, which includes the effects of free rent periods and rent escalation clauses within certain of the Company’s leases, is recognized on a straight-line basis over the lease term. Tenant improvement allowances are amortized on a straight-line basis over the term of the lease as a reduction of lease expense. The lease term, which commences on the date the Company has the right to control the use of the property, includes the Company’s options to extend the lease to the extent it is reasonably certain that the renewal options will be exercised.</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with indexed rent escalation clauses are recorded using the index that existed at lease commencement or upon the latest modification requiring remeasurement. Subsequent changes in the index are recorded as variable lease expense. Contingent rent payments, which are based on a percentage of sales for certain restaurant facilities, are recorded as variable lease expense when the Company determines that such sales levels will be achieved. In addition to fixed lease payments, certain of the Company’s real estate leases also require payment of a proportionate share of property taxes, insurance and maintenance costs, which are expensed as incurred in the Consolidated Statements of Operations and Comprehensive Income (Loss) and future variable rent obligations are not included within the lease liabilities on the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right-of-use asset is measured at the amount of the lease liability with adjustments for (i) rent prepayments made prior to or at lease commencement, (ii) landlord incentives and (iii) favorable and unfavorable leasehold positions. The depreciable life of an operating lease right-of-use asset is limited by the lease term. The Company’s leases do not contain any material residual value guarantees or material restrictive covenants.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lease and non-lease components of the Company’s restaurant facility leases are accounted for as a single lease component. Leases with an initial term of 12 months or less are not recorded on the Consolidated Balance Sheets, however, they are recognized on a straight-line basis over the lease term in the Consolidated Statements of Operations and Comprehensive Income (Loss).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2020, Management renegotiated numerous lease agreements that primarily resulted in rent abatements or rent deferrals during the period of the closures of the company-owned restaurants as a result of the COVID-19 pandemic. Management elected the practical expedient for COVID-19 related rent concessions pursuant to the question and answer document issued by the Financial Accounting Standards Board (the “FASB”) in April 2020 and remeasured the lease liabilities using the original discount rate with a corresponding adjustment to the right-of-use assets. Rent deferrals increased the lease liabilities and right-of use assets until amounts are paid with no impact to lease expense. Rent abatements were recognized on a straight-line basis over the respective remaining lease term.</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lease liabilities and corresponding finance lease assets are recognized at an amount equal to the present value of the minimum lease payments over the lease term. The amortization of finance lease assets is recognized over the shorter of the lease term or useful life of the underlying asset within Depreciation and amortization. The interest expense related to finance leases, including any variable lease payments, is recognized in Interest expense. Finance lease assets are classified in Property, fixtures and equipment, net and current maturities and long-term portions of finance lease liabilities are classified within Current portion of long-term debt and Long-term debt, net,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Fixtures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Repair and maintenance costs are expensed as incurred. Leasehold improvements are depreciated over the shorter of their useful life or the lease term. The carrying amount of assets sold, replaced or retired and the related accumulated depreciation are eliminated at the time of disposal and any resulting gains and losses on disposal are recognized in the Consolidated Statements of Operations and Comprehensive Income (Loss).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internal costs associated with the acquisition, development, design and construction of company-owned restaurants are capitalized as these costs have a future benefit to the Company. Once a restaurant opens, these costs are depreciated and recorded in Depreciation and amortization. Direct internal costs of $0.7 million and $0.5 million were capitalized in Fiscal 2022 and Fiscal 2021,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600" w:type="dxa"/>
            <w:vAlign w:val="bottom"/>
          </w:tcPr>
          <w:p>
            <w:pPr>
              <w:spacing w:after="0"/>
              <w:rPr>
                <w:sz w:val="20"/>
                <w:szCs w:val="20"/>
                <w:color w:val="auto"/>
              </w:rPr>
            </w:pPr>
          </w:p>
        </w:tc>
      </w:tr>
      <w:tr>
        <w:trPr>
          <w:trHeight w:val="135"/>
        </w:trPr>
        <w:tc>
          <w:tcPr>
            <w:tcW w:w="86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 improvements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to 40 years</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(including capitalized software)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on the first day of the fourth quarter of the fiscal year, or whenever events or changes in circumstances indicate that the carrying amount may not be recoverable. The Company has one reporting unit for goodwill impairment testing purposes.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IPO, Management’s quantitative assessment for determining the fair value of the reporting unit used a blend of the market capitalization approach and the income approach. The market capitalization approach used Management’s selection of peer companies to estimate fair value. The income approach used the discounted cash flow method estimating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flow, sales and traffic growth rates, operating margins and new restaurant openings, each of which are inputs that fall within Level 3 of the fair value hierarchy.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indefinite-lived intangibles is determined through a relief from royalty method using certain unobservable inputs that fall within Level 3 of the fair value hierarchy. The respective carrying values are compared to the related estimated fair values and an impairment loss is recognized in an amount equal to the excess of the carrying value over estimated fair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performed a qualitative annual impairment assessment for goodwill and indefinite-lived intangible assets as of the first day of the fourth quarter of Fiscal 2022 and Fiscal 2021 and concluded that impairment of both goodwill and indefinite-lived intangible assets was not more likely than not. As a result, a quantitative assessment was not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definite lives consist of franchise rights which arose from the purchase price allocation in connection with the Advent Acquisition and also include reacquired rights from the Company’s acquisitions of franchised restaurants. Definite-lived intangible assets are amortized over their estimated useful lives and are tested for impairment whenever events or changes in circumstances indicate that the carrying amount may not be recoverable.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the carrying amount for recoverability, the total future undiscounted net cash flows expected to be generated by the asset are compared to the carrying amount. If the total future undiscounted net cash flows are less than the carrying amount, this may be an indicator of impairment. An impairment loss is recognized when the asset’s carrying value exceeds its estimated fair value. Fair value is generally estimated using a discounted cash flow model using unobservable inputs that fall within Level 3 of the fair value hierarchy. No impairment loss was recorded for definite-lived intangible assets in Fiscal 2022, Fiscal 2021 and Fiscal 2020.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Long-lived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circumstances indicate that the carrying value may not be recoverable, an evaluation for impairment is performed at the lowest level of identifiable cash flows, which is at the individual restaurant level. If the total future undiscounted net cash flows are less than the carrying value of the long-lived assets at the individual restaurant level, the fair value is determined based on discounted future net cash flows expected to result from the use and eventual disposition of the assets, which are unobservable inputs that fall within Level 3 of the fair value hierarchy. An impairment loss is recognized in an amount equal to the excess of the carrying value over the estimated fair value. No impairment loss was recorded for long-lived assets in Fiscal 2022, Fiscal 2021 and Fiscal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 Reserves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primarily for employee group health claims and for workers’ compensation in Ohio. The Company holds stop-loss insurance which funds individual health claims in excess of $125,000 per occurrence and workers’ compensation claims in Ohio in excess of $500,000 per occurrence annually. The Consolidated Statements of Operations and Comprehensive Income (Loss) include expenses related to the costs of claims reported and an estimate of claims incurred but not reported. A liability of $1.5 million and $1.4 million for estimated unpaid claims and other insurance liabilities is recorded within Accrued liabilities as of December 25, 2022 and December 26, 2021,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food and beverage sales are reported, net of discounts and taxes. For in-restaurant dining and take-out sales, revenues are recognized when payment is tendered. For delivery sales made through the Company’s mobile application and website, the Company controls the delivery services and recognizes revenue, including delivery fees, when the delivery partner transfers the food and beverage to the customer. With respect to sales made through the delivery partner’s mobile application or website, the Company recognizes revenue, excluding delivery fees collected by the delivery partner, when control of the food and beverage is transferred to the delivery partner. Payment is received from the delivery partner subsequent to the transfer of food and beverage and the payment terms are short-term.</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Franchise revenues include initial franchise fees and ongoing sales-based royalty and system fund contributions, which are used for advertising, marketing and public relations programs and materials. The 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one distinct performance obligation. Payments for initial franchise fees are received either upon execution of the franchise agreement and/or upon opening of the restaurant. These payments are deferred and recognized as revenue throughout the contractual term of the related franchise agreement. Unamortized deferred franchise fees are recognized as revenue upon the termination of franchise agreements with franchisees. The short-term and long-term unamortized portion of these liabilities are included in Deferred revenues and in Other long-term liabilities,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and system fund contributions from franchisees are based on a percentage of sales and are recognized as revenue in the period the sales occurred.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Gift cards are sold at restaurants and certain retail venues. Deferred revenues include liabilities established for the value of the gift cards when sold. Revenue is recognized from gift card sales upon redemption by the customer. Management estimates the amount of gift cards for which the likelihood of redemption is remote, referred to as “breakage,” using historical gift card redemption patterns. The estimated breakage, less an administrative fee, is recognized over the expected period of redemption as the remaining gift card values are redeemed, which is generally over a period of two years. Utilizing this method, Management estimates both the breakage and the time period of redemption. If actual redemption patterns vary from these estimates, actual gift card breakage income may differ from the amounts recorded. Estimates of the redemption period and breakage rate applied are updated periodically. Gift card liabilities are included in Deferred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fluctuate directly with sales volumes and are impacted by changes in commodity prices or promotional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Received from Vendors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consideration from certain vendors for volume rebates and allowances. The Company accounts for consideration from a vendor as a reduction of the purchase price of the goods or services acquired from the vendor.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recognized as incurred or, in the case of advertisements, when the advertisement occurs. Advertising costs were $6.4 million, $4.8 million and $3.3 million during Fiscal 2022, Fiscal 2021 and Fiscal 2020, respectively, and are included in General and administrative expenses and in Other restaurant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Discount and Deferred Issuance Costs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discount and deferred issuance costs incurred in connection with the issuance of long-term debt are recorded as reductions of long-term debt and are amortized over the term of the related debt. Amortization expense of debt discount and deferred issuance costs is included in Interest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of accounting. Under this method, deferred tax assets or liabilities are recognized for the estimated future tax effects attributable to temporary differences between the carrying value and the tax basis of assets and liabilities as well as tax credit carryforwards. Deferred tax assets and liabilities are measured using enacted tax rates expected to be applicable in the years in which the differences are expected to be recovered or settled. Changes in deferred tax assets or liabilities are recognized in Income tax (expense) benefit.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to the extent that it is probable that taxable income will be available against which the deductible temporary differences can be utilized. Realization of deferred tax assets is dependent upon the availability of taxable income and a valuation allowance for deferred tax assets is provided when it is more likely than not that a portion of the deferred tax assets will not be realized. In the assessment for realization of deferred tax assets, Management considers all sources of taxable income including (i) taxable income in any available carry back period, (ii) scheduling of anticipated reversal of taxable temporary differences, (iii) tax-planning strategies and (iv) taxable income expected to be generated in the future other than from reversing temporary differences and carryforwards. Management continues to evaluate the rationale for recording a valuation allowance on its deferred tax assets and as the Company increases earnings and utilizes deferred tax assets, it is possible the valuation allowance could be reduced or eliminated.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when incurred, are recognized in Other (expense) income,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is recognized for stock option awards granted and is based on the fair value of the stock option awards on the date of grant. The fair value of stock option awards is determined using the Black-Scholes option pricing model. The fair value of performance-based stock option awards is recognized as expense when the achievement of the performance condition is probable. Forfeitures of stock option awards are recognized as they occur. Determining the fair value of stock option awards at the grant date requires judgment, including estimating the expected term that the stock option awards will be outstanding prior to exercise, volatility, dividend yield and risk-free interest rate. Stock-based compensation expense is included in General and administrative expenses. Stock option exercises are settled with authorized but unissued shares of the Company’s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2021, prior to the IPO, the Company’s equity value was determined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Management had used significantly different assumptions or estimates, the fair value of our common stock and our stock-based compensation expense could have been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(“ASU 2020-04”). The guidance provides optional expedients and exceptions to apply 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relationships and other transactions affected by reference rate reform if certain criteria are met. ASU 2020-04 was effective beginning March 12, 2020 and may be applied prospectively to contract modifications made and hedging relationships entered into or evaluated on or before December 31, 2022. In December 2022,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xml:space="preserve"> (“ASU 2022-06”) was issued which defers the sunset date referenced in Topic 848 from December 31, 2022 to December 31, 2024, after which companies will no longer be permitted to apply the relief in Topic 848. This standard and the optional expedients will not have a material impact to the Company. In February 2023, the Company amended its credit agreement dated as of October 6, 2021 (the “Credit Agreement”) to replace the London interbank offer rate (“LIBOR”) with a secured overnight financing rate (“SOFR”) pursuant to the terms and LIBOR fallback language in the Credit Agreement. All outstanding borrowings under the Credit Agreement will continue to bear interest at LIBOR until the end of the current interest period or payment period pursuant to the terms of the Credit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180" w:type="dxa"/>
            <w:vAlign w:val="bottom"/>
          </w:tcPr>
          <w:p>
            <w:pPr>
              <w:spacing w:after="0"/>
              <w:rPr>
                <w:sz w:val="18"/>
                <w:szCs w:val="18"/>
                <w:color w:val="auto"/>
              </w:rPr>
            </w:pPr>
          </w:p>
        </w:tc>
        <w:tc>
          <w:tcPr>
            <w:tcW w:w="1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19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4,654</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4,024</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center"/>
              <w:ind w:left="1041"/>
              <w:spacing w:after="0"/>
              <w:rPr>
                <w:sz w:val="20"/>
                <w:szCs w:val="20"/>
                <w:color w:val="auto"/>
              </w:rPr>
            </w:pPr>
            <w:r>
              <w:rPr>
                <w:rFonts w:ascii="Times New Roman" w:cs="Times New Roman" w:eastAsia="Times New Roman" w:hAnsi="Times New Roman"/>
                <w:sz w:val="16"/>
                <w:szCs w:val="16"/>
                <w:color w:val="auto"/>
                <w:w w:val="99"/>
              </w:rPr>
              <w:t>6,902</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041"/>
              <w:spacing w:after="0"/>
              <w:rPr>
                <w:sz w:val="20"/>
                <w:szCs w:val="20"/>
                <w:color w:val="auto"/>
              </w:rPr>
            </w:pPr>
            <w:r>
              <w:rPr>
                <w:rFonts w:ascii="Times New Roman" w:cs="Times New Roman" w:eastAsia="Times New Roman" w:hAnsi="Times New Roman"/>
                <w:sz w:val="16"/>
                <w:szCs w:val="16"/>
                <w:color w:val="auto"/>
                <w:w w:val="99"/>
              </w:rPr>
              <w:t>5,197</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center"/>
              <w:ind w:left="1021"/>
              <w:spacing w:after="0"/>
              <w:rPr>
                <w:sz w:val="20"/>
                <w:szCs w:val="20"/>
                <w:color w:val="auto"/>
              </w:rPr>
            </w:pPr>
            <w:r>
              <w:rPr>
                <w:rFonts w:ascii="Times New Roman" w:cs="Times New Roman" w:eastAsia="Times New Roman" w:hAnsi="Times New Roman"/>
                <w:sz w:val="16"/>
                <w:szCs w:val="16"/>
                <w:color w:val="auto"/>
                <w:w w:val="98"/>
              </w:rPr>
              <w:t>(6,924)</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5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center"/>
              <w:ind w:left="1021"/>
              <w:spacing w:after="0"/>
              <w:rPr>
                <w:sz w:val="20"/>
                <w:szCs w:val="20"/>
                <w:color w:val="auto"/>
              </w:rPr>
            </w:pPr>
            <w:r>
              <w:rPr>
                <w:rFonts w:ascii="Times New Roman" w:cs="Times New Roman" w:eastAsia="Times New Roman" w:hAnsi="Times New Roman"/>
                <w:sz w:val="16"/>
                <w:szCs w:val="16"/>
                <w:color w:val="auto"/>
                <w:w w:val="98"/>
              </w:rPr>
              <w:t>(1,151)</w:t>
            </w:r>
          </w:p>
        </w:tc>
      </w:tr>
      <w:tr>
        <w:trPr>
          <w:trHeight w:val="21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4,410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6"/>
                <w:szCs w:val="16"/>
                <w:color w:val="auto"/>
                <w:w w:val="99"/>
              </w:rPr>
              <w:t>4,024</w:t>
            </w:r>
          </w:p>
        </w:tc>
      </w:tr>
      <w:tr>
        <w:trPr>
          <w:trHeight w:val="21"/>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2,274</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1"/>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3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460" w:type="dxa"/>
            <w:vAlign w:val="bottom"/>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571,048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452,989</w:t>
            </w:r>
          </w:p>
        </w:tc>
        <w:tc>
          <w:tcPr>
            <w:tcW w:w="80" w:type="dxa"/>
            <w:vAlign w:val="bottom"/>
          </w:tcPr>
          <w:p>
            <w:pPr>
              <w:spacing w:after="0"/>
              <w:rPr>
                <w:sz w:val="18"/>
                <w:szCs w:val="18"/>
                <w:color w:val="auto"/>
              </w:rPr>
            </w:pP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257,029</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38,524</w:t>
            </w:r>
          </w:p>
        </w:tc>
        <w:tc>
          <w:tcPr>
            <w:tcW w:w="0" w:type="dxa"/>
            <w:vAlign w:val="bottom"/>
          </w:tcPr>
          <w:p>
            <w:pPr>
              <w:spacing w:after="0"/>
              <w:rPr>
                <w:sz w:val="1"/>
                <w:szCs w:val="1"/>
                <w:color w:val="auto"/>
              </w:rPr>
            </w:pPr>
          </w:p>
        </w:tc>
      </w:tr>
      <w:tr>
        <w:trPr>
          <w:trHeight w:val="211"/>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68,868</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41,880</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46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592,343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337,433</w:t>
            </w:r>
          </w:p>
        </w:tc>
        <w:tc>
          <w:tcPr>
            <w:tcW w:w="0" w:type="dxa"/>
            <w:vAlign w:val="bottom"/>
          </w:tcPr>
          <w:p>
            <w:pPr>
              <w:spacing w:after="0"/>
              <w:rPr>
                <w:sz w:val="1"/>
                <w:szCs w:val="1"/>
                <w:color w:val="auto"/>
              </w:rPr>
            </w:pPr>
          </w:p>
        </w:tc>
      </w:tr>
      <w:tr>
        <w:trPr>
          <w:trHeight w:val="47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46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11"/>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460" w:type="dxa"/>
            <w:vAlign w:val="bottom"/>
            <w:tcBorders>
              <w:bottom w:val="single" w:sz="8" w:color="auto"/>
            </w:tcBorders>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60" w:type="dxa"/>
            <w:vAlign w:val="bottom"/>
            <w:tcBorders>
              <w:bottom w:val="single" w:sz="8" w:color="auto"/>
            </w:tcBorders>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601,193</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342,388</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 as of December 25, 2022 are expected to be recognized as follows: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5,193</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0" w:type="dxa"/>
            <w:vAlign w:val="bottom"/>
          </w:tcPr>
          <w:p>
            <w:pPr>
              <w:spacing w:after="0"/>
              <w:rPr>
                <w:sz w:val="1"/>
                <w:szCs w:val="1"/>
                <w:color w:val="auto"/>
              </w:rPr>
            </w:pPr>
          </w:p>
        </w:tc>
      </w:tr>
      <w:tr>
        <w:trPr>
          <w:trHeight w:val="62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1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0" w:type="dxa"/>
            <w:vAlign w:val="bottom"/>
          </w:tcPr>
          <w:p>
            <w:pPr>
              <w:spacing w:after="0"/>
              <w:rPr>
                <w:sz w:val="1"/>
                <w:szCs w:val="1"/>
                <w:color w:val="auto"/>
              </w:rPr>
            </w:pP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1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6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1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0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138,942</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9 years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5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1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0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137,827</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9 years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amortization expense related to definite-lived intangible assets was $1.0 million, $1.0 million and $1.1 million in Fiscal 2022, Fiscal 2021 and Fiscal 2020,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of definite-lived intangible assets as of December 25, 2022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6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900"/>
        </w:trPr>
        <w:tc>
          <w:tcPr>
            <w:tcW w:w="3160" w:type="dxa"/>
            <w:vAlign w:val="bottom"/>
          </w:tcPr>
          <w:p>
            <w:pPr>
              <w:spacing w:after="0"/>
              <w:rPr>
                <w:sz w:val="24"/>
                <w:szCs w:val="24"/>
                <w:color w:val="auto"/>
              </w:rPr>
            </w:pPr>
          </w:p>
        </w:tc>
        <w:tc>
          <w:tcPr>
            <w:tcW w:w="6380" w:type="dxa"/>
            <w:vAlign w:val="bottom"/>
          </w:tcPr>
          <w:p>
            <w:pPr>
              <w:jc w:val="right"/>
              <w:ind w:right="3738"/>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40" w:type="dxa"/>
            <w:vAlign w:val="bottom"/>
          </w:tcPr>
          <w:p>
            <w:pPr>
              <w:spacing w:after="0"/>
              <w:rPr>
                <w:sz w:val="18"/>
                <w:szCs w:val="18"/>
                <w:color w:val="auto"/>
              </w:rPr>
            </w:pPr>
          </w:p>
        </w:tc>
        <w:tc>
          <w:tcPr>
            <w:tcW w:w="20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26"/>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and land improvements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land asset</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146,583</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 (including capitalized software)</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118,734</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assets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6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property, fixtures and equipment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(115,582)</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23"/>
        </w:trPr>
        <w:tc>
          <w:tcPr>
            <w:tcW w:w="6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property, fixtures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164,695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$33.3 million, $31.3 million and $29.6 million during Fiscal 2022, Fiscal 2021 and Fiscal 2020,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recognize an impairment loss in Fiscal 2022, Fiscal 2021 and Fiscal 2020. Loss on disposals of assets recognized of $0.9 million, $0.4 million and $0.3 million during Fiscal 2022, Fiscal 2021 and Fiscal 2020, respectively, primarily related to the write-off of assets retired as a result of restaurant closures or replacements of assets.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25, 2022 and December 26, 2021, Property, fixtures and equipment, net included $1.2 million in land related to sale and leaseback transactions accounted for as financing obligations.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w:t>
            </w:r>
          </w:p>
        </w:tc>
      </w:tr>
      <w:tr>
        <w:trPr>
          <w:trHeight w:val="237"/>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12"/>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37"/>
        </w:trPr>
        <w:tc>
          <w:tcPr>
            <w:tcW w:w="52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94,668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99,753</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FWR Holding Corporation, (“FWR”), an indirect subsidiary of the Company, is the borrower under the Credit Agreement, which provides for (i) a $100.0 million term loan A facility (the “Term Facility”) and (ii) a $75.0 million revolving credit facility (the “Revolving Credit Facility” and, together with the Term Facility, collectively, the “Credit Facilities”). The Revolving Credit Facility was undrawn at December 25, 2022 and December 26, 2021. The Credit Facilities mature on October 6, 2026.</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business day of each fiscal quarter, commencing on March 27, 2022, equal to (i) 2.5% of the original principal amount of the term loans in fiscal year ended December 25, 2022, (ii) 5.0% of the original principal amount of the term loans in fiscal year ended December 31, 2023, (iii) 5.0% of the original principal amount of the term loans in fiscal year ended December 29, 2024, (iv) 7.5% of the original principal amount of the term loans in fiscal year ended December 28, 2025 and (v) 10.0% of the original principal amount of the term loans in fiscal year ended December 27, 2026. The remaining aggregate principal amount outstanding (together with accrued and unpaid interest on the principal amount) under the Term Facility is payable at the maturity of the Term Facility.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Facilities bear interest, at the option of FWR at either (i) the base rate plus a margin of between 125 and 200 basis points depending on the total rent adjusted net leverage ratio of FWR and its restricted subsidiaries on a consolidated basis (the “Total Rent Adjusted Net Leverage Ratio”) or (ii) LIBOR plus a margin of between 225 and 300 basis points depending on the Total Rent Adjusted Net Leverage Ratio. In addition, an unused commitment fee of between 25 and 50 basis points will be paid on the undrawn commitments under the Revolving Credit Facility, also depending on the Total Rent Adjusted Net Leverage Ratio.</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amended its Credit Agreement to replace LIBOR with SOFR pursuant to the terms and LIBOR fallback language in the Credit Agreement. All outstanding borrowings under the Credit Agreement will continue to bear interest at LIBOR until the end of the current interest period or payment period pursuant to the terms of the Credit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proceeds from the IPO, the proceeds from borrowings under the Term Facility and cash on hand were used to repay in full the outstanding borrowings under our previous senior credit facilities in October 2021. This repayment was accounted for as a debt extinguishment for accounting purposes and a loss on debt extinguishment of $2.4 million was recorded in the fourth fiscal quarter of 2021 in Other income (expense), net.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At December 25, 2022, the estimated fair value of the outstanding debt under the Credit Facilities was $97.1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due on the outstanding debt, excluding finance lease liabilities and financing obligations, as of December 25, 2022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r>
      <w:tr>
        <w:trPr>
          <w:trHeight w:val="21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3"/>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34"/>
        </w:trPr>
        <w:tc>
          <w:tcPr>
            <w:tcW w:w="9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standby letter of credit to satisfy workers’ compensation requirements. The contract amount of the letter of credit approximates its fair value. As of December 25, 2022 and December 26, 2021, the open letter of credit was approximately $0.2 million and $0.4 million, respectively, and there were no draws against the letter of credit. The Company pays participation fees for the letter of credit based on a varying percentage of the amount not drawn.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are guaranteed by all of FWR’s wholly-owned domestic restricted subsidiaries, subject to customary exceptions, and by AI Fresh Parent, Inc., a Delaware corporation and the direct parent company of FWR (“Holdings”), and are secured by associated collateral agreements that pledge a lien on substantially all of FWR’s and each guarantor’s assets, including fixed assets and intangibles, in each case, subject to customary exceptions.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covenants under the Credit Agreement as of December 25, 2022 and December 26,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Company entered into an agreement for the financing of insurance premiums in a total amount of approximately $1.9 million. The note payable bears interest of 6.04% and is payable in monthly installments of $0.2 million through September 30, 2023. As of December 25, 2022, the balance on the note payable was $1.4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 financing agreement for the financing of insurance premiums in a total amount of approximately $3.0 million that bears interest of 2.41% and was payable in monthly installments of $0.3 million through August 30, 2022. As of December 26, 2021, the balance on the note payable was $2.4 million.</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324,995</w:t>
            </w:r>
          </w:p>
        </w:tc>
      </w:tr>
      <w:tr>
        <w:trPr>
          <w:trHeight w:val="213"/>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34"/>
        </w:trPr>
        <w:tc>
          <w:tcPr>
            <w:tcW w:w="3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326,887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366,113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0"/>
        </w:trPr>
        <w:tc>
          <w:tcPr>
            <w:tcW w:w="37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406,482</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370,698</w:t>
            </w:r>
          </w:p>
        </w:tc>
      </w:tr>
      <w:tr>
        <w:trPr>
          <w:trHeight w:val="23"/>
        </w:trPr>
        <w:tc>
          <w:tcPr>
            <w:tcW w:w="3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-728345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-453390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-179070</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2580" w:space="540"/>
            <w:col w:w="8120"/>
          </w:cols>
          <w:pgMar w:left="320" w:top="117"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line="350" w:lineRule="auto"/>
        <w:rPr>
          <w:sz w:val="20"/>
          <w:szCs w:val="20"/>
          <w:color w:val="auto"/>
        </w:rPr>
      </w:pPr>
      <w:r>
        <w:rPr>
          <w:rFonts w:ascii="Times New Roman" w:cs="Times New Roman" w:eastAsia="Times New Roman" w:hAnsi="Times New Roman"/>
          <w:sz w:val="15"/>
          <w:szCs w:val="15"/>
          <w:i w:val="1"/>
          <w:iCs w:val="1"/>
          <w:color w:val="auto"/>
        </w:rPr>
        <w:t xml:space="preserve">(in thousands) </w:t>
      </w:r>
      <w:r>
        <w:rPr>
          <w:rFonts w:ascii="Times New Roman" w:cs="Times New Roman" w:eastAsia="Times New Roman" w:hAnsi="Times New Roman"/>
          <w:sz w:val="15"/>
          <w:szCs w:val="15"/>
          <w:color w:val="auto"/>
        </w:rPr>
        <w:t>Operating lease expense</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Variable lease expense</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expense: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5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line="20" w:lineRule="exact"/>
              <w:rPr>
                <w:sz w:val="1"/>
                <w:szCs w:val="1"/>
                <w:color w:val="auto"/>
              </w:rPr>
            </w:pPr>
          </w:p>
        </w:tc>
      </w:tr>
      <w:tr>
        <w:trPr>
          <w:trHeight w:val="211"/>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44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Occupancy expenses</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Pre-opening expenses</w:t>
            </w:r>
          </w:p>
        </w:tc>
        <w:tc>
          <w:tcPr>
            <w:tcW w:w="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49,620</w:t>
            </w:r>
          </w:p>
        </w:tc>
        <w:tc>
          <w:tcPr>
            <w:tcW w:w="100" w:type="dxa"/>
            <w:vAlign w:val="bottom"/>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44,906</w:t>
            </w:r>
          </w:p>
        </w:tc>
        <w:tc>
          <w:tcPr>
            <w:tcW w:w="120" w:type="dxa"/>
            <w:vAlign w:val="bottom"/>
          </w:tcPr>
          <w:p>
            <w:pPr>
              <w:spacing w:after="0"/>
              <w:rPr>
                <w:sz w:val="13"/>
                <w:szCs w:val="13"/>
                <w:color w:val="auto"/>
              </w:rPr>
            </w:pPr>
          </w:p>
        </w:tc>
        <w:tc>
          <w:tcPr>
            <w:tcW w:w="34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41,813</w:t>
            </w:r>
          </w:p>
        </w:tc>
        <w:tc>
          <w:tcPr>
            <w:tcW w:w="0" w:type="dxa"/>
            <w:vAlign w:val="bottom"/>
          </w:tcPr>
          <w:p>
            <w:pPr>
              <w:spacing w:after="0"/>
              <w:rPr>
                <w:sz w:val="1"/>
                <w:szCs w:val="1"/>
                <w:color w:val="auto"/>
              </w:rPr>
            </w:pPr>
          </w:p>
        </w:tc>
      </w:tr>
      <w:tr>
        <w:trPr>
          <w:trHeight w:val="22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Food and beverage costs</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Occupancy expenses</w:t>
            </w:r>
          </w:p>
        </w:tc>
        <w:tc>
          <w:tcPr>
            <w:tcW w:w="3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-916305</wp:posOffset>
            </wp:positionV>
            <wp:extent cx="4183380"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83380" cy="44577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-136525</wp:posOffset>
            </wp:positionV>
            <wp:extent cx="418338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8338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60" w:space="600"/>
            <w:col w:w="90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4"/>
        </w:trPr>
        <w:tc>
          <w:tcPr>
            <w:tcW w:w="212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0"/>
                <w:szCs w:val="20"/>
                <w:color w:val="auto"/>
                <w:vertAlign w:val="superscript"/>
              </w:rPr>
              <w:t>(1)</w:t>
            </w:r>
          </w:p>
        </w:tc>
        <w:tc>
          <w:tcPr>
            <w:tcW w:w="4580" w:type="dxa"/>
            <w:vAlign w:val="bottom"/>
          </w:tcPr>
          <w:p>
            <w:pPr>
              <w:spacing w:after="0"/>
              <w:rPr>
                <w:sz w:val="18"/>
                <w:szCs w:val="18"/>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52,190</w:t>
            </w:r>
          </w:p>
        </w:tc>
      </w:tr>
      <w:tr>
        <w:trPr>
          <w:trHeight w:val="20"/>
        </w:trPr>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Includes contingent rent expense of $1.6 million and $1.1 million and $0.1 million during Fiscal 2022, Fiscal 2021 </w:t>
      </w:r>
      <w:r>
        <w:rPr>
          <w:rFonts w:ascii="Times New Roman" w:cs="Times New Roman" w:eastAsia="Times New Roman" w:hAnsi="Times New Roman"/>
          <w:sz w:val="17"/>
          <w:szCs w:val="17"/>
          <w:color w:val="auto"/>
        </w:rPr>
        <w:t>and Fiscal 2020</w:t>
      </w:r>
      <w:r>
        <w:rPr>
          <w:rFonts w:ascii="Times New Roman" w:cs="Times New Roman" w:eastAsia="Times New Roman" w:hAnsi="Times New Roman"/>
          <w:sz w:val="16"/>
          <w:szCs w:val="16"/>
          <w:color w:val="auto"/>
        </w:rPr>
        <w:t>, respectively.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40,601</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w:t>
            </w:r>
          </w:p>
        </w:tc>
      </w:tr>
      <w:tr>
        <w:trPr>
          <w:trHeight w:val="219"/>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0"/>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6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82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0"/>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25, 2022, future minimum lease payments for operating and finance leases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9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2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64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2"/>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$38.3 million of executed operating leases that have not commenced as of December 25,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Sale-Leaseback Transactions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Management entered into an agreement relating to the sale and leaseback of the land for use in restaurant operations and received cash proceeds of $3.1 million. As the Company had continuing involvement with the property, the sale of the land did not qualify for sale accounting. As a result, the cash proceeds were recorded as a financing obligation. The balance of the financing obligation was $3.1 million as of December 25, 2022 and December 26,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Transaction Expenses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 (income),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Secondary offering and Registration Statement on Form S-3 costs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 revaluation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costs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restaurant closures/relocations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6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transaction expenses (income),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a total of $2.0 million of costs was incurred by the Company in connection with the secondary public offering of the Company’s common stock by entities affiliated with our majority owner, Advent International Corporation (the “Secondary Offering”) and for the Registration Statement on Form S-3 that allows the Company to sell up to 5,000,000 shares of common stock from time to time in one or more offerings.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revalued the contingent consideration liability initially recognized in connection with the Advent Acquisition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 and recorded a loss of $0.2 million in Fiscal 2022, a loss of $0.8 million in Fiscal 2021 and a gain of $0.3 million in Fiscal 2020.</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gain on lease modification of $2.0 million was recognized in Fiscal 2021 in connection with a lease termination for the redevelopment of a restaurant facility by a landlord. Pursuant to the agreement, the Company received $1.0 million in December 2021 and received an additional $1.0 million after vacating the leased restaurant facility in December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7"/>
        </w:trPr>
        <w:tc>
          <w:tcPr>
            <w:tcW w:w="6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provision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18,458</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r>
      <w:tr>
        <w:trPr>
          <w:trHeight w:val="207"/>
        </w:trPr>
        <w:tc>
          <w:tcPr>
            <w:tcW w:w="6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deferred (provision) benefit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19,991</w:t>
            </w:r>
          </w:p>
        </w:tc>
      </w:tr>
      <w:tr>
        <w:trPr>
          <w:trHeight w:val="237"/>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16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at federal statutory rate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effect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FICA tip credit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(1,200.2)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 for federal and state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1,528.2</w:t>
            </w:r>
          </w:p>
        </w:tc>
        <w:tc>
          <w:tcPr>
            <w:tcW w:w="2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275.9</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Secondary Offering and Registration Statement on Form S-3 costs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permanent items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Rate change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7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669.5 %</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r>
      <w:tr>
        <w:trPr>
          <w:trHeight w:val="20"/>
        </w:trPr>
        <w:tc>
          <w:tcPr>
            <w:tcW w:w="5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effective income tax rate for Fiscal 2022, Fiscal 2021 and Fiscal 2020 was different than the blended federal and state statutory rate mainly due to (i) the change in the valuation allowance, (ii) the benefit of the tax credits for FICA taxes on certain employee tips, (iii) impacts of executive stock-based compensation and (iv) non-deductible costs associated with the Secondary Offering and the Registration Statement on Form S-3. The effective income tax rate for Fiscal 2021 was also different than the blended federal and state statutory rate as a result of the pre-vesting forfeiture of performance-based stock option awards for which the market condition was not satisfied upon the Company’s IPO (see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300" w:type="dxa"/>
            <w:vAlign w:val="bottom"/>
          </w:tcPr>
          <w:p>
            <w:pPr>
              <w:spacing w:after="0"/>
              <w:rPr>
                <w:sz w:val="18"/>
                <w:szCs w:val="18"/>
                <w:color w:val="auto"/>
              </w:rPr>
            </w:pPr>
          </w:p>
        </w:tc>
        <w:tc>
          <w:tcPr>
            <w:tcW w:w="2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19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0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FICA tip credit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34,266</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operating loss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34,619</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91,768</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Organizational costs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limitation</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(35,863)</w:t>
            </w: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30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132,342</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(80,401)</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(28,479)</w:t>
            </w:r>
          </w:p>
        </w:tc>
      </w:tr>
      <w:tr>
        <w:trPr>
          <w:trHeight w:val="213"/>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(35,951)</w:t>
            </w: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(144,831)</w:t>
            </w:r>
          </w:p>
        </w:tc>
      </w:tr>
      <w:tr>
        <w:trPr>
          <w:trHeight w:val="212"/>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income tax liabilities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(12,489)</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 evaluation of the Company's deferred tax assets, Management has recognized a valuation allowance of $41.8 million and $35.9 million as of December 25, 2022 and December 26, 2021, respectively. The valuation allowance primarily relates to the Company’s federal tax credit carryforwards that are not expected to be realized prior to the statutory expiration of the carryforward. The valuation allowance will be maintained until sufficient positive evidence exists to support its reversal, including but not limited to, the magnitude and duration of the Company’s historical losses as compared to potential future profits within taxing jurisdictions to overcome such negative evidence.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Carryforwards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expiration dates of federal tax loss carryforwards as of December 25, 2022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44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net operating loss carryforwards</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120,208</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net operating loss carryforwards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2036 - 2037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16,152</w:t>
            </w:r>
          </w:p>
        </w:tc>
      </w:tr>
    </w:tbl>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state net operating loss carryforwards of $42.7 million at December 25, 2022. In addition, the Company has general business tax credits of $41.7 million at December 25, 2022, which can be carried forward 20 years and will expire between 2027 and 2042.</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certain federal loss carryforward, state loss carryforward and general business credits that were accumulated from operations prior to the Advent Acquisition in August 2017. To the extent that these are utilized to reduce taxes payable, the Company is required to pay the previous stockholders an amount equal to tax savings. This requirement lapses with respect to any tax year, or portion thereof, beginning after December 31, 2024, or if a change in control event occurs. In connection with the Advent Acquisition, a contingent consideration liability of $1.2 million was initially recognized for expected payments to be made to the previous stockholders. As of December 25, 2022, the contingent consideration liability was $1.2 million, of which $0.6 million was recorded within Accrued liabilities and $0.6 million was recorded within Other long-term liabilities. As of December 26, 2021, the contingent consideration liability was $1.1 million, of which $0.2 million was recorded within Accrued liabilities and $0.9 million was recorded within Other long-term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97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976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45"/>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deferred tax asset valuation allowance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8"/>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2019</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27, 2020</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(30,214)</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26, 2021</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(35,863)</w:t>
            </w:r>
          </w:p>
        </w:tc>
      </w:tr>
      <w:tr>
        <w:trPr>
          <w:trHeight w:val="207"/>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(41,754)</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examination by federal, state and local jurisdictions, where applicable. As of December 25, 2022, the tax years that remain subject to examination by major tax jurisdictions under the statute of limitations are from the year 2013 and forward.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2020, the U.S. government enacted the Coronavirus Aid, Relief and Economic Security Act (“CARES Act”) to provide certain relief as a result of COVID-19. The CARES Act provides tax relief, along with other stimulus measures, including a retroactive technical correction of prior tax legislation for tax depreciation of certain qualified improvement property, among other changes. A total of $59.3 million of accelerated tax depreciation deductions was recognized related to qualified assets placed in service in Fiscal 2020, Fiscal 2019 and Fiscal 2018. Furthermore, the CARES Act made favorable changes to the Section 163(j) interest limitation and as a result, the Company was able to deduct additional interest totaling $18.9 million and $8.6 million for Fiscal 2020 and Fiscal 2019, respectively. In addition, Management began deferring the employer-paid portion of social security taxes as permitted by the CARES Act in the second quarter of Fiscal 2020. A total of $6.7 million was deferred, of which $3.3 million was paid in Fiscal 2021. The remaining balance was paid in Fiscal 2022. Furthermore, the CARES Act provided for refundable employee retention tax credits, which can be used to offset payroll tax liabilities. As a result, a credit of $0.9 million was recorded as an offset to payroll tax expense in Fiscal 2020.</w:t>
      </w:r>
    </w:p>
    <w:p>
      <w:pPr>
        <w:spacing w:after="0" w:line="2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2020, the Company had issued 266,667 preferred stock shares having a par value of $0.01 per share to existing stockholders, including Advent International Corporation, directors and executive officers. The proceeds from the issuance of the preferred stock were used to repay a portion of borrowings under our previous senior credit facilities and for working capital and general corporate purposes in Fiscal 2020. The preferred stock was automatically converted into 3,156,812 shares of common stock immediately prior to and in connection with the consummation of the Company’s IPO in October 2021.</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300,000,000 common stock shares with a par value of $0.01 per share and 10,000,000 preferred stock shares with a par value of $0.01 per share pursuant to the Company’s Amended and Restated Certificate of Incorporation.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for each share of common stock held and common stockholders will not have cumulative voting rights. Common stockholders are entitled to receive dividends, as and if declared by the board of directors. In addition, all common stockholders are entitled to share equally on a share-for-share basis in any assets available for distribution to common stockholders upon liquidation, dissolution, or winding up of the Company after payment is made to the preferred stockholders.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funds managed by the Company’s majority owner, Advent International Corporation, sold 4,500,000 shares of the Company’s common stock in the Secondary Offering. The selling stockholders sold an additional 675,000 shares of common stock on October 6, 2022 pursuant to the terms of the underwriters option associated with the Secondary Offering. All net proceeds from the sale of the shares of common stock were distributed to the selling stockholders.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declared or paid in Fiscal 2022, Fiscal 2021 and Fiscal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401(k) savings plan (“401(k) Plan”) which requires the Company to match contributions for participants with at least one year of service 25% of the first 6% of the employees’ wages deferred into the 401(k) Plan. The 401(k) Plan also allows for additional profit-sharing contributions by the Company at the sole discretion of Management. All Company contributions vest over a five-year period. Total expense for the Company’s contributions to the 401(k) Plan was $0.6 million, $0.5 million and $0.3 million in Fiscal 2022, Fiscal 2021 and Fiscal 2020,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2021 Equity Plan is 4,034,072 common shares (“Share Reserve”) at December 25, 2022. The number of shares of common stock that may be issued under the 2021 Equity Plan will automatically increase on the first day of each fiscal year, beginning on December 26, 2022 and continuing for each fiscal year until, and including, the fiscal year ending on (and including) December 29, 2030, equal to the least of (i) 2.0%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2021 Equity Plan and will not be available for future awards under the 2021 Equity Plan. A total of 1,018,975 non-qualified time-based stock option awards were granted under the 2021 Equity Plan during Fiscal 2022, which vest over a three-year requisite service period from the date of grant and expire 10 years after the grant date. Stock-based compensation expense is recognized on a straight-line recognition method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Equity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Equity Plan authorizes stock-based awards to be granted for up to 6,138,240 shares of common stock. The awards granted under the 2017 Equity Plan consisted of non-qualified stock options that generally vest based over a five-year requisite service period from the date of grant (the “time-based option awards”), as well as upon the occurrence of certain events and if certain market conditions were achieved, the (“performance-based option awards”). Stock-based compensation expense related to the stock option awards issued under the 2017 Plan is recognized on an accelerated recognition method over the requisite service period. All stock options have an exercisable life of no more than 10 years from the date of grant. No awards were granted under the 2017 Equity Plan during Fiscal 2022 and the Company does not intend to grant any further awards under the 2017 Equity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Performance-Based Option Awards - 2017 Equity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Company’s board of directors amended the 2017 Equity Plan such that the performance-based option awards that convert into time-based option awards upon an initial public offering no longer vest over a period of three years, but instead vest one-third (1/3rd) on each of the first two anniversaries of an initial public offering and one-third (1/3rd) on the 273rd day following the second anniversary of an initial public offering. This was accounted for as a modification, resulting in a new fair value for all the performance-based option awards using an option-pricing model as of the modification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performance-based option awards that contained a market condition granted under the 2017 Equity Plan, such that the vesting terms for one such tranche were amended to waive the market condition. Accordingly, upon the Company’s IPO, such tranche converted into time-based option awards and vest one-third (1/3rd) on each of the first two anniversaries of the Company’s IPO and one-third (1/3rd) on the 273rd day following the second anniversary of the Company’s IPO. This was accounted for as a modification resulting in a new fair value using the option-pricing model for such performance-based option awards as of the modification date.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an initial public offering such that they no longer vest one-third (1/3rd) on each of the first two anniversaries of an initial public offering and one-third (1/3rd) on the 273rd day following the second anniversary of an initial public offering, but instead will vest on August 1, 2022. Additionally, the exercise period of these time-based and performance-based vested option awards was modified such that any vested option may be exercised at any time prior to the 10th anniversary of the original grant date. These actions were accounted for as modifications and resulted in an increase of $0.3 million to the fair value of these awards.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consummation of the Company’s IPO in October 2021, certain performance-based option awards converted into time-based option awards and stock compensation expense of $2.4 million was recognized in the fourth quarter of Fiscal 2021. The remaining expense is being recognized on an accelerated recognition method over the remaining service period. An immediate one-time charge of $5.6 million was recognized upon closing of the IPO, which included (i) the expense from the date of the modifications through the IPO date and (ii) the expense related to performance-based option awards for which the market condition was not satisfied upon the IPO.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Fiscal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26, 2021</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4,409,331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25, 2022</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5,115,674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20,981</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December 25,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 Global Select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Fiscal 2022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WEIGHTED AVERAGE GRANT DATE FAIR VALUE</w:t>
            </w:r>
          </w:p>
        </w:tc>
      </w:tr>
      <w:tr>
        <w:trPr>
          <w:trHeight w:val="21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26, 2021</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2,633,391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1,018,975</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(1,177,991)</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(150,059)</w:t>
            </w:r>
          </w:p>
        </w:tc>
        <w:tc>
          <w:tcPr>
            <w:tcW w:w="460" w:type="dxa"/>
            <w:vAlign w:val="bottom"/>
            <w:tcBorders>
              <w:bottom w:val="single" w:sz="8" w:color="CCEEFF"/>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25, 2022</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2,324,316</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Fiscal 2022, Fiscal 2021 and Fiscal 2020 was $6.81, $6.35 and $1.02,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stock options vested during Fiscal 2022, Fiscal 2021 and Fiscal 2020 was $7.4 million, $0.9 million and $0.9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Stock Options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is estimated on the date of grant using the Black-Scholes valuation model. The assumptions utilized to estimate the grant date fair value of the stock option awards granted were as follows:</w:t>
      </w:r>
    </w:p>
    <w:p>
      <w:pPr>
        <w:spacing w:after="0" w:line="9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Borders>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5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term (years)</w:t>
            </w:r>
          </w:p>
        </w:tc>
        <w:tc>
          <w:tcPr>
            <w:tcW w:w="174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rPr>
              <w:t>6.5</w:t>
            </w:r>
          </w:p>
        </w:tc>
        <w:tc>
          <w:tcPr>
            <w:tcW w:w="1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4.6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25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rPr>
              <w:t>52.4 %</w:t>
            </w: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50.3 %</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41.2 %</w:t>
            </w:r>
          </w:p>
        </w:tc>
      </w:tr>
      <w:tr>
        <w:trPr>
          <w:trHeight w:val="21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5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rPr>
              <w:t>2.6 %</w:t>
            </w:r>
          </w:p>
        </w:tc>
        <w:tc>
          <w:tcPr>
            <w:tcW w:w="1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1.0 %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56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historical stock option exercise activity and therefore the expected term of stock options granted in Fiscal 2022 was estimated using the simplified method, which represents the mid-point between the vesting period and the contractual term for each grant. In Fiscal 2021 and Fiscal 2020, the expected term of stock option awards had been determined based on data from publicly traded companies. For Fiscal 2022, Fiscal 2021 and Fiscal 2020, the expected volatility of stock options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a total of 38,311 restricted stock units were granted under the 2021 Equity Plan at the weighted average grant date fair value of $14.36. The restricted stock units will vest over a one-year requisite service period from the date of grant and the fair value of restricted stock units was determined based on the closing market price of the Company’s common stock on the date of grant. Stock-based compensation expense related to the restricted stock units is recognized on a straight-line basis over the vesting period. There were no forfeitures of restricted stock units in Fiscal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$10.4 million, $8.6 million and $0.8 million during Fiscal 2022, Fiscal 2021 and Fiscal 2020, respectively.</w:t>
      </w:r>
    </w:p>
    <w:p>
      <w:pPr>
        <w:spacing w:after="0" w:line="2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$2.1 million, $0.9 million and $0.2 million for Fiscal 2022, Fiscal 2021 and Fiscal 2020, respectively.</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received from stock options exercised was $1.4 million and the tax benefit realized from the option exercises was $0.3 million in Fiscal 2022. The total intrinsic value of stock options exercised during Fiscal 2022 was $1.1 million. There were no stock option exercises in Fiscal 2021 and 2020.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December 25,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WEIGHTED AVERAGE</w:t>
            </w:r>
          </w:p>
        </w:tc>
      </w:tr>
      <w:tr>
        <w:trPr>
          <w:trHeight w:val="162"/>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COMPENSATION EXPENSE</w:t>
            </w:r>
          </w:p>
        </w:tc>
        <w:tc>
          <w:tcPr>
            <w:tcW w:w="4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r>
      <w:tr>
        <w:trPr>
          <w:trHeight w:val="214"/>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9,602</w:t>
            </w:r>
          </w:p>
        </w:tc>
        <w:tc>
          <w:tcPr>
            <w:tcW w:w="1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bl>
    <w:p>
      <w:pPr>
        <w:spacing w:after="0" w:line="3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various purchase obligations in the ordinary course of business, generally of a short-term nature. These purchase obligations include commitments for inventory purchases, marketing-related contracts, corporate sponsorships, software/license commitments and service contracts. We also enter into long-term, exclusive contracts with vendors to supply us with certain goods and services, however, they generally do not include firm minimum purchase commitments.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Management entered into an agreement with a vendor to purchase product. The agreement will remain in effect through the later of (i) the purchase of 585,940 gallons of product or (ii) five years from the effective date of the agreement. The remaining minimum purchase commitment as of December 25, 2022 was approximately $9.1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ultimate liability with respect to these matters was not material as of December 25, 2022. In the event any litigation losses become probable and estimable, the Company will recognize any anticipated losses.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Property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26, 2022, 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(loss)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4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59,097,512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60,140,045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(loss) per</w:t>
            </w:r>
          </w:p>
        </w:tc>
        <w:tc>
          <w:tcPr>
            <w:tcW w:w="4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1,787,517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4,409,331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5,143,229</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 as their effect is anti-dilutive</w:t>
            </w:r>
          </w:p>
        </w:tc>
        <w:tc>
          <w:tcPr>
            <w:tcW w:w="4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stock option awards outstanding were excluded from the calculation of diluted net loss per common share because of their anti-dilutive impact for Fiscal 2021 and Fiscal 2020. All preferred stock shares were excluded from the calculation of diluted net loss per common share because of their anti-dilutive impact for Fiscal 2021 and Fiscal 2020. As a result, there was no difference between basic and diluted net loss per common share attributable to First Watch Restaurant Group, Inc. during Fiscal 2021 and Fiscal 2020.</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2020, the performance-based stock options that were granted under the 2017 Equity Plan, certain of which were converted into time-based stock options upon the Company’s IPO, were excluded from the diluted net loss per common share calculation as the performance condition was not considered probable of being met.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Condensed Financial Information of Registrant (Parent Company Only)</w:t>
      </w:r>
    </w:p>
    <w:p>
      <w:pPr>
        <w:spacing w:after="0" w:line="3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(PARENT COMPANY ONLY)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59,211,019 and 59,048,446 shares issued</w:t>
            </w:r>
          </w:p>
        </w:tc>
        <w:tc>
          <w:tcPr>
            <w:tcW w:w="3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at December 25, 2022 and December 26, 2021, respectively</w:t>
            </w:r>
          </w:p>
        </w:tc>
        <w:tc>
          <w:tcPr>
            <w:tcW w:w="3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 attributable to First Watch Restaurant Group, Inc.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 net income (loss) of subsidiaries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and comprehensive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(49,681)</w:t>
            </w:r>
          </w:p>
        </w:tc>
        <w:tc>
          <w:tcPr>
            <w:tcW w:w="0" w:type="dxa"/>
            <w:vAlign w:val="bottom"/>
          </w:tcPr>
          <w:p>
            <w:pPr>
              <w:spacing w:after="0"/>
              <w:rPr>
                <w:sz w:val="1"/>
                <w:szCs w:val="1"/>
                <w:color w:val="auto"/>
              </w:rPr>
            </w:pPr>
          </w:p>
        </w:tc>
      </w:tr>
      <w:tr>
        <w:trPr>
          <w:trHeight w:val="273"/>
        </w:trPr>
        <w:tc>
          <w:tcPr>
            <w:tcW w:w="5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 common share attributable to First Watch Restaurant Group, Inc. -</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 common share attributable to First Watch Restaurant Group, Inc. -</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-basic</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59,097,512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60,140,045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of cash flows have not been presented as First Watch Restaurant Group, Inc. did not have any cash as of, or for Fiscal 2022, Fiscal 2021 and Fiscal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is a holding company without any operations of its own (the “Parent Company”). Pursuant to the terms of the Credit Agreement discussed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and certain subsidiaries of the Company have restrictions on their ability to, among other things, (i) incur additional indebtedness, pay dividends or make certain intercompany loans and advances, and (ii) exceed a maximum total rent adjusted net leverage ratio or fall below a minimum fixed charge coverage ratio.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25, 2022 and December 26, 2021.</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GAAP have been condensed or omitted. The accompanying financial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accompanying Company’s consolidated financial statements and related notes thereto.</w:t>
      </w:r>
    </w:p>
    <w:p>
      <w:pPr>
        <w:spacing w:after="0" w:line="329" w:lineRule="exact"/>
        <w:rPr>
          <w:sz w:val="20"/>
          <w:szCs w:val="20"/>
          <w:color w:val="auto"/>
        </w:rPr>
      </w:pPr>
    </w:p>
    <w:p>
      <w:pPr>
        <w:ind w:right="3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Annual Report on Form 10-K,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Annual Report on Form 10-K. Due to the material weaknesses in our internal control over financial reporting discussed below, our Chief Executive Officer and Chief Financial Officer concluded that, as of December 25, 2022,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and 15d-15(f). Under the supervision and with the participation of our management, including our CEO and CFO, we conducted an evaluation of the effectiveness of our internal control over financial reporting. Management has adopted the framework in “Internal Control-Integrated Framework” (2013) issued by the Committee of Sponsoring Organizations of the Treadway Commission (“COSO”).</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of the effectiveness of the Company’s internal control over financial reporting as of December 25, 2022 based on the COSO framework, management has determined that the Company’s internal control over financial reporting as of December 25, 2022 was not effective.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The material weaknesses we identified were as follows: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210"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financial statements, which were recorded prior to the issuance of our fiscal 2018 consolidated financial statements.</w:t>
      </w:r>
    </w:p>
    <w:p>
      <w:pPr>
        <w:spacing w:after="0" w:line="252" w:lineRule="exact"/>
        <w:rPr>
          <w:sz w:val="20"/>
          <w:szCs w:val="20"/>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until we are no longer an “emerging growth company” as defined in the JOBS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certain measures to remediate the material weaknesses described above, including the following:</w:t>
      </w:r>
    </w:p>
    <w:p>
      <w:pPr>
        <w:spacing w:after="0" w:line="252"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special skills in income tax, internal audit, information technology, and legal.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 responsibilities, including ensuring appropriate segregation of duties.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as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well as establishing a formal management Disclosure Committee to review the draft financial statements and disclosures prior to release, including a sub-certification process from various functional groups.</w:t>
      </w:r>
    </w:p>
    <w:p>
      <w:pPr>
        <w:spacing w:after="0" w:line="189"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over the accounting for income taxes to ensure the appropriate recording of deferred income taxes, income taxes and related disclosures.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sufficient user access controls to ensure appropriate segregation of duties and adequately restrict user and privileged access to financial applications, programs and data to appropriate Company personnel.</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change management controls to ensure that information technology program and data changes affecting financial information technology applications and underlying accounting records are identified, tested, authorized, and implemented appropriately.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computer operation controls to ensure critical jobs are monitored and privileges are appropriately granted.</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new backup and recovery platform to monitor data backups for all relevant systems in accordance with the applicable policy as well as manage a test recovery process.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operating effectively.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among others, our chief executive officer, chief financial officer (who is also our principal accounting officer), and other finance and accounting leaders, which is a “code of ethics” as defined by applicable rules of the SEC. This code is publicly available on our website. The Internet address for our website is www.firstwatch.com, and the Code of Ethics and Business Conduct may be found on our main webpage by clicking first on “Investors” and then on “Corporate Governance” and next on “Code of Ethics and Business Conduct.” If we make any amendments to this code other than technical, administrative or other non-substantive amendments, or grant any waivers, including implicit waivers, from a provision of this code to our chief executive officer, chief financial officer (who is also our principal accounting officer), or other finance and accounting leaders, we will disclose the nature of the amendment or waiver, its effective date and to whom it applies on our website as specified above or in a report on Form 8-K filed with the SEC.</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the sections entitled “Proposal 1: Director Election Proposal,” “Information Regarding the board of directors and Corporate Governance,” and “Executive Officers” in our definitive Proxy Statement for the Annual Meeting of Stockholders expected to be held on May 23, 2023 (the “Proxy Statement”).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disclosure of delinquent Section 16(a) reports, if any, in our Proxy Statement, and such disclosure, if any,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“Executive Compensation,” “Outstanding Equity Awards at Fiscal Year-End,” and “Director Compensation” in the Proxy Statement.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“Security Ownership of Certain Beneficial Owners and Management”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“Certain Relationships and Related Transactions” and “Information Regarding the board of directors and Corporate Governance”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“Proposal 2: Auditor Ratification Proposal,” “Auditors Fees and Services” and “Policy for Approval of Audit and Permitted Non-Audit Services” in the Proxy Statement.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Annual Report on Form 10-K:</w:t>
      </w:r>
    </w:p>
    <w:p>
      <w:pPr>
        <w:spacing w:after="0" w:line="18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financial statements filed as part of this report are listed under Item 8, “Financial Statements and Supplementary Data.”</w:t>
      </w:r>
    </w:p>
    <w:p>
      <w:pPr>
        <w:spacing w:after="0" w:line="1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34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schedules are required because either the required information is not present or is not present in amounts sufficient to require submission of the schedule, or because the information required is included in the consolidated financial statements or notes thereto.</w:t>
      </w:r>
    </w:p>
    <w:p>
      <w:pPr>
        <w:spacing w:after="0" w:line="13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  DESCRIPTION</w:t>
            </w: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6"/>
        </w:trPr>
        <w:tc>
          <w:tcPr>
            <w:tcW w:w="7100" w:type="dxa"/>
            <w:vAlign w:val="bottom"/>
            <w:gridSpan w:val="4"/>
            <w:vMerge w:val="continue"/>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4.1</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4.3</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w:t>
      </w:r>
    </w:p>
    <w:p>
      <w:pPr>
        <w:spacing w:after="0" w:line="3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10.2</w:t>
      </w:r>
    </w:p>
    <w:p>
      <w:pPr>
        <w:spacing w:after="0" w:line="3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10.2(a)</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8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Amended and Restated Certificate of Incorporation of First Watch Restaurant</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Group, Inc.</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Amended and Restated Bylaws of First Watch Restaurant Group,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Certificate of Common Stock</w:t>
        </w:r>
      </w:hyperlink>
    </w:p>
    <w:p>
      <w:pPr>
        <w:spacing w:after="0" w:line="23"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Registration Rights Agreement by and among First Watch Restaurant Group, Inc.</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and the other parties thereto, dated as of October 1, 2021</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Description of First Watch Restaurant Group, Inc. Securities</w:t>
        </w:r>
      </w:hyperlink>
    </w:p>
    <w:p>
      <w:pPr>
        <w:spacing w:after="0" w:line="27" w:lineRule="exact"/>
        <w:rPr>
          <w:sz w:val="20"/>
          <w:szCs w:val="20"/>
          <w:color w:val="auto"/>
        </w:rPr>
      </w:pPr>
    </w:p>
    <w:p>
      <w:pPr>
        <w:jc w:val="both"/>
        <w:ind w:right="320"/>
        <w:spacing w:after="0" w:line="224"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Credit Agreement, dated as of October 6, 2021, by and among FWR Holding</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Corporation, AI Fresh Parent, Inc.,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therein and Bank of America, N.A., as administrative agent</w:t>
        </w:r>
      </w:hyperlink>
    </w:p>
    <w:p>
      <w:pPr>
        <w:spacing w:after="0" w:line="10" w:lineRule="exact"/>
        <w:rPr>
          <w:rFonts w:ascii="Times New Roman" w:cs="Times New Roman" w:eastAsia="Times New Roman" w:hAnsi="Times New Roman"/>
          <w:sz w:val="18"/>
          <w:szCs w:val="18"/>
          <w:u w:val="single" w:color="auto"/>
          <w:color w:val="0000FF"/>
        </w:rPr>
      </w:pPr>
    </w:p>
    <w:p>
      <w:pPr>
        <w:spacing w:after="0" w:line="226" w:lineRule="auto"/>
        <w:rPr>
          <w:sz w:val="20"/>
          <w:szCs w:val="20"/>
          <w:color w:val="auto"/>
        </w:rPr>
      </w:pPr>
      <w:r>
        <w:rPr>
          <w:rFonts w:ascii="Times New Roman" w:cs="Times New Roman" w:eastAsia="Times New Roman" w:hAnsi="Times New Roman"/>
          <w:sz w:val="18"/>
          <w:szCs w:val="18"/>
          <w:u w:val="single" w:color="auto"/>
          <w:color w:val="0000FF"/>
        </w:rPr>
        <w:t>Amendment No. 1 to Credit Agreement dated as of February 24, 2023, between FWR Holding Corporation as Borrower, the lenders party therto, the other parties therein and Bank of America N.A., as administrative agent</w:t>
      </w:r>
    </w:p>
    <w:p>
      <w:pPr>
        <w:spacing w:after="0" w:line="9" w:lineRule="exact"/>
        <w:rPr>
          <w:rFonts w:ascii="Times New Roman" w:cs="Times New Roman" w:eastAsia="Times New Roman" w:hAnsi="Times New Roman"/>
          <w:sz w:val="18"/>
          <w:szCs w:val="18"/>
          <w:u w:val="single" w:color="auto"/>
          <w:color w:val="0000FF"/>
        </w:rPr>
      </w:pPr>
    </w:p>
    <w:p>
      <w:pPr>
        <w:ind w:right="200"/>
        <w:spacing w:after="0" w:line="22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Credit Agreement, dated as of August 21, 2017, between FWR Holding</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Corporation as Borrower, the lenders party thereto, and Golub Capital Markets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LLC, as 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October 6, 2021 Form 8-K, Exhibit 3.1</w:t>
      </w:r>
    </w:p>
    <w:p>
      <w:pPr>
        <w:spacing w:after="0" w:line="129" w:lineRule="exact"/>
        <w:rPr>
          <w:rFonts w:ascii="Times New Roman" w:cs="Times New Roman" w:eastAsia="Times New Roman" w:hAnsi="Times New Roman"/>
          <w:sz w:val="18"/>
          <w:szCs w:val="18"/>
          <w:u w:val="single" w:color="auto"/>
          <w:color w:val="0000FF"/>
        </w:rPr>
      </w:pPr>
    </w:p>
    <w:p>
      <w:pPr>
        <w:ind w:right="1300"/>
        <w:spacing w:after="0" w:line="314" w:lineRule="auto"/>
        <w:rPr>
          <w:sz w:val="20"/>
          <w:szCs w:val="20"/>
          <w:color w:val="auto"/>
        </w:rPr>
      </w:pPr>
      <w:r>
        <w:rPr>
          <w:rFonts w:ascii="Times New Roman" w:cs="Times New Roman" w:eastAsia="Times New Roman" w:hAnsi="Times New Roman"/>
          <w:sz w:val="17"/>
          <w:szCs w:val="17"/>
          <w:color w:val="auto"/>
        </w:rPr>
        <w:t>October 6, 2021 Form 8-K, Exhibit 3.2 September 7, 2021 Form S-1, Exhibit 4.1</w:t>
      </w:r>
    </w:p>
    <w:p>
      <w:pPr>
        <w:spacing w:after="0" w:line="42" w:lineRule="exact"/>
        <w:rPr>
          <w:rFonts w:ascii="Times New Roman" w:cs="Times New Roman" w:eastAsia="Times New Roman" w:hAnsi="Times New Roman"/>
          <w:sz w:val="18"/>
          <w:szCs w:val="18"/>
          <w:u w:val="single" w:color="auto"/>
          <w:color w:val="0000FF"/>
        </w:rPr>
      </w:pPr>
    </w:p>
    <w:p>
      <w:pPr>
        <w:ind w:right="1340"/>
        <w:spacing w:after="0" w:line="430" w:lineRule="auto"/>
        <w:rPr>
          <w:sz w:val="20"/>
          <w:szCs w:val="20"/>
          <w:color w:val="auto"/>
        </w:rPr>
      </w:pPr>
      <w:r>
        <w:rPr>
          <w:rFonts w:ascii="Times New Roman" w:cs="Times New Roman" w:eastAsia="Times New Roman" w:hAnsi="Times New Roman"/>
          <w:sz w:val="17"/>
          <w:szCs w:val="17"/>
          <w:color w:val="auto"/>
        </w:rPr>
        <w:t>March 23, 2022, Form 10-K, Exhibit 4.2 March 23, 2022, Form 10-K, Exhibit 4.3</w:t>
      </w:r>
    </w:p>
    <w:p>
      <w:pPr>
        <w:spacing w:after="0" w:line="2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October 6, 2021, Form 8-K, Exhibit 10.1</w:t>
      </w:r>
    </w:p>
    <w:p>
      <w:pPr>
        <w:spacing w:after="0" w:line="39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9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10.1(a)</w:t>
      </w:r>
    </w:p>
    <w:p>
      <w:pPr>
        <w:spacing w:after="0" w:line="417"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660" w:space="260"/>
            <w:col w:w="5860" w:space="340"/>
            <w:col w:w="412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10.2(b)</w:t>
            </w:r>
          </w:p>
        </w:tc>
        <w:tc>
          <w:tcPr>
            <w:tcW w:w="5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First Amendment to Credit Agreement, dated as of February 28, 2019, between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6060" w:type="dxa"/>
            <w:vAlign w:val="bottom"/>
            <w:gridSpan w:val="29"/>
            <w:vMerge w:val="restart"/>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FWR Holding Corporation as Borrower, the lenders party thereto, and Golub</w:t>
              </w:r>
            </w:hyperlink>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606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5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Capital Markets LLC, as administrative agent</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10.2(c)</w:t>
            </w:r>
          </w:p>
        </w:tc>
        <w:tc>
          <w:tcPr>
            <w:tcW w:w="606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Second Amendment to Credit Agreement, dated as of December 20, 2019, between</w:t>
              </w:r>
            </w:hyperlink>
          </w:p>
        </w:tc>
        <w:tc>
          <w:tcPr>
            <w:tcW w:w="0" w:type="dxa"/>
            <w:vAlign w:val="bottom"/>
          </w:tcPr>
          <w:p>
            <w:pPr>
              <w:spacing w:after="0"/>
              <w:rPr>
                <w:sz w:val="1"/>
                <w:szCs w:val="1"/>
                <w:color w:val="auto"/>
              </w:rPr>
            </w:pPr>
          </w:p>
        </w:tc>
      </w:tr>
      <w:tr>
        <w:trPr>
          <w:trHeight w:val="156"/>
        </w:trPr>
        <w:tc>
          <w:tcPr>
            <w:tcW w:w="780" w:type="dxa"/>
            <w:vAlign w:val="bottom"/>
            <w:vMerge w:val="continue"/>
          </w:tcPr>
          <w:p>
            <w:pPr>
              <w:spacing w:after="0"/>
              <w:rPr>
                <w:sz w:val="13"/>
                <w:szCs w:val="13"/>
                <w:color w:val="auto"/>
              </w:rPr>
            </w:pPr>
          </w:p>
        </w:tc>
        <w:tc>
          <w:tcPr>
            <w:tcW w:w="6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FWR Holding Corporation as Borrower, the lenders party thereto, and Golub</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554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Capital Markets LLC, as administrative agent</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10.2(d)</w:t>
            </w:r>
          </w:p>
        </w:tc>
        <w:tc>
          <w:tcPr>
            <w:tcW w:w="606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Third Amendment to Credit Agreement, dated as of April 27, 2020, between FWR</w:t>
              </w:r>
            </w:hyperlink>
          </w:p>
        </w:tc>
        <w:tc>
          <w:tcPr>
            <w:tcW w:w="0" w:type="dxa"/>
            <w:vAlign w:val="bottom"/>
          </w:tcPr>
          <w:p>
            <w:pPr>
              <w:spacing w:after="0"/>
              <w:rPr>
                <w:sz w:val="1"/>
                <w:szCs w:val="1"/>
                <w:color w:val="auto"/>
              </w:rPr>
            </w:pPr>
          </w:p>
        </w:tc>
      </w:tr>
      <w:tr>
        <w:trPr>
          <w:trHeight w:val="155"/>
        </w:trPr>
        <w:tc>
          <w:tcPr>
            <w:tcW w:w="780" w:type="dxa"/>
            <w:vAlign w:val="bottom"/>
            <w:vMerge w:val="continue"/>
          </w:tcPr>
          <w:p>
            <w:pPr>
              <w:spacing w:after="0"/>
              <w:rPr>
                <w:sz w:val="13"/>
                <w:szCs w:val="13"/>
                <w:color w:val="auto"/>
              </w:rPr>
            </w:pPr>
          </w:p>
        </w:tc>
        <w:tc>
          <w:tcPr>
            <w:tcW w:w="59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Holding Corporation as Borrower, the lenders party thereto, and Golub Capital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56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Markets LLC, as administrative agent</w:t>
              </w:r>
            </w:hyperlink>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10.2(e)</w:t>
            </w:r>
          </w:p>
        </w:tc>
        <w:tc>
          <w:tcPr>
            <w:tcW w:w="6060" w:type="dxa"/>
            <w:vAlign w:val="bottom"/>
            <w:gridSpan w:val="2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Fourth Amendment to Credit Agreement, dated as of August 14, 2020, between</w:t>
              </w:r>
            </w:hyperlink>
          </w:p>
        </w:tc>
        <w:tc>
          <w:tcPr>
            <w:tcW w:w="0" w:type="dxa"/>
            <w:vAlign w:val="bottom"/>
          </w:tcPr>
          <w:p>
            <w:pPr>
              <w:spacing w:after="0"/>
              <w:rPr>
                <w:sz w:val="1"/>
                <w:szCs w:val="1"/>
                <w:color w:val="auto"/>
              </w:rPr>
            </w:pPr>
          </w:p>
        </w:tc>
      </w:tr>
      <w:tr>
        <w:trPr>
          <w:trHeight w:val="156"/>
        </w:trPr>
        <w:tc>
          <w:tcPr>
            <w:tcW w:w="780" w:type="dxa"/>
            <w:vAlign w:val="bottom"/>
            <w:vMerge w:val="continue"/>
          </w:tcPr>
          <w:p>
            <w:pPr>
              <w:spacing w:after="0"/>
              <w:rPr>
                <w:sz w:val="13"/>
                <w:szCs w:val="13"/>
                <w:color w:val="auto"/>
              </w:rPr>
            </w:pPr>
          </w:p>
        </w:tc>
        <w:tc>
          <w:tcPr>
            <w:tcW w:w="57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FWR Holding Corporation as Borrower, the lenders party thereto, and Golub</w:t>
              </w:r>
            </w:hyperlink>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554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Capital Markets LLC, as Administrative Agent</w:t>
              </w:r>
            </w:hyperlink>
          </w:p>
        </w:tc>
        <w:tc>
          <w:tcPr>
            <w:tcW w:w="4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w:t>
            </w:r>
          </w:p>
        </w:tc>
        <w:tc>
          <w:tcPr>
            <w:tcW w:w="606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Employment Agreement, dated March 9, 2022, by and between First Watch</w:t>
              </w:r>
            </w:hyperlink>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5440" w:type="dxa"/>
            <w:vAlign w:val="bottom"/>
            <w:tcBorders>
              <w:top w:val="single" w:sz="8" w:color="0000FF"/>
            </w:tcBorders>
            <w:gridSpan w:val="17"/>
            <w:vMerge w:val="restart"/>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Restaurants, Inc. and Christopher A. Tomasso</w:t>
              </w:r>
            </w:hyperlink>
          </w:p>
        </w:tc>
        <w:tc>
          <w:tcPr>
            <w:tcW w:w="620" w:type="dxa"/>
            <w:vAlign w:val="bottom"/>
            <w:gridSpan w:val="1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5440" w:type="dxa"/>
            <w:vAlign w:val="bottom"/>
            <w:gridSpan w:val="17"/>
            <w:vMerge w:val="continue"/>
          </w:tcPr>
          <w:p>
            <w:pPr>
              <w:spacing w:after="0"/>
              <w:rPr>
                <w:sz w:val="3"/>
                <w:szCs w:val="3"/>
                <w:color w:val="auto"/>
              </w:rPr>
            </w:pPr>
          </w:p>
        </w:tc>
        <w:tc>
          <w:tcPr>
            <w:tcW w:w="62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10.4*</w:t>
            </w:r>
          </w:p>
        </w:tc>
        <w:tc>
          <w:tcPr>
            <w:tcW w:w="606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Employment Agreement, dated August 21, 2017, by and between First Watch</w:t>
              </w:r>
            </w:hyperlink>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2720" w:type="dxa"/>
            <w:vAlign w:val="bottom"/>
            <w:tcBorders>
              <w:top w:val="single" w:sz="8" w:color="0000FF"/>
            </w:tcBorders>
            <w:gridSpan w:val="6"/>
            <w:vMerge w:val="restart"/>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Restaurants, Inc. and Laura Sorensen</w:t>
              </w:r>
            </w:hyperlink>
          </w:p>
        </w:tc>
        <w:tc>
          <w:tcPr>
            <w:tcW w:w="2860" w:type="dxa"/>
            <w:vAlign w:val="bottom"/>
            <w:tcBorders>
              <w:top w:val="single" w:sz="8" w:color="0000FF"/>
            </w:tcBorders>
            <w:gridSpan w:val="13"/>
            <w:vMerge w:val="restart"/>
          </w:tcPr>
          <w:p>
            <w:pPr>
              <w:spacing w:after="0"/>
              <w:rPr>
                <w:sz w:val="10"/>
                <w:szCs w:val="10"/>
                <w:color w:val="auto"/>
              </w:rPr>
            </w:pPr>
          </w:p>
        </w:tc>
        <w:tc>
          <w:tcPr>
            <w:tcW w:w="48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2720" w:type="dxa"/>
            <w:vAlign w:val="bottom"/>
            <w:tcBorders>
              <w:bottom w:val="single" w:sz="8" w:color="0000FF"/>
            </w:tcBorders>
            <w:gridSpan w:val="6"/>
            <w:vMerge w:val="continue"/>
          </w:tcPr>
          <w:p>
            <w:pPr>
              <w:spacing w:after="0"/>
              <w:rPr>
                <w:sz w:val="3"/>
                <w:szCs w:val="3"/>
                <w:color w:val="auto"/>
              </w:rPr>
            </w:pPr>
          </w:p>
        </w:tc>
        <w:tc>
          <w:tcPr>
            <w:tcW w:w="2860" w:type="dxa"/>
            <w:vAlign w:val="bottom"/>
            <w:gridSpan w:val="13"/>
            <w:vMerge w:val="continue"/>
          </w:tcPr>
          <w:p>
            <w:pPr>
              <w:spacing w:after="0"/>
              <w:rPr>
                <w:sz w:val="3"/>
                <w:szCs w:val="3"/>
                <w:color w:val="auto"/>
              </w:rPr>
            </w:pPr>
          </w:p>
        </w:tc>
        <w:tc>
          <w:tcPr>
            <w:tcW w:w="48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10.6*</w:t>
            </w:r>
          </w:p>
        </w:tc>
        <w:tc>
          <w:tcPr>
            <w:tcW w:w="60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Letter Agreement, dated February 1, 2021, by and between First Watch Restaurants,</w:t>
              </w:r>
            </w:hyperlink>
          </w:p>
        </w:tc>
        <w:tc>
          <w:tcPr>
            <w:tcW w:w="0" w:type="dxa"/>
            <w:vAlign w:val="bottom"/>
          </w:tcPr>
          <w:p>
            <w:pPr>
              <w:spacing w:after="0"/>
              <w:rPr>
                <w:sz w:val="1"/>
                <w:szCs w:val="1"/>
                <w:color w:val="auto"/>
              </w:rPr>
            </w:pPr>
          </w:p>
        </w:tc>
      </w:tr>
      <w:tr>
        <w:trPr>
          <w:trHeight w:val="128"/>
        </w:trPr>
        <w:tc>
          <w:tcPr>
            <w:tcW w:w="780" w:type="dxa"/>
            <w:vAlign w:val="bottom"/>
            <w:vMerge w:val="continue"/>
          </w:tcPr>
          <w:p>
            <w:pPr>
              <w:spacing w:after="0"/>
              <w:rPr>
                <w:sz w:val="11"/>
                <w:szCs w:val="11"/>
                <w:color w:val="auto"/>
              </w:rPr>
            </w:pPr>
          </w:p>
        </w:tc>
        <w:tc>
          <w:tcPr>
            <w:tcW w:w="6060" w:type="dxa"/>
            <w:vAlign w:val="bottom"/>
            <w:gridSpan w:val="29"/>
            <w:vMerge w:val="restart"/>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 and Kenneth L. Pendery, Jr.</w:t>
              </w:r>
            </w:hyperlink>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606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10.7*</w:t>
            </w:r>
          </w:p>
        </w:tc>
        <w:tc>
          <w:tcPr>
            <w:tcW w:w="58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Letter Agreement, dated July 12, 2018, by and between First Watch Restaurants,</w:t>
              </w:r>
            </w:hyperlink>
          </w:p>
        </w:tc>
        <w:tc>
          <w:tcPr>
            <w:tcW w:w="2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1340" w:type="dxa"/>
            <w:vAlign w:val="bottom"/>
            <w:gridSpan w:val="3"/>
            <w:vMerge w:val="restart"/>
          </w:tcPr>
          <w:p>
            <w:pPr>
              <w:spacing w:after="0" w:line="156"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Inc. and Mel Hope</w:t>
              </w:r>
            </w:hyperlink>
          </w:p>
        </w:tc>
        <w:tc>
          <w:tcPr>
            <w:tcW w:w="4720" w:type="dxa"/>
            <w:vAlign w:val="bottom"/>
            <w:gridSpan w:val="2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1340" w:type="dxa"/>
            <w:vAlign w:val="bottom"/>
            <w:tcBorders>
              <w:bottom w:val="single" w:sz="8" w:color="0000FF"/>
            </w:tcBorders>
            <w:gridSpan w:val="3"/>
            <w:vMerge w:val="continue"/>
          </w:tcPr>
          <w:p>
            <w:pPr>
              <w:spacing w:after="0"/>
              <w:rPr>
                <w:sz w:val="3"/>
                <w:szCs w:val="3"/>
                <w:color w:val="auto"/>
              </w:rPr>
            </w:pPr>
          </w:p>
        </w:tc>
        <w:tc>
          <w:tcPr>
            <w:tcW w:w="472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10.8*</w:t>
            </w:r>
          </w:p>
        </w:tc>
        <w:tc>
          <w:tcPr>
            <w:tcW w:w="59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First Watch Restaurant Group, Inc. 2017 Omnibus Equity Incentive Plan (formerly</w:t>
              </w:r>
            </w:hyperlink>
          </w:p>
        </w:tc>
        <w:tc>
          <w:tcPr>
            <w:tcW w:w="1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780" w:type="dxa"/>
            <w:vAlign w:val="bottom"/>
            <w:vMerge w:val="continue"/>
          </w:tcPr>
          <w:p>
            <w:pPr>
              <w:spacing w:after="0"/>
              <w:rPr>
                <w:sz w:val="11"/>
                <w:szCs w:val="11"/>
                <w:color w:val="auto"/>
              </w:rPr>
            </w:pPr>
          </w:p>
        </w:tc>
        <w:tc>
          <w:tcPr>
            <w:tcW w:w="6060" w:type="dxa"/>
            <w:vAlign w:val="bottom"/>
            <w:gridSpan w:val="29"/>
            <w:vMerge w:val="restart"/>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known as the AI Fresh Super Holdco, Inc. 2017 Omnibus Equity Incentive Plan)</w:t>
              </w:r>
            </w:hyperlink>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606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10.9*</w:t>
            </w:r>
          </w:p>
        </w:tc>
        <w:tc>
          <w:tcPr>
            <w:tcW w:w="452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First Watch Restaurant Group, Inc. 2021 Equity Incentive Plan</w:t>
              </w:r>
            </w:hyperlink>
          </w:p>
        </w:tc>
        <w:tc>
          <w:tcPr>
            <w:tcW w:w="1280" w:type="dxa"/>
            <w:vAlign w:val="bottom"/>
            <w:tcBorders>
              <w:top w:val="single" w:sz="8" w:color="0000FF"/>
            </w:tcBorders>
            <w:gridSpan w:val="8"/>
          </w:tcPr>
          <w:p>
            <w:pPr>
              <w:spacing w:after="0"/>
              <w:rPr>
                <w:sz w:val="20"/>
                <w:szCs w:val="20"/>
                <w:color w:val="auto"/>
              </w:rPr>
            </w:pPr>
          </w:p>
        </w:tc>
        <w:tc>
          <w:tcPr>
            <w:tcW w:w="2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10.10*</w:t>
            </w:r>
          </w:p>
        </w:tc>
        <w:tc>
          <w:tcPr>
            <w:tcW w:w="28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of 2022 Stock Option Agreement</w:t>
              </w:r>
            </w:hyperlink>
          </w:p>
        </w:tc>
        <w:tc>
          <w:tcPr>
            <w:tcW w:w="110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640" w:type="dxa"/>
            <w:vAlign w:val="bottom"/>
            <w:gridSpan w:val="10"/>
          </w:tcPr>
          <w:p>
            <w:pPr>
              <w:spacing w:after="0"/>
              <w:rPr>
                <w:sz w:val="20"/>
                <w:szCs w:val="20"/>
                <w:color w:val="auto"/>
              </w:rPr>
            </w:pPr>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10.11*</w:t>
            </w: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of 2023 Restricted Stock Unit Award Agreement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10.12*</w:t>
            </w:r>
          </w:p>
        </w:tc>
        <w:tc>
          <w:tcPr>
            <w:tcW w:w="41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Director and Officer Indemnification Agreement</w:t>
              </w:r>
            </w:hyperlink>
          </w:p>
        </w:tc>
        <w:tc>
          <w:tcPr>
            <w:tcW w:w="19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10.13</w:t>
            </w:r>
          </w:p>
        </w:tc>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Restricted Unit Award Agreement for Directors</w:t>
            </w:r>
          </w:p>
        </w:tc>
        <w:tc>
          <w:tcPr>
            <w:tcW w:w="200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21.1</w:t>
            </w: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7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31.1</w:t>
            </w: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2060" w:type="dxa"/>
            <w:vAlign w:val="bottom"/>
            <w:tcBorders>
              <w:top w:val="single" w:sz="8" w:color="0000FF"/>
            </w:tcBorders>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280" w:type="dxa"/>
            <w:vAlign w:val="bottom"/>
            <w:tcBorders>
              <w:top w:val="single" w:sz="8" w:color="0000FF"/>
            </w:tcBorders>
            <w:gridSpan w:val="12"/>
            <w:vMerge w:val="restart"/>
          </w:tcPr>
          <w:p>
            <w:pPr>
              <w:spacing w:after="0"/>
              <w:rPr>
                <w:sz w:val="10"/>
                <w:szCs w:val="10"/>
                <w:color w:val="auto"/>
              </w:rPr>
            </w:pPr>
          </w:p>
        </w:tc>
        <w:tc>
          <w:tcPr>
            <w:tcW w:w="720" w:type="dxa"/>
            <w:vAlign w:val="bottom"/>
            <w:gridSpan w:val="1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2060" w:type="dxa"/>
            <w:vAlign w:val="bottom"/>
            <w:tcBorders>
              <w:bottom w:val="single" w:sz="8" w:color="0000FF"/>
            </w:tcBorders>
            <w:gridSpan w:val="4"/>
            <w:vMerge w:val="continue"/>
          </w:tcPr>
          <w:p>
            <w:pPr>
              <w:spacing w:after="0"/>
              <w:rPr>
                <w:sz w:val="3"/>
                <w:szCs w:val="3"/>
                <w:color w:val="auto"/>
              </w:rPr>
            </w:pPr>
          </w:p>
        </w:tc>
        <w:tc>
          <w:tcPr>
            <w:tcW w:w="3280" w:type="dxa"/>
            <w:vAlign w:val="bottom"/>
            <w:gridSpan w:val="12"/>
            <w:vMerge w:val="continue"/>
          </w:tcPr>
          <w:p>
            <w:pPr>
              <w:spacing w:after="0"/>
              <w:rPr>
                <w:sz w:val="3"/>
                <w:szCs w:val="3"/>
                <w:color w:val="auto"/>
              </w:rPr>
            </w:pPr>
          </w:p>
        </w:tc>
        <w:tc>
          <w:tcPr>
            <w:tcW w:w="72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31.2</w:t>
            </w: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6040" w:type="dxa"/>
            <w:vAlign w:val="bottom"/>
            <w:tcBorders>
              <w:top w:val="single" w:sz="8" w:color="0000FF"/>
            </w:tcBorders>
            <w:gridSpan w:val="2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6040" w:type="dxa"/>
            <w:vAlign w:val="bottom"/>
            <w:gridSpan w:val="2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40" w:type="dxa"/>
            <w:vAlign w:val="bottom"/>
            <w:gridSpan w:val="2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598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u w:val="single" w:color="auto"/>
                <w:color w:val="0000FF"/>
              </w:rPr>
              <w:t>U.S.C. Section 1350, as adopted pursuant to Section 906 of the Sarbanes-Oxley Act</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6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of 2002</w:t>
            </w:r>
          </w:p>
        </w:tc>
        <w:tc>
          <w:tcPr>
            <w:tcW w:w="200" w:type="dxa"/>
            <w:vAlign w:val="bottom"/>
            <w:tcBorders>
              <w:bottom w:val="single" w:sz="8" w:color="0000FF"/>
            </w:tcBorders>
          </w:tcPr>
          <w:p>
            <w:pPr>
              <w:jc w:val="right"/>
              <w:spacing w:after="0" w:line="48" w:lineRule="exact"/>
              <w:rPr>
                <w:sz w:val="20"/>
                <w:szCs w:val="20"/>
                <w:color w:val="auto"/>
              </w:rPr>
            </w:pPr>
            <w:r>
              <w:rPr>
                <w:rFonts w:ascii="Times New Roman" w:cs="Times New Roman" w:eastAsia="Times New Roman" w:hAnsi="Times New Roman"/>
                <w:sz w:val="5"/>
                <w:szCs w:val="5"/>
                <w:color w:val="0000FF"/>
              </w:rPr>
              <w:t>(**)</w:t>
            </w:r>
          </w:p>
        </w:tc>
        <w:tc>
          <w:tcPr>
            <w:tcW w:w="5240" w:type="dxa"/>
            <w:vAlign w:val="bottom"/>
            <w:gridSpan w:val="26"/>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80" w:type="dxa"/>
            <w:vAlign w:val="bottom"/>
          </w:tcPr>
          <w:p>
            <w:pPr>
              <w:spacing w:after="0"/>
              <w:rPr>
                <w:sz w:val="10"/>
                <w:szCs w:val="10"/>
                <w:color w:val="auto"/>
              </w:rPr>
            </w:pPr>
          </w:p>
        </w:tc>
        <w:tc>
          <w:tcPr>
            <w:tcW w:w="600" w:type="dxa"/>
            <w:vAlign w:val="bottom"/>
            <w:tcBorders>
              <w:bottom w:val="single" w:sz="8" w:color="0000FF"/>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240" w:type="dxa"/>
            <w:vAlign w:val="bottom"/>
            <w:gridSpan w:val="26"/>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Annual Report</w:t>
      </w:r>
    </w:p>
    <w:p>
      <w:pPr>
        <w:spacing w:after="0" w:line="16" w:lineRule="exact"/>
        <w:rPr>
          <w:sz w:val="20"/>
          <w:szCs w:val="20"/>
          <w:color w:val="auto"/>
        </w:rPr>
      </w:pPr>
    </w:p>
    <w:p>
      <w:pPr>
        <w:ind w:left="920" w:hanging="649"/>
        <w:spacing w:after="0" w:line="241"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Form 10-K for the fiscal year ended December 25, 2022, filed on March 7, 2023, formatted in Inline Extensible Business Reporting Language (“iXBRL”)</w:t>
      </w:r>
    </w:p>
    <w:p>
      <w:pPr>
        <w:spacing w:after="0" w:line="23" w:lineRule="exact"/>
        <w:rPr>
          <w:sz w:val="20"/>
          <w:szCs w:val="20"/>
          <w:color w:val="auto"/>
        </w:rPr>
      </w:pPr>
    </w:p>
    <w:p>
      <w:pPr>
        <w:ind w:left="920" w:right="320" w:hanging="649"/>
        <w:spacing w:after="0"/>
        <w:tabs>
          <w:tab w:leader="none" w:pos="920" w:val="left"/>
        </w:tabs>
        <w:numPr>
          <w:ilvl w:val="1"/>
          <w:numId w:val="3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Cover Page Interactive Date File (formatted as iXBRL and contained in Exhibit 101)</w:t>
      </w:r>
    </w:p>
    <w:p>
      <w:pPr>
        <w:spacing w:after="0" w:line="200" w:lineRule="exact"/>
        <w:rPr>
          <w:rFonts w:ascii="Times New Roman" w:cs="Times New Roman" w:eastAsia="Times New Roman" w:hAnsi="Times New Roman"/>
          <w:sz w:val="32"/>
          <w:szCs w:val="32"/>
          <w:color w:val="auto"/>
          <w:vertAlign w:val="subscript"/>
        </w:rPr>
      </w:pPr>
    </w:p>
    <w:p>
      <w:pPr>
        <w:spacing w:after="0" w:line="201" w:lineRule="exact"/>
        <w:rPr>
          <w:rFonts w:ascii="Times New Roman" w:cs="Times New Roman" w:eastAsia="Times New Roman" w:hAnsi="Times New Roman"/>
          <w:sz w:val="32"/>
          <w:szCs w:val="32"/>
          <w:color w:val="auto"/>
          <w:vertAlign w:val="subscript"/>
        </w:rPr>
      </w:pPr>
    </w:p>
    <w:p>
      <w:pPr>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431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10.1(b)</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10.1(c)</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2022, Form 8-K, Exhibit 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2022, Form 10-K, Exhibit 10.7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10.3</w:t>
      </w:r>
    </w:p>
    <w:p>
      <w:pPr>
        <w:spacing w:after="0" w:line="156" w:lineRule="exact"/>
        <w:rPr>
          <w:sz w:val="20"/>
          <w:szCs w:val="20"/>
          <w:color w:val="auto"/>
        </w:rPr>
      </w:pPr>
    </w:p>
    <w:p>
      <w:pPr>
        <w:jc w:val="both"/>
        <w:ind w:right="1160"/>
        <w:spacing w:after="0" w:line="314" w:lineRule="auto"/>
        <w:rPr>
          <w:sz w:val="20"/>
          <w:szCs w:val="20"/>
          <w:color w:val="auto"/>
        </w:rPr>
      </w:pPr>
      <w:r>
        <w:rPr>
          <w:rFonts w:ascii="Times New Roman" w:cs="Times New Roman" w:eastAsia="Times New Roman" w:hAnsi="Times New Roman"/>
          <w:sz w:val="17"/>
          <w:szCs w:val="17"/>
          <w:color w:val="auto"/>
        </w:rPr>
        <w:t>March 23, 2022, Form 10-K, Exhibit 10.9 March 23, 2022, Form 10-K, Exhibit 10.10 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10.7</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716" w:lineRule="exact"/>
        <w:rPr>
          <w:sz w:val="20"/>
          <w:szCs w:val="20"/>
          <w:color w:val="auto"/>
        </w:rPr>
      </w:pPr>
    </w:p>
    <w:p>
      <w:pPr>
        <w:sectPr>
          <w:pgSz w:w="11900" w:h="16838" w:orient="portrait"/>
          <w:cols w:equalWidth="0" w:num="2">
            <w:col w:w="6980" w:space="140"/>
            <w:col w:w="4100"/>
          </w:cols>
          <w:pgMar w:left="320" w:top="121" w:right="359" w:bottom="1440" w:gutter="0" w:footer="0" w:header="0"/>
          <w:type w:val="continuous"/>
        </w:sectPr>
      </w:pPr>
    </w:p>
    <w:p>
      <w:pPr>
        <w:jc w:val="both"/>
        <w:ind w:firstLine="8"/>
        <w:spacing w:after="0" w:line="263" w:lineRule="auto"/>
        <w:tabs>
          <w:tab w:leader="none" w:pos="21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0" w:type="dxa"/>
            <w:vAlign w:val="bottom"/>
          </w:tcPr>
          <w:p>
            <w:pPr>
              <w:spacing w:after="0"/>
              <w:rPr>
                <w:sz w:val="20"/>
                <w:szCs w:val="20"/>
                <w:color w:val="auto"/>
              </w:rPr>
            </w:pPr>
          </w:p>
        </w:tc>
        <w:tc>
          <w:tcPr>
            <w:tcW w:w="42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0" w:type="dxa"/>
            <w:vAlign w:val="bottom"/>
          </w:tcPr>
          <w:p>
            <w:pPr>
              <w:spacing w:after="0"/>
              <w:rPr>
                <w:sz w:val="20"/>
                <w:szCs w:val="20"/>
                <w:color w:val="auto"/>
              </w:rPr>
            </w:pPr>
          </w:p>
        </w:tc>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A. Tomasso</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A. Tomasso</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1"/>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Mel Hope</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Mel Hope</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Ralph Alvarez</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Ralph Alvarez</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M.B. Bradley</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M.B. Bradley</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Tricia Glynn</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Tricia Glynn</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Stephanie Lilak</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Stephanie Lilak</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Kussell</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Kussell</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Price</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Lisa Price</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White</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White</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1" w:right="33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1 TO CREDIT AGREEMENT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AMENDMENT NO. 1 TO CREDIT AGREEMENT, dated as of February 24, 2023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by and among FWR Holding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Bank of America, N.A., in its capacities as</w:t>
      </w:r>
    </w:p>
    <w:p>
      <w:pPr>
        <w:spacing w:after="0" w:line="212" w:lineRule="auto"/>
        <w:rPr>
          <w:sz w:val="20"/>
          <w:szCs w:val="20"/>
          <w:color w:val="auto"/>
        </w:rPr>
      </w:pPr>
      <w:r>
        <w:rPr>
          <w:rFonts w:ascii="Times New Roman" w:cs="Times New Roman" w:eastAsia="Times New Roman" w:hAnsi="Times New Roman"/>
          <w:sz w:val="20"/>
          <w:szCs w:val="20"/>
          <w:color w:val="auto"/>
        </w:rPr>
        <w:t>administrative agent for the Lenders (as defined in the Existing Credit Agreement referred to below) and collateral agent for the Secured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Parties (as defined in the Existing Credit Agreement) (in such capacities and together with its permitted successors and assigns,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an Issuing Bank and the Swingline Lender (as each such term is defined in the Existing Credit</w:t>
      </w:r>
    </w:p>
    <w:p>
      <w:pPr>
        <w:spacing w:after="0" w:line="1" w:lineRule="exact"/>
        <w:rPr>
          <w:sz w:val="20"/>
          <w:szCs w:val="20"/>
          <w:color w:val="auto"/>
        </w:rPr>
      </w:pPr>
    </w:p>
    <w:p>
      <w:pPr>
        <w:jc w:val="center"/>
        <w:ind w:right="240"/>
        <w:spacing w:after="0" w:line="418" w:lineRule="auto"/>
        <w:rPr>
          <w:sz w:val="20"/>
          <w:szCs w:val="20"/>
          <w:color w:val="auto"/>
        </w:rPr>
      </w:pPr>
      <w:r>
        <w:rPr>
          <w:rFonts w:ascii="Times New Roman" w:cs="Times New Roman" w:eastAsia="Times New Roman" w:hAnsi="Times New Roman"/>
          <w:sz w:val="20"/>
          <w:szCs w:val="20"/>
          <w:color w:val="auto"/>
        </w:rPr>
        <w:t xml:space="preserve">Agreement). Capitalized terms used herein but not defined herein shall have the meanings given to them in the Existing Credit Agreement. </w:t>
      </w:r>
      <w:r>
        <w:rPr>
          <w:rFonts w:ascii="Times New Roman" w:cs="Times New Roman" w:eastAsia="Times New Roman" w:hAnsi="Times New Roman"/>
          <w:sz w:val="20"/>
          <w:szCs w:val="20"/>
          <w:u w:val="single" w:color="auto"/>
          <w:color w:val="auto"/>
        </w:rPr>
        <w:t>RECITALS</w:t>
      </w:r>
    </w:p>
    <w:p>
      <w:pPr>
        <w:ind w:firstLine="648"/>
        <w:spacing w:after="0" w:line="222" w:lineRule="auto"/>
        <w:rPr>
          <w:sz w:val="20"/>
          <w:szCs w:val="20"/>
          <w:color w:val="auto"/>
        </w:rPr>
      </w:pPr>
      <w:r>
        <w:rPr>
          <w:rFonts w:ascii="Times New Roman" w:cs="Times New Roman" w:eastAsia="Times New Roman" w:hAnsi="Times New Roman"/>
          <w:sz w:val="20"/>
          <w:szCs w:val="20"/>
          <w:color w:val="auto"/>
        </w:rPr>
        <w:t>WHEREAS, the Borrower, AI Fresh Parent,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Lenders from time to time party thereto, the Issuing Banks from time to time party thereto, the Swingline Lender and the Administrative Agent have entered into that certain Credit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Agreement, dated as of October 6, 2021 (as amended, modified, extended, restated, replaced, or supplemented from time to time prior to the date hereof,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the Existing Credit Agreement, as amended by this Amendment,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WHEREAS, certain loans and/or other extensions of credit denominated in Dollars under the Existing Credit Agreement incur or are</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permitted to incur interest, fees, commissions and/or other amounts based on the LIBO Rate in accordance with the terms of the Existing Credit Agreement; and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pursuant to Section 9.02(b) of the Existing Credit Agreement, the Borrower has requested, and the Issuing Banks party</w:t>
      </w:r>
    </w:p>
    <w:p>
      <w:pPr>
        <w:spacing w:after="0" w:line="204" w:lineRule="auto"/>
        <w:rPr>
          <w:sz w:val="20"/>
          <w:szCs w:val="20"/>
          <w:color w:val="auto"/>
        </w:rPr>
      </w:pPr>
      <w:r>
        <w:rPr>
          <w:rFonts w:ascii="Times New Roman" w:cs="Times New Roman" w:eastAsia="Times New Roman" w:hAnsi="Times New Roman"/>
          <w:sz w:val="20"/>
          <w:szCs w:val="20"/>
          <w:color w:val="auto"/>
        </w:rPr>
        <w:t>hereto, constituting all of the Issuing Banks under the Existing Credit Agreement (individually, each a “</w:t>
      </w:r>
      <w:r>
        <w:rPr>
          <w:rFonts w:ascii="Times New Roman" w:cs="Times New Roman" w:eastAsia="Times New Roman" w:hAnsi="Times New Roman"/>
          <w:sz w:val="20"/>
          <w:szCs w:val="20"/>
          <w:u w:val="single" w:color="auto"/>
          <w:color w:val="auto"/>
        </w:rPr>
        <w:t>Consenting Issuing Bank</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Consenting Issuing Banks</w:t>
      </w:r>
      <w:r>
        <w:rPr>
          <w:rFonts w:ascii="Times New Roman" w:cs="Times New Roman" w:eastAsia="Times New Roman" w:hAnsi="Times New Roman"/>
          <w:sz w:val="20"/>
          <w:szCs w:val="20"/>
          <w:color w:val="auto"/>
        </w:rPr>
        <w:t>”), the Lenders party hereto, constituting all of the Lenders under the Existing Credit Agreement</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(individually, each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Consenting Lenders</w:t>
      </w:r>
      <w:r>
        <w:rPr>
          <w:rFonts w:ascii="Times New Roman" w:cs="Times New Roman" w:eastAsia="Times New Roman" w:hAnsi="Times New Roman"/>
          <w:sz w:val="20"/>
          <w:szCs w:val="20"/>
          <w:color w:val="auto"/>
        </w:rPr>
        <w:t>”), and the Administrative Agent have agreed, to replace the LIBO Rate for Loans denominated in Dollars with a successor rate based on Term SOFR (as defined in the Credit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to make certain other amendments to the Existing Credit Agreement as set forth herein, in each case, upon the terms and subject to the conditions set forth herein.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Amendments to Existing Credit Agreement and Exhibits to Existing Credit Agreement.</w:t>
      </w:r>
    </w:p>
    <w:p>
      <w:pPr>
        <w:spacing w:after="0" w:line="175" w:lineRule="exact"/>
        <w:rPr>
          <w:sz w:val="20"/>
          <w:szCs w:val="20"/>
          <w:color w:val="auto"/>
        </w:rPr>
      </w:pPr>
    </w:p>
    <w:p>
      <w:pPr>
        <w:jc w:val="both"/>
        <w:ind w:firstLine="656"/>
        <w:spacing w:after="0" w:line="222" w:lineRule="auto"/>
        <w:tabs>
          <w:tab w:leader="none" w:pos="128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Effective as of the Amendment Effective Date (as defined below), the Existing Credit Agreement is hereby amended to (i) delete the stricken text (indicated textually in the same manner as the following example: </w:t>
      </w:r>
      <w:r>
        <w:rPr>
          <w:rFonts w:ascii="Times New Roman" w:cs="Times New Roman" w:eastAsia="Times New Roman" w:hAnsi="Times New Roman"/>
          <w:sz w:val="20"/>
          <w:szCs w:val="20"/>
          <w:color w:val="C00000"/>
          <w:strike w:val="1"/>
        </w:rPr>
        <w:t>stricken text</w:t>
      </w:r>
      <w:r>
        <w:rPr>
          <w:rFonts w:ascii="Times New Roman" w:cs="Times New Roman" w:eastAsia="Times New Roman" w:hAnsi="Times New Roman"/>
          <w:sz w:val="20"/>
          <w:szCs w:val="20"/>
          <w:color w:val="auto"/>
        </w:rPr>
        <w:t xml:space="preserve">) and (ii) add the double-underlined text (indicated textually in the same manner as the following example: </w:t>
      </w:r>
      <w:r>
        <w:rPr>
          <w:rFonts w:ascii="Times New Roman" w:cs="Times New Roman" w:eastAsia="Times New Roman" w:hAnsi="Times New Roman"/>
          <w:sz w:val="20"/>
          <w:szCs w:val="20"/>
          <w:u w:val="single" w:color="auto"/>
          <w:color w:val="0070C0"/>
        </w:rPr>
        <w:t>double-underlined text</w:t>
      </w:r>
      <w:r>
        <w:rPr>
          <w:rFonts w:ascii="Times New Roman" w:cs="Times New Roman" w:eastAsia="Times New Roman" w:hAnsi="Times New Roman"/>
          <w:sz w:val="20"/>
          <w:szCs w:val="20"/>
          <w:color w:val="auto"/>
        </w:rPr>
        <w:t xml:space="preserve">), in each case as set forth in the pages of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xml:space="preserve">. Effective as of the Amendment Effective Date, each of Exhibits B, H, L and Q to the Existing Credit Agreement is hereby amended and restated in their entirety to read as set forth in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 as applicable.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SECTION 2. Conditions Precedent. This Amendment shall be effective on the first date on which each of the following conditions in this Section 2 have been satisfied (the date of satisfaction of such conditions being referred to herein as the “Amendment Effective Date”):</w:t>
      </w:r>
    </w:p>
    <w:p>
      <w:pPr>
        <w:spacing w:after="0" w:line="118" w:lineRule="exact"/>
        <w:rPr>
          <w:sz w:val="20"/>
          <w:szCs w:val="20"/>
          <w:color w:val="auto"/>
        </w:rPr>
      </w:pPr>
    </w:p>
    <w:p>
      <w:pPr>
        <w:ind w:left="1300" w:hanging="644"/>
        <w:spacing w:after="0"/>
        <w:tabs>
          <w:tab w:leader="none" w:pos="13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The Administrative Agent shall have received counterparts of this Amendment executed by (i) the Borrower,</w:t>
      </w:r>
    </w:p>
    <w:p>
      <w:pPr>
        <w:ind w:left="300" w:hanging="292"/>
        <w:spacing w:after="0"/>
        <w:tabs>
          <w:tab w:leader="none" w:pos="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Consenting Issuing Bank, (iii) each Consenting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Lender and (iv) the Administrative Agent. Each Consenting Issuing Bank and each Consenting Lender that submits an executed counterpart hereto acknowledges and agrees that the submission of an executed counterpart hereto is irrevocable.</w:t>
      </w:r>
    </w:p>
    <w:p>
      <w:pPr>
        <w:spacing w:after="0" w:line="148" w:lineRule="exact"/>
        <w:rPr>
          <w:sz w:val="20"/>
          <w:szCs w:val="20"/>
          <w:color w:val="auto"/>
        </w:rPr>
      </w:pPr>
    </w:p>
    <w:p>
      <w:pPr>
        <w:jc w:val="both"/>
        <w:ind w:firstLine="656"/>
        <w:spacing w:after="0" w:line="222" w:lineRule="auto"/>
        <w:tabs>
          <w:tab w:leader="none" w:pos="1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Administrative Agent shall have received all reasonable and documented out-of-pocket expenses incurred on or prior to the Amendment Effective Date in connection with the preparation, execution and delivery of this Amendment and any other matters in connection herewith that are payable pursuant to Section 9.03 of the Existing Credit Agreement, to the extent invoiced at least three Business Days prior to the Amendment Effective Date (or such later date to which the Borrower may agree).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For purposes of determining whether the conditions specified in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have been satisfied on the Amendment Effective Date,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executing and delivering its signature page(s), each Consenting Issuing Bank, each Consenting Lender and the Administrative Agent, as applicable, shall be deemed to have consented to, approved or accepted, or to be satisfied with, each document or other matter required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hereunder to be consented to or approved by or acceptable or satisfactory to the Administrative Agent, such Consenting Issuing Bank or such Consenting Lender, as the case may be.</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3.</w:t>
        <w:tab/>
        <w:t>Representations and Warranties. The Borrower hereby represents and warrants to the Administrative Agent, each</w:t>
      </w:r>
    </w:p>
    <w:p>
      <w:pPr>
        <w:spacing w:after="0"/>
        <w:rPr>
          <w:sz w:val="20"/>
          <w:szCs w:val="20"/>
          <w:color w:val="auto"/>
        </w:rPr>
      </w:pPr>
      <w:r>
        <w:rPr>
          <w:rFonts w:ascii="Times New Roman" w:cs="Times New Roman" w:eastAsia="Times New Roman" w:hAnsi="Times New Roman"/>
          <w:sz w:val="20"/>
          <w:szCs w:val="20"/>
          <w:color w:val="auto"/>
        </w:rPr>
        <w:t>Consenting Issuing Bank and each Consenting Lender party hereto that:</w:t>
      </w:r>
    </w:p>
    <w:p>
      <w:pPr>
        <w:spacing w:after="0" w:line="167" w:lineRule="exact"/>
        <w:rPr>
          <w:sz w:val="20"/>
          <w:szCs w:val="20"/>
          <w:color w:val="auto"/>
        </w:rPr>
      </w:pPr>
    </w:p>
    <w:p>
      <w:pPr>
        <w:jc w:val="both"/>
        <w:ind w:firstLine="656"/>
        <w:spacing w:after="0" w:line="222" w:lineRule="auto"/>
        <w:tabs>
          <w:tab w:leader="none" w:pos="12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Borrower of this Amendment (i) are within the Borrower’s corporate or other organizational power and (ii) have been duly authorized by all necessary corporate or other organizational action of the Borrower. This Amendment has been duly executed and delivered by the Borrower and is a legal, valid and binding obligation of the Borrower, enforceable in accordance with its terms, subject to the Legal Reservations.</w:t>
      </w:r>
    </w:p>
    <w:p>
      <w:pPr>
        <w:spacing w:after="0" w:line="14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execution and delivery of this Amendment by the Borrower and the performance by the Borrower of its obligations hereunder (i) do not require any consent or approval of, registration or filing with, or any other action by, any Governmental Authority, except (A) such as have been obtained or made and are in full force and effect, (B) in connection with the Perfection Requirements and (C) such consents, approvals, registrations, filings, or other actions the failure to obtain or make which would not be reasonably expected to have a Material Adverse Effect, (ii) will not violate any (A) of the Borrower’s Organizational Documents or (B) Requirement of Law applicable to the Borrower, which violation, in the case of this </w:t>
      </w:r>
      <w:r>
        <w:rPr>
          <w:rFonts w:ascii="Times New Roman" w:cs="Times New Roman" w:eastAsia="Times New Roman" w:hAnsi="Times New Roman"/>
          <w:sz w:val="20"/>
          <w:szCs w:val="20"/>
          <w:u w:val="single" w:color="auto"/>
          <w:color w:val="auto"/>
        </w:rPr>
        <w:t>clause (ii)(B)</w:t>
      </w:r>
      <w:r>
        <w:rPr>
          <w:rFonts w:ascii="Times New Roman" w:cs="Times New Roman" w:eastAsia="Times New Roman" w:hAnsi="Times New Roman"/>
          <w:sz w:val="20"/>
          <w:szCs w:val="20"/>
          <w:color w:val="auto"/>
        </w:rPr>
        <w:t xml:space="preserve">, would reasonably be expected to have a Material Adverse Effect and (iii) will not violate or result in a default under any material Contractual Obligation to which the Borrower is a party, which violation, in the case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would reasonably be expected to result in a Material Adverse Effect.</w:t>
      </w:r>
    </w:p>
    <w:p>
      <w:pPr>
        <w:spacing w:after="0" w:line="14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4. Conversion to Term SOFR Borrowings. Each of the parties hereto agrees that from and after the Amendment Effective Date, any request for a new Loan (as defined in the Credit Agreement) denominated in Dollars, or for a continuation of any existing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LIBO Rate Loan denominated in Dollars, shall be deemed to be a request for a new Loan (as defined in the Credit Agreement) bearing interest at Term SOFR (as defined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LIBO Rate Loan is outstanding 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Amendment Effective Date, such Loan shall continue to bear interest at the LIBO Rate until the end of the current Interest Period or payment period applicable to such Loan.</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Existing Credit Agreement and the Other Loan Documents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Amendment Effective Date, each reference in the Credit Agreement to “this Agreement”, “hereunder”, “hereof”, “herein” or words of like import referring to the Credit Agreement, and each reference in the other Loan Documents to the “Credit Agreement”, “thereunder”, “thereof”, “therein” or words of like import referring to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20"/>
          <w:szCs w:val="20"/>
          <w:color w:val="auto"/>
        </w:rPr>
        <w:t>Agreement, in each case, shall mean and be a reference to the Existing Credit Agreement as amended hereby.</w:t>
      </w:r>
    </w:p>
    <w:p>
      <w:pPr>
        <w:spacing w:after="0" w:line="181" w:lineRule="exact"/>
        <w:rPr>
          <w:sz w:val="20"/>
          <w:szCs w:val="20"/>
          <w:color w:val="auto"/>
        </w:rPr>
      </w:pPr>
    </w:p>
    <w:p>
      <w:pPr>
        <w:ind w:left="1960" w:hanging="656"/>
        <w:spacing w:after="0"/>
        <w:tabs>
          <w:tab w:leader="none" w:pos="196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Agreement and the other Loan Documents shall remain in full force and effect and are hereby ratified and</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confirmed.</w:t>
      </w:r>
    </w:p>
    <w:p>
      <w:pPr>
        <w:spacing w:after="0" w:line="166" w:lineRule="exact"/>
        <w:rPr>
          <w:rFonts w:ascii="Times New Roman" w:cs="Times New Roman" w:eastAsia="Times New Roman" w:hAnsi="Times New Roman"/>
          <w:sz w:val="19"/>
          <w:szCs w:val="19"/>
          <w:color w:val="auto"/>
        </w:rPr>
      </w:pPr>
    </w:p>
    <w:p>
      <w:pPr>
        <w:jc w:val="both"/>
        <w:ind w:left="660" w:firstLine="644"/>
        <w:spacing w:after="0" w:line="224" w:lineRule="auto"/>
        <w:tabs>
          <w:tab w:leader="none" w:pos="195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 copy hereof, (A) the Borrower hereby agrees that all Secured Obligations shall continue to be guaranteed pursuant to the Loan Guaranty in accordance with the terms and provisions thereof and shall continue to be secured pursuant to the Collateral Documents in accordance with the terms and provisions thereof, and (B) the Borrower hereby (x) reaffirms its and any other Loan Party’s prior grant and the validity of the Liens granted by it pursuant to the Collateral Documents,</w:t>
      </w:r>
    </w:p>
    <w:p>
      <w:pPr>
        <w:spacing w:after="0" w:line="2" w:lineRule="exact"/>
        <w:rPr>
          <w:rFonts w:ascii="Times New Roman" w:cs="Times New Roman" w:eastAsia="Times New Roman" w:hAnsi="Times New Roman"/>
          <w:sz w:val="19"/>
          <w:szCs w:val="19"/>
          <w:color w:val="auto"/>
        </w:rPr>
      </w:pPr>
    </w:p>
    <w:p>
      <w:pPr>
        <w:jc w:val="both"/>
        <w:ind w:left="660" w:hanging="4"/>
        <w:spacing w:after="0" w:line="212" w:lineRule="auto"/>
        <w:tabs>
          <w:tab w:leader="none" w:pos="94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notwithstanding the effectiveness of this Amendment, after giving effect to this Amendment, the guaranty pursuant to the Loan Guaranty and the Liens created pursuant to the Collateral Documents for the benefit of the Secured Parties continue to be in full force and effect and (z) affirms, acknowledges and confirms all of its and each other Loan Party’s obligations and liabilities under the Loan Documents to which each such entity is a party, in each case after giving effect to this Amendment, all as provided in such Loan Documents, and acknowledges and agrees that such obligations and liabilities continue in full force and effect in respect of, and to secure, the Secured Obligations under the Credit Agreement and the other Loan Documents, in each case after giving effect to this Amendment.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shall not constitute a waiver of any provision of, or operate as a waiver of any right, power or remedy of the Administrative Agent, any Lender or any Issuing Bank under, the Existing Credit Agreement or any of the other Loan Documents. Nothing herein contained shall be construed as a substitution or novation of the obligations outstanding under the Existing Credit Agreement or any other Loan Document or instruments securing the same, which shall remain in full force and effect.</w:t>
      </w:r>
    </w:p>
    <w:p>
      <w:pPr>
        <w:spacing w:after="0" w:line="147"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For the avoidance of doubt, this Amendment constitutes a Loan Document.</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used herein are for convenience of reference only, are not part of this Amendment and shall not affect the construction of, or be taken into consideration in interpreting, this Amendment.</w:t>
      </w:r>
    </w:p>
    <w:p>
      <w:pPr>
        <w:spacing w:after="0" w:line="147" w:lineRule="exact"/>
        <w:rPr>
          <w:rFonts w:ascii="Times New Roman" w:cs="Times New Roman" w:eastAsia="Times New Roman" w:hAnsi="Times New Roman"/>
          <w:sz w:val="20"/>
          <w:szCs w:val="20"/>
          <w:color w:val="auto"/>
        </w:rPr>
      </w:pPr>
    </w:p>
    <w:p>
      <w:pPr>
        <w:jc w:val="both"/>
        <w:ind w:firstLine="656"/>
        <w:spacing w:after="0" w:line="244" w:lineRule="auto"/>
        <w:tabs>
          <w:tab w:leader="none" w:pos="128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Applicable Law</w:t>
      </w:r>
      <w:r>
        <w:rPr>
          <w:rFonts w:ascii="Times New Roman" w:cs="Times New Roman" w:eastAsia="Times New Roman" w:hAnsi="Times New Roman"/>
          <w:sz w:val="19"/>
          <w:szCs w:val="19"/>
          <w:color w:val="auto"/>
        </w:rPr>
        <w:t>. THIS AMENDMENT AND ANY CLAIM, CONTROVERSY OR DISPUTE ARISING UNDER OR RELATED TO THIS AMENDMENT, WHETHER IN TORT, CONTRACT (AT LAW OR IN EQUITY) OR OTHERWISE, SHALL BE GOVERNED BY, AND CONSTRUED AND INTERPRETED IN ACCORDANCE WITH, THE LAWS OF THE STATE OF NEW YORK.</w:t>
      </w:r>
    </w:p>
    <w:p>
      <w:pPr>
        <w:spacing w:after="0" w:line="143" w:lineRule="exact"/>
        <w:rPr>
          <w:rFonts w:ascii="Times New Roman" w:cs="Times New Roman" w:eastAsia="Times New Roman" w:hAnsi="Times New Roman"/>
          <w:sz w:val="19"/>
          <w:szCs w:val="19"/>
          <w:color w:val="auto"/>
        </w:rPr>
      </w:pPr>
    </w:p>
    <w:p>
      <w:pPr>
        <w:jc w:val="both"/>
        <w:ind w:firstLine="656"/>
        <w:spacing w:after="0" w:line="214" w:lineRule="auto"/>
        <w:tabs>
          <w:tab w:leader="none" w:pos="12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AMENDMENT OR THE TRANSACTIONS CONTEMPLATED HEREBY. EACH PARTY HERETO (i) CERTIFIES THAT NO REPRESENTATIVE, AGENT OR ATTORNEY OF ANY OTHER PARTY HERETO HAS REPRESENTED, EXPRESSLY OR OTHERWISE, THAT SUCH OTHER PARTY WOULD NOT, IN THE EVENT OF LITIGATION, SEEK TO ENFORCE THE FOREGOING WAIVER AND (ii) ACKNOWLEDGES THAT IT AND THE OTHER PARTIES HERETO HAVE BEEN INDUCED TO ENTER INTO THIS AMENDMENT BY, AMONG OTHER THINGS, THE MUTUAL WAIVERS AND CERTIFICATIONS IN THIS SECTION.</w:t>
      </w:r>
    </w:p>
    <w:p>
      <w:pPr>
        <w:spacing w:after="0" w:line="152"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 Service of Process</w:t>
      </w:r>
      <w:r>
        <w:rPr>
          <w:rFonts w:ascii="Times New Roman" w:cs="Times New Roman" w:eastAsia="Times New Roman" w:hAnsi="Times New Roman"/>
          <w:sz w:val="20"/>
          <w:szCs w:val="20"/>
          <w:color w:val="auto"/>
        </w:rPr>
        <w:t xml:space="preserve">. The provisions of Sections 9.10(b), (c) and (d) of the Existing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set forth in full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9" w:name="page100"/>
    <w:bookmarkEnd w:id="99"/>
    <w:p>
      <w:pPr>
        <w:jc w:val="both"/>
        <w:ind w:firstLine="656"/>
        <w:spacing w:after="0" w:line="224" w:lineRule="auto"/>
        <w:tabs>
          <w:tab w:leader="none" w:pos="128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to this Amendment by facsimile or by email as a “.pdf” or “.tif” attachment shall be effective as delivery of a manually executed counterpart of this Amendment. It is understood and agreed that, subject to any Requirement of Law, the words “execution”, “signed”, “signature”, “delivery” and words of like import in or relating to this Amendment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applicable Requirement of Law, including the Federal Electronic Signatures in Global and National Commerce Act, the New York State Electronic Signatures and Records Act, or any similar state laws based on the Uniform Electronic Transactions Act.</w:t>
      </w:r>
    </w:p>
    <w:p>
      <w:pPr>
        <w:spacing w:after="0" w:line="162" w:lineRule="exact"/>
        <w:rPr>
          <w:rFonts w:ascii="Times New Roman" w:cs="Times New Roman" w:eastAsia="Times New Roman" w:hAnsi="Times New Roman"/>
          <w:sz w:val="19"/>
          <w:szCs w:val="19"/>
          <w:color w:val="auto"/>
        </w:rPr>
      </w:pPr>
    </w:p>
    <w:p>
      <w:pPr>
        <w:ind w:firstLine="656"/>
        <w:spacing w:after="0"/>
        <w:tabs>
          <w:tab w:leader="none" w:pos="128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Amendment shall be binding upon and inure to the benefit of the parties hereto and their respective successors and permitted assigns.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20"/>
          <w:szCs w:val="20"/>
          <w:color w:val="auto"/>
        </w:rPr>
        <w:t>Each of the parties hereto has caused a counterpart of this Amendment to be duly executed and delivered as of the date first above</w:t>
      </w: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FWR HOLDING CORPORATION,</w:t>
      </w:r>
    </w:p>
    <w:p>
      <w:pPr>
        <w:ind w:left="39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364"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2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98"/>
              </w:rPr>
              <w:t>/s/ Henry Melville Hope III</w:t>
            </w:r>
          </w:p>
        </w:tc>
        <w:tc>
          <w:tcPr>
            <w:tcW w:w="2980" w:type="dxa"/>
            <w:vAlign w:val="bottom"/>
          </w:tcPr>
          <w:p>
            <w:pPr>
              <w:spacing w:after="0"/>
              <w:rPr>
                <w:sz w:val="19"/>
                <w:szCs w:val="19"/>
                <w:color w:val="auto"/>
              </w:rPr>
            </w:pPr>
          </w:p>
        </w:tc>
      </w:tr>
      <w:tr>
        <w:trPr>
          <w:trHeight w:val="160"/>
        </w:trPr>
        <w:tc>
          <w:tcPr>
            <w:tcW w:w="300" w:type="dxa"/>
            <w:vAlign w:val="bottom"/>
          </w:tcPr>
          <w:p>
            <w:pPr>
              <w:spacing w:after="0"/>
              <w:rPr>
                <w:sz w:val="13"/>
                <w:szCs w:val="13"/>
                <w:color w:val="auto"/>
              </w:rPr>
            </w:pPr>
          </w:p>
        </w:tc>
        <w:tc>
          <w:tcPr>
            <w:tcW w:w="25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Name: Henry Melville Hope, III</w:t>
            </w:r>
          </w:p>
        </w:tc>
        <w:tc>
          <w:tcPr>
            <w:tcW w:w="2980" w:type="dxa"/>
            <w:vAlign w:val="bottom"/>
          </w:tcPr>
          <w:p>
            <w:pPr>
              <w:spacing w:after="0"/>
              <w:rPr>
                <w:sz w:val="13"/>
                <w:szCs w:val="13"/>
                <w:color w:val="auto"/>
              </w:rPr>
            </w:pPr>
          </w:p>
        </w:tc>
      </w:tr>
      <w:tr>
        <w:trPr>
          <w:trHeight w:val="258"/>
        </w:trPr>
        <w:tc>
          <w:tcPr>
            <w:tcW w:w="300" w:type="dxa"/>
            <w:vAlign w:val="bottom"/>
          </w:tcPr>
          <w:p>
            <w:pPr>
              <w:spacing w:after="0"/>
              <w:rPr>
                <w:sz w:val="22"/>
                <w:szCs w:val="22"/>
                <w:color w:val="auto"/>
              </w:rPr>
            </w:pPr>
          </w:p>
        </w:tc>
        <w:tc>
          <w:tcPr>
            <w:tcW w:w="55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Chief Financial Officer, Executive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11220"/>
          </w:cols>
          <w:pgMar w:left="320" w:top="1394" w:right="359" w:bottom="1440" w:gutter="0" w:footer="0" w:header="0"/>
        </w:sectPr>
      </w:pPr>
    </w:p>
    <w:bookmarkStart w:id="101" w:name="page102"/>
    <w:bookmarkEnd w:id="101"/>
    <w:p>
      <w:pPr>
        <w:ind w:left="2780"/>
        <w:spacing w:after="0"/>
        <w:rPr>
          <w:sz w:val="20"/>
          <w:szCs w:val="20"/>
          <w:color w:val="auto"/>
        </w:rPr>
      </w:pPr>
      <w:r>
        <w:rPr>
          <w:rFonts w:ascii="Times New Roman" w:cs="Times New Roman" w:eastAsia="Times New Roman" w:hAnsi="Times New Roman"/>
          <w:sz w:val="20"/>
          <w:szCs w:val="20"/>
          <w:color w:val="auto"/>
        </w:rPr>
        <w:t>BANK OF AMERICA, N.A.,</w:t>
      </w:r>
    </w:p>
    <w:p>
      <w:pPr>
        <w:ind w:left="2780"/>
        <w:spacing w:after="0"/>
        <w:rPr>
          <w:sz w:val="20"/>
          <w:szCs w:val="20"/>
          <w:color w:val="auto"/>
        </w:rPr>
      </w:pPr>
      <w:r>
        <w:rPr>
          <w:rFonts w:ascii="Times New Roman" w:cs="Times New Roman" w:eastAsia="Times New Roman" w:hAnsi="Times New Roman"/>
          <w:sz w:val="19"/>
          <w:szCs w:val="19"/>
          <w:color w:val="auto"/>
        </w:rPr>
        <w:t>as the Administrative Agent, as the Swingline Lender, as an Issuing Bank and as a Lender</w:t>
      </w:r>
    </w:p>
    <w:p>
      <w:pPr>
        <w:spacing w:after="0" w:line="362"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 Anthony Luppino</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3"/>
        </w:trPr>
        <w:tc>
          <w:tcPr>
            <w:tcW w:w="300" w:type="dxa"/>
            <w:vAlign w:val="bottom"/>
          </w:tcPr>
          <w:p>
            <w:pPr>
              <w:spacing w:after="0"/>
              <w:rPr>
                <w:sz w:val="15"/>
                <w:szCs w:val="15"/>
                <w:color w:val="auto"/>
              </w:rPr>
            </w:pPr>
          </w:p>
        </w:tc>
        <w:tc>
          <w:tcPr>
            <w:tcW w:w="20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w w:val="98"/>
              </w:rPr>
              <w:t>Name: Anthony Luppino</w:t>
            </w:r>
          </w:p>
        </w:tc>
        <w:tc>
          <w:tcPr>
            <w:tcW w:w="180" w:type="dxa"/>
            <w:vAlign w:val="bottom"/>
          </w:tcPr>
          <w:p>
            <w:pPr>
              <w:spacing w:after="0"/>
              <w:rPr>
                <w:sz w:val="15"/>
                <w:szCs w:val="15"/>
                <w:color w:val="auto"/>
              </w:rPr>
            </w:pPr>
          </w:p>
        </w:tc>
      </w:tr>
      <w:tr>
        <w:trPr>
          <w:trHeight w:val="258"/>
        </w:trPr>
        <w:tc>
          <w:tcPr>
            <w:tcW w:w="300" w:type="dxa"/>
            <w:vAlign w:val="bottom"/>
          </w:tcPr>
          <w:p>
            <w:pPr>
              <w:spacing w:after="0"/>
              <w:rPr>
                <w:sz w:val="22"/>
                <w:szCs w:val="22"/>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6"/>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900"/>
          </w:cols>
          <w:pgMar w:left="1440" w:top="1394" w:right="559" w:bottom="1440" w:gutter="0" w:footer="0" w:header="0"/>
        </w:sectPr>
      </w:pPr>
    </w:p>
    <w:bookmarkStart w:id="102" w:name="page103"/>
    <w:bookmarkEnd w:id="102"/>
    <w:p>
      <w:pPr>
        <w:ind w:left="2780"/>
        <w:spacing w:after="0"/>
        <w:rPr>
          <w:sz w:val="20"/>
          <w:szCs w:val="20"/>
          <w:color w:val="auto"/>
        </w:rPr>
      </w:pPr>
      <w:r>
        <w:rPr>
          <w:rFonts w:ascii="Times New Roman" w:cs="Times New Roman" w:eastAsia="Times New Roman" w:hAnsi="Times New Roman"/>
          <w:sz w:val="20"/>
          <w:szCs w:val="20"/>
          <w:color w:val="auto"/>
        </w:rPr>
        <w:t>Barclays Bank PLC,,</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1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95"/>
              </w:rPr>
              <w:t>/s/ Warren Veech III</w:t>
            </w:r>
          </w:p>
        </w:tc>
      </w:tr>
      <w:tr>
        <w:trPr>
          <w:trHeight w:val="173"/>
        </w:trPr>
        <w:tc>
          <w:tcPr>
            <w:tcW w:w="300" w:type="dxa"/>
            <w:vAlign w:val="bottom"/>
          </w:tcPr>
          <w:p>
            <w:pPr>
              <w:spacing w:after="0"/>
              <w:rPr>
                <w:sz w:val="15"/>
                <w:szCs w:val="15"/>
                <w:color w:val="auto"/>
              </w:rPr>
            </w:pPr>
          </w:p>
        </w:tc>
        <w:tc>
          <w:tcPr>
            <w:tcW w:w="19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w w:val="97"/>
              </w:rPr>
              <w:t>Name: Warren Veech III</w:t>
            </w:r>
          </w:p>
        </w:tc>
      </w:tr>
      <w:tr>
        <w:trPr>
          <w:trHeight w:val="258"/>
        </w:trPr>
        <w:tc>
          <w:tcPr>
            <w:tcW w:w="300" w:type="dxa"/>
            <w:vAlign w:val="bottom"/>
          </w:tcPr>
          <w:p>
            <w:pPr>
              <w:spacing w:after="0"/>
              <w:rPr>
                <w:sz w:val="22"/>
                <w:szCs w:val="22"/>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3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[SECOND SIGNATURE BLOCK IF NEEDED]</w:t>
      </w:r>
    </w:p>
    <w:p>
      <w:pPr>
        <w:spacing w:after="0" w:line="200" w:lineRule="exact"/>
        <w:rPr>
          <w:sz w:val="20"/>
          <w:szCs w:val="20"/>
          <w:color w:val="auto"/>
        </w:rPr>
      </w:pPr>
    </w:p>
    <w:p>
      <w:pPr>
        <w:spacing w:after="0" w:line="2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628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100"/>
        <w:spacing w:after="0" w:line="197" w:lineRule="auto"/>
        <w:rPr>
          <w:sz w:val="20"/>
          <w:szCs w:val="20"/>
          <w:color w:val="auto"/>
        </w:rPr>
      </w:pPr>
      <w:r>
        <w:rPr>
          <w:rFonts w:ascii="Times New Roman" w:cs="Times New Roman" w:eastAsia="Times New Roman" w:hAnsi="Times New Roman"/>
          <w:sz w:val="20"/>
          <w:szCs w:val="20"/>
          <w:color w:val="auto"/>
        </w:rPr>
        <w:t>Name:</w:t>
      </w:r>
    </w:p>
    <w:p>
      <w:pPr>
        <w:ind w:left="3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394" w:right="1440" w:bottom="1440" w:gutter="0" w:footer="0" w:header="0"/>
        </w:sectPr>
      </w:pPr>
    </w:p>
    <w:bookmarkStart w:id="103" w:name="page104"/>
    <w:bookmarkEnd w:id="103"/>
    <w:p>
      <w:pPr>
        <w:ind w:left="2780"/>
        <w:spacing w:after="0"/>
        <w:rPr>
          <w:sz w:val="20"/>
          <w:szCs w:val="20"/>
          <w:color w:val="auto"/>
        </w:rPr>
      </w:pPr>
      <w:r>
        <w:rPr>
          <w:rFonts w:ascii="Times New Roman" w:cs="Times New Roman" w:eastAsia="Times New Roman" w:hAnsi="Times New Roman"/>
          <w:sz w:val="20"/>
          <w:szCs w:val="20"/>
          <w:color w:val="auto"/>
        </w:rPr>
        <w:t>Citibank, N.A.,</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97"/>
              </w:rPr>
              <w:t>/s/ Robert J. Kane</w:t>
            </w:r>
          </w:p>
        </w:tc>
        <w:tc>
          <w:tcPr>
            <w:tcW w:w="200" w:type="dxa"/>
            <w:vAlign w:val="bottom"/>
          </w:tcPr>
          <w:p>
            <w:pPr>
              <w:spacing w:after="0"/>
              <w:rPr>
                <w:sz w:val="19"/>
                <w:szCs w:val="19"/>
                <w:color w:val="auto"/>
              </w:rPr>
            </w:pPr>
          </w:p>
        </w:tc>
      </w:tr>
      <w:tr>
        <w:trPr>
          <w:trHeight w:val="173"/>
        </w:trPr>
        <w:tc>
          <w:tcPr>
            <w:tcW w:w="300" w:type="dxa"/>
            <w:vAlign w:val="bottom"/>
          </w:tcPr>
          <w:p>
            <w:pPr>
              <w:spacing w:after="0"/>
              <w:rPr>
                <w:sz w:val="15"/>
                <w:szCs w:val="15"/>
                <w:color w:val="auto"/>
              </w:rPr>
            </w:pPr>
          </w:p>
        </w:tc>
        <w:tc>
          <w:tcPr>
            <w:tcW w:w="18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rPr>
              <w:t>Name: Robert Kane</w:t>
            </w:r>
          </w:p>
        </w:tc>
        <w:tc>
          <w:tcPr>
            <w:tcW w:w="200" w:type="dxa"/>
            <w:vAlign w:val="bottom"/>
          </w:tcPr>
          <w:p>
            <w:pPr>
              <w:spacing w:after="0"/>
              <w:rPr>
                <w:sz w:val="15"/>
                <w:szCs w:val="15"/>
                <w:color w:val="auto"/>
              </w:rPr>
            </w:pPr>
          </w:p>
        </w:tc>
      </w:tr>
      <w:tr>
        <w:trPr>
          <w:trHeight w:val="258"/>
        </w:trPr>
        <w:tc>
          <w:tcPr>
            <w:tcW w:w="300" w:type="dxa"/>
            <w:vAlign w:val="bottom"/>
          </w:tcPr>
          <w:p>
            <w:pPr>
              <w:spacing w:after="0"/>
              <w:rPr>
                <w:sz w:val="22"/>
                <w:szCs w:val="22"/>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394" w:right="1440" w:bottom="1440" w:gutter="0" w:footer="0" w:header="0"/>
        </w:sectPr>
      </w:pPr>
    </w:p>
    <w:bookmarkStart w:id="104" w:name="page105"/>
    <w:bookmarkEnd w:id="104"/>
    <w:p>
      <w:pPr>
        <w:ind w:left="2780"/>
        <w:spacing w:after="0"/>
        <w:rPr>
          <w:sz w:val="20"/>
          <w:szCs w:val="20"/>
          <w:color w:val="auto"/>
        </w:rPr>
      </w:pPr>
      <w:r>
        <w:rPr>
          <w:rFonts w:ascii="Times New Roman" w:cs="Times New Roman" w:eastAsia="Times New Roman" w:hAnsi="Times New Roman"/>
          <w:sz w:val="20"/>
          <w:szCs w:val="20"/>
          <w:color w:val="auto"/>
        </w:rPr>
        <w:t>Goldman Sachs Bank USA,</w:t>
      </w: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1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Keshia Leday</w:t>
            </w:r>
          </w:p>
        </w:tc>
        <w:tc>
          <w:tcPr>
            <w:tcW w:w="300" w:type="dxa"/>
            <w:vAlign w:val="bottom"/>
          </w:tcPr>
          <w:p>
            <w:pPr>
              <w:spacing w:after="0"/>
              <w:rPr>
                <w:sz w:val="19"/>
                <w:szCs w:val="19"/>
                <w:color w:val="auto"/>
              </w:rPr>
            </w:pPr>
          </w:p>
        </w:tc>
      </w:tr>
      <w:tr>
        <w:trPr>
          <w:trHeight w:val="173"/>
        </w:trPr>
        <w:tc>
          <w:tcPr>
            <w:tcW w:w="300" w:type="dxa"/>
            <w:vAlign w:val="bottom"/>
          </w:tcPr>
          <w:p>
            <w:pPr>
              <w:spacing w:after="0"/>
              <w:rPr>
                <w:sz w:val="15"/>
                <w:szCs w:val="15"/>
                <w:color w:val="auto"/>
              </w:rPr>
            </w:pPr>
          </w:p>
        </w:tc>
        <w:tc>
          <w:tcPr>
            <w:tcW w:w="19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rPr>
              <w:t>Name: Keshia Leday</w:t>
            </w:r>
          </w:p>
        </w:tc>
        <w:tc>
          <w:tcPr>
            <w:tcW w:w="300" w:type="dxa"/>
            <w:vAlign w:val="bottom"/>
          </w:tcPr>
          <w:p>
            <w:pPr>
              <w:spacing w:after="0"/>
              <w:rPr>
                <w:sz w:val="15"/>
                <w:szCs w:val="15"/>
                <w:color w:val="auto"/>
              </w:rPr>
            </w:pPr>
          </w:p>
        </w:tc>
      </w:tr>
      <w:tr>
        <w:trPr>
          <w:trHeight w:val="258"/>
        </w:trPr>
        <w:tc>
          <w:tcPr>
            <w:tcW w:w="300" w:type="dxa"/>
            <w:vAlign w:val="bottom"/>
          </w:tcPr>
          <w:p>
            <w:pPr>
              <w:spacing w:after="0"/>
              <w:rPr>
                <w:sz w:val="22"/>
                <w:szCs w:val="22"/>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394"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JEFFERIES FINANCE LLC,</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 J R Young</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3"/>
        </w:trPr>
        <w:tc>
          <w:tcPr>
            <w:tcW w:w="300" w:type="dxa"/>
            <w:vAlign w:val="bottom"/>
          </w:tcPr>
          <w:p>
            <w:pPr>
              <w:spacing w:after="0"/>
              <w:rPr>
                <w:sz w:val="15"/>
                <w:szCs w:val="15"/>
                <w:color w:val="auto"/>
              </w:rPr>
            </w:pPr>
          </w:p>
        </w:tc>
        <w:tc>
          <w:tcPr>
            <w:tcW w:w="14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w w:val="97"/>
              </w:rPr>
              <w:t>Name: J R Young</w:t>
            </w:r>
          </w:p>
        </w:tc>
        <w:tc>
          <w:tcPr>
            <w:tcW w:w="560" w:type="dxa"/>
            <w:vAlign w:val="bottom"/>
          </w:tcPr>
          <w:p>
            <w:pPr>
              <w:spacing w:after="0"/>
              <w:rPr>
                <w:sz w:val="15"/>
                <w:szCs w:val="15"/>
                <w:color w:val="auto"/>
              </w:rPr>
            </w:pPr>
          </w:p>
        </w:tc>
      </w:tr>
      <w:tr>
        <w:trPr>
          <w:trHeight w:val="258"/>
        </w:trPr>
        <w:tc>
          <w:tcPr>
            <w:tcW w:w="300" w:type="dxa"/>
            <w:vAlign w:val="bottom"/>
          </w:tcPr>
          <w:p>
            <w:pPr>
              <w:spacing w:after="0"/>
              <w:rPr>
                <w:sz w:val="22"/>
                <w:szCs w:val="22"/>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MUFG Bank, Ltd.,</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1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97"/>
              </w:rPr>
              <w:t>/s/ R. Shawn Janko</w:t>
            </w:r>
          </w:p>
        </w:tc>
        <w:tc>
          <w:tcPr>
            <w:tcW w:w="100" w:type="dxa"/>
            <w:vAlign w:val="bottom"/>
          </w:tcPr>
          <w:p>
            <w:pPr>
              <w:spacing w:after="0"/>
              <w:rPr>
                <w:sz w:val="19"/>
                <w:szCs w:val="19"/>
                <w:color w:val="auto"/>
              </w:rPr>
            </w:pPr>
          </w:p>
        </w:tc>
      </w:tr>
      <w:tr>
        <w:trPr>
          <w:trHeight w:val="173"/>
        </w:trPr>
        <w:tc>
          <w:tcPr>
            <w:tcW w:w="300" w:type="dxa"/>
            <w:vAlign w:val="bottom"/>
          </w:tcPr>
          <w:p>
            <w:pPr>
              <w:spacing w:after="0"/>
              <w:rPr>
                <w:sz w:val="15"/>
                <w:szCs w:val="15"/>
                <w:color w:val="auto"/>
              </w:rPr>
            </w:pPr>
          </w:p>
        </w:tc>
        <w:tc>
          <w:tcPr>
            <w:tcW w:w="19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w w:val="99"/>
              </w:rPr>
              <w:t>Name: R. Shawn Janko</w:t>
            </w:r>
          </w:p>
        </w:tc>
        <w:tc>
          <w:tcPr>
            <w:tcW w:w="100" w:type="dxa"/>
            <w:vAlign w:val="bottom"/>
          </w:tcPr>
          <w:p>
            <w:pPr>
              <w:spacing w:after="0"/>
              <w:rPr>
                <w:sz w:val="15"/>
                <w:szCs w:val="15"/>
                <w:color w:val="auto"/>
              </w:rPr>
            </w:pPr>
          </w:p>
        </w:tc>
      </w:tr>
      <w:tr>
        <w:trPr>
          <w:trHeight w:val="258"/>
        </w:trPr>
        <w:tc>
          <w:tcPr>
            <w:tcW w:w="300" w:type="dxa"/>
            <w:vAlign w:val="bottom"/>
          </w:tcPr>
          <w:p>
            <w:pPr>
              <w:spacing w:after="0"/>
              <w:rPr>
                <w:sz w:val="22"/>
                <w:szCs w:val="22"/>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PNC BANK, NATIONAL ASSOCIATION,</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51"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80" w:type="dxa"/>
            <w:vAlign w:val="bottom"/>
          </w:tcPr>
          <w:p>
            <w:pPr>
              <w:spacing w:after="0"/>
              <w:rPr>
                <w:sz w:val="19"/>
                <w:szCs w:val="19"/>
                <w:color w:val="auto"/>
              </w:rPr>
            </w:pPr>
          </w:p>
        </w:tc>
        <w:tc>
          <w:tcPr>
            <w:tcW w:w="2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97"/>
              </w:rPr>
              <w:t>/s/ Carmen Campise Jr.</w:t>
            </w:r>
          </w:p>
        </w:tc>
      </w:tr>
      <w:tr>
        <w:trPr>
          <w:trHeight w:val="173"/>
        </w:trPr>
        <w:tc>
          <w:tcPr>
            <w:tcW w:w="300" w:type="dxa"/>
            <w:vAlign w:val="bottom"/>
          </w:tcPr>
          <w:p>
            <w:pPr>
              <w:spacing w:after="0"/>
              <w:rPr>
                <w:sz w:val="15"/>
                <w:szCs w:val="15"/>
                <w:color w:val="auto"/>
              </w:rPr>
            </w:pPr>
          </w:p>
        </w:tc>
        <w:tc>
          <w:tcPr>
            <w:tcW w:w="22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w w:val="98"/>
              </w:rPr>
              <w:t>Name: Carmen Campise Jr.</w:t>
            </w:r>
          </w:p>
        </w:tc>
      </w:tr>
      <w:tr>
        <w:trPr>
          <w:trHeight w:val="258"/>
        </w:trPr>
        <w:tc>
          <w:tcPr>
            <w:tcW w:w="30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7"/>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SYNOVUS BANK</w:t>
      </w:r>
    </w:p>
    <w:p>
      <w:pPr>
        <w:ind w:left="2780"/>
        <w:spacing w:after="0"/>
        <w:rPr>
          <w:sz w:val="20"/>
          <w:szCs w:val="20"/>
          <w:color w:val="auto"/>
        </w:rPr>
      </w:pPr>
      <w:r>
        <w:rPr>
          <w:rFonts w:ascii="Times New Roman" w:cs="Times New Roman" w:eastAsia="Times New Roman" w:hAnsi="Times New Roman"/>
          <w:sz w:val="20"/>
          <w:szCs w:val="20"/>
          <w:color w:val="auto"/>
        </w:rPr>
        <w:t>as a Lender and as an Issuing Bank</w:t>
      </w:r>
    </w:p>
    <w:p>
      <w:pPr>
        <w:spacing w:after="0" w:line="364" w:lineRule="exact"/>
        <w:rPr>
          <w:sz w:val="20"/>
          <w:szCs w:val="20"/>
          <w:color w:val="auto"/>
        </w:rPr>
      </w:pPr>
    </w:p>
    <w:p>
      <w:pPr>
        <w:jc w:val="both"/>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Scott C.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9893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jc w:val="right"/>
        <w:ind w:right="4219"/>
        <w:spacing w:after="0" w:line="211" w:lineRule="auto"/>
        <w:rPr>
          <w:sz w:val="20"/>
          <w:szCs w:val="20"/>
          <w:color w:val="auto"/>
        </w:rPr>
      </w:pPr>
      <w:r>
        <w:rPr>
          <w:rFonts w:ascii="Times New Roman" w:cs="Times New Roman" w:eastAsia="Times New Roman" w:hAnsi="Times New Roman"/>
          <w:sz w:val="20"/>
          <w:szCs w:val="20"/>
          <w:color w:val="auto"/>
        </w:rPr>
        <w:t>Name: Scott C. Tocci</w:t>
      </w:r>
    </w:p>
    <w:p>
      <w:pPr>
        <w:jc w:val="right"/>
        <w:ind w:right="4219"/>
        <w:spacing w:after="0"/>
        <w:rPr>
          <w:sz w:val="20"/>
          <w:szCs w:val="20"/>
          <w:color w:val="auto"/>
        </w:rPr>
      </w:pPr>
      <w:r>
        <w:rPr>
          <w:rFonts w:ascii="Times New Roman" w:cs="Times New Roman" w:eastAsia="Times New Roman" w:hAnsi="Times New Roman"/>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109" w:name="page110"/>
    <w:bookmarkEnd w:id="109"/>
    <w:p>
      <w:pPr>
        <w:jc w:val="center"/>
        <w:ind w:right="-1120"/>
        <w:spacing w:after="0"/>
        <w:rPr>
          <w:sz w:val="20"/>
          <w:szCs w:val="20"/>
          <w:color w:val="auto"/>
        </w:rPr>
      </w:pPr>
      <w:r>
        <w:rPr>
          <w:rFonts w:ascii="Times New Roman" w:cs="Times New Roman" w:eastAsia="Times New Roman" w:hAnsi="Times New Roman"/>
          <w:sz w:val="20"/>
          <w:szCs w:val="20"/>
          <w:u w:val="single" w:color="auto"/>
          <w:color w:val="auto"/>
        </w:rPr>
        <w:t>Annex A</w:t>
      </w:r>
    </w:p>
    <w:p>
      <w:pPr>
        <w:jc w:val="center"/>
        <w:ind w:right="-1120"/>
        <w:spacing w:after="0"/>
        <w:rPr>
          <w:sz w:val="20"/>
          <w:szCs w:val="20"/>
          <w:color w:val="auto"/>
        </w:rPr>
      </w:pPr>
      <w:r>
        <w:rPr>
          <w:rFonts w:ascii="Times New Roman" w:cs="Times New Roman" w:eastAsia="Times New Roman" w:hAnsi="Times New Roman"/>
          <w:sz w:val="19"/>
          <w:szCs w:val="19"/>
          <w:color w:val="auto"/>
        </w:rPr>
        <w:t>Credit Agreement</w:t>
      </w:r>
    </w:p>
    <w:p>
      <w:pPr>
        <w:spacing w:after="0" w:line="1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see 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0139"/>
          </w:cols>
          <w:pgMar w:left="320" w:top="1394"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color w:val="FF0000"/>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Deal CUSIP Number: 30322UAA9</w:t>
      </w:r>
    </w:p>
    <w:p>
      <w:pPr>
        <w:jc w:val="right"/>
        <w:spacing w:after="0" w:line="197" w:lineRule="auto"/>
        <w:rPr>
          <w:sz w:val="20"/>
          <w:szCs w:val="20"/>
          <w:color w:val="auto"/>
        </w:rPr>
      </w:pPr>
      <w:r>
        <w:rPr>
          <w:rFonts w:ascii="Times New Roman" w:cs="Times New Roman" w:eastAsia="Times New Roman" w:hAnsi="Times New Roman"/>
          <w:sz w:val="20"/>
          <w:szCs w:val="20"/>
          <w:b w:val="1"/>
          <w:bCs w:val="1"/>
          <w:color w:val="auto"/>
        </w:rPr>
        <w:t>Published Revolver CUSIP Number: 30322UAB7</w:t>
      </w: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Term Loan A CUSIP Number: 30322UAC5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October 6, 2021</w:t>
      </w:r>
      <w:r>
        <w:rPr>
          <w:rFonts w:ascii="Times New Roman" w:cs="Times New Roman" w:eastAsia="Times New Roman" w:hAnsi="Times New Roman"/>
          <w:sz w:val="20"/>
          <w:szCs w:val="20"/>
          <w:u w:val="single" w:color="auto"/>
          <w:color w:val="0000FF"/>
        </w:rPr>
        <w:t>,</w:t>
      </w:r>
    </w:p>
    <w:p>
      <w:pPr>
        <w:jc w:val="center"/>
        <w:spacing w:after="0"/>
        <w:rPr>
          <w:sz w:val="20"/>
          <w:szCs w:val="20"/>
          <w:color w:val="auto"/>
        </w:rPr>
      </w:pPr>
      <w:r>
        <w:rPr>
          <w:rFonts w:ascii="Times New Roman" w:cs="Times New Roman" w:eastAsia="Times New Roman" w:hAnsi="Times New Roman"/>
          <w:sz w:val="20"/>
          <w:szCs w:val="20"/>
          <w:color w:val="0000FF"/>
        </w:rPr>
        <w:t>as amended by Amendment No. 1, dated as of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-24765</wp:posOffset>
            </wp:positionV>
            <wp:extent cx="3303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303905" cy="8255"/>
                    </a:xfrm>
                    <a:prstGeom prst="rect">
                      <a:avLst/>
                    </a:prstGeom>
                    <a:noFill/>
                  </pic:spPr>
                </pic:pic>
              </a:graphicData>
            </a:graphic>
          </wp:anchor>
        </w:drawing>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among</w:t>
      </w:r>
    </w:p>
    <w:p>
      <w:pPr>
        <w:spacing w:after="0" w:line="17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FWR HOLDING CORPORATION,</w:t>
      </w:r>
    </w:p>
    <w:p>
      <w:pPr>
        <w:ind w:left="49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AI FRESH PARENT, INC.,</w:t>
      </w:r>
    </w:p>
    <w:p>
      <w:pPr>
        <w:ind w:left="5120"/>
        <w:spacing w:after="0"/>
        <w:rPr>
          <w:sz w:val="20"/>
          <w:szCs w:val="20"/>
          <w:color w:val="auto"/>
        </w:rPr>
      </w:pPr>
      <w:r>
        <w:rPr>
          <w:rFonts w:ascii="Times New Roman" w:cs="Times New Roman" w:eastAsia="Times New Roman" w:hAnsi="Times New Roman"/>
          <w:sz w:val="20"/>
          <w:szCs w:val="20"/>
          <w:color w:val="auto"/>
        </w:rPr>
        <w:t>as Holdings,</w:t>
      </w:r>
    </w:p>
    <w:p>
      <w:pPr>
        <w:spacing w:after="0" w:line="16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ind w:left="4420"/>
        <w:spacing w:after="0"/>
        <w:rPr>
          <w:sz w:val="20"/>
          <w:szCs w:val="20"/>
          <w:color w:val="auto"/>
        </w:rPr>
      </w:pPr>
      <w:r>
        <w:rPr>
          <w:rFonts w:ascii="Times New Roman" w:cs="Times New Roman" w:eastAsia="Times New Roman" w:hAnsi="Times New Roman"/>
          <w:sz w:val="20"/>
          <w:szCs w:val="20"/>
          <w:color w:val="auto"/>
        </w:rPr>
        <w:t>as Lenders and Issuing Banks,</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BANK OF AMERICA, N.A.,</w:t>
      </w:r>
    </w:p>
    <w:p>
      <w:pPr>
        <w:jc w:val="center"/>
        <w:spacing w:after="0"/>
        <w:rPr>
          <w:sz w:val="20"/>
          <w:szCs w:val="20"/>
          <w:color w:val="auto"/>
        </w:rPr>
      </w:pPr>
      <w:r>
        <w:rPr>
          <w:rFonts w:ascii="Times New Roman" w:cs="Times New Roman" w:eastAsia="Times New Roman" w:hAnsi="Times New Roman"/>
          <w:sz w:val="20"/>
          <w:szCs w:val="20"/>
          <w:color w:val="auto"/>
        </w:rPr>
        <w:t>as Administrative Agent, an Issuing Bank and Swingline Lender,</w:t>
      </w:r>
    </w:p>
    <w:p>
      <w:pPr>
        <w:spacing w:after="0" w:line="18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BOFA SECURITIES, INC.</w:t>
      </w:r>
    </w:p>
    <w:p>
      <w:pPr>
        <w:jc w:val="center"/>
        <w:spacing w:after="0" w:line="197" w:lineRule="auto"/>
        <w:rPr>
          <w:sz w:val="20"/>
          <w:szCs w:val="20"/>
          <w:color w:val="auto"/>
        </w:rPr>
      </w:pPr>
      <w:r>
        <w:rPr>
          <w:rFonts w:ascii="Times New Roman" w:cs="Times New Roman" w:eastAsia="Times New Roman" w:hAnsi="Times New Roman"/>
          <w:sz w:val="20"/>
          <w:szCs w:val="20"/>
          <w:color w:val="auto"/>
        </w:rPr>
        <w:t>and</w:t>
      </w:r>
    </w:p>
    <w:p>
      <w:pPr>
        <w:jc w:val="center"/>
        <w:spacing w:after="0" w:line="211" w:lineRule="auto"/>
        <w:rPr>
          <w:sz w:val="20"/>
          <w:szCs w:val="20"/>
          <w:color w:val="auto"/>
        </w:rPr>
      </w:pPr>
      <w:r>
        <w:rPr>
          <w:rFonts w:ascii="Times New Roman" w:cs="Times New Roman" w:eastAsia="Times New Roman" w:hAnsi="Times New Roman"/>
          <w:sz w:val="20"/>
          <w:szCs w:val="20"/>
          <w:color w:val="auto"/>
        </w:rPr>
        <w:t>PNC BANK, NATIONAL ASSOCIATION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PNC BANK, NATIONAL ASSOCIATION</w:t>
      </w:r>
    </w:p>
    <w:p>
      <w:pPr>
        <w:jc w:val="center"/>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MUFG BANK LTD.</w:t>
      </w:r>
    </w:p>
    <w:p>
      <w:pPr>
        <w:jc w:val="center"/>
        <w:spacing w:after="0" w:line="211" w:lineRule="auto"/>
        <w:rPr>
          <w:sz w:val="20"/>
          <w:szCs w:val="20"/>
          <w:color w:val="auto"/>
        </w:rPr>
      </w:pPr>
      <w:r>
        <w:rPr>
          <w:rFonts w:ascii="Times New Roman" w:cs="Times New Roman" w:eastAsia="Times New Roman" w:hAnsi="Times New Roman"/>
          <w:sz w:val="20"/>
          <w:szCs w:val="20"/>
          <w:color w:val="auto"/>
        </w:rPr>
        <w:t>and</w:t>
      </w:r>
    </w:p>
    <w:p>
      <w:pPr>
        <w:jc w:val="center"/>
        <w:spacing w:after="0" w:line="211" w:lineRule="auto"/>
        <w:rPr>
          <w:sz w:val="20"/>
          <w:szCs w:val="20"/>
          <w:color w:val="auto"/>
        </w:rPr>
      </w:pPr>
      <w:r>
        <w:rPr>
          <w:rFonts w:ascii="Times New Roman" w:cs="Times New Roman" w:eastAsia="Times New Roman" w:hAnsi="Times New Roman"/>
          <w:sz w:val="20"/>
          <w:szCs w:val="20"/>
          <w:color w:val="auto"/>
        </w:rPr>
        <w:t>SYNOVUS BANK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pacing w:after="0"/>
        <w:rPr>
          <w:sz w:val="20"/>
          <w:szCs w:val="20"/>
          <w:color w:val="auto"/>
        </w:rPr>
      </w:pPr>
      <w:r>
        <w:rPr>
          <w:rFonts w:ascii="Times New Roman" w:cs="Times New Roman" w:eastAsia="Times New Roman" w:hAnsi="Times New Roman"/>
          <w:sz w:val="14"/>
          <w:szCs w:val="14"/>
          <w:color w:val="auto"/>
        </w:rPr>
        <w:t>|US-DOCS\126476701.15||</w:t>
      </w:r>
    </w:p>
    <w:p>
      <w:pPr>
        <w:sectPr>
          <w:pgSz w:w="11900" w:h="16838" w:orient="portrait"/>
          <w:cols w:equalWidth="0" w:num="1">
            <w:col w:w="11240"/>
          </w:cols>
          <w:pgMar w:left="320" w:top="10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840" w:type="dxa"/>
            <w:vAlign w:val="bottom"/>
            <w:gridSpan w:val="92"/>
          </w:tcPr>
          <w:p>
            <w:pPr>
              <w:spacing w:after="0"/>
              <w:rPr>
                <w:sz w:val="20"/>
                <w:szCs w:val="20"/>
                <w:color w:val="auto"/>
              </w:rPr>
            </w:pPr>
            <w:r>
              <w:rPr>
                <w:rFonts w:ascii="Times New Roman" w:cs="Times New Roman" w:eastAsia="Times New Roman" w:hAnsi="Times New Roman"/>
                <w:sz w:val="20"/>
                <w:szCs w:val="20"/>
                <w:color w:val="auto"/>
              </w:rPr>
              <w:t>ARTICLE 1</w:t>
            </w:r>
          </w:p>
        </w:tc>
        <w:tc>
          <w:tcPr>
            <w:tcW w:w="0" w:type="dxa"/>
            <w:vAlign w:val="bottom"/>
          </w:tcPr>
          <w:p>
            <w:pPr>
              <w:spacing w:after="0"/>
              <w:rPr>
                <w:sz w:val="1"/>
                <w:szCs w:val="1"/>
                <w:color w:val="auto"/>
              </w:rPr>
            </w:pPr>
          </w:p>
        </w:tc>
      </w:tr>
      <w:tr>
        <w:trPr>
          <w:trHeight w:val="392"/>
        </w:trPr>
        <w:tc>
          <w:tcPr>
            <w:tcW w:w="8840" w:type="dxa"/>
            <w:vAlign w:val="bottom"/>
            <w:gridSpan w:val="92"/>
          </w:tcPr>
          <w:p>
            <w:pPr>
              <w:spacing w:after="0"/>
              <w:rPr>
                <w:sz w:val="20"/>
                <w:szCs w:val="20"/>
                <w:color w:val="auto"/>
              </w:rPr>
            </w:pPr>
            <w:r>
              <w:rPr>
                <w:rFonts w:ascii="Times New Roman" w:cs="Times New Roman" w:eastAsia="Times New Roman" w:hAnsi="Times New Roman"/>
                <w:sz w:val="20"/>
                <w:szCs w:val="20"/>
                <w:color w:val="auto"/>
              </w:rPr>
              <w:t>DEFINITIONS</w:t>
            </w:r>
          </w:p>
        </w:tc>
        <w:tc>
          <w:tcPr>
            <w:tcW w:w="0" w:type="dxa"/>
            <w:vAlign w:val="bottom"/>
          </w:tcPr>
          <w:p>
            <w:pPr>
              <w:spacing w:after="0"/>
              <w:rPr>
                <w:sz w:val="1"/>
                <w:szCs w:val="1"/>
                <w:color w:val="auto"/>
              </w:rPr>
            </w:pPr>
          </w:p>
        </w:tc>
      </w:tr>
      <w:tr>
        <w:trPr>
          <w:trHeight w:val="358"/>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32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Defined Terms</w:t>
            </w:r>
          </w:p>
        </w:tc>
        <w:tc>
          <w:tcPr>
            <w:tcW w:w="6280" w:type="dxa"/>
            <w:vAlign w:val="bottom"/>
            <w:gridSpan w:val="71"/>
          </w:tcPr>
          <w:p>
            <w:pPr>
              <w:jc w:val="right"/>
              <w:ind w:right="6027"/>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3"/>
        </w:trPr>
        <w:tc>
          <w:tcPr>
            <w:tcW w:w="11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1.02.</w:t>
            </w:r>
          </w:p>
        </w:tc>
        <w:tc>
          <w:tcPr>
            <w:tcW w:w="100" w:type="dxa"/>
            <w:vAlign w:val="bottom"/>
          </w:tcPr>
          <w:p>
            <w:pPr>
              <w:spacing w:after="0"/>
              <w:rPr>
                <w:sz w:val="17"/>
                <w:szCs w:val="17"/>
                <w:color w:val="auto"/>
              </w:rPr>
            </w:pPr>
          </w:p>
        </w:tc>
        <w:tc>
          <w:tcPr>
            <w:tcW w:w="3200" w:type="dxa"/>
            <w:vAlign w:val="bottom"/>
            <w:gridSpan w:val="68"/>
          </w:tcPr>
          <w:p>
            <w:pPr>
              <w:spacing w:after="0" w:line="203" w:lineRule="exact"/>
              <w:rPr>
                <w:sz w:val="20"/>
                <w:szCs w:val="20"/>
                <w:color w:val="auto"/>
              </w:rPr>
            </w:pPr>
            <w:r>
              <w:rPr>
                <w:rFonts w:ascii="Times New Roman" w:cs="Times New Roman" w:eastAsia="Times New Roman" w:hAnsi="Times New Roman"/>
                <w:sz w:val="20"/>
                <w:szCs w:val="20"/>
                <w:color w:val="auto"/>
                <w:w w:val="99"/>
              </w:rPr>
              <w:t>Classification of Loans and Borrowings</w:t>
            </w:r>
          </w:p>
        </w:tc>
        <w:tc>
          <w:tcPr>
            <w:tcW w:w="80" w:type="dxa"/>
            <w:vAlign w:val="bottom"/>
          </w:tcPr>
          <w:p>
            <w:pPr>
              <w:spacing w:after="0"/>
              <w:rPr>
                <w:sz w:val="17"/>
                <w:szCs w:val="17"/>
                <w:color w:val="auto"/>
              </w:rPr>
            </w:pPr>
          </w:p>
        </w:tc>
        <w:tc>
          <w:tcPr>
            <w:tcW w:w="2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FF0000"/>
                <w:strike w:val="1"/>
              </w:rPr>
              <w:t>69</w:t>
            </w:r>
          </w:p>
        </w:tc>
        <w:tc>
          <w:tcPr>
            <w:tcW w:w="200" w:type="dxa"/>
            <w:vAlign w:val="bottom"/>
            <w:tcBorders>
              <w:bottom w:val="single" w:sz="8" w:color="0000FF"/>
            </w:tcBorders>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1.03.</w:t>
            </w:r>
          </w:p>
        </w:tc>
        <w:tc>
          <w:tcPr>
            <w:tcW w:w="1600" w:type="dxa"/>
            <w:vAlign w:val="bottom"/>
            <w:gridSpan w:val="23"/>
          </w:tcPr>
          <w:p>
            <w:pPr>
              <w:ind w:left="100"/>
              <w:spacing w:after="0" w:line="183" w:lineRule="exact"/>
              <w:rPr>
                <w:sz w:val="20"/>
                <w:szCs w:val="20"/>
                <w:color w:val="auto"/>
              </w:rPr>
            </w:pPr>
            <w:r>
              <w:rPr>
                <w:rFonts w:ascii="Times New Roman" w:cs="Times New Roman" w:eastAsia="Times New Roman" w:hAnsi="Times New Roman"/>
                <w:sz w:val="20"/>
                <w:szCs w:val="20"/>
                <w:color w:val="auto"/>
                <w:w w:val="96"/>
              </w:rPr>
              <w:t>Terms Generally</w:t>
            </w:r>
          </w:p>
        </w:tc>
        <w:tc>
          <w:tcPr>
            <w:tcW w:w="220" w:type="dxa"/>
            <w:vAlign w:val="bottom"/>
            <w:gridSpan w:val="6"/>
          </w:tcPr>
          <w:p>
            <w:pPr>
              <w:jc w:val="center"/>
              <w:spacing w:after="0" w:line="183" w:lineRule="exact"/>
              <w:rPr>
                <w:sz w:val="20"/>
                <w:szCs w:val="20"/>
                <w:color w:val="auto"/>
              </w:rPr>
            </w:pPr>
            <w:r>
              <w:rPr>
                <w:rFonts w:ascii="Times New Roman" w:cs="Times New Roman" w:eastAsia="Times New Roman" w:hAnsi="Times New Roman"/>
                <w:sz w:val="20"/>
                <w:szCs w:val="20"/>
                <w:color w:val="FF0000"/>
                <w:strike w:val="1"/>
                <w:w w:val="99"/>
              </w:rPr>
              <w:t>69</w:t>
            </w:r>
          </w:p>
        </w:tc>
        <w:tc>
          <w:tcPr>
            <w:tcW w:w="22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FF"/>
                <w:w w:val="89"/>
              </w:rPr>
              <w:t>73</w:t>
            </w:r>
          </w:p>
        </w:tc>
        <w:tc>
          <w:tcPr>
            <w:tcW w:w="5660" w:type="dxa"/>
            <w:vAlign w:val="bottom"/>
            <w:gridSpan w:val="5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1.04.</w:t>
            </w:r>
          </w:p>
        </w:tc>
        <w:tc>
          <w:tcPr>
            <w:tcW w:w="2400" w:type="dxa"/>
            <w:vAlign w:val="bottom"/>
            <w:gridSpan w:val="46"/>
          </w:tcPr>
          <w:p>
            <w:pPr>
              <w:ind w:left="100"/>
              <w:spacing w:after="0" w:line="169" w:lineRule="exact"/>
              <w:rPr>
                <w:sz w:val="20"/>
                <w:szCs w:val="20"/>
                <w:color w:val="auto"/>
              </w:rPr>
            </w:pPr>
            <w:r>
              <w:rPr>
                <w:rFonts w:ascii="Times New Roman" w:cs="Times New Roman" w:eastAsia="Times New Roman" w:hAnsi="Times New Roman"/>
                <w:sz w:val="19"/>
                <w:szCs w:val="19"/>
                <w:color w:val="auto"/>
              </w:rPr>
              <w:t>Accounting Terms; GAAP</w:t>
            </w:r>
          </w:p>
        </w:tc>
        <w:tc>
          <w:tcPr>
            <w:tcW w:w="20" w:type="dxa"/>
            <w:vAlign w:val="bottom"/>
          </w:tcPr>
          <w:p>
            <w:pPr>
              <w:spacing w:after="0"/>
              <w:rPr>
                <w:sz w:val="15"/>
                <w:szCs w:val="15"/>
                <w:color w:val="auto"/>
              </w:rPr>
            </w:pPr>
          </w:p>
        </w:tc>
        <w:tc>
          <w:tcPr>
            <w:tcW w:w="1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73"/>
              </w:rPr>
              <w:t>71</w:t>
            </w:r>
          </w:p>
        </w:tc>
        <w:tc>
          <w:tcPr>
            <w:tcW w:w="2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9"/>
                <w:szCs w:val="19"/>
                <w:color w:val="0000FF"/>
                <w:w w:val="94"/>
              </w:rPr>
              <w:t>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1.05.</w:t>
            </w:r>
          </w:p>
        </w:tc>
        <w:tc>
          <w:tcPr>
            <w:tcW w:w="100" w:type="dxa"/>
            <w:vAlign w:val="bottom"/>
          </w:tcPr>
          <w:p>
            <w:pPr>
              <w:spacing w:after="0"/>
              <w:rPr>
                <w:sz w:val="15"/>
                <w:szCs w:val="15"/>
                <w:color w:val="auto"/>
              </w:rPr>
            </w:pPr>
          </w:p>
        </w:tc>
        <w:tc>
          <w:tcPr>
            <w:tcW w:w="2300" w:type="dxa"/>
            <w:vAlign w:val="bottom"/>
            <w:gridSpan w:val="45"/>
          </w:tcPr>
          <w:p>
            <w:pPr>
              <w:spacing w:after="0" w:line="176" w:lineRule="exact"/>
              <w:rPr>
                <w:sz w:val="20"/>
                <w:szCs w:val="20"/>
                <w:color w:val="auto"/>
              </w:rPr>
            </w:pPr>
            <w:r>
              <w:rPr>
                <w:rFonts w:ascii="Times New Roman" w:cs="Times New Roman" w:eastAsia="Times New Roman" w:hAnsi="Times New Roman"/>
                <w:sz w:val="20"/>
                <w:szCs w:val="20"/>
                <w:color w:val="auto"/>
              </w:rPr>
              <w:t>Effectuation of Transactions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line="175" w:lineRule="exact"/>
              <w:rPr>
                <w:sz w:val="20"/>
                <w:szCs w:val="20"/>
                <w:color w:val="auto"/>
              </w:rPr>
            </w:pPr>
            <w:r>
              <w:rPr>
                <w:rFonts w:ascii="Times New Roman" w:cs="Times New Roman" w:eastAsia="Times New Roman" w:hAnsi="Times New Roman"/>
                <w:sz w:val="19"/>
                <w:szCs w:val="19"/>
                <w:color w:val="FF0000"/>
                <w:strike w:val="1"/>
                <w:w w:val="73"/>
              </w:rPr>
              <w:t>72</w:t>
            </w:r>
          </w:p>
        </w:tc>
        <w:tc>
          <w:tcPr>
            <w:tcW w:w="40" w:type="dxa"/>
            <w:vAlign w:val="bottom"/>
          </w:tcPr>
          <w:p>
            <w:pPr>
              <w:spacing w:after="0"/>
              <w:rPr>
                <w:sz w:val="15"/>
                <w:szCs w:val="15"/>
                <w:color w:val="auto"/>
              </w:rPr>
            </w:pPr>
          </w:p>
        </w:tc>
        <w:tc>
          <w:tcPr>
            <w:tcW w:w="220" w:type="dxa"/>
            <w:vAlign w:val="bottom"/>
            <w:gridSpan w:val="4"/>
          </w:tcPr>
          <w:p>
            <w:pPr>
              <w:jc w:val="right"/>
              <w:ind w:right="60"/>
              <w:spacing w:after="0" w:line="175" w:lineRule="exact"/>
              <w:rPr>
                <w:sz w:val="20"/>
                <w:szCs w:val="20"/>
                <w:color w:val="auto"/>
              </w:rPr>
            </w:pPr>
            <w:r>
              <w:rPr>
                <w:rFonts w:ascii="Times New Roman" w:cs="Times New Roman" w:eastAsia="Times New Roman" w:hAnsi="Times New Roman"/>
                <w:sz w:val="19"/>
                <w:szCs w:val="19"/>
                <w:color w:val="0000FF"/>
                <w:w w:val="73"/>
              </w:rPr>
              <w:t>76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1.06.</w:t>
            </w:r>
          </w:p>
        </w:tc>
        <w:tc>
          <w:tcPr>
            <w:tcW w:w="2740" w:type="dxa"/>
            <w:vAlign w:val="bottom"/>
            <w:gridSpan w:val="56"/>
          </w:tcPr>
          <w:p>
            <w:pPr>
              <w:ind w:left="100"/>
              <w:spacing w:after="0" w:line="183" w:lineRule="exact"/>
              <w:rPr>
                <w:sz w:val="20"/>
                <w:szCs w:val="20"/>
                <w:color w:val="auto"/>
              </w:rPr>
            </w:pPr>
            <w:r>
              <w:rPr>
                <w:rFonts w:ascii="Times New Roman" w:cs="Times New Roman" w:eastAsia="Times New Roman" w:hAnsi="Times New Roman"/>
                <w:sz w:val="20"/>
                <w:szCs w:val="20"/>
                <w:color w:val="auto"/>
                <w:w w:val="92"/>
              </w:rPr>
              <w:t>Timing of Payment or Performance</w:t>
            </w: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89"/>
              </w:rPr>
              <w:t>72</w:t>
            </w:r>
          </w:p>
        </w:tc>
        <w:tc>
          <w:tcPr>
            <w:tcW w:w="2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0000FF"/>
                <w:w w:val="89"/>
              </w:rPr>
              <w:t>76</w:t>
            </w: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1.07.</w:t>
            </w:r>
          </w:p>
        </w:tc>
        <w:tc>
          <w:tcPr>
            <w:tcW w:w="1380" w:type="dxa"/>
            <w:vAlign w:val="bottom"/>
            <w:gridSpan w:val="18"/>
          </w:tcPr>
          <w:p>
            <w:pPr>
              <w:ind w:left="100"/>
              <w:spacing w:after="0" w:line="169" w:lineRule="exact"/>
              <w:rPr>
                <w:sz w:val="20"/>
                <w:szCs w:val="20"/>
                <w:color w:val="auto"/>
              </w:rPr>
            </w:pPr>
            <w:r>
              <w:rPr>
                <w:rFonts w:ascii="Times New Roman" w:cs="Times New Roman" w:eastAsia="Times New Roman" w:hAnsi="Times New Roman"/>
                <w:sz w:val="19"/>
                <w:szCs w:val="19"/>
                <w:color w:val="auto"/>
              </w:rPr>
              <w:t>Times of Day</w:t>
            </w:r>
          </w:p>
        </w:tc>
        <w:tc>
          <w:tcPr>
            <w:tcW w:w="20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94"/>
              </w:rPr>
              <w:t>73</w:t>
            </w:r>
          </w:p>
        </w:tc>
        <w:tc>
          <w:tcPr>
            <w:tcW w:w="200" w:type="dxa"/>
            <w:vAlign w:val="bottom"/>
            <w:tcBorders>
              <w:bottom w:val="single" w:sz="8" w:color="0000FF"/>
            </w:tcBorders>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76</w:t>
            </w:r>
          </w:p>
        </w:tc>
        <w:tc>
          <w:tcPr>
            <w:tcW w:w="5920" w:type="dxa"/>
            <w:vAlign w:val="bottom"/>
            <w:gridSpan w:val="6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1.08.</w:t>
            </w:r>
          </w:p>
        </w:tc>
        <w:tc>
          <w:tcPr>
            <w:tcW w:w="100" w:type="dxa"/>
            <w:vAlign w:val="bottom"/>
          </w:tcPr>
          <w:p>
            <w:pPr>
              <w:spacing w:after="0"/>
              <w:rPr>
                <w:sz w:val="15"/>
                <w:szCs w:val="15"/>
                <w:color w:val="auto"/>
              </w:rPr>
            </w:pPr>
          </w:p>
        </w:tc>
        <w:tc>
          <w:tcPr>
            <w:tcW w:w="168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auto"/>
                <w:w w:val="95"/>
              </w:rPr>
              <w:t>Currency Equivalents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3"/>
          </w:tcPr>
          <w:p>
            <w:pPr>
              <w:jc w:val="center"/>
              <w:spacing w:after="0" w:line="176" w:lineRule="exact"/>
              <w:rPr>
                <w:sz w:val="20"/>
                <w:szCs w:val="20"/>
                <w:color w:val="auto"/>
              </w:rPr>
            </w:pPr>
            <w:r>
              <w:rPr>
                <w:rFonts w:ascii="Times New Roman" w:cs="Times New Roman" w:eastAsia="Times New Roman" w:hAnsi="Times New Roman"/>
                <w:sz w:val="20"/>
                <w:szCs w:val="20"/>
                <w:color w:val="auto"/>
                <w:w w:val="98"/>
              </w:rPr>
              <w:t>Generally</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rPr>
              <w:t>73</w:t>
            </w:r>
          </w:p>
        </w:tc>
        <w:tc>
          <w:tcPr>
            <w:tcW w:w="200" w:type="dxa"/>
            <w:vAlign w:val="bottom"/>
            <w:tcBorders>
              <w:bottom w:val="single" w:sz="8" w:color="0000FF"/>
            </w:tcBorders>
            <w:gridSpan w:val="5"/>
          </w:tcPr>
          <w:p>
            <w:pPr>
              <w:jc w:val="right"/>
              <w:spacing w:after="0" w:line="176" w:lineRule="exact"/>
              <w:rPr>
                <w:sz w:val="20"/>
                <w:szCs w:val="20"/>
                <w:color w:val="auto"/>
              </w:rPr>
            </w:pPr>
            <w:r>
              <w:rPr>
                <w:rFonts w:ascii="Times New Roman" w:cs="Times New Roman" w:eastAsia="Times New Roman" w:hAnsi="Times New Roman"/>
                <w:sz w:val="20"/>
                <w:szCs w:val="20"/>
                <w:color w:val="0000FF"/>
                <w:w w:val="89"/>
              </w:rPr>
              <w:t>76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1.09.</w:t>
            </w:r>
          </w:p>
        </w:tc>
        <w:tc>
          <w:tcPr>
            <w:tcW w:w="100" w:type="dxa"/>
            <w:vAlign w:val="bottom"/>
          </w:tcPr>
          <w:p>
            <w:pPr>
              <w:spacing w:after="0"/>
              <w:rPr>
                <w:sz w:val="15"/>
                <w:szCs w:val="15"/>
                <w:color w:val="auto"/>
              </w:rPr>
            </w:pPr>
          </w:p>
        </w:tc>
        <w:tc>
          <w:tcPr>
            <w:tcW w:w="1720" w:type="dxa"/>
            <w:vAlign w:val="bottom"/>
            <w:gridSpan w:val="28"/>
          </w:tcPr>
          <w:p>
            <w:pPr>
              <w:spacing w:after="0" w:line="183" w:lineRule="exact"/>
              <w:rPr>
                <w:sz w:val="20"/>
                <w:szCs w:val="20"/>
                <w:color w:val="auto"/>
              </w:rPr>
            </w:pPr>
            <w:r>
              <w:rPr>
                <w:rFonts w:ascii="Times New Roman" w:cs="Times New Roman" w:eastAsia="Times New Roman" w:hAnsi="Times New Roman"/>
                <w:sz w:val="20"/>
                <w:szCs w:val="20"/>
                <w:color w:val="auto"/>
              </w:rPr>
              <w:t>Cashless Rollovers</w:t>
            </w:r>
          </w:p>
        </w:tc>
        <w:tc>
          <w:tcPr>
            <w:tcW w:w="20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FF0000"/>
                <w:strike w:val="1"/>
                <w:w w:val="89"/>
              </w:rPr>
              <w:t>74</w:t>
            </w:r>
          </w:p>
        </w:tc>
        <w:tc>
          <w:tcPr>
            <w:tcW w:w="18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20"/>
                <w:szCs w:val="20"/>
                <w:color w:val="0000FF"/>
                <w:w w:val="79"/>
              </w:rPr>
              <w:t>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1.10.</w:t>
            </w:r>
          </w:p>
        </w:tc>
        <w:tc>
          <w:tcPr>
            <w:tcW w:w="1080" w:type="dxa"/>
            <w:vAlign w:val="bottom"/>
            <w:gridSpan w:val="11"/>
          </w:tcPr>
          <w:p>
            <w:pPr>
              <w:spacing w:after="0" w:line="169" w:lineRule="exact"/>
              <w:rPr>
                <w:sz w:val="20"/>
                <w:szCs w:val="20"/>
                <w:color w:val="auto"/>
              </w:rPr>
            </w:pPr>
            <w:r>
              <w:rPr>
                <w:rFonts w:ascii="Times New Roman" w:cs="Times New Roman" w:eastAsia="Times New Roman" w:hAnsi="Times New Roman"/>
                <w:sz w:val="19"/>
                <w:szCs w:val="19"/>
                <w:color w:val="auto"/>
              </w:rPr>
              <w:t>[Reserved]</w:t>
            </w:r>
          </w:p>
        </w:tc>
        <w:tc>
          <w:tcPr>
            <w:tcW w:w="180" w:type="dxa"/>
            <w:vAlign w:val="bottom"/>
            <w:gridSpan w:val="5"/>
          </w:tcPr>
          <w:p>
            <w:pPr>
              <w:jc w:val="center"/>
              <w:spacing w:after="0" w:line="169" w:lineRule="exact"/>
              <w:rPr>
                <w:sz w:val="20"/>
                <w:szCs w:val="20"/>
                <w:color w:val="auto"/>
              </w:rPr>
            </w:pPr>
            <w:r>
              <w:rPr>
                <w:rFonts w:ascii="Times New Roman" w:cs="Times New Roman" w:eastAsia="Times New Roman" w:hAnsi="Times New Roman"/>
                <w:sz w:val="19"/>
                <w:szCs w:val="19"/>
                <w:color w:val="FF0000"/>
                <w:strike w:val="1"/>
                <w:w w:val="94"/>
              </w:rPr>
              <w:t>74</w:t>
            </w:r>
          </w:p>
        </w:tc>
        <w:tc>
          <w:tcPr>
            <w:tcW w:w="6340" w:type="dxa"/>
            <w:vAlign w:val="bottom"/>
            <w:gridSpan w:val="74"/>
          </w:tcPr>
          <w:p>
            <w:pPr>
              <w:jc w:val="right"/>
              <w:ind w:right="6047"/>
              <w:spacing w:after="0" w:line="169" w:lineRule="exact"/>
              <w:rPr>
                <w:sz w:val="20"/>
                <w:szCs w:val="20"/>
                <w:color w:val="auto"/>
              </w:rPr>
            </w:pPr>
            <w:r>
              <w:rPr>
                <w:rFonts w:ascii="Times New Roman" w:cs="Times New Roman" w:eastAsia="Times New Roman" w:hAnsi="Times New Roman"/>
                <w:sz w:val="19"/>
                <w:szCs w:val="19"/>
                <w:color w:val="0000FF"/>
                <w:w w:val="94"/>
              </w:rPr>
              <w:t>78</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1.11.</w:t>
            </w:r>
          </w:p>
        </w:tc>
        <w:tc>
          <w:tcPr>
            <w:tcW w:w="540" w:type="dxa"/>
            <w:vAlign w:val="bottom"/>
            <w:gridSpan w:val="2"/>
            <w:vMerge w:val="restart"/>
          </w:tcPr>
          <w:p>
            <w:pPr>
              <w:ind w:left="100"/>
              <w:spacing w:after="0" w:line="203" w:lineRule="exact"/>
              <w:rPr>
                <w:sz w:val="20"/>
                <w:szCs w:val="20"/>
                <w:color w:val="auto"/>
              </w:rPr>
            </w:pPr>
            <w:r>
              <w:rPr>
                <w:rFonts w:ascii="Times New Roman" w:cs="Times New Roman" w:eastAsia="Times New Roman" w:hAnsi="Times New Roman"/>
                <w:sz w:val="20"/>
                <w:szCs w:val="20"/>
                <w:color w:val="auto"/>
                <w:w w:val="94"/>
              </w:rPr>
              <w:t>Rates</w:t>
            </w:r>
          </w:p>
        </w:tc>
        <w:tc>
          <w:tcPr>
            <w:tcW w:w="820" w:type="dxa"/>
            <w:vAlign w:val="bottom"/>
            <w:gridSpan w:val="15"/>
            <w:vMerge w:val="restart"/>
          </w:tcPr>
          <w:p>
            <w:pPr>
              <w:spacing w:after="0" w:line="203" w:lineRule="exact"/>
              <w:rPr>
                <w:sz w:val="20"/>
                <w:szCs w:val="20"/>
                <w:color w:val="auto"/>
              </w:rPr>
            </w:pPr>
            <w:r>
              <w:rPr>
                <w:rFonts w:ascii="Times New Roman" w:cs="Times New Roman" w:eastAsia="Times New Roman" w:hAnsi="Times New Roman"/>
                <w:sz w:val="20"/>
                <w:szCs w:val="20"/>
                <w:color w:val="FF0000"/>
                <w:strike w:val="1"/>
              </w:rPr>
              <w:t>; LIBOR</w:t>
            </w:r>
          </w:p>
        </w:tc>
        <w:tc>
          <w:tcPr>
            <w:tcW w:w="1320" w:type="dxa"/>
            <w:vAlign w:val="bottom"/>
            <w:gridSpan w:val="37"/>
            <w:shd w:val="clear" w:color="auto" w:fill="0000FF"/>
          </w:tcPr>
          <w:p>
            <w:pPr>
              <w:spacing w:after="0"/>
              <w:rPr>
                <w:sz w:val="2"/>
                <w:szCs w:val="2"/>
                <w:color w:val="auto"/>
              </w:rPr>
            </w:pPr>
          </w:p>
        </w:tc>
        <w:tc>
          <w:tcPr>
            <w:tcW w:w="220" w:type="dxa"/>
            <w:vAlign w:val="bottom"/>
            <w:gridSpan w:val="5"/>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0000FF"/>
                <w:w w:val="89"/>
              </w:rPr>
              <w:t>78</w:t>
            </w:r>
          </w:p>
        </w:tc>
        <w:tc>
          <w:tcPr>
            <w:tcW w:w="40" w:type="dxa"/>
            <w:vAlign w:val="bottom"/>
            <w:vMerge w:val="restart"/>
          </w:tcPr>
          <w:p>
            <w:pPr>
              <w:spacing w:after="0"/>
              <w:rPr>
                <w:sz w:val="2"/>
                <w:szCs w:val="2"/>
                <w:color w:val="auto"/>
              </w:rPr>
            </w:pPr>
          </w:p>
        </w:tc>
        <w:tc>
          <w:tcPr>
            <w:tcW w:w="4760" w:type="dxa"/>
            <w:vAlign w:val="bottom"/>
            <w:gridSpan w:val="3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1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20" w:type="dxa"/>
            <w:vAlign w:val="bottom"/>
            <w:gridSpan w:val="15"/>
            <w:vMerge w:val="continue"/>
          </w:tcPr>
          <w:p>
            <w:pPr>
              <w:spacing w:after="0"/>
              <w:rPr>
                <w:sz w:val="15"/>
                <w:szCs w:val="15"/>
                <w:color w:val="auto"/>
              </w:rPr>
            </w:pPr>
          </w:p>
        </w:tc>
        <w:tc>
          <w:tcPr>
            <w:tcW w:w="1120" w:type="dxa"/>
            <w:vAlign w:val="bottom"/>
            <w:gridSpan w:val="31"/>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90"/>
              </w:rPr>
              <w:t>Notification 74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0000FF"/>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1.12.</w:t>
            </w:r>
          </w:p>
        </w:tc>
        <w:tc>
          <w:tcPr>
            <w:tcW w:w="100" w:type="dxa"/>
            <w:vAlign w:val="bottom"/>
          </w:tcPr>
          <w:p>
            <w:pPr>
              <w:spacing w:after="0"/>
              <w:rPr>
                <w:sz w:val="15"/>
                <w:szCs w:val="15"/>
                <w:color w:val="auto"/>
              </w:rPr>
            </w:pPr>
          </w:p>
        </w:tc>
        <w:tc>
          <w:tcPr>
            <w:tcW w:w="2580" w:type="dxa"/>
            <w:vAlign w:val="bottom"/>
            <w:gridSpan w:val="53"/>
          </w:tcPr>
          <w:p>
            <w:pPr>
              <w:spacing w:after="0" w:line="183" w:lineRule="exact"/>
              <w:rPr>
                <w:sz w:val="20"/>
                <w:szCs w:val="20"/>
                <w:color w:val="auto"/>
              </w:rPr>
            </w:pPr>
            <w:r>
              <w:rPr>
                <w:rFonts w:ascii="Times New Roman" w:cs="Times New Roman" w:eastAsia="Times New Roman" w:hAnsi="Times New Roman"/>
                <w:sz w:val="20"/>
                <w:szCs w:val="20"/>
                <w:color w:val="auto"/>
              </w:rPr>
              <w:t>Certain Calculations and Tests</w:t>
            </w:r>
          </w:p>
        </w:tc>
        <w:tc>
          <w:tcPr>
            <w:tcW w:w="20" w:type="dxa"/>
            <w:vAlign w:val="bottom"/>
          </w:tcPr>
          <w:p>
            <w:pPr>
              <w:spacing w:after="0"/>
              <w:rPr>
                <w:sz w:val="15"/>
                <w:szCs w:val="15"/>
                <w:color w:val="auto"/>
              </w:rPr>
            </w:pPr>
          </w:p>
        </w:tc>
        <w:tc>
          <w:tcPr>
            <w:tcW w:w="2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75</w:t>
            </w:r>
          </w:p>
        </w:tc>
        <w:tc>
          <w:tcPr>
            <w:tcW w:w="220" w:type="dxa"/>
            <w:vAlign w:val="bottom"/>
            <w:tcBorders>
              <w:bottom w:val="single" w:sz="8" w:color="0000FF"/>
            </w:tcBorders>
            <w:gridSpan w:val="7"/>
          </w:tcPr>
          <w:p>
            <w:pPr>
              <w:jc w:val="right"/>
              <w:spacing w:after="0" w:line="183" w:lineRule="exact"/>
              <w:rPr>
                <w:sz w:val="20"/>
                <w:szCs w:val="20"/>
                <w:color w:val="auto"/>
              </w:rPr>
            </w:pPr>
            <w:r>
              <w:rPr>
                <w:rFonts w:ascii="Times New Roman" w:cs="Times New Roman" w:eastAsia="Times New Roman" w:hAnsi="Times New Roman"/>
                <w:sz w:val="20"/>
                <w:szCs w:val="20"/>
                <w:color w:val="0000FF"/>
                <w:w w:val="89"/>
              </w:rPr>
              <w:t>78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1.13.</w:t>
            </w:r>
          </w:p>
        </w:tc>
        <w:tc>
          <w:tcPr>
            <w:tcW w:w="100" w:type="dxa"/>
            <w:vAlign w:val="bottom"/>
          </w:tcPr>
          <w:p>
            <w:pPr>
              <w:spacing w:after="0"/>
              <w:rPr>
                <w:sz w:val="15"/>
                <w:szCs w:val="15"/>
                <w:color w:val="auto"/>
              </w:rPr>
            </w:pPr>
          </w:p>
        </w:tc>
        <w:tc>
          <w:tcPr>
            <w:tcW w:w="3020" w:type="dxa"/>
            <w:vAlign w:val="bottom"/>
            <w:gridSpan w:val="65"/>
          </w:tcPr>
          <w:p>
            <w:pPr>
              <w:spacing w:after="0" w:line="169" w:lineRule="exact"/>
              <w:rPr>
                <w:sz w:val="20"/>
                <w:szCs w:val="20"/>
                <w:color w:val="auto"/>
              </w:rPr>
            </w:pPr>
            <w:r>
              <w:rPr>
                <w:rFonts w:ascii="Times New Roman" w:cs="Times New Roman" w:eastAsia="Times New Roman" w:hAnsi="Times New Roman"/>
                <w:sz w:val="19"/>
                <w:szCs w:val="19"/>
                <w:color w:val="FF0000"/>
                <w:strike w:val="1"/>
              </w:rPr>
              <w:t>Effect of Benchmark Transition Event</w:t>
            </w:r>
          </w:p>
        </w:tc>
        <w:tc>
          <w:tcPr>
            <w:tcW w:w="26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rPr>
              <w:t>77</w:t>
            </w:r>
          </w:p>
        </w:tc>
        <w:tc>
          <w:tcPr>
            <w:tcW w:w="4320" w:type="dxa"/>
            <w:vAlign w:val="bottom"/>
            <w:gridSpan w:val="21"/>
          </w:tcPr>
          <w:p>
            <w:pPr>
              <w:jc w:val="right"/>
              <w:ind w:right="2967"/>
              <w:spacing w:after="0" w:line="169" w:lineRule="exact"/>
              <w:rPr>
                <w:sz w:val="20"/>
                <w:szCs w:val="20"/>
                <w:color w:val="auto"/>
              </w:rPr>
            </w:pPr>
            <w:r>
              <w:rPr>
                <w:rFonts w:ascii="Times New Roman" w:cs="Times New Roman" w:eastAsia="Times New Roman" w:hAnsi="Times New Roman"/>
                <w:sz w:val="19"/>
                <w:szCs w:val="19"/>
                <w:color w:val="0000FF"/>
              </w:rPr>
              <w:t>[Reserved]  80</w:t>
            </w: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Section 1.14.</w:t>
            </w: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20"/>
                <w:szCs w:val="20"/>
                <w:color w:val="auto"/>
              </w:rPr>
              <w:t>[Reserved]</w:t>
            </w:r>
          </w:p>
        </w:tc>
        <w:tc>
          <w:tcPr>
            <w:tcW w:w="1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20"/>
                <w:szCs w:val="20"/>
                <w:color w:val="FF0000"/>
                <w:strike w:val="1"/>
                <w:w w:val="89"/>
              </w:rPr>
              <w:t>79</w:t>
            </w:r>
          </w:p>
        </w:tc>
        <w:tc>
          <w:tcPr>
            <w:tcW w:w="2020" w:type="dxa"/>
            <w:vAlign w:val="bottom"/>
            <w:gridSpan w:val="53"/>
          </w:tcPr>
          <w:p>
            <w:pPr>
              <w:jc w:val="right"/>
              <w:ind w:right="1721"/>
              <w:spacing w:after="0" w:line="176" w:lineRule="exact"/>
              <w:rPr>
                <w:sz w:val="20"/>
                <w:szCs w:val="20"/>
                <w:color w:val="auto"/>
              </w:rPr>
            </w:pPr>
            <w:r>
              <w:rPr>
                <w:rFonts w:ascii="Times New Roman" w:cs="Times New Roman" w:eastAsia="Times New Roman" w:hAnsi="Times New Roman"/>
                <w:sz w:val="20"/>
                <w:szCs w:val="20"/>
                <w:color w:val="0000FF"/>
                <w:w w:val="89"/>
              </w:rPr>
              <w:t>80</w:t>
            </w:r>
          </w:p>
        </w:tc>
        <w:tc>
          <w:tcPr>
            <w:tcW w:w="860" w:type="dxa"/>
            <w:vAlign w:val="bottom"/>
            <w:tcBorders>
              <w:top w:val="single" w:sz="8" w:color="0000FF"/>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20"/>
                <w:szCs w:val="20"/>
                <w:color w:val="auto"/>
              </w:rPr>
              <w:t>Section 1.15.</w:t>
            </w:r>
          </w:p>
        </w:tc>
        <w:tc>
          <w:tcPr>
            <w:tcW w:w="2100" w:type="dxa"/>
            <w:vAlign w:val="bottom"/>
            <w:gridSpan w:val="3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6"/>
            <w:vMerge w:val="restart"/>
          </w:tcPr>
          <w:p>
            <w:pPr>
              <w:jc w:val="right"/>
              <w:spacing w:after="0" w:line="189" w:lineRule="exact"/>
              <w:rPr>
                <w:sz w:val="20"/>
                <w:szCs w:val="20"/>
                <w:color w:val="auto"/>
              </w:rPr>
            </w:pPr>
            <w:r>
              <w:rPr>
                <w:rFonts w:ascii="Times New Roman" w:cs="Times New Roman" w:eastAsia="Times New Roman" w:hAnsi="Times New Roman"/>
                <w:sz w:val="20"/>
                <w:szCs w:val="20"/>
                <w:color w:val="FF0000"/>
                <w:strike w:val="1"/>
              </w:rPr>
              <w:t>79</w:t>
            </w:r>
          </w:p>
        </w:tc>
        <w:tc>
          <w:tcPr>
            <w:tcW w:w="200" w:type="dxa"/>
            <w:vAlign w:val="bottom"/>
            <w:gridSpan w:val="7"/>
            <w:vMerge w:val="restart"/>
          </w:tcPr>
          <w:p>
            <w:pPr>
              <w:jc w:val="right"/>
              <w:ind w:right="20"/>
              <w:spacing w:after="0" w:line="189" w:lineRule="exact"/>
              <w:rPr>
                <w:sz w:val="20"/>
                <w:szCs w:val="20"/>
                <w:color w:val="auto"/>
              </w:rPr>
            </w:pPr>
            <w:r>
              <w:rPr>
                <w:rFonts w:ascii="Times New Roman" w:cs="Times New Roman" w:eastAsia="Times New Roman" w:hAnsi="Times New Roman"/>
                <w:sz w:val="20"/>
                <w:szCs w:val="20"/>
                <w:color w:val="0000FF"/>
                <w:w w:val="79"/>
              </w:rPr>
              <w:t>81</w:t>
            </w:r>
          </w:p>
        </w:tc>
        <w:tc>
          <w:tcPr>
            <w:tcW w:w="20" w:type="dxa"/>
            <w:vAlign w:val="bottom"/>
            <w:vMerge w:val="restart"/>
          </w:tcPr>
          <w:p>
            <w:pPr>
              <w:spacing w:after="0" w:line="20" w:lineRule="exact"/>
              <w:rPr>
                <w:sz w:val="1"/>
                <w:szCs w:val="1"/>
                <w:color w:val="auto"/>
              </w:rPr>
            </w:pPr>
          </w:p>
        </w:tc>
        <w:tc>
          <w:tcPr>
            <w:tcW w:w="512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6"/>
          </w:tcPr>
          <w:p>
            <w:pPr>
              <w:spacing w:after="0" w:line="169" w:lineRule="exact"/>
              <w:rPr>
                <w:sz w:val="20"/>
                <w:szCs w:val="20"/>
                <w:color w:val="auto"/>
              </w:rPr>
            </w:pPr>
            <w:r>
              <w:rPr>
                <w:rFonts w:ascii="Times New Roman" w:cs="Times New Roman" w:eastAsia="Times New Roman" w:hAnsi="Times New Roman"/>
                <w:sz w:val="19"/>
                <w:szCs w:val="19"/>
                <w:color w:val="auto"/>
              </w:rPr>
              <w:t>Certain Determinations</w:t>
            </w:r>
          </w:p>
        </w:tc>
        <w:tc>
          <w:tcPr>
            <w:tcW w:w="20" w:type="dxa"/>
            <w:vAlign w:val="bottom"/>
            <w:vMerge w:val="continue"/>
          </w:tcPr>
          <w:p>
            <w:pPr>
              <w:spacing w:after="0"/>
              <w:rPr>
                <w:sz w:val="15"/>
                <w:szCs w:val="15"/>
                <w:color w:val="auto"/>
              </w:rPr>
            </w:pPr>
          </w:p>
        </w:tc>
        <w:tc>
          <w:tcPr>
            <w:tcW w:w="240" w:type="dxa"/>
            <w:vAlign w:val="bottom"/>
            <w:gridSpan w:val="6"/>
            <w:vMerge w:val="continue"/>
          </w:tcPr>
          <w:p>
            <w:pPr>
              <w:spacing w:after="0"/>
              <w:rPr>
                <w:sz w:val="15"/>
                <w:szCs w:val="15"/>
                <w:color w:val="auto"/>
              </w:rPr>
            </w:pPr>
          </w:p>
        </w:tc>
        <w:tc>
          <w:tcPr>
            <w:tcW w:w="200" w:type="dxa"/>
            <w:vAlign w:val="bottom"/>
            <w:gridSpan w:val="7"/>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Section 1.16.</w:t>
            </w:r>
          </w:p>
        </w:tc>
        <w:tc>
          <w:tcPr>
            <w:tcW w:w="900" w:type="dxa"/>
            <w:vAlign w:val="bottom"/>
            <w:gridSpan w:val="7"/>
          </w:tcPr>
          <w:p>
            <w:pPr>
              <w:spacing w:after="0" w:line="176" w:lineRule="exact"/>
              <w:rPr>
                <w:sz w:val="20"/>
                <w:szCs w:val="20"/>
                <w:color w:val="auto"/>
              </w:rPr>
            </w:pPr>
            <w:r>
              <w:rPr>
                <w:rFonts w:ascii="Times New Roman" w:cs="Times New Roman" w:eastAsia="Times New Roman" w:hAnsi="Times New Roman"/>
                <w:sz w:val="20"/>
                <w:szCs w:val="20"/>
                <w:color w:val="auto"/>
              </w:rPr>
              <w:t>Conflicts</w:t>
            </w:r>
          </w:p>
        </w:tc>
        <w:tc>
          <w:tcPr>
            <w:tcW w:w="22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200" w:type="dxa"/>
            <w:vAlign w:val="bottom"/>
            <w:tcBorders>
              <w:bottom w:val="single" w:sz="8" w:color="0000FF"/>
            </w:tcBorders>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0000FF"/>
                <w:w w:val="89"/>
              </w:rPr>
              <w:t>82</w:t>
            </w:r>
          </w:p>
        </w:tc>
        <w:tc>
          <w:tcPr>
            <w:tcW w:w="940" w:type="dxa"/>
            <w:vAlign w:val="bottom"/>
            <w:gridSpan w:val="24"/>
          </w:tcPr>
          <w:p>
            <w:pPr>
              <w:spacing w:after="0"/>
              <w:rPr>
                <w:sz w:val="15"/>
                <w:szCs w:val="15"/>
                <w:color w:val="auto"/>
              </w:rPr>
            </w:pPr>
          </w:p>
        </w:tc>
        <w:tc>
          <w:tcPr>
            <w:tcW w:w="180" w:type="dxa"/>
            <w:vAlign w:val="bottom"/>
            <w:tcBorders>
              <w:top w:val="single" w:sz="8" w:color="0000FF"/>
            </w:tcBorders>
            <w:gridSpan w:val="6"/>
          </w:tcPr>
          <w:p>
            <w:pPr>
              <w:spacing w:after="0"/>
              <w:rPr>
                <w:sz w:val="15"/>
                <w:szCs w:val="15"/>
                <w:color w:val="auto"/>
              </w:rPr>
            </w:pPr>
          </w:p>
        </w:tc>
        <w:tc>
          <w:tcPr>
            <w:tcW w:w="516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1.17.</w:t>
            </w:r>
          </w:p>
        </w:tc>
        <w:tc>
          <w:tcPr>
            <w:tcW w:w="100" w:type="dxa"/>
            <w:vAlign w:val="bottom"/>
          </w:tcPr>
          <w:p>
            <w:pPr>
              <w:spacing w:after="0"/>
              <w:rPr>
                <w:sz w:val="15"/>
                <w:szCs w:val="15"/>
                <w:color w:val="auto"/>
              </w:rPr>
            </w:pPr>
          </w:p>
        </w:tc>
        <w:tc>
          <w:tcPr>
            <w:tcW w:w="1120" w:type="dxa"/>
            <w:vAlign w:val="bottom"/>
            <w:gridSpan w:val="13"/>
          </w:tcPr>
          <w:p>
            <w:pPr>
              <w:spacing w:after="0" w:line="183" w:lineRule="exact"/>
              <w:rPr>
                <w:sz w:val="20"/>
                <w:szCs w:val="20"/>
                <w:color w:val="auto"/>
              </w:rPr>
            </w:pPr>
            <w:r>
              <w:rPr>
                <w:rFonts w:ascii="Times New Roman" w:cs="Times New Roman" w:eastAsia="Times New Roman" w:hAnsi="Times New Roman"/>
                <w:sz w:val="20"/>
                <w:szCs w:val="20"/>
                <w:color w:val="auto"/>
                <w:w w:val="86"/>
              </w:rPr>
              <w:t>Confidentiality;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4"/>
          </w:tcPr>
          <w:p>
            <w:pPr>
              <w:jc w:val="right"/>
              <w:ind w:right="101"/>
              <w:spacing w:after="0" w:line="183" w:lineRule="exact"/>
              <w:rPr>
                <w:sz w:val="20"/>
                <w:szCs w:val="20"/>
                <w:color w:val="auto"/>
              </w:rPr>
            </w:pPr>
            <w:r>
              <w:rPr>
                <w:rFonts w:ascii="Times New Roman" w:cs="Times New Roman" w:eastAsia="Times New Roman" w:hAnsi="Times New Roman"/>
                <w:sz w:val="20"/>
                <w:szCs w:val="20"/>
                <w:color w:val="auto"/>
                <w:w w:val="95"/>
              </w:rPr>
              <w:t>Privilege, Etc</w:t>
            </w:r>
          </w:p>
        </w:tc>
        <w:tc>
          <w:tcPr>
            <w:tcW w:w="2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200" w:type="dxa"/>
            <w:vAlign w:val="bottom"/>
            <w:tcBorders>
              <w:bottom w:val="single" w:sz="8" w:color="0000FF"/>
            </w:tcBorders>
            <w:gridSpan w:val="6"/>
          </w:tcPr>
          <w:p>
            <w:pPr>
              <w:jc w:val="right"/>
              <w:spacing w:after="0" w:line="183" w:lineRule="exact"/>
              <w:rPr>
                <w:sz w:val="20"/>
                <w:szCs w:val="20"/>
                <w:color w:val="auto"/>
              </w:rPr>
            </w:pPr>
            <w:r>
              <w:rPr>
                <w:rFonts w:ascii="Times New Roman" w:cs="Times New Roman" w:eastAsia="Times New Roman" w:hAnsi="Times New Roman"/>
                <w:sz w:val="20"/>
                <w:szCs w:val="20"/>
                <w:color w:val="0000FF"/>
                <w:w w:val="89"/>
              </w:rPr>
              <w:t>82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16"/>
            <w:vMerge w:val="restart"/>
          </w:tcPr>
          <w:p>
            <w:pPr>
              <w:jc w:val="center"/>
              <w:ind w:right="2507"/>
              <w:spacing w:after="0"/>
              <w:rPr>
                <w:sz w:val="20"/>
                <w:szCs w:val="20"/>
                <w:color w:val="auto"/>
              </w:rPr>
            </w:pPr>
            <w:r>
              <w:rPr>
                <w:rFonts w:ascii="Times New Roman" w:cs="Times New Roman" w:eastAsia="Times New Roman" w:hAnsi="Times New Roman"/>
                <w:sz w:val="20"/>
                <w:szCs w:val="20"/>
                <w:color w:val="auto"/>
                <w:w w:val="96"/>
              </w:rPr>
              <w:t>ARTICLE 2</w:t>
            </w:r>
          </w:p>
        </w:tc>
        <w:tc>
          <w:tcPr>
            <w:tcW w:w="0" w:type="dxa"/>
            <w:vAlign w:val="bottom"/>
          </w:tcPr>
          <w:p>
            <w:pPr>
              <w:spacing w:after="0"/>
              <w:rPr>
                <w:sz w:val="1"/>
                <w:szCs w:val="1"/>
                <w:color w:val="auto"/>
              </w:rPr>
            </w:pPr>
          </w:p>
        </w:tc>
      </w:tr>
      <w:tr>
        <w:trPr>
          <w:trHeight w:val="445"/>
        </w:trPr>
        <w:tc>
          <w:tcPr>
            <w:tcW w:w="5000" w:type="dxa"/>
            <w:vAlign w:val="bottom"/>
            <w:gridSpan w:val="76"/>
          </w:tcPr>
          <w:p>
            <w:pPr>
              <w:spacing w:after="0"/>
              <w:rPr>
                <w:sz w:val="24"/>
                <w:szCs w:val="24"/>
                <w:color w:val="auto"/>
              </w:rPr>
            </w:pPr>
          </w:p>
        </w:tc>
        <w:tc>
          <w:tcPr>
            <w:tcW w:w="3840" w:type="dxa"/>
            <w:vAlign w:val="bottom"/>
            <w:gridSpan w:val="1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40" w:type="dxa"/>
            <w:vAlign w:val="bottom"/>
            <w:gridSpan w:val="92"/>
          </w:tcPr>
          <w:p>
            <w:pPr>
              <w:spacing w:after="0"/>
              <w:rPr>
                <w:sz w:val="20"/>
                <w:szCs w:val="20"/>
                <w:color w:val="auto"/>
              </w:rPr>
            </w:pPr>
            <w:r>
              <w:rPr>
                <w:rFonts w:ascii="Times New Roman" w:cs="Times New Roman" w:eastAsia="Times New Roman" w:hAnsi="Times New Roman"/>
                <w:sz w:val="20"/>
                <w:szCs w:val="20"/>
                <w:color w:val="auto"/>
              </w:rPr>
              <w:t>THE CREDITS</w:t>
            </w:r>
          </w:p>
        </w:tc>
        <w:tc>
          <w:tcPr>
            <w:tcW w:w="0" w:type="dxa"/>
            <w:vAlign w:val="bottom"/>
          </w:tcPr>
          <w:p>
            <w:pPr>
              <w:spacing w:after="0"/>
              <w:rPr>
                <w:sz w:val="1"/>
                <w:szCs w:val="1"/>
                <w:color w:val="auto"/>
              </w:rPr>
            </w:pPr>
          </w:p>
        </w:tc>
      </w:tr>
      <w:tr>
        <w:trPr>
          <w:trHeight w:val="372"/>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32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Commitments</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89"/>
              </w:rPr>
              <w:t>80</w:t>
            </w:r>
          </w:p>
        </w:tc>
        <w:tc>
          <w:tcPr>
            <w:tcW w:w="2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0"/>
                <w:szCs w:val="20"/>
                <w:color w:val="0000FF"/>
                <w:w w:val="99"/>
              </w:rPr>
              <w:t>82</w:t>
            </w:r>
          </w:p>
        </w:tc>
        <w:tc>
          <w:tcPr>
            <w:tcW w:w="5860" w:type="dxa"/>
            <w:vAlign w:val="bottom"/>
            <w:gridSpan w:val="6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2.02.</w:t>
            </w:r>
          </w:p>
        </w:tc>
        <w:tc>
          <w:tcPr>
            <w:tcW w:w="100" w:type="dxa"/>
            <w:vAlign w:val="bottom"/>
          </w:tcPr>
          <w:p>
            <w:pPr>
              <w:spacing w:after="0"/>
              <w:rPr>
                <w:sz w:val="15"/>
                <w:szCs w:val="15"/>
                <w:color w:val="auto"/>
              </w:rPr>
            </w:pPr>
          </w:p>
        </w:tc>
        <w:tc>
          <w:tcPr>
            <w:tcW w:w="1720" w:type="dxa"/>
            <w:vAlign w:val="bottom"/>
            <w:gridSpan w:val="28"/>
          </w:tcPr>
          <w:p>
            <w:pPr>
              <w:spacing w:after="0" w:line="169" w:lineRule="exact"/>
              <w:rPr>
                <w:sz w:val="20"/>
                <w:szCs w:val="20"/>
                <w:color w:val="auto"/>
              </w:rPr>
            </w:pPr>
            <w:r>
              <w:rPr>
                <w:rFonts w:ascii="Times New Roman" w:cs="Times New Roman" w:eastAsia="Times New Roman" w:hAnsi="Times New Roman"/>
                <w:sz w:val="19"/>
                <w:szCs w:val="19"/>
                <w:color w:val="auto"/>
                <w:w w:val="98"/>
              </w:rPr>
              <w:t>Loans and Borrowings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6"/>
          </w:tcPr>
          <w:p>
            <w:pPr>
              <w:spacing w:after="0" w:line="169" w:lineRule="exact"/>
              <w:rPr>
                <w:sz w:val="20"/>
                <w:szCs w:val="20"/>
                <w:color w:val="auto"/>
              </w:rPr>
            </w:pPr>
            <w:r>
              <w:rPr>
                <w:rFonts w:ascii="Times New Roman" w:cs="Times New Roman" w:eastAsia="Times New Roman" w:hAnsi="Times New Roman"/>
                <w:sz w:val="19"/>
                <w:szCs w:val="19"/>
                <w:color w:val="FF0000"/>
                <w:strike w:val="1"/>
                <w:w w:val="94"/>
              </w:rPr>
              <w:t>81</w:t>
            </w:r>
          </w:p>
        </w:tc>
        <w:tc>
          <w:tcPr>
            <w:tcW w:w="240" w:type="dxa"/>
            <w:vAlign w:val="bottom"/>
            <w:gridSpan w:val="7"/>
          </w:tcPr>
          <w:p>
            <w:pPr>
              <w:spacing w:after="0" w:line="169" w:lineRule="exact"/>
              <w:rPr>
                <w:sz w:val="20"/>
                <w:szCs w:val="20"/>
                <w:color w:val="auto"/>
              </w:rPr>
            </w:pPr>
            <w:r>
              <w:rPr>
                <w:rFonts w:ascii="Times New Roman" w:cs="Times New Roman" w:eastAsia="Times New Roman" w:hAnsi="Times New Roman"/>
                <w:sz w:val="19"/>
                <w:szCs w:val="19"/>
                <w:color w:val="0000FF"/>
              </w:rPr>
              <w:t>82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2.03.</w:t>
            </w:r>
          </w:p>
        </w:tc>
        <w:tc>
          <w:tcPr>
            <w:tcW w:w="100" w:type="dxa"/>
            <w:vAlign w:val="bottom"/>
          </w:tcPr>
          <w:p>
            <w:pPr>
              <w:spacing w:after="0"/>
              <w:rPr>
                <w:sz w:val="15"/>
                <w:szCs w:val="15"/>
                <w:color w:val="auto"/>
              </w:rPr>
            </w:pPr>
          </w:p>
        </w:tc>
        <w:tc>
          <w:tcPr>
            <w:tcW w:w="2000" w:type="dxa"/>
            <w:vAlign w:val="bottom"/>
            <w:gridSpan w:val="36"/>
          </w:tcPr>
          <w:p>
            <w:pPr>
              <w:spacing w:after="0" w:line="176" w:lineRule="exact"/>
              <w:rPr>
                <w:sz w:val="20"/>
                <w:szCs w:val="20"/>
                <w:color w:val="auto"/>
              </w:rPr>
            </w:pPr>
            <w:r>
              <w:rPr>
                <w:rFonts w:ascii="Times New Roman" w:cs="Times New Roman" w:eastAsia="Times New Roman" w:hAnsi="Times New Roman"/>
                <w:sz w:val="20"/>
                <w:szCs w:val="20"/>
                <w:color w:val="auto"/>
                <w:w w:val="98"/>
              </w:rPr>
              <w:t>Requests for Borrowings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FF"/>
            </w:tcBorders>
            <w:gridSpan w:val="5"/>
          </w:tcPr>
          <w:p>
            <w:pPr>
              <w:spacing w:after="0" w:line="176" w:lineRule="exact"/>
              <w:rPr>
                <w:sz w:val="20"/>
                <w:szCs w:val="20"/>
                <w:color w:val="auto"/>
              </w:rPr>
            </w:pPr>
            <w:r>
              <w:rPr>
                <w:rFonts w:ascii="Times New Roman" w:cs="Times New Roman" w:eastAsia="Times New Roman" w:hAnsi="Times New Roman"/>
                <w:sz w:val="20"/>
                <w:szCs w:val="20"/>
                <w:color w:val="FF0000"/>
                <w:strike w:val="1"/>
                <w:w w:val="79"/>
              </w:rPr>
              <w:t>81</w:t>
            </w:r>
          </w:p>
        </w:tc>
        <w:tc>
          <w:tcPr>
            <w:tcW w:w="20" w:type="dxa"/>
            <w:vAlign w:val="bottom"/>
            <w:tcBorders>
              <w:top w:val="single" w:sz="8" w:color="0000FF"/>
              <w:bottom w:val="single" w:sz="8" w:color="0000FF"/>
            </w:tcBorders>
          </w:tcPr>
          <w:p>
            <w:pPr>
              <w:spacing w:after="0"/>
              <w:rPr>
                <w:sz w:val="15"/>
                <w:szCs w:val="15"/>
                <w:color w:val="auto"/>
              </w:rPr>
            </w:pPr>
          </w:p>
        </w:tc>
        <w:tc>
          <w:tcPr>
            <w:tcW w:w="180" w:type="dxa"/>
            <w:vAlign w:val="bottom"/>
            <w:tcBorders>
              <w:bottom w:val="single" w:sz="8" w:color="0000FF"/>
            </w:tcBorders>
            <w:gridSpan w:val="5"/>
          </w:tcPr>
          <w:p>
            <w:pPr>
              <w:spacing w:after="0" w:line="176" w:lineRule="exact"/>
              <w:rPr>
                <w:sz w:val="20"/>
                <w:szCs w:val="20"/>
                <w:color w:val="auto"/>
              </w:rPr>
            </w:pPr>
            <w:r>
              <w:rPr>
                <w:rFonts w:ascii="Times New Roman" w:cs="Times New Roman" w:eastAsia="Times New Roman" w:hAnsi="Times New Roman"/>
                <w:sz w:val="20"/>
                <w:szCs w:val="20"/>
                <w:color w:val="0000FF"/>
                <w:w w:val="79"/>
              </w:rPr>
              <w:t>83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2.04.</w:t>
            </w:r>
          </w:p>
        </w:tc>
        <w:tc>
          <w:tcPr>
            <w:tcW w:w="1540" w:type="dxa"/>
            <w:vAlign w:val="bottom"/>
            <w:gridSpan w:val="24"/>
          </w:tcPr>
          <w:p>
            <w:pPr>
              <w:spacing w:after="0" w:line="183" w:lineRule="exact"/>
              <w:rPr>
                <w:sz w:val="20"/>
                <w:szCs w:val="20"/>
                <w:color w:val="auto"/>
              </w:rPr>
            </w:pPr>
            <w:r>
              <w:rPr>
                <w:rFonts w:ascii="Times New Roman" w:cs="Times New Roman" w:eastAsia="Times New Roman" w:hAnsi="Times New Roman"/>
                <w:sz w:val="20"/>
                <w:szCs w:val="20"/>
                <w:color w:val="auto"/>
              </w:rPr>
              <w:t>Swingline Loans</w:t>
            </w:r>
          </w:p>
        </w:tc>
        <w:tc>
          <w:tcPr>
            <w:tcW w:w="2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89"/>
              </w:rPr>
              <w:t>82</w:t>
            </w:r>
          </w:p>
        </w:tc>
        <w:tc>
          <w:tcPr>
            <w:tcW w:w="5860" w:type="dxa"/>
            <w:vAlign w:val="bottom"/>
            <w:gridSpan w:val="61"/>
          </w:tcPr>
          <w:p>
            <w:pPr>
              <w:spacing w:after="0" w:line="183" w:lineRule="exact"/>
              <w:rPr>
                <w:sz w:val="20"/>
                <w:szCs w:val="20"/>
                <w:color w:val="auto"/>
              </w:rPr>
            </w:pPr>
            <w:r>
              <w:rPr>
                <w:rFonts w:ascii="Times New Roman" w:cs="Times New Roman" w:eastAsia="Times New Roman" w:hAnsi="Times New Roman"/>
                <w:sz w:val="20"/>
                <w:szCs w:val="20"/>
                <w:color w:val="0000FF"/>
              </w:rPr>
              <w:t>84</w:t>
            </w:r>
          </w:p>
        </w:tc>
        <w:tc>
          <w:tcPr>
            <w:tcW w:w="0" w:type="dxa"/>
            <w:vAlign w:val="bottom"/>
          </w:tcPr>
          <w:p>
            <w:pPr>
              <w:spacing w:after="0"/>
              <w:rPr>
                <w:sz w:val="1"/>
                <w:szCs w:val="1"/>
                <w:color w:val="auto"/>
              </w:rPr>
            </w:pPr>
          </w:p>
        </w:tc>
      </w:tr>
      <w:tr>
        <w:trPr>
          <w:trHeight w:val="102"/>
        </w:trPr>
        <w:tc>
          <w:tcPr>
            <w:tcW w:w="1140" w:type="dxa"/>
            <w:vAlign w:val="bottom"/>
            <w:vMerge w:val="restart"/>
          </w:tcPr>
          <w:p>
            <w:pPr>
              <w:spacing w:after="0" w:line="169" w:lineRule="exact"/>
              <w:rPr>
                <w:sz w:val="20"/>
                <w:szCs w:val="20"/>
                <w:color w:val="auto"/>
              </w:rPr>
            </w:pPr>
            <w:r>
              <w:rPr>
                <w:rFonts w:ascii="Times New Roman" w:cs="Times New Roman" w:eastAsia="Times New Roman" w:hAnsi="Times New Roman"/>
                <w:sz w:val="19"/>
                <w:szCs w:val="19"/>
                <w:color w:val="auto"/>
              </w:rPr>
              <w:t>Section 2.05.</w:t>
            </w:r>
          </w:p>
        </w:tc>
        <w:tc>
          <w:tcPr>
            <w:tcW w:w="100" w:type="dxa"/>
            <w:vAlign w:val="bottom"/>
          </w:tcPr>
          <w:p>
            <w:pPr>
              <w:spacing w:after="0"/>
              <w:rPr>
                <w:sz w:val="8"/>
                <w:szCs w:val="8"/>
                <w:color w:val="auto"/>
              </w:rPr>
            </w:pPr>
          </w:p>
        </w:tc>
        <w:tc>
          <w:tcPr>
            <w:tcW w:w="1320" w:type="dxa"/>
            <w:vAlign w:val="bottom"/>
            <w:gridSpan w:val="19"/>
            <w:vMerge w:val="restart"/>
          </w:tcPr>
          <w:p>
            <w:pPr>
              <w:spacing w:after="0" w:line="169" w:lineRule="exact"/>
              <w:rPr>
                <w:sz w:val="20"/>
                <w:szCs w:val="20"/>
                <w:color w:val="auto"/>
              </w:rPr>
            </w:pPr>
            <w:r>
              <w:rPr>
                <w:rFonts w:ascii="Times New Roman" w:cs="Times New Roman" w:eastAsia="Times New Roman" w:hAnsi="Times New Roman"/>
                <w:sz w:val="19"/>
                <w:szCs w:val="19"/>
                <w:color w:val="auto"/>
              </w:rPr>
              <w:t>Letters of Credit</w:t>
            </w:r>
          </w:p>
        </w:tc>
        <w:tc>
          <w:tcPr>
            <w:tcW w:w="380" w:type="dxa"/>
            <w:vAlign w:val="bottom"/>
            <w:gridSpan w:val="8"/>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FF0000"/>
                <w:strike w:val="1"/>
                <w:w w:val="4294967291"/>
              </w:rPr>
              <w:t>84</w:t>
            </w:r>
          </w:p>
        </w:tc>
        <w:tc>
          <w:tcPr>
            <w:tcW w:w="180" w:type="dxa"/>
            <w:vAlign w:val="bottom"/>
            <w:tcBorders>
              <w:top w:val="single" w:sz="8" w:color="0000FF"/>
            </w:tcBorders>
            <w:gridSpan w:val="5"/>
            <w:vMerge w:val="restart"/>
          </w:tcPr>
          <w:p>
            <w:pPr>
              <w:spacing w:after="0" w:line="169" w:lineRule="exact"/>
              <w:rPr>
                <w:sz w:val="20"/>
                <w:szCs w:val="20"/>
                <w:color w:val="auto"/>
              </w:rPr>
            </w:pPr>
            <w:r>
              <w:rPr>
                <w:rFonts w:ascii="Times New Roman" w:cs="Times New Roman" w:eastAsia="Times New Roman" w:hAnsi="Times New Roman"/>
                <w:sz w:val="19"/>
                <w:szCs w:val="19"/>
                <w:color w:val="0000FF"/>
                <w:w w:val="83"/>
              </w:rPr>
              <w:t>85</w:t>
            </w:r>
          </w:p>
        </w:tc>
        <w:tc>
          <w:tcPr>
            <w:tcW w:w="20" w:type="dxa"/>
            <w:vAlign w:val="bottom"/>
            <w:tcBorders>
              <w:top w:val="single" w:sz="8" w:color="0000FF"/>
            </w:tcBorders>
          </w:tcPr>
          <w:p>
            <w:pPr>
              <w:spacing w:after="0"/>
              <w:rPr>
                <w:sz w:val="8"/>
                <w:szCs w:val="8"/>
                <w:color w:val="auto"/>
              </w:rPr>
            </w:pPr>
          </w:p>
        </w:tc>
        <w:tc>
          <w:tcPr>
            <w:tcW w:w="5660" w:type="dxa"/>
            <w:vAlign w:val="bottom"/>
            <w:gridSpan w:val="55"/>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19"/>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200" w:type="dxa"/>
            <w:vAlign w:val="bottom"/>
            <w:tcBorders>
              <w:top w:val="single" w:sz="8" w:color="FF0000"/>
            </w:tcBorders>
            <w:gridSpan w:val="5"/>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tcBorders>
              <w:top w:val="single" w:sz="8" w:color="0000FF"/>
            </w:tcBorders>
            <w:gridSpan w:val="5"/>
            <w:vMerge w:val="continue"/>
          </w:tcPr>
          <w:p>
            <w:pPr>
              <w:spacing w:after="0"/>
              <w:rPr>
                <w:sz w:val="4"/>
                <w:szCs w:val="4"/>
                <w:color w:val="auto"/>
              </w:rPr>
            </w:pPr>
          </w:p>
        </w:tc>
        <w:tc>
          <w:tcPr>
            <w:tcW w:w="5680" w:type="dxa"/>
            <w:vAlign w:val="bottom"/>
            <w:gridSpan w:val="56"/>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2.06.</w:t>
            </w:r>
          </w:p>
        </w:tc>
        <w:tc>
          <w:tcPr>
            <w:tcW w:w="100" w:type="dxa"/>
            <w:vAlign w:val="bottom"/>
          </w:tcPr>
          <w:p>
            <w:pPr>
              <w:spacing w:after="0"/>
              <w:rPr>
                <w:sz w:val="15"/>
                <w:szCs w:val="15"/>
                <w:color w:val="auto"/>
              </w:rPr>
            </w:pPr>
          </w:p>
        </w:tc>
        <w:tc>
          <w:tcPr>
            <w:tcW w:w="880" w:type="dxa"/>
            <w:vAlign w:val="bottom"/>
            <w:gridSpan w:val="6"/>
          </w:tcPr>
          <w:p>
            <w:pPr>
              <w:spacing w:after="0" w:line="176" w:lineRule="exact"/>
              <w:rPr>
                <w:sz w:val="20"/>
                <w:szCs w:val="20"/>
                <w:color w:val="auto"/>
              </w:rPr>
            </w:pPr>
            <w:r>
              <w:rPr>
                <w:rFonts w:ascii="Times New Roman" w:cs="Times New Roman" w:eastAsia="Times New Roman" w:hAnsi="Times New Roman"/>
                <w:sz w:val="20"/>
                <w:szCs w:val="20"/>
                <w:color w:val="FF0000"/>
                <w:strike w:val="1"/>
                <w:w w:val="97"/>
              </w:rPr>
              <w:t>[Reserved]</w:t>
            </w:r>
          </w:p>
        </w:tc>
        <w:tc>
          <w:tcPr>
            <w:tcW w:w="840" w:type="dxa"/>
            <w:vAlign w:val="bottom"/>
            <w:gridSpan w:val="22"/>
          </w:tcPr>
          <w:p>
            <w:pPr>
              <w:spacing w:after="0" w:line="176" w:lineRule="exact"/>
              <w:rPr>
                <w:sz w:val="20"/>
                <w:szCs w:val="20"/>
                <w:color w:val="auto"/>
              </w:rPr>
            </w:pPr>
            <w:r>
              <w:rPr>
                <w:rFonts w:ascii="Times New Roman" w:cs="Times New Roman" w:eastAsia="Times New Roman" w:hAnsi="Times New Roman"/>
                <w:sz w:val="20"/>
                <w:szCs w:val="20"/>
                <w:color w:val="0000FF"/>
                <w:w w:val="83"/>
              </w:rPr>
              <w:t>Conforming</w:t>
            </w: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80" w:type="dxa"/>
            <w:vAlign w:val="bottom"/>
            <w:gridSpan w:val="20"/>
          </w:tcPr>
          <w:p>
            <w:pPr>
              <w:spacing w:after="0" w:line="176" w:lineRule="exact"/>
              <w:rPr>
                <w:sz w:val="20"/>
                <w:szCs w:val="20"/>
                <w:color w:val="auto"/>
              </w:rPr>
            </w:pPr>
            <w:r>
              <w:rPr>
                <w:rFonts w:ascii="Times New Roman" w:cs="Times New Roman" w:eastAsia="Times New Roman" w:hAnsi="Times New Roman"/>
                <w:sz w:val="20"/>
                <w:szCs w:val="20"/>
                <w:color w:val="0000FF"/>
                <w:w w:val="95"/>
              </w:rPr>
              <w:t>Changes</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rPr>
              <w:t>89</w:t>
            </w:r>
          </w:p>
        </w:tc>
        <w:tc>
          <w:tcPr>
            <w:tcW w:w="24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20"/>
                <w:szCs w:val="20"/>
                <w:color w:val="0000FF"/>
                <w:w w:val="89"/>
              </w:rPr>
              <w:t>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2.07.</w:t>
            </w:r>
          </w:p>
        </w:tc>
        <w:tc>
          <w:tcPr>
            <w:tcW w:w="100" w:type="dxa"/>
            <w:vAlign w:val="bottom"/>
          </w:tcPr>
          <w:p>
            <w:pPr>
              <w:spacing w:after="0"/>
              <w:rPr>
                <w:sz w:val="15"/>
                <w:szCs w:val="15"/>
                <w:color w:val="auto"/>
              </w:rPr>
            </w:pPr>
          </w:p>
        </w:tc>
        <w:tc>
          <w:tcPr>
            <w:tcW w:w="88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auto"/>
                <w:w w:val="97"/>
              </w:rPr>
              <w:t>Funding of</w:t>
            </w:r>
          </w:p>
        </w:tc>
        <w:tc>
          <w:tcPr>
            <w:tcW w:w="1120" w:type="dxa"/>
            <w:vAlign w:val="bottom"/>
            <w:tcBorders>
              <w:top w:val="single" w:sz="8" w:color="0000FF"/>
            </w:tcBorders>
            <w:gridSpan w:val="30"/>
          </w:tcPr>
          <w:p>
            <w:pPr>
              <w:ind w:left="40"/>
              <w:spacing w:after="0" w:line="183" w:lineRule="exact"/>
              <w:rPr>
                <w:sz w:val="20"/>
                <w:szCs w:val="20"/>
                <w:color w:val="auto"/>
              </w:rPr>
            </w:pPr>
            <w:r>
              <w:rPr>
                <w:rFonts w:ascii="Times New Roman" w:cs="Times New Roman" w:eastAsia="Times New Roman" w:hAnsi="Times New Roman"/>
                <w:sz w:val="20"/>
                <w:szCs w:val="20"/>
                <w:color w:val="auto"/>
              </w:rPr>
              <w:t>Borrowings</w:t>
            </w: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gridSpan w:val="6"/>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89"/>
              </w:rPr>
              <w:t>89</w:t>
            </w:r>
          </w:p>
        </w:tc>
        <w:tc>
          <w:tcPr>
            <w:tcW w:w="180" w:type="dxa"/>
            <w:vAlign w:val="bottom"/>
            <w:tcBorders>
              <w:top w:val="single" w:sz="8" w:color="0000FF"/>
              <w:bottom w:val="single" w:sz="8" w:color="0000FF"/>
            </w:tcBorders>
            <w:gridSpan w:val="6"/>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91</w:t>
            </w: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2.08.</w:t>
            </w:r>
          </w:p>
        </w:tc>
        <w:tc>
          <w:tcPr>
            <w:tcW w:w="2100" w:type="dxa"/>
            <w:vAlign w:val="bottom"/>
            <w:gridSpan w:val="37"/>
          </w:tcPr>
          <w:p>
            <w:pPr>
              <w:ind w:left="100"/>
              <w:spacing w:after="0" w:line="169" w:lineRule="exact"/>
              <w:rPr>
                <w:sz w:val="20"/>
                <w:szCs w:val="20"/>
                <w:color w:val="auto"/>
              </w:rPr>
            </w:pPr>
            <w:r>
              <w:rPr>
                <w:rFonts w:ascii="Times New Roman" w:cs="Times New Roman" w:eastAsia="Times New Roman" w:hAnsi="Times New Roman"/>
                <w:sz w:val="19"/>
                <w:szCs w:val="19"/>
                <w:color w:val="auto"/>
              </w:rPr>
              <w:t>Type; Interest Elections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6"/>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94"/>
              </w:rPr>
              <w:t>90</w:t>
            </w:r>
          </w:p>
        </w:tc>
        <w:tc>
          <w:tcPr>
            <w:tcW w:w="20" w:type="dxa"/>
            <w:vAlign w:val="bottom"/>
          </w:tcPr>
          <w:p>
            <w:pPr>
              <w:spacing w:after="0"/>
              <w:rPr>
                <w:sz w:val="15"/>
                <w:szCs w:val="15"/>
                <w:color w:val="auto"/>
              </w:rPr>
            </w:pPr>
          </w:p>
        </w:tc>
        <w:tc>
          <w:tcPr>
            <w:tcW w:w="160" w:type="dxa"/>
            <w:vAlign w:val="bottom"/>
            <w:tcBorders>
              <w:bottom w:val="single" w:sz="8" w:color="0000FF"/>
            </w:tcBorders>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0000FF"/>
                <w:w w:val="73"/>
              </w:rPr>
              <w:t>92</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2.09.</w:t>
            </w:r>
          </w:p>
        </w:tc>
        <w:tc>
          <w:tcPr>
            <w:tcW w:w="2580" w:type="dxa"/>
            <w:vAlign w:val="bottom"/>
            <w:gridSpan w:val="52"/>
          </w:tcPr>
          <w:p>
            <w:pPr>
              <w:ind w:left="100"/>
              <w:spacing w:after="0" w:line="176" w:lineRule="exact"/>
              <w:rPr>
                <w:sz w:val="20"/>
                <w:szCs w:val="20"/>
                <w:color w:val="auto"/>
              </w:rPr>
            </w:pPr>
            <w:r>
              <w:rPr>
                <w:rFonts w:ascii="Times New Roman" w:cs="Times New Roman" w:eastAsia="Times New Roman" w:hAnsi="Times New Roman"/>
                <w:sz w:val="20"/>
                <w:szCs w:val="20"/>
                <w:color w:val="auto"/>
              </w:rPr>
              <w:t>Termination and Reduction of</w:t>
            </w:r>
          </w:p>
        </w:tc>
        <w:tc>
          <w:tcPr>
            <w:tcW w:w="1260" w:type="dxa"/>
            <w:vAlign w:val="bottom"/>
            <w:gridSpan w:val="22"/>
          </w:tcPr>
          <w:p>
            <w:pPr>
              <w:spacing w:after="0" w:line="176" w:lineRule="exact"/>
              <w:rPr>
                <w:sz w:val="20"/>
                <w:szCs w:val="20"/>
                <w:color w:val="auto"/>
              </w:rPr>
            </w:pPr>
            <w:r>
              <w:rPr>
                <w:rFonts w:ascii="Times New Roman" w:cs="Times New Roman" w:eastAsia="Times New Roman" w:hAnsi="Times New Roman"/>
                <w:sz w:val="20"/>
                <w:szCs w:val="20"/>
                <w:color w:val="auto"/>
              </w:rPr>
              <w:t>Commitments</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89"/>
              </w:rPr>
              <w:t>91</w:t>
            </w:r>
          </w:p>
        </w:tc>
        <w:tc>
          <w:tcPr>
            <w:tcW w:w="20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0000FF"/>
                <w:w w:val="89"/>
              </w:rPr>
              <w:t>93</w:t>
            </w:r>
          </w:p>
        </w:tc>
        <w:tc>
          <w:tcPr>
            <w:tcW w:w="20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2.10.</w:t>
            </w:r>
          </w:p>
        </w:tc>
        <w:tc>
          <w:tcPr>
            <w:tcW w:w="100" w:type="dxa"/>
            <w:vAlign w:val="bottom"/>
          </w:tcPr>
          <w:p>
            <w:pPr>
              <w:spacing w:after="0"/>
              <w:rPr>
                <w:sz w:val="15"/>
                <w:szCs w:val="15"/>
                <w:color w:val="auto"/>
              </w:rPr>
            </w:pPr>
          </w:p>
        </w:tc>
        <w:tc>
          <w:tcPr>
            <w:tcW w:w="3200" w:type="dxa"/>
            <w:vAlign w:val="bottom"/>
            <w:gridSpan w:val="68"/>
          </w:tcPr>
          <w:p>
            <w:pPr>
              <w:spacing w:after="0" w:line="183" w:lineRule="exact"/>
              <w:rPr>
                <w:sz w:val="20"/>
                <w:szCs w:val="20"/>
                <w:color w:val="auto"/>
              </w:rPr>
            </w:pPr>
            <w:r>
              <w:rPr>
                <w:rFonts w:ascii="Times New Roman" w:cs="Times New Roman" w:eastAsia="Times New Roman" w:hAnsi="Times New Roman"/>
                <w:sz w:val="20"/>
                <w:szCs w:val="20"/>
                <w:color w:val="auto"/>
              </w:rPr>
              <w:t>Repayment of Loans; Evidence of Debt</w:t>
            </w:r>
          </w:p>
        </w:tc>
        <w:tc>
          <w:tcPr>
            <w:tcW w:w="80" w:type="dxa"/>
            <w:vAlign w:val="bottom"/>
          </w:tcPr>
          <w:p>
            <w:pPr>
              <w:spacing w:after="0"/>
              <w:rPr>
                <w:sz w:val="15"/>
                <w:szCs w:val="15"/>
                <w:color w:val="auto"/>
              </w:rPr>
            </w:pPr>
          </w:p>
        </w:tc>
        <w:tc>
          <w:tcPr>
            <w:tcW w:w="2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rPr>
              <w:t>91</w:t>
            </w:r>
          </w:p>
        </w:tc>
        <w:tc>
          <w:tcPr>
            <w:tcW w:w="2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0000FF"/>
                <w:w w:val="89"/>
              </w:rPr>
              <w:t>93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2.11.</w:t>
            </w:r>
          </w:p>
        </w:tc>
        <w:tc>
          <w:tcPr>
            <w:tcW w:w="1820" w:type="dxa"/>
            <w:vAlign w:val="bottom"/>
            <w:gridSpan w:val="29"/>
          </w:tcPr>
          <w:p>
            <w:pPr>
              <w:ind w:left="100"/>
              <w:spacing w:after="0" w:line="169" w:lineRule="exact"/>
              <w:rPr>
                <w:sz w:val="20"/>
                <w:szCs w:val="20"/>
                <w:color w:val="auto"/>
              </w:rPr>
            </w:pPr>
            <w:r>
              <w:rPr>
                <w:rFonts w:ascii="Times New Roman" w:cs="Times New Roman" w:eastAsia="Times New Roman" w:hAnsi="Times New Roman"/>
                <w:sz w:val="19"/>
                <w:szCs w:val="19"/>
                <w:color w:val="auto"/>
              </w:rPr>
              <w:t>Prepayment of Loans</w:t>
            </w: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7"/>
          </w:tcPr>
          <w:p>
            <w:pPr>
              <w:spacing w:after="0" w:line="169" w:lineRule="exact"/>
              <w:rPr>
                <w:sz w:val="20"/>
                <w:szCs w:val="20"/>
                <w:color w:val="auto"/>
              </w:rPr>
            </w:pPr>
            <w:r>
              <w:rPr>
                <w:rFonts w:ascii="Times New Roman" w:cs="Times New Roman" w:eastAsia="Times New Roman" w:hAnsi="Times New Roman"/>
                <w:sz w:val="19"/>
                <w:szCs w:val="19"/>
                <w:color w:val="FF0000"/>
                <w:strike w:val="1"/>
                <w:w w:val="94"/>
              </w:rPr>
              <w:t>94</w:t>
            </w:r>
          </w:p>
        </w:tc>
        <w:tc>
          <w:tcPr>
            <w:tcW w:w="220" w:type="dxa"/>
            <w:vAlign w:val="bottom"/>
            <w:tcBorders>
              <w:bottom w:val="single" w:sz="8" w:color="0000FF"/>
            </w:tcBorders>
            <w:gridSpan w:val="6"/>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96</w:t>
            </w: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Section 2.12.</w:t>
            </w:r>
          </w:p>
        </w:tc>
        <w:tc>
          <w:tcPr>
            <w:tcW w:w="56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Fees</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89"/>
              </w:rPr>
              <w:t>98</w:t>
            </w:r>
          </w:p>
        </w:tc>
        <w:tc>
          <w:tcPr>
            <w:tcW w:w="320" w:type="dxa"/>
            <w:vAlign w:val="bottom"/>
            <w:tcBorders>
              <w:bottom w:val="single" w:sz="8" w:color="0000FF"/>
            </w:tcBorders>
            <w:gridSpan w:val="7"/>
          </w:tcPr>
          <w:p>
            <w:pPr>
              <w:jc w:val="right"/>
              <w:ind w:right="20"/>
              <w:spacing w:after="0" w:line="176" w:lineRule="exact"/>
              <w:rPr>
                <w:sz w:val="20"/>
                <w:szCs w:val="20"/>
                <w:color w:val="auto"/>
              </w:rPr>
            </w:pPr>
            <w:r>
              <w:rPr>
                <w:rFonts w:ascii="Times New Roman" w:cs="Times New Roman" w:eastAsia="Times New Roman" w:hAnsi="Times New Roman"/>
                <w:sz w:val="20"/>
                <w:szCs w:val="20"/>
                <w:color w:val="0000FF"/>
                <w:w w:val="93"/>
              </w:rPr>
              <w:t>100</w:t>
            </w:r>
          </w:p>
        </w:tc>
        <w:tc>
          <w:tcPr>
            <w:tcW w:w="6520" w:type="dxa"/>
            <w:vAlign w:val="bottom"/>
            <w:gridSpan w:val="7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2.13.</w:t>
            </w:r>
          </w:p>
        </w:tc>
        <w:tc>
          <w:tcPr>
            <w:tcW w:w="760" w:type="dxa"/>
            <w:vAlign w:val="bottom"/>
            <w:gridSpan w:val="4"/>
          </w:tcPr>
          <w:p>
            <w:pPr>
              <w:spacing w:after="0" w:line="183" w:lineRule="exact"/>
              <w:rPr>
                <w:sz w:val="20"/>
                <w:szCs w:val="20"/>
                <w:color w:val="auto"/>
              </w:rPr>
            </w:pPr>
            <w:r>
              <w:rPr>
                <w:rFonts w:ascii="Times New Roman" w:cs="Times New Roman" w:eastAsia="Times New Roman" w:hAnsi="Times New Roman"/>
                <w:sz w:val="20"/>
                <w:szCs w:val="20"/>
                <w:color w:val="auto"/>
                <w:w w:val="99"/>
              </w:rPr>
              <w:t>Interest</w:t>
            </w:r>
          </w:p>
        </w:tc>
        <w:tc>
          <w:tcPr>
            <w:tcW w:w="24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auto"/>
              </w:rPr>
              <w:t>10</w:t>
            </w:r>
          </w:p>
        </w:tc>
        <w:tc>
          <w:tcPr>
            <w:tcW w:w="1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0</w:t>
            </w:r>
          </w:p>
        </w:tc>
        <w:tc>
          <w:tcPr>
            <w:tcW w:w="100" w:type="dxa"/>
            <w:vAlign w:val="bottom"/>
            <w:tcBorders>
              <w:bottom w:val="single" w:sz="8" w:color="0000FF"/>
            </w:tcBorders>
            <w:gridSpan w:val="2"/>
          </w:tcPr>
          <w:p>
            <w:pPr>
              <w:jc w:val="center"/>
              <w:spacing w:after="0" w:line="183" w:lineRule="exact"/>
              <w:rPr>
                <w:sz w:val="20"/>
                <w:szCs w:val="20"/>
                <w:color w:val="auto"/>
              </w:rPr>
            </w:pPr>
            <w:r>
              <w:rPr>
                <w:rFonts w:ascii="Times New Roman" w:cs="Times New Roman" w:eastAsia="Times New Roman" w:hAnsi="Times New Roman"/>
                <w:sz w:val="20"/>
                <w:szCs w:val="20"/>
                <w:color w:val="0000FF"/>
                <w:w w:val="99"/>
              </w:rPr>
              <w:t>2</w:t>
            </w:r>
          </w:p>
        </w:tc>
        <w:tc>
          <w:tcPr>
            <w:tcW w:w="6400" w:type="dxa"/>
            <w:vAlign w:val="bottom"/>
            <w:gridSpan w:val="7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2.14.</w:t>
            </w:r>
          </w:p>
        </w:tc>
        <w:tc>
          <w:tcPr>
            <w:tcW w:w="100" w:type="dxa"/>
            <w:vAlign w:val="bottom"/>
          </w:tcPr>
          <w:p>
            <w:pPr>
              <w:spacing w:after="0"/>
              <w:rPr>
                <w:sz w:val="15"/>
                <w:szCs w:val="15"/>
                <w:color w:val="auto"/>
              </w:rPr>
            </w:pPr>
          </w:p>
        </w:tc>
        <w:tc>
          <w:tcPr>
            <w:tcW w:w="1100" w:type="dxa"/>
            <w:vAlign w:val="bottom"/>
            <w:gridSpan w:val="12"/>
          </w:tcPr>
          <w:p>
            <w:pPr>
              <w:spacing w:after="0" w:line="169" w:lineRule="exact"/>
              <w:rPr>
                <w:sz w:val="20"/>
                <w:szCs w:val="20"/>
                <w:color w:val="auto"/>
              </w:rPr>
            </w:pPr>
            <w:r>
              <w:rPr>
                <w:rFonts w:ascii="Times New Roman" w:cs="Times New Roman" w:eastAsia="Times New Roman" w:hAnsi="Times New Roman"/>
                <w:sz w:val="19"/>
                <w:szCs w:val="19"/>
                <w:color w:val="FF0000"/>
                <w:strike w:val="1"/>
                <w:w w:val="97"/>
              </w:rPr>
              <w:t>Alternate Rate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4"/>
          </w:tcPr>
          <w:p>
            <w:pPr>
              <w:jc w:val="center"/>
              <w:spacing w:after="0" w:line="169" w:lineRule="exact"/>
              <w:rPr>
                <w:sz w:val="20"/>
                <w:szCs w:val="20"/>
                <w:color w:val="auto"/>
              </w:rPr>
            </w:pPr>
            <w:r>
              <w:rPr>
                <w:rFonts w:ascii="Times New Roman" w:cs="Times New Roman" w:eastAsia="Times New Roman" w:hAnsi="Times New Roman"/>
                <w:sz w:val="19"/>
                <w:szCs w:val="19"/>
                <w:color w:val="FF0000"/>
                <w:strike w:val="1"/>
              </w:rPr>
              <w:t>of Interest</w:t>
            </w:r>
          </w:p>
        </w:tc>
        <w:tc>
          <w:tcPr>
            <w:tcW w:w="5360" w:type="dxa"/>
            <w:vAlign w:val="bottom"/>
            <w:gridSpan w:val="50"/>
          </w:tcPr>
          <w:p>
            <w:pPr>
              <w:spacing w:after="0" w:line="169" w:lineRule="exact"/>
              <w:rPr>
                <w:sz w:val="20"/>
                <w:szCs w:val="20"/>
                <w:color w:val="auto"/>
              </w:rPr>
            </w:pPr>
            <w:r>
              <w:rPr>
                <w:rFonts w:ascii="Times New Roman" w:cs="Times New Roman" w:eastAsia="Times New Roman" w:hAnsi="Times New Roman"/>
                <w:sz w:val="19"/>
                <w:szCs w:val="19"/>
                <w:color w:val="0000FF"/>
              </w:rPr>
              <w:t xml:space="preserve">Inability to Determine Rates; Benchmark Replacement Setting  </w:t>
            </w:r>
            <w:r>
              <w:rPr>
                <w:rFonts w:ascii="Times New Roman" w:cs="Times New Roman" w:eastAsia="Times New Roman" w:hAnsi="Times New Roman"/>
                <w:sz w:val="19"/>
                <w:szCs w:val="19"/>
                <w:color w:val="000000"/>
              </w:rPr>
              <w:t>10</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FF0000"/>
                <w:strike w:val="1"/>
                <w:w w:val="74"/>
              </w:rPr>
              <w:t>1</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3</w:t>
            </w: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Section 2.15.</w:t>
            </w:r>
          </w:p>
        </w:tc>
        <w:tc>
          <w:tcPr>
            <w:tcW w:w="1320" w:type="dxa"/>
            <w:vAlign w:val="bottom"/>
            <w:gridSpan w:val="19"/>
          </w:tcPr>
          <w:p>
            <w:pPr>
              <w:spacing w:after="0" w:line="176" w:lineRule="exact"/>
              <w:rPr>
                <w:sz w:val="20"/>
                <w:szCs w:val="20"/>
                <w:color w:val="auto"/>
              </w:rPr>
            </w:pPr>
            <w:r>
              <w:rPr>
                <w:rFonts w:ascii="Times New Roman" w:cs="Times New Roman" w:eastAsia="Times New Roman" w:hAnsi="Times New Roman"/>
                <w:sz w:val="20"/>
                <w:szCs w:val="20"/>
                <w:color w:val="auto"/>
              </w:rPr>
              <w:t>Increased Costs</w:t>
            </w:r>
          </w:p>
        </w:tc>
        <w:tc>
          <w:tcPr>
            <w:tcW w:w="32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auto"/>
              </w:rPr>
              <w:t>10</w:t>
            </w:r>
          </w:p>
        </w:tc>
        <w:tc>
          <w:tcPr>
            <w:tcW w:w="1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1</w:t>
            </w:r>
          </w:p>
        </w:tc>
        <w:tc>
          <w:tcPr>
            <w:tcW w:w="300" w:type="dxa"/>
            <w:vAlign w:val="bottom"/>
            <w:gridSpan w:val="8"/>
          </w:tcPr>
          <w:p>
            <w:pPr>
              <w:spacing w:after="0" w:line="176" w:lineRule="exact"/>
              <w:rPr>
                <w:sz w:val="20"/>
                <w:szCs w:val="20"/>
                <w:color w:val="auto"/>
              </w:rPr>
            </w:pPr>
            <w:r>
              <w:rPr>
                <w:rFonts w:ascii="Times New Roman" w:cs="Times New Roman" w:eastAsia="Times New Roman" w:hAnsi="Times New Roman"/>
                <w:sz w:val="20"/>
                <w:szCs w:val="20"/>
                <w:color w:val="0000FF"/>
                <w:w w:val="99"/>
              </w:rPr>
              <w:t>5</w:t>
            </w:r>
          </w:p>
        </w:tc>
        <w:tc>
          <w:tcPr>
            <w:tcW w:w="4960" w:type="dxa"/>
            <w:vAlign w:val="bottom"/>
            <w:tcBorders>
              <w:top w:val="single" w:sz="8" w:color="0000FF"/>
            </w:tcBorders>
            <w:gridSpan w:val="49"/>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2.16.</w:t>
            </w: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1"/>
          </w:tcPr>
          <w:p>
            <w:pPr>
              <w:spacing w:after="0" w:line="183" w:lineRule="exact"/>
              <w:rPr>
                <w:sz w:val="20"/>
                <w:szCs w:val="20"/>
                <w:color w:val="auto"/>
              </w:rPr>
            </w:pPr>
            <w:r>
              <w:rPr>
                <w:rFonts w:ascii="Times New Roman" w:cs="Times New Roman" w:eastAsia="Times New Roman" w:hAnsi="Times New Roman"/>
                <w:sz w:val="20"/>
                <w:szCs w:val="20"/>
                <w:color w:val="auto"/>
                <w:w w:val="89"/>
              </w:rPr>
              <w:t>Break Funding Payments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12"/>
          </w:tcPr>
          <w:p>
            <w:pPr>
              <w:ind w:left="200"/>
              <w:spacing w:after="0" w:line="183" w:lineRule="exact"/>
              <w:rPr>
                <w:sz w:val="20"/>
                <w:szCs w:val="20"/>
                <w:color w:val="auto"/>
              </w:rPr>
            </w:pPr>
            <w:r>
              <w:rPr>
                <w:rFonts w:ascii="Times New Roman" w:cs="Times New Roman" w:eastAsia="Times New Roman" w:hAnsi="Times New Roman"/>
                <w:sz w:val="20"/>
                <w:szCs w:val="20"/>
                <w:color w:val="auto"/>
                <w:w w:val="89"/>
              </w:rPr>
              <w:t>10</w:t>
            </w:r>
          </w:p>
        </w:tc>
        <w:tc>
          <w:tcPr>
            <w:tcW w:w="100" w:type="dxa"/>
            <w:vAlign w:val="bottom"/>
            <w:gridSpan w:val="4"/>
          </w:tcPr>
          <w:p>
            <w:pPr>
              <w:spacing w:after="0" w:line="183"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FF"/>
                <w:w w:val="79"/>
              </w:rPr>
              <w:t>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2.17.</w:t>
            </w:r>
          </w:p>
        </w:tc>
        <w:tc>
          <w:tcPr>
            <w:tcW w:w="720" w:type="dxa"/>
            <w:vAlign w:val="bottom"/>
            <w:gridSpan w:val="4"/>
          </w:tcPr>
          <w:p>
            <w:pPr>
              <w:ind w:left="100"/>
              <w:spacing w:after="0" w:line="169" w:lineRule="exact"/>
              <w:rPr>
                <w:sz w:val="20"/>
                <w:szCs w:val="20"/>
                <w:color w:val="auto"/>
              </w:rPr>
            </w:pPr>
            <w:r>
              <w:rPr>
                <w:rFonts w:ascii="Times New Roman" w:cs="Times New Roman" w:eastAsia="Times New Roman" w:hAnsi="Times New Roman"/>
                <w:sz w:val="19"/>
                <w:szCs w:val="19"/>
                <w:color w:val="auto"/>
              </w:rPr>
              <w:t>Taxes</w:t>
            </w:r>
          </w:p>
        </w:tc>
        <w:tc>
          <w:tcPr>
            <w:tcW w:w="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auto"/>
              </w:rPr>
              <w:t>10</w:t>
            </w:r>
          </w:p>
        </w:tc>
        <w:tc>
          <w:tcPr>
            <w:tcW w:w="10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color w:val="FF0000"/>
                <w:strike w:val="1"/>
                <w:w w:val="83"/>
              </w:rPr>
              <w:t>3</w:t>
            </w:r>
          </w:p>
        </w:tc>
        <w:tc>
          <w:tcPr>
            <w:tcW w:w="10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6</w:t>
            </w:r>
          </w:p>
        </w:tc>
        <w:tc>
          <w:tcPr>
            <w:tcW w:w="6540" w:type="dxa"/>
            <w:vAlign w:val="bottom"/>
            <w:gridSpan w:val="8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2.18.</w:t>
            </w:r>
          </w:p>
        </w:tc>
        <w:tc>
          <w:tcPr>
            <w:tcW w:w="100" w:type="dxa"/>
            <w:vAlign w:val="bottom"/>
          </w:tcPr>
          <w:p>
            <w:pPr>
              <w:spacing w:after="0"/>
              <w:rPr>
                <w:sz w:val="15"/>
                <w:szCs w:val="15"/>
                <w:color w:val="auto"/>
              </w:rPr>
            </w:pPr>
          </w:p>
        </w:tc>
        <w:tc>
          <w:tcPr>
            <w:tcW w:w="960" w:type="dxa"/>
            <w:vAlign w:val="bottom"/>
            <w:gridSpan w:val="8"/>
          </w:tcPr>
          <w:p>
            <w:pPr>
              <w:spacing w:after="0" w:line="176" w:lineRule="exact"/>
              <w:rPr>
                <w:sz w:val="20"/>
                <w:szCs w:val="20"/>
                <w:color w:val="auto"/>
              </w:rPr>
            </w:pPr>
            <w:r>
              <w:rPr>
                <w:rFonts w:ascii="Times New Roman" w:cs="Times New Roman" w:eastAsia="Times New Roman" w:hAnsi="Times New Roman"/>
                <w:sz w:val="20"/>
                <w:szCs w:val="20"/>
                <w:color w:val="auto"/>
              </w:rPr>
              <w:t>Payments</w:t>
            </w:r>
          </w:p>
        </w:tc>
        <w:tc>
          <w:tcPr>
            <w:tcW w:w="4520" w:type="dxa"/>
            <w:vAlign w:val="bottom"/>
            <w:gridSpan w:val="76"/>
          </w:tcPr>
          <w:p>
            <w:pPr>
              <w:jc w:val="right"/>
              <w:ind w:right="200"/>
              <w:spacing w:after="0" w:line="176" w:lineRule="exact"/>
              <w:rPr>
                <w:sz w:val="20"/>
                <w:szCs w:val="20"/>
                <w:color w:val="auto"/>
              </w:rPr>
            </w:pPr>
            <w:r>
              <w:rPr>
                <w:rFonts w:ascii="Times New Roman" w:cs="Times New Roman" w:eastAsia="Times New Roman" w:hAnsi="Times New Roman"/>
                <w:sz w:val="20"/>
                <w:szCs w:val="20"/>
                <w:color w:val="auto"/>
                <w:w w:val="95"/>
              </w:rPr>
              <w:t>Generally; Allocation of Proceeds; Sharing of Payments</w:t>
            </w:r>
          </w:p>
        </w:tc>
        <w:tc>
          <w:tcPr>
            <w:tcW w:w="28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30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20"/>
                <w:szCs w:val="20"/>
                <w:color w:val="0000FF"/>
                <w:w w:val="93"/>
              </w:rPr>
              <w:t>110</w:t>
            </w:r>
          </w:p>
        </w:tc>
        <w:tc>
          <w:tcPr>
            <w:tcW w:w="15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2.19.</w:t>
            </w:r>
          </w:p>
        </w:tc>
        <w:tc>
          <w:tcPr>
            <w:tcW w:w="100" w:type="dxa"/>
            <w:vAlign w:val="bottom"/>
          </w:tcPr>
          <w:p>
            <w:pPr>
              <w:spacing w:after="0"/>
              <w:rPr>
                <w:sz w:val="15"/>
                <w:szCs w:val="15"/>
                <w:color w:val="auto"/>
              </w:rPr>
            </w:pPr>
          </w:p>
        </w:tc>
        <w:tc>
          <w:tcPr>
            <w:tcW w:w="4040" w:type="dxa"/>
            <w:vAlign w:val="bottom"/>
            <w:gridSpan w:val="76"/>
          </w:tcPr>
          <w:p>
            <w:pPr>
              <w:spacing w:after="0" w:line="183" w:lineRule="exact"/>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3"/>
              </w:rPr>
              <w:t>109</w:t>
            </w:r>
          </w:p>
        </w:tc>
        <w:tc>
          <w:tcPr>
            <w:tcW w:w="3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0000FF"/>
                <w:w w:val="93"/>
              </w:rPr>
              <w:t>112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2.20.</w:t>
            </w:r>
          </w:p>
        </w:tc>
        <w:tc>
          <w:tcPr>
            <w:tcW w:w="900" w:type="dxa"/>
            <w:vAlign w:val="bottom"/>
            <w:gridSpan w:val="7"/>
          </w:tcPr>
          <w:p>
            <w:pPr>
              <w:spacing w:after="0" w:line="169" w:lineRule="exact"/>
              <w:rPr>
                <w:sz w:val="20"/>
                <w:szCs w:val="20"/>
                <w:color w:val="auto"/>
              </w:rPr>
            </w:pPr>
            <w:r>
              <w:rPr>
                <w:rFonts w:ascii="Times New Roman" w:cs="Times New Roman" w:eastAsia="Times New Roman" w:hAnsi="Times New Roman"/>
                <w:sz w:val="19"/>
                <w:szCs w:val="19"/>
                <w:color w:val="auto"/>
              </w:rPr>
              <w:t>Illegality</w:t>
            </w:r>
          </w:p>
        </w:tc>
        <w:tc>
          <w:tcPr>
            <w:tcW w:w="20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9"/>
                <w:szCs w:val="19"/>
                <w:color w:val="auto"/>
                <w:w w:val="83"/>
              </w:rPr>
              <w:t>11</w:t>
            </w:r>
          </w:p>
        </w:tc>
        <w:tc>
          <w:tcPr>
            <w:tcW w:w="12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9"/>
                <w:szCs w:val="19"/>
                <w:color w:val="FF0000"/>
                <w:strike w:val="1"/>
              </w:rPr>
              <w:t>0</w:t>
            </w:r>
          </w:p>
        </w:tc>
        <w:tc>
          <w:tcPr>
            <w:tcW w:w="6380" w:type="dxa"/>
            <w:vAlign w:val="bottom"/>
            <w:gridSpan w:val="75"/>
          </w:tcPr>
          <w:p>
            <w:pPr>
              <w:jc w:val="right"/>
              <w:ind w:right="6207"/>
              <w:spacing w:after="0" w:line="169" w:lineRule="exact"/>
              <w:rPr>
                <w:sz w:val="20"/>
                <w:szCs w:val="20"/>
                <w:color w:val="auto"/>
              </w:rPr>
            </w:pPr>
            <w:r>
              <w:rPr>
                <w:rFonts w:ascii="Times New Roman" w:cs="Times New Roman" w:eastAsia="Times New Roman" w:hAnsi="Times New Roman"/>
                <w:sz w:val="16"/>
                <w:szCs w:val="16"/>
                <w:color w:val="0000FF"/>
                <w:w w:val="74"/>
              </w:rPr>
              <w:t>4</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2.21.</w:t>
            </w:r>
          </w:p>
        </w:tc>
        <w:tc>
          <w:tcPr>
            <w:tcW w:w="1820" w:type="dxa"/>
            <w:vAlign w:val="bottom"/>
            <w:gridSpan w:val="29"/>
          </w:tcPr>
          <w:p>
            <w:pPr>
              <w:spacing w:after="0"/>
              <w:rPr>
                <w:sz w:val="2"/>
                <w:szCs w:val="2"/>
                <w:color w:val="auto"/>
              </w:rPr>
            </w:pPr>
          </w:p>
        </w:tc>
        <w:tc>
          <w:tcPr>
            <w:tcW w:w="200" w:type="dxa"/>
            <w:vAlign w:val="bottom"/>
            <w:gridSpan w:val="6"/>
            <w:vMerge w:val="restart"/>
          </w:tcPr>
          <w:p>
            <w:pPr>
              <w:ind w:left="20"/>
              <w:spacing w:after="0" w:line="203" w:lineRule="exact"/>
              <w:rPr>
                <w:sz w:val="20"/>
                <w:szCs w:val="20"/>
                <w:color w:val="auto"/>
              </w:rPr>
            </w:pPr>
            <w:r>
              <w:rPr>
                <w:rFonts w:ascii="Times New Roman" w:cs="Times New Roman" w:eastAsia="Times New Roman" w:hAnsi="Times New Roman"/>
                <w:sz w:val="20"/>
                <w:szCs w:val="20"/>
                <w:color w:val="auto"/>
                <w:w w:val="79"/>
              </w:rPr>
              <w:t>11</w:t>
            </w:r>
          </w:p>
        </w:tc>
        <w:tc>
          <w:tcPr>
            <w:tcW w:w="100" w:type="dxa"/>
            <w:vAlign w:val="bottom"/>
            <w:gridSpan w:val="3"/>
            <w:vMerge w:val="restart"/>
          </w:tcPr>
          <w:p>
            <w:pPr>
              <w:spacing w:after="0" w:line="20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80" w:type="dxa"/>
            <w:vAlign w:val="bottom"/>
            <w:gridSpan w:val="5"/>
            <w:vMerge w:val="restart"/>
          </w:tcPr>
          <w:p>
            <w:pPr>
              <w:spacing w:after="0" w:line="203" w:lineRule="exact"/>
              <w:rPr>
                <w:sz w:val="20"/>
                <w:szCs w:val="20"/>
                <w:color w:val="auto"/>
              </w:rPr>
            </w:pPr>
            <w:r>
              <w:rPr>
                <w:rFonts w:ascii="Times New Roman" w:cs="Times New Roman" w:eastAsia="Times New Roman" w:hAnsi="Times New Roman"/>
                <w:sz w:val="20"/>
                <w:szCs w:val="20"/>
                <w:color w:val="0000FF"/>
              </w:rPr>
              <w:t>4</w:t>
            </w:r>
          </w:p>
        </w:tc>
        <w:tc>
          <w:tcPr>
            <w:tcW w:w="5400" w:type="dxa"/>
            <w:vAlign w:val="bottom"/>
            <w:gridSpan w:val="4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8"/>
          </w:tcPr>
          <w:p>
            <w:pPr>
              <w:spacing w:after="0" w:line="176" w:lineRule="exact"/>
              <w:rPr>
                <w:sz w:val="20"/>
                <w:szCs w:val="20"/>
                <w:color w:val="auto"/>
              </w:rPr>
            </w:pPr>
            <w:r>
              <w:rPr>
                <w:rFonts w:ascii="Times New Roman" w:cs="Times New Roman" w:eastAsia="Times New Roman" w:hAnsi="Times New Roman"/>
                <w:sz w:val="20"/>
                <w:szCs w:val="20"/>
                <w:color w:val="auto"/>
              </w:rPr>
              <w:t>Defaulting Lenders</w:t>
            </w:r>
          </w:p>
        </w:tc>
        <w:tc>
          <w:tcPr>
            <w:tcW w:w="200" w:type="dxa"/>
            <w:vAlign w:val="bottom"/>
            <w:gridSpan w:val="6"/>
            <w:vMerge w:val="continue"/>
          </w:tcPr>
          <w:p>
            <w:pPr>
              <w:spacing w:after="0"/>
              <w:rPr>
                <w:sz w:val="15"/>
                <w:szCs w:val="15"/>
                <w:color w:val="auto"/>
              </w:rPr>
            </w:pPr>
          </w:p>
        </w:tc>
        <w:tc>
          <w:tcPr>
            <w:tcW w:w="100" w:type="dxa"/>
            <w:vAlign w:val="bottom"/>
            <w:gridSpan w:val="3"/>
            <w:vMerge w:val="continue"/>
          </w:tcPr>
          <w:p>
            <w:pPr>
              <w:spacing w:after="0"/>
              <w:rPr>
                <w:sz w:val="15"/>
                <w:szCs w:val="15"/>
                <w:color w:val="auto"/>
              </w:rPr>
            </w:pPr>
          </w:p>
        </w:tc>
        <w:tc>
          <w:tcPr>
            <w:tcW w:w="1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2.22.</w:t>
            </w:r>
          </w:p>
        </w:tc>
        <w:tc>
          <w:tcPr>
            <w:tcW w:w="10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020" w:type="dxa"/>
            <w:vAlign w:val="bottom"/>
            <w:gridSpan w:val="28"/>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5"/>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11</w:t>
            </w:r>
          </w:p>
        </w:tc>
        <w:tc>
          <w:tcPr>
            <w:tcW w:w="100" w:type="dxa"/>
            <w:vAlign w:val="bottom"/>
            <w:gridSpan w:val="2"/>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gridSpan w:val="4"/>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7</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53"/>
          </w:tcPr>
          <w:p>
            <w:pPr>
              <w:spacing w:after="0" w:line="183" w:lineRule="exact"/>
              <w:rPr>
                <w:sz w:val="20"/>
                <w:szCs w:val="20"/>
                <w:color w:val="auto"/>
              </w:rPr>
            </w:pPr>
            <w:r>
              <w:rPr>
                <w:rFonts w:ascii="Times New Roman" w:cs="Times New Roman" w:eastAsia="Times New Roman" w:hAnsi="Times New Roman"/>
                <w:sz w:val="20"/>
                <w:szCs w:val="20"/>
                <w:color w:val="auto"/>
              </w:rPr>
              <w:t>Incremental Credit Extensions</w:t>
            </w:r>
          </w:p>
        </w:tc>
        <w:tc>
          <w:tcPr>
            <w:tcW w:w="220" w:type="dxa"/>
            <w:vAlign w:val="bottom"/>
            <w:gridSpan w:val="5"/>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00" w:type="dxa"/>
            <w:vAlign w:val="bottom"/>
            <w:tcBorders>
              <w:bottom w:val="single" w:sz="8" w:color="0000FF"/>
            </w:tcBorders>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2.23.</w:t>
            </w:r>
          </w:p>
        </w:tc>
        <w:tc>
          <w:tcPr>
            <w:tcW w:w="100" w:type="dxa"/>
            <w:vAlign w:val="bottom"/>
          </w:tcPr>
          <w:p>
            <w:pPr>
              <w:spacing w:after="0"/>
              <w:rPr>
                <w:sz w:val="15"/>
                <w:szCs w:val="15"/>
                <w:color w:val="auto"/>
              </w:rPr>
            </w:pPr>
          </w:p>
        </w:tc>
        <w:tc>
          <w:tcPr>
            <w:tcW w:w="2900" w:type="dxa"/>
            <w:vAlign w:val="bottom"/>
            <w:gridSpan w:val="60"/>
          </w:tcPr>
          <w:p>
            <w:pPr>
              <w:spacing w:after="0" w:line="183" w:lineRule="exact"/>
              <w:rPr>
                <w:sz w:val="20"/>
                <w:szCs w:val="20"/>
                <w:color w:val="auto"/>
              </w:rPr>
            </w:pPr>
            <w:r>
              <w:rPr>
                <w:rFonts w:ascii="Times New Roman" w:cs="Times New Roman" w:eastAsia="Times New Roman" w:hAnsi="Times New Roman"/>
                <w:sz w:val="20"/>
                <w:szCs w:val="20"/>
                <w:color w:val="auto"/>
              </w:rPr>
              <w:t>Extensions of Loans and Revolving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17"/>
          </w:tcPr>
          <w:p>
            <w:pPr>
              <w:jc w:val="right"/>
              <w:ind w:right="200"/>
              <w:spacing w:after="0" w:line="183" w:lineRule="exact"/>
              <w:rPr>
                <w:sz w:val="20"/>
                <w:szCs w:val="20"/>
                <w:color w:val="auto"/>
              </w:rPr>
            </w:pPr>
            <w:r>
              <w:rPr>
                <w:rFonts w:ascii="Times New Roman" w:cs="Times New Roman" w:eastAsia="Times New Roman" w:hAnsi="Times New Roman"/>
                <w:sz w:val="20"/>
                <w:szCs w:val="20"/>
                <w:color w:val="auto"/>
                <w:w w:val="90"/>
              </w:rPr>
              <w:t>Credit Commitments</w:t>
            </w: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3"/>
              </w:rPr>
              <w:t>117</w:t>
            </w:r>
          </w:p>
        </w:tc>
        <w:tc>
          <w:tcPr>
            <w:tcW w:w="2560" w:type="dxa"/>
            <w:vAlign w:val="bottom"/>
            <w:gridSpan w:val="8"/>
          </w:tcPr>
          <w:p>
            <w:pPr>
              <w:jc w:val="right"/>
              <w:ind w:right="2187"/>
              <w:spacing w:after="0" w:line="183" w:lineRule="exact"/>
              <w:rPr>
                <w:sz w:val="20"/>
                <w:szCs w:val="20"/>
                <w:color w:val="auto"/>
              </w:rPr>
            </w:pPr>
            <w:r>
              <w:rPr>
                <w:rFonts w:ascii="Times New Roman" w:cs="Times New Roman" w:eastAsia="Times New Roman" w:hAnsi="Times New Roman"/>
                <w:sz w:val="20"/>
                <w:szCs w:val="20"/>
                <w:color w:val="0000FF"/>
                <w:w w:val="86"/>
              </w:rPr>
              <w:t>121</w:t>
            </w:r>
          </w:p>
        </w:tc>
        <w:tc>
          <w:tcPr>
            <w:tcW w:w="0" w:type="dxa"/>
            <w:vAlign w:val="bottom"/>
          </w:tcPr>
          <w:p>
            <w:pPr>
              <w:spacing w:after="0"/>
              <w:rPr>
                <w:sz w:val="1"/>
                <w:szCs w:val="1"/>
                <w:color w:val="auto"/>
              </w:rPr>
            </w:pPr>
          </w:p>
        </w:tc>
      </w:tr>
      <w:tr>
        <w:trPr>
          <w:trHeight w:val="20"/>
        </w:trPr>
        <w:tc>
          <w:tcPr>
            <w:tcW w:w="8840" w:type="dxa"/>
            <w:vAlign w:val="bottom"/>
            <w:gridSpan w:val="9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12" w:name="page113"/>
    <w:bookmarkEnd w:id="11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ARTICLE 3</w:t>
            </w: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0"/>
          </w:tcPr>
          <w:p>
            <w:pPr>
              <w:jc w:val="center"/>
              <w:spacing w:after="0"/>
              <w:rPr>
                <w:sz w:val="20"/>
                <w:szCs w:val="20"/>
                <w:color w:val="auto"/>
              </w:rPr>
            </w:pPr>
            <w:r>
              <w:rPr>
                <w:rFonts w:ascii="Times New Roman" w:cs="Times New Roman" w:eastAsia="Times New Roman" w:hAnsi="Times New Roman"/>
                <w:sz w:val="20"/>
                <w:szCs w:val="20"/>
                <w:color w:val="auto"/>
                <w:w w:val="97"/>
              </w:rPr>
              <w:t>REPRESENTATIONS AND WARRANTIES</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2020" w:type="dxa"/>
            <w:vAlign w:val="bottom"/>
            <w:gridSpan w:val="33"/>
          </w:tcPr>
          <w:p>
            <w:pPr>
              <w:ind w:left="100"/>
              <w:spacing w:after="0"/>
              <w:rPr>
                <w:sz w:val="20"/>
                <w:szCs w:val="20"/>
                <w:color w:val="auto"/>
              </w:rPr>
            </w:pPr>
            <w:r>
              <w:rPr>
                <w:rFonts w:ascii="Times New Roman" w:cs="Times New Roman" w:eastAsia="Times New Roman" w:hAnsi="Times New Roman"/>
                <w:sz w:val="20"/>
                <w:szCs w:val="20"/>
                <w:color w:val="auto"/>
              </w:rPr>
              <w:t>Organization; Powers</w:t>
            </w:r>
          </w:p>
        </w:tc>
        <w:tc>
          <w:tcPr>
            <w:tcW w:w="2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89"/>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79"/>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3.02.</w:t>
            </w:r>
          </w:p>
        </w:tc>
        <w:tc>
          <w:tcPr>
            <w:tcW w:w="2320" w:type="dxa"/>
            <w:vAlign w:val="bottom"/>
            <w:gridSpan w:val="38"/>
          </w:tcPr>
          <w:p>
            <w:pPr>
              <w:ind w:left="100"/>
              <w:spacing w:after="0" w:line="183" w:lineRule="exact"/>
              <w:rPr>
                <w:sz w:val="20"/>
                <w:szCs w:val="20"/>
                <w:color w:val="auto"/>
              </w:rPr>
            </w:pPr>
            <w:r>
              <w:rPr>
                <w:rFonts w:ascii="Times New Roman" w:cs="Times New Roman" w:eastAsia="Times New Roman" w:hAnsi="Times New Roman"/>
                <w:sz w:val="20"/>
                <w:szCs w:val="20"/>
                <w:color w:val="auto"/>
                <w:w w:val="93"/>
              </w:rPr>
              <w:t>Authorization; Enforceability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jc w:val="right"/>
              <w:spacing w:after="0" w:line="183" w:lineRule="exact"/>
              <w:rPr>
                <w:sz w:val="20"/>
                <w:szCs w:val="20"/>
                <w:color w:val="auto"/>
              </w:rPr>
            </w:pPr>
            <w:r>
              <w:rPr>
                <w:rFonts w:ascii="Times New Roman" w:cs="Times New Roman" w:eastAsia="Times New Roman" w:hAnsi="Times New Roman"/>
                <w:sz w:val="20"/>
                <w:szCs w:val="20"/>
                <w:color w:val="auto"/>
              </w:rPr>
              <w:t>12</w:t>
            </w:r>
          </w:p>
        </w:tc>
        <w:tc>
          <w:tcPr>
            <w:tcW w:w="1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3.03.</w:t>
            </w:r>
          </w:p>
        </w:tc>
        <w:tc>
          <w:tcPr>
            <w:tcW w:w="3260" w:type="dxa"/>
            <w:vAlign w:val="bottom"/>
            <w:gridSpan w:val="61"/>
          </w:tcPr>
          <w:p>
            <w:pPr>
              <w:ind w:left="100"/>
              <w:spacing w:after="0" w:line="169" w:lineRule="exact"/>
              <w:rPr>
                <w:sz w:val="20"/>
                <w:szCs w:val="20"/>
                <w:color w:val="auto"/>
              </w:rPr>
            </w:pPr>
            <w:r>
              <w:rPr>
                <w:rFonts w:ascii="Times New Roman" w:cs="Times New Roman" w:eastAsia="Times New Roman" w:hAnsi="Times New Roman"/>
                <w:sz w:val="19"/>
                <w:szCs w:val="19"/>
                <w:color w:val="auto"/>
              </w:rPr>
              <w:t>Governmental Approvals; No Conflicts</w:t>
            </w:r>
          </w:p>
        </w:tc>
        <w:tc>
          <w:tcPr>
            <w:tcW w:w="360" w:type="dxa"/>
            <w:vAlign w:val="bottom"/>
            <w:gridSpan w:val="8"/>
          </w:tcPr>
          <w:p>
            <w:pPr>
              <w:ind w:left="160"/>
              <w:spacing w:after="0" w:line="169" w:lineRule="exact"/>
              <w:rPr>
                <w:sz w:val="20"/>
                <w:szCs w:val="20"/>
                <w:color w:val="auto"/>
              </w:rPr>
            </w:pPr>
            <w:r>
              <w:rPr>
                <w:rFonts w:ascii="Times New Roman" w:cs="Times New Roman" w:eastAsia="Times New Roman" w:hAnsi="Times New Roman"/>
                <w:sz w:val="19"/>
                <w:szCs w:val="19"/>
                <w:color w:val="auto"/>
                <w:w w:val="94"/>
              </w:rPr>
              <w:t>12</w:t>
            </w:r>
          </w:p>
        </w:tc>
        <w:tc>
          <w:tcPr>
            <w:tcW w:w="1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1</w:t>
            </w:r>
          </w:p>
        </w:tc>
        <w:tc>
          <w:tcPr>
            <w:tcW w:w="10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3.04.</w:t>
            </w:r>
          </w:p>
        </w:tc>
        <w:tc>
          <w:tcPr>
            <w:tcW w:w="4380" w:type="dxa"/>
            <w:vAlign w:val="bottom"/>
            <w:gridSpan w:val="76"/>
          </w:tcPr>
          <w:p>
            <w:pPr>
              <w:ind w:left="100"/>
              <w:spacing w:after="0" w:line="176" w:lineRule="exact"/>
              <w:rPr>
                <w:sz w:val="20"/>
                <w:szCs w:val="20"/>
                <w:color w:val="auto"/>
              </w:rPr>
            </w:pPr>
            <w:r>
              <w:rPr>
                <w:rFonts w:ascii="Times New Roman" w:cs="Times New Roman" w:eastAsia="Times New Roman" w:hAnsi="Times New Roman"/>
                <w:sz w:val="20"/>
                <w:szCs w:val="20"/>
                <w:color w:val="auto"/>
              </w:rPr>
              <w:t>Financial Condition; No Material Adverse Effect  12</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20"/>
                <w:szCs w:val="20"/>
                <w:color w:val="0000FF"/>
                <w:w w:val="79"/>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3.05.</w:t>
            </w:r>
          </w:p>
        </w:tc>
        <w:tc>
          <w:tcPr>
            <w:tcW w:w="1020" w:type="dxa"/>
            <w:vAlign w:val="bottom"/>
            <w:gridSpan w:val="3"/>
          </w:tcPr>
          <w:p>
            <w:pPr>
              <w:ind w:left="100"/>
              <w:spacing w:after="0" w:line="183" w:lineRule="exact"/>
              <w:rPr>
                <w:sz w:val="20"/>
                <w:szCs w:val="20"/>
                <w:color w:val="auto"/>
              </w:rPr>
            </w:pPr>
            <w:r>
              <w:rPr>
                <w:rFonts w:ascii="Times New Roman" w:cs="Times New Roman" w:eastAsia="Times New Roman" w:hAnsi="Times New Roman"/>
                <w:sz w:val="20"/>
                <w:szCs w:val="20"/>
                <w:color w:val="auto"/>
              </w:rPr>
              <w:t>Properties</w:t>
            </w:r>
          </w:p>
        </w:tc>
        <w:tc>
          <w:tcPr>
            <w:tcW w:w="28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auto"/>
              </w:rPr>
              <w:t>12</w:t>
            </w:r>
          </w:p>
        </w:tc>
        <w:tc>
          <w:tcPr>
            <w:tcW w:w="1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20" w:type="dxa"/>
            <w:vAlign w:val="bottom"/>
            <w:tcBorders>
              <w:bottom w:val="single" w:sz="8" w:color="0000FF"/>
            </w:tcBorders>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5</w:t>
            </w:r>
          </w:p>
        </w:tc>
        <w:tc>
          <w:tcPr>
            <w:tcW w:w="2960" w:type="dxa"/>
            <w:vAlign w:val="bottom"/>
            <w:gridSpan w:val="61"/>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7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3.06.</w:t>
            </w:r>
          </w:p>
        </w:tc>
        <w:tc>
          <w:tcPr>
            <w:tcW w:w="1400" w:type="dxa"/>
            <w:vAlign w:val="bottom"/>
            <w:gridSpan w:val="11"/>
          </w:tcPr>
          <w:p>
            <w:pPr>
              <w:ind w:left="100"/>
              <w:spacing w:after="0" w:line="169" w:lineRule="exact"/>
              <w:rPr>
                <w:sz w:val="20"/>
                <w:szCs w:val="20"/>
                <w:color w:val="auto"/>
              </w:rPr>
            </w:pPr>
            <w:r>
              <w:rPr>
                <w:rFonts w:ascii="Times New Roman" w:cs="Times New Roman" w:eastAsia="Times New Roman" w:hAnsi="Times New Roman"/>
                <w:sz w:val="19"/>
                <w:szCs w:val="19"/>
                <w:color w:val="auto"/>
              </w:rPr>
              <w:t>Litigation and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5"/>
          </w:tcPr>
          <w:p>
            <w:pPr>
              <w:spacing w:after="0" w:line="169" w:lineRule="exact"/>
              <w:rPr>
                <w:sz w:val="20"/>
                <w:szCs w:val="20"/>
                <w:color w:val="auto"/>
              </w:rPr>
            </w:pPr>
            <w:r>
              <w:rPr>
                <w:rFonts w:ascii="Times New Roman" w:cs="Times New Roman" w:eastAsia="Times New Roman" w:hAnsi="Times New Roman"/>
                <w:sz w:val="19"/>
                <w:szCs w:val="19"/>
                <w:color w:val="auto"/>
                <w:w w:val="97"/>
              </w:rPr>
              <w:t>Environmental Matters</w:t>
            </w:r>
          </w:p>
        </w:tc>
        <w:tc>
          <w:tcPr>
            <w:tcW w:w="24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auto"/>
              </w:rPr>
              <w:t>12</w:t>
            </w:r>
          </w:p>
        </w:tc>
        <w:tc>
          <w:tcPr>
            <w:tcW w:w="1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2</w:t>
            </w:r>
          </w:p>
        </w:tc>
        <w:tc>
          <w:tcPr>
            <w:tcW w:w="120" w:type="dxa"/>
            <w:vAlign w:val="bottom"/>
            <w:gridSpan w:val="4"/>
          </w:tcPr>
          <w:p>
            <w:pPr>
              <w:jc w:val="right"/>
              <w:ind w:right="20"/>
              <w:spacing w:after="0" w:line="169" w:lineRule="exact"/>
              <w:rPr>
                <w:sz w:val="20"/>
                <w:szCs w:val="20"/>
                <w:color w:val="auto"/>
              </w:rPr>
            </w:pPr>
            <w:r>
              <w:rPr>
                <w:rFonts w:ascii="Times New Roman" w:cs="Times New Roman" w:eastAsia="Times New Roman" w:hAnsi="Times New Roman"/>
                <w:sz w:val="19"/>
                <w:szCs w:val="19"/>
                <w:color w:val="0000FF"/>
                <w:w w:val="83"/>
              </w:rPr>
              <w:t>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3.07.</w:t>
            </w:r>
          </w:p>
        </w:tc>
        <w:tc>
          <w:tcPr>
            <w:tcW w:w="2020" w:type="dxa"/>
            <w:vAlign w:val="bottom"/>
            <w:gridSpan w:val="33"/>
          </w:tcPr>
          <w:p>
            <w:pPr>
              <w:ind w:left="100"/>
              <w:spacing w:after="0" w:line="176" w:lineRule="exact"/>
              <w:rPr>
                <w:sz w:val="20"/>
                <w:szCs w:val="20"/>
                <w:color w:val="auto"/>
              </w:rPr>
            </w:pPr>
            <w:r>
              <w:rPr>
                <w:rFonts w:ascii="Times New Roman" w:cs="Times New Roman" w:eastAsia="Times New Roman" w:hAnsi="Times New Roman"/>
                <w:sz w:val="20"/>
                <w:szCs w:val="20"/>
                <w:color w:val="auto"/>
              </w:rPr>
              <w:t>Compliance with Laws</w:t>
            </w:r>
          </w:p>
        </w:tc>
        <w:tc>
          <w:tcPr>
            <w:tcW w:w="320" w:type="dxa"/>
            <w:vAlign w:val="bottom"/>
            <w:gridSpan w:val="6"/>
          </w:tcPr>
          <w:p>
            <w:pPr>
              <w:ind w:left="120"/>
              <w:spacing w:after="0" w:line="176" w:lineRule="exact"/>
              <w:rPr>
                <w:sz w:val="20"/>
                <w:szCs w:val="20"/>
                <w:color w:val="auto"/>
              </w:rPr>
            </w:pPr>
            <w:r>
              <w:rPr>
                <w:rFonts w:ascii="Times New Roman" w:cs="Times New Roman" w:eastAsia="Times New Roman" w:hAnsi="Times New Roman"/>
                <w:sz w:val="20"/>
                <w:szCs w:val="20"/>
                <w:color w:val="auto"/>
                <w:w w:val="89"/>
              </w:rPr>
              <w:t>12</w:t>
            </w:r>
          </w:p>
        </w:tc>
        <w:tc>
          <w:tcPr>
            <w:tcW w:w="1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20"/>
                <w:szCs w:val="20"/>
                <w:color w:val="0000FF"/>
                <w:w w:val="99"/>
              </w:rPr>
              <w:t>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3.08.</w:t>
            </w:r>
          </w:p>
        </w:tc>
        <w:tc>
          <w:tcPr>
            <w:tcW w:w="2460" w:type="dxa"/>
            <w:vAlign w:val="bottom"/>
            <w:gridSpan w:val="43"/>
          </w:tcPr>
          <w:p>
            <w:pPr>
              <w:ind w:left="100"/>
              <w:spacing w:after="0" w:line="183" w:lineRule="exact"/>
              <w:rPr>
                <w:sz w:val="20"/>
                <w:szCs w:val="20"/>
                <w:color w:val="auto"/>
              </w:rPr>
            </w:pPr>
            <w:r>
              <w:rPr>
                <w:rFonts w:ascii="Times New Roman" w:cs="Times New Roman" w:eastAsia="Times New Roman" w:hAnsi="Times New Roman"/>
                <w:sz w:val="20"/>
                <w:szCs w:val="20"/>
                <w:color w:val="auto"/>
              </w:rPr>
              <w:t>Investment Company Status</w:t>
            </w:r>
          </w:p>
        </w:tc>
        <w:tc>
          <w:tcPr>
            <w:tcW w:w="80" w:type="dxa"/>
            <w:vAlign w:val="bottom"/>
            <w:tcBorders>
              <w:top w:val="single" w:sz="8" w:color="0000FF"/>
            </w:tcBorders>
          </w:tcPr>
          <w:p>
            <w:pPr>
              <w:spacing w:after="0"/>
              <w:rPr>
                <w:sz w:val="15"/>
                <w:szCs w:val="15"/>
                <w:color w:val="auto"/>
              </w:rPr>
            </w:pPr>
          </w:p>
        </w:tc>
        <w:tc>
          <w:tcPr>
            <w:tcW w:w="2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auto"/>
                <w:w w:val="89"/>
              </w:rPr>
              <w:t>12</w:t>
            </w:r>
          </w:p>
        </w:tc>
        <w:tc>
          <w:tcPr>
            <w:tcW w:w="1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16"/>
                <w:szCs w:val="16"/>
                <w:color w:val="0000FF"/>
                <w:w w:val="74"/>
              </w:rPr>
              <w:t>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3.09.</w:t>
            </w:r>
          </w:p>
        </w:tc>
        <w:tc>
          <w:tcPr>
            <w:tcW w:w="720" w:type="dxa"/>
            <w:vAlign w:val="bottom"/>
          </w:tcPr>
          <w:p>
            <w:pPr>
              <w:ind w:left="100"/>
              <w:spacing w:after="0" w:line="169" w:lineRule="exact"/>
              <w:rPr>
                <w:sz w:val="20"/>
                <w:szCs w:val="20"/>
                <w:color w:val="auto"/>
              </w:rPr>
            </w:pPr>
            <w:r>
              <w:rPr>
                <w:rFonts w:ascii="Times New Roman" w:cs="Times New Roman" w:eastAsia="Times New Roman" w:hAnsi="Times New Roman"/>
                <w:sz w:val="19"/>
                <w:szCs w:val="19"/>
                <w:color w:val="auto"/>
              </w:rPr>
              <w:t>Taxes</w:t>
            </w:r>
          </w:p>
        </w:tc>
        <w:tc>
          <w:tcPr>
            <w:tcW w:w="24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auto"/>
              </w:rPr>
              <w:t>12</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3</w:t>
            </w:r>
          </w:p>
        </w:tc>
        <w:tc>
          <w:tcPr>
            <w:tcW w:w="1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9"/>
                <w:szCs w:val="19"/>
                <w:color w:val="0000FF"/>
                <w:w w:val="83"/>
              </w:rPr>
              <w:t>6</w:t>
            </w:r>
          </w:p>
        </w:tc>
        <w:tc>
          <w:tcPr>
            <w:tcW w:w="5120" w:type="dxa"/>
            <w:vAlign w:val="bottom"/>
            <w:gridSpan w:val="8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3.10.</w:t>
            </w:r>
          </w:p>
        </w:tc>
        <w:tc>
          <w:tcPr>
            <w:tcW w:w="720" w:type="dxa"/>
            <w:vAlign w:val="bottom"/>
          </w:tcPr>
          <w:p>
            <w:pPr>
              <w:ind w:left="100"/>
              <w:spacing w:after="0" w:line="176" w:lineRule="exact"/>
              <w:rPr>
                <w:sz w:val="20"/>
                <w:szCs w:val="20"/>
                <w:color w:val="auto"/>
              </w:rPr>
            </w:pPr>
            <w:r>
              <w:rPr>
                <w:rFonts w:ascii="Times New Roman" w:cs="Times New Roman" w:eastAsia="Times New Roman" w:hAnsi="Times New Roman"/>
                <w:sz w:val="20"/>
                <w:szCs w:val="20"/>
                <w:color w:val="auto"/>
              </w:rPr>
              <w:t>ERISA</w:t>
            </w:r>
          </w:p>
        </w:tc>
        <w:tc>
          <w:tcPr>
            <w:tcW w:w="3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line="176" w:lineRule="exact"/>
              <w:rPr>
                <w:sz w:val="20"/>
                <w:szCs w:val="20"/>
                <w:color w:val="auto"/>
              </w:rPr>
            </w:pPr>
            <w:r>
              <w:rPr>
                <w:rFonts w:ascii="Times New Roman" w:cs="Times New Roman" w:eastAsia="Times New Roman" w:hAnsi="Times New Roman"/>
                <w:sz w:val="20"/>
                <w:szCs w:val="20"/>
                <w:color w:val="FF0000"/>
                <w:strike w:val="1"/>
                <w:w w:val="79"/>
              </w:rPr>
              <w:t>3</w:t>
            </w:r>
          </w:p>
        </w:tc>
        <w:tc>
          <w:tcPr>
            <w:tcW w:w="5120" w:type="dxa"/>
            <w:vAlign w:val="bottom"/>
            <w:gridSpan w:val="81"/>
          </w:tcPr>
          <w:p>
            <w:pPr>
              <w:jc w:val="right"/>
              <w:ind w:right="5020"/>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3.11.</w:t>
            </w:r>
          </w:p>
        </w:tc>
        <w:tc>
          <w:tcPr>
            <w:tcW w:w="1020" w:type="dxa"/>
            <w:vAlign w:val="bottom"/>
            <w:gridSpan w:val="3"/>
            <w:vMerge w:val="restart"/>
          </w:tcPr>
          <w:p>
            <w:pPr>
              <w:ind w:left="100"/>
              <w:spacing w:after="0" w:line="203" w:lineRule="exact"/>
              <w:rPr>
                <w:sz w:val="20"/>
                <w:szCs w:val="20"/>
                <w:color w:val="auto"/>
              </w:rPr>
            </w:pPr>
            <w:r>
              <w:rPr>
                <w:rFonts w:ascii="Times New Roman" w:cs="Times New Roman" w:eastAsia="Times New Roman" w:hAnsi="Times New Roman"/>
                <w:sz w:val="20"/>
                <w:szCs w:val="20"/>
                <w:color w:val="auto"/>
              </w:rPr>
              <w:t>Disclosure</w:t>
            </w:r>
          </w:p>
        </w:tc>
        <w:tc>
          <w:tcPr>
            <w:tcW w:w="220" w:type="dxa"/>
            <w:vAlign w:val="bottom"/>
            <w:tcBorders>
              <w:right w:val="single" w:sz="8" w:color="0000FF"/>
            </w:tcBorders>
            <w:gridSpan w:val="3"/>
          </w:tcPr>
          <w:p>
            <w:pPr>
              <w:spacing w:after="0" w:line="20" w:lineRule="exact"/>
              <w:rPr>
                <w:sz w:val="1"/>
                <w:szCs w:val="1"/>
                <w:color w:val="auto"/>
              </w:rPr>
            </w:pPr>
          </w:p>
        </w:tc>
        <w:tc>
          <w:tcPr>
            <w:tcW w:w="5040" w:type="dxa"/>
            <w:vAlign w:val="bottom"/>
            <w:tcBorders>
              <w:left w:val="single" w:sz="8" w:color="0000FF"/>
            </w:tcBorders>
            <w:gridSpan w:val="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320" w:type="dxa"/>
            <w:vAlign w:val="bottom"/>
            <w:gridSpan w:val="5"/>
          </w:tcPr>
          <w:p>
            <w:pPr>
              <w:jc w:val="right"/>
              <w:ind w:right="221"/>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gridSpan w:val="5"/>
          </w:tcPr>
          <w:p>
            <w:pPr>
              <w:spacing w:after="0" w:line="183" w:lineRule="exact"/>
              <w:rPr>
                <w:sz w:val="20"/>
                <w:szCs w:val="20"/>
                <w:color w:val="auto"/>
              </w:rPr>
            </w:pPr>
            <w:r>
              <w:rPr>
                <w:rFonts w:ascii="Times New Roman" w:cs="Times New Roman" w:eastAsia="Times New Roman" w:hAnsi="Times New Roman"/>
                <w:sz w:val="20"/>
                <w:szCs w:val="20"/>
                <w:color w:val="FF0000"/>
                <w:strike w:val="1"/>
                <w:w w:val="99"/>
              </w:rPr>
              <w:t>3</w:t>
            </w:r>
          </w:p>
        </w:tc>
        <w:tc>
          <w:tcPr>
            <w:tcW w:w="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16"/>
                <w:szCs w:val="16"/>
                <w:color w:val="0000FF"/>
                <w:w w:val="74"/>
              </w:rPr>
              <w:t>7</w:t>
            </w:r>
          </w:p>
        </w:tc>
        <w:tc>
          <w:tcPr>
            <w:tcW w:w="4740" w:type="dxa"/>
            <w:vAlign w:val="bottom"/>
            <w:gridSpan w:val="6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3.12.</w:t>
            </w:r>
          </w:p>
        </w:tc>
        <w:tc>
          <w:tcPr>
            <w:tcW w:w="102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9"/>
                <w:szCs w:val="19"/>
                <w:color w:val="auto"/>
              </w:rPr>
              <w:t>Solvency</w:t>
            </w:r>
          </w:p>
        </w:tc>
        <w:tc>
          <w:tcPr>
            <w:tcW w:w="2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9"/>
                <w:szCs w:val="19"/>
                <w:color w:val="auto"/>
                <w:w w:val="83"/>
              </w:rPr>
              <w:t>12</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4</w:t>
            </w:r>
          </w:p>
        </w:tc>
        <w:tc>
          <w:tcPr>
            <w:tcW w:w="1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9"/>
                <w:szCs w:val="19"/>
                <w:color w:val="0000FF"/>
                <w:w w:val="83"/>
              </w:rPr>
              <w:t>7</w:t>
            </w:r>
          </w:p>
        </w:tc>
        <w:tc>
          <w:tcPr>
            <w:tcW w:w="4840" w:type="dxa"/>
            <w:vAlign w:val="bottom"/>
            <w:gridSpan w:val="7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3.13.</w:t>
            </w:r>
          </w:p>
        </w:tc>
        <w:tc>
          <w:tcPr>
            <w:tcW w:w="1480" w:type="dxa"/>
            <w:vAlign w:val="bottom"/>
            <w:gridSpan w:val="14"/>
          </w:tcPr>
          <w:p>
            <w:pPr>
              <w:ind w:left="100"/>
              <w:spacing w:after="0" w:line="176" w:lineRule="exact"/>
              <w:rPr>
                <w:sz w:val="20"/>
                <w:szCs w:val="20"/>
                <w:color w:val="auto"/>
              </w:rPr>
            </w:pPr>
            <w:r>
              <w:rPr>
                <w:rFonts w:ascii="Times New Roman" w:cs="Times New Roman" w:eastAsia="Times New Roman" w:hAnsi="Times New Roman"/>
                <w:sz w:val="20"/>
                <w:szCs w:val="20"/>
                <w:color w:val="auto"/>
              </w:rPr>
              <w:t>Subsidiaries  12</w:t>
            </w:r>
          </w:p>
        </w:tc>
        <w:tc>
          <w:tcPr>
            <w:tcW w:w="80" w:type="dxa"/>
            <w:vAlign w:val="bottom"/>
            <w:gridSpan w:val="4"/>
          </w:tcPr>
          <w:p>
            <w:pPr>
              <w:jc w:val="right"/>
              <w:spacing w:after="0" w:line="175" w:lineRule="exact"/>
              <w:rPr>
                <w:sz w:val="20"/>
                <w:szCs w:val="20"/>
                <w:color w:val="auto"/>
              </w:rPr>
            </w:pPr>
            <w:r>
              <w:rPr>
                <w:rFonts w:ascii="Times New Roman" w:cs="Times New Roman" w:eastAsia="Times New Roman" w:hAnsi="Times New Roman"/>
                <w:sz w:val="16"/>
                <w:szCs w:val="16"/>
                <w:color w:val="FF0000"/>
                <w:strike w:val="1"/>
                <w:w w:val="74"/>
              </w:rPr>
              <w:t>4</w:t>
            </w:r>
          </w:p>
        </w:tc>
        <w:tc>
          <w:tcPr>
            <w:tcW w:w="100" w:type="dxa"/>
            <w:vAlign w:val="bottom"/>
            <w:tcBorders>
              <w:bottom w:val="single" w:sz="8" w:color="0000FF"/>
            </w:tcBorders>
            <w:gridSpan w:val="4"/>
          </w:tcPr>
          <w:p>
            <w:pPr>
              <w:jc w:val="center"/>
              <w:spacing w:after="0" w:line="176" w:lineRule="exact"/>
              <w:rPr>
                <w:sz w:val="20"/>
                <w:szCs w:val="20"/>
                <w:color w:val="auto"/>
              </w:rPr>
            </w:pPr>
            <w:r>
              <w:rPr>
                <w:rFonts w:ascii="Times New Roman" w:cs="Times New Roman" w:eastAsia="Times New Roman" w:hAnsi="Times New Roman"/>
                <w:sz w:val="20"/>
                <w:szCs w:val="20"/>
                <w:color w:val="0000FF"/>
                <w:w w:val="99"/>
              </w:rPr>
              <w:t>7</w:t>
            </w:r>
          </w:p>
        </w:tc>
        <w:tc>
          <w:tcPr>
            <w:tcW w:w="4620" w:type="dxa"/>
            <w:vAlign w:val="bottom"/>
            <w:gridSpan w:val="6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3.14.</w:t>
            </w:r>
          </w:p>
        </w:tc>
        <w:tc>
          <w:tcPr>
            <w:tcW w:w="1660" w:type="dxa"/>
            <w:vAlign w:val="bottom"/>
            <w:gridSpan w:val="22"/>
          </w:tcPr>
          <w:p>
            <w:pPr>
              <w:ind w:left="100"/>
              <w:spacing w:after="0" w:line="183" w:lineRule="exact"/>
              <w:rPr>
                <w:sz w:val="20"/>
                <w:szCs w:val="20"/>
                <w:color w:val="auto"/>
              </w:rPr>
            </w:pPr>
            <w:r>
              <w:rPr>
                <w:rFonts w:ascii="Times New Roman" w:cs="Times New Roman" w:eastAsia="Times New Roman" w:hAnsi="Times New Roman"/>
                <w:sz w:val="20"/>
                <w:szCs w:val="20"/>
                <w:color w:val="auto"/>
              </w:rPr>
              <w:t>Security Interest in</w:t>
            </w:r>
          </w:p>
        </w:tc>
        <w:tc>
          <w:tcPr>
            <w:tcW w:w="800" w:type="dxa"/>
            <w:vAlign w:val="bottom"/>
            <w:gridSpan w:val="21"/>
          </w:tcPr>
          <w:p>
            <w:pPr>
              <w:spacing w:after="0" w:line="183" w:lineRule="exact"/>
              <w:rPr>
                <w:sz w:val="20"/>
                <w:szCs w:val="20"/>
                <w:color w:val="auto"/>
              </w:rPr>
            </w:pPr>
            <w:r>
              <w:rPr>
                <w:rFonts w:ascii="Times New Roman" w:cs="Times New Roman" w:eastAsia="Times New Roman" w:hAnsi="Times New Roman"/>
                <w:sz w:val="20"/>
                <w:szCs w:val="20"/>
                <w:color w:val="auto"/>
                <w:w w:val="98"/>
              </w:rPr>
              <w:t>Collateral</w:t>
            </w:r>
          </w:p>
        </w:tc>
        <w:tc>
          <w:tcPr>
            <w:tcW w:w="380" w:type="dxa"/>
            <w:vAlign w:val="bottom"/>
            <w:gridSpan w:val="9"/>
          </w:tcPr>
          <w:p>
            <w:pPr>
              <w:jc w:val="right"/>
              <w:spacing w:after="0" w:line="183" w:lineRule="exact"/>
              <w:rPr>
                <w:sz w:val="20"/>
                <w:szCs w:val="20"/>
                <w:color w:val="auto"/>
              </w:rPr>
            </w:pPr>
            <w:r>
              <w:rPr>
                <w:rFonts w:ascii="Times New Roman" w:cs="Times New Roman" w:eastAsia="Times New Roman" w:hAnsi="Times New Roman"/>
                <w:sz w:val="20"/>
                <w:szCs w:val="20"/>
                <w:color w:val="auto"/>
              </w:rPr>
              <w:t>12</w:t>
            </w:r>
          </w:p>
        </w:tc>
        <w:tc>
          <w:tcPr>
            <w:tcW w:w="1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60" w:type="dxa"/>
            <w:vAlign w:val="bottom"/>
            <w:gridSpan w:val="4"/>
          </w:tcPr>
          <w:p>
            <w:pPr>
              <w:jc w:val="right"/>
              <w:ind w:right="60"/>
              <w:spacing w:after="0" w:line="183" w:lineRule="exact"/>
              <w:rPr>
                <w:sz w:val="20"/>
                <w:szCs w:val="20"/>
                <w:color w:val="auto"/>
              </w:rPr>
            </w:pPr>
            <w:r>
              <w:rPr>
                <w:rFonts w:ascii="Times New Roman" w:cs="Times New Roman" w:eastAsia="Times New Roman" w:hAnsi="Times New Roman"/>
                <w:sz w:val="20"/>
                <w:szCs w:val="20"/>
                <w:color w:val="0000FF"/>
                <w:w w:val="79"/>
              </w:rPr>
              <w:t>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3.15.</w:t>
            </w:r>
          </w:p>
        </w:tc>
        <w:tc>
          <w:tcPr>
            <w:tcW w:w="1340" w:type="dxa"/>
            <w:vAlign w:val="bottom"/>
            <w:gridSpan w:val="8"/>
          </w:tcPr>
          <w:p>
            <w:pPr>
              <w:ind w:left="100"/>
              <w:spacing w:after="0" w:line="169" w:lineRule="exact"/>
              <w:rPr>
                <w:sz w:val="20"/>
                <w:szCs w:val="20"/>
                <w:color w:val="auto"/>
              </w:rPr>
            </w:pPr>
            <w:r>
              <w:rPr>
                <w:rFonts w:ascii="Times New Roman" w:cs="Times New Roman" w:eastAsia="Times New Roman" w:hAnsi="Times New Roman"/>
                <w:sz w:val="19"/>
                <w:szCs w:val="19"/>
                <w:color w:val="auto"/>
              </w:rPr>
              <w:t>Labor Disputes</w:t>
            </w:r>
          </w:p>
        </w:tc>
        <w:tc>
          <w:tcPr>
            <w:tcW w:w="380" w:type="dxa"/>
            <w:vAlign w:val="bottom"/>
            <w:gridSpan w:val="16"/>
          </w:tcPr>
          <w:p>
            <w:pPr>
              <w:jc w:val="center"/>
              <w:ind w:left="84"/>
              <w:spacing w:after="0" w:line="169" w:lineRule="exact"/>
              <w:rPr>
                <w:sz w:val="20"/>
                <w:szCs w:val="20"/>
                <w:color w:val="auto"/>
              </w:rPr>
            </w:pPr>
            <w:r>
              <w:rPr>
                <w:rFonts w:ascii="Times New Roman" w:cs="Times New Roman" w:eastAsia="Times New Roman" w:hAnsi="Times New Roman"/>
                <w:sz w:val="19"/>
                <w:szCs w:val="19"/>
                <w:color w:val="auto"/>
              </w:rPr>
              <w:t>12</w:t>
            </w:r>
          </w:p>
        </w:tc>
        <w:tc>
          <w:tcPr>
            <w:tcW w:w="10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4</w:t>
            </w:r>
          </w:p>
        </w:tc>
        <w:tc>
          <w:tcPr>
            <w:tcW w:w="10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8</w:t>
            </w:r>
          </w:p>
        </w:tc>
        <w:tc>
          <w:tcPr>
            <w:tcW w:w="1020" w:type="dxa"/>
            <w:vAlign w:val="bottom"/>
            <w:gridSpan w:val="26"/>
          </w:tcPr>
          <w:p>
            <w:pPr>
              <w:spacing w:after="0"/>
              <w:rPr>
                <w:sz w:val="15"/>
                <w:szCs w:val="15"/>
                <w:color w:val="auto"/>
              </w:rPr>
            </w:pPr>
          </w:p>
        </w:tc>
        <w:tc>
          <w:tcPr>
            <w:tcW w:w="100" w:type="dxa"/>
            <w:vAlign w:val="bottom"/>
            <w:tcBorders>
              <w:top w:val="single" w:sz="8" w:color="0000FF"/>
            </w:tcBorders>
            <w:gridSpan w:val="3"/>
          </w:tcPr>
          <w:p>
            <w:pPr>
              <w:spacing w:after="0"/>
              <w:rPr>
                <w:sz w:val="15"/>
                <w:szCs w:val="15"/>
                <w:color w:val="auto"/>
              </w:rPr>
            </w:pPr>
          </w:p>
        </w:tc>
        <w:tc>
          <w:tcPr>
            <w:tcW w:w="32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3.16.</w:t>
            </w:r>
          </w:p>
        </w:tc>
        <w:tc>
          <w:tcPr>
            <w:tcW w:w="2460" w:type="dxa"/>
            <w:vAlign w:val="bottom"/>
            <w:gridSpan w:val="43"/>
          </w:tcPr>
          <w:p>
            <w:pPr>
              <w:ind w:left="100"/>
              <w:spacing w:after="0" w:line="176" w:lineRule="exact"/>
              <w:rPr>
                <w:sz w:val="20"/>
                <w:szCs w:val="20"/>
                <w:color w:val="auto"/>
              </w:rPr>
            </w:pPr>
            <w:r>
              <w:rPr>
                <w:rFonts w:ascii="Times New Roman" w:cs="Times New Roman" w:eastAsia="Times New Roman" w:hAnsi="Times New Roman"/>
                <w:sz w:val="20"/>
                <w:szCs w:val="20"/>
                <w:color w:val="auto"/>
              </w:rPr>
              <w:t>Federal Reserve Regulations</w:t>
            </w:r>
          </w:p>
        </w:tc>
        <w:tc>
          <w:tcPr>
            <w:tcW w:w="32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auto"/>
              </w:rPr>
              <w:t>12</w:t>
            </w:r>
          </w:p>
        </w:tc>
        <w:tc>
          <w:tcPr>
            <w:tcW w:w="100" w:type="dxa"/>
            <w:vAlign w:val="bottom"/>
            <w:gridSpan w:val="4"/>
          </w:tcPr>
          <w:p>
            <w:pPr>
              <w:spacing w:after="0" w:line="176"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4"/>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3.17.</w:t>
            </w:r>
          </w:p>
        </w:tc>
        <w:tc>
          <w:tcPr>
            <w:tcW w:w="2980" w:type="dxa"/>
            <w:vAlign w:val="bottom"/>
            <w:gridSpan w:val="57"/>
          </w:tcPr>
          <w:p>
            <w:pPr>
              <w:ind w:left="100"/>
              <w:spacing w:after="0" w:line="183" w:lineRule="exact"/>
              <w:rPr>
                <w:sz w:val="20"/>
                <w:szCs w:val="20"/>
                <w:color w:val="auto"/>
              </w:rPr>
            </w:pPr>
            <w:r>
              <w:rPr>
                <w:rFonts w:ascii="Times New Roman" w:cs="Times New Roman" w:eastAsia="Times New Roman" w:hAnsi="Times New Roman"/>
                <w:sz w:val="20"/>
                <w:szCs w:val="20"/>
                <w:color w:val="auto"/>
                <w:w w:val="93"/>
              </w:rPr>
              <w:t>Sanctions; PATRIOT ACT and FCPA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auto"/>
                <w:w w:val="89"/>
              </w:rPr>
              <w:t>12</w:t>
            </w:r>
          </w:p>
        </w:tc>
        <w:tc>
          <w:tcPr>
            <w:tcW w:w="10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12"/>
            <w:vMerge w:val="restart"/>
          </w:tcPr>
          <w:p>
            <w:pPr>
              <w:jc w:val="center"/>
              <w:ind w:right="1140"/>
              <w:spacing w:after="0"/>
              <w:rPr>
                <w:sz w:val="20"/>
                <w:szCs w:val="20"/>
                <w:color w:val="auto"/>
              </w:rPr>
            </w:pPr>
            <w:r>
              <w:rPr>
                <w:rFonts w:ascii="Times New Roman" w:cs="Times New Roman" w:eastAsia="Times New Roman" w:hAnsi="Times New Roman"/>
                <w:sz w:val="20"/>
                <w:szCs w:val="20"/>
                <w:color w:val="auto"/>
                <w:w w:val="96"/>
              </w:rPr>
              <w:t>ARTICLE 4</w:t>
            </w:r>
          </w:p>
        </w:tc>
        <w:tc>
          <w:tcPr>
            <w:tcW w:w="0" w:type="dxa"/>
            <w:vAlign w:val="bottom"/>
          </w:tcPr>
          <w:p>
            <w:pPr>
              <w:spacing w:after="0"/>
              <w:rPr>
                <w:sz w:val="1"/>
                <w:szCs w:val="1"/>
                <w:color w:val="auto"/>
              </w:rPr>
            </w:pPr>
          </w:p>
        </w:tc>
      </w:tr>
      <w:tr>
        <w:trPr>
          <w:trHeight w:val="432"/>
        </w:trPr>
        <w:tc>
          <w:tcPr>
            <w:tcW w:w="4960" w:type="dxa"/>
            <w:vAlign w:val="bottom"/>
            <w:gridSpan w:val="75"/>
          </w:tcPr>
          <w:p>
            <w:pPr>
              <w:spacing w:after="0"/>
              <w:rPr>
                <w:sz w:val="24"/>
                <w:szCs w:val="24"/>
                <w:color w:val="auto"/>
              </w:rPr>
            </w:pPr>
          </w:p>
        </w:tc>
        <w:tc>
          <w:tcPr>
            <w:tcW w:w="2460" w:type="dxa"/>
            <w:vAlign w:val="bottom"/>
            <w:gridSpan w:val="1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CONDITIONS</w:t>
            </w: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134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Closing Date</w:t>
            </w:r>
          </w:p>
        </w:tc>
        <w:tc>
          <w:tcPr>
            <w:tcW w:w="20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89"/>
              </w:rPr>
              <w:t>12</w:t>
            </w:r>
          </w:p>
        </w:tc>
        <w:tc>
          <w:tcPr>
            <w:tcW w:w="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79"/>
              </w:rPr>
              <w:t>9</w:t>
            </w:r>
          </w:p>
        </w:tc>
        <w:tc>
          <w:tcPr>
            <w:tcW w:w="4540" w:type="dxa"/>
            <w:vAlign w:val="bottom"/>
            <w:gridSpan w:val="61"/>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4.02.</w:t>
            </w:r>
          </w:p>
        </w:tc>
        <w:tc>
          <w:tcPr>
            <w:tcW w:w="174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20"/>
                <w:szCs w:val="20"/>
                <w:color w:val="auto"/>
                <w:w w:val="89"/>
              </w:rPr>
              <w:t>Each Credit Extension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7"/>
          </w:tcPr>
          <w:p>
            <w:pPr>
              <w:ind w:left="60"/>
              <w:spacing w:after="0" w:line="176" w:lineRule="exact"/>
              <w:rPr>
                <w:sz w:val="20"/>
                <w:szCs w:val="20"/>
                <w:color w:val="auto"/>
              </w:rPr>
            </w:pPr>
            <w:r>
              <w:rPr>
                <w:rFonts w:ascii="Times New Roman" w:cs="Times New Roman" w:eastAsia="Times New Roman" w:hAnsi="Times New Roman"/>
                <w:sz w:val="20"/>
                <w:szCs w:val="20"/>
                <w:color w:val="FF0000"/>
                <w:strike w:val="1"/>
                <w:w w:val="93"/>
              </w:rPr>
              <w:t>128</w:t>
            </w:r>
          </w:p>
        </w:tc>
        <w:tc>
          <w:tcPr>
            <w:tcW w:w="300" w:type="dxa"/>
            <w:vAlign w:val="bottom"/>
            <w:tcBorders>
              <w:bottom w:val="single" w:sz="8" w:color="0000FF"/>
            </w:tcBorders>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0000FF"/>
                <w:w w:val="93"/>
              </w:rPr>
              <w:t>132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12"/>
            <w:vMerge w:val="restart"/>
          </w:tcPr>
          <w:p>
            <w:pPr>
              <w:jc w:val="center"/>
              <w:ind w:right="1140"/>
              <w:spacing w:after="0"/>
              <w:rPr>
                <w:sz w:val="20"/>
                <w:szCs w:val="20"/>
                <w:color w:val="auto"/>
              </w:rPr>
            </w:pPr>
            <w:r>
              <w:rPr>
                <w:rFonts w:ascii="Times New Roman" w:cs="Times New Roman" w:eastAsia="Times New Roman" w:hAnsi="Times New Roman"/>
                <w:sz w:val="20"/>
                <w:szCs w:val="20"/>
                <w:color w:val="auto"/>
                <w:w w:val="96"/>
              </w:rPr>
              <w:t>ARTICLE 5</w:t>
            </w:r>
          </w:p>
        </w:tc>
        <w:tc>
          <w:tcPr>
            <w:tcW w:w="0" w:type="dxa"/>
            <w:vAlign w:val="bottom"/>
          </w:tcPr>
          <w:p>
            <w:pPr>
              <w:spacing w:after="0"/>
              <w:rPr>
                <w:sz w:val="1"/>
                <w:szCs w:val="1"/>
                <w:color w:val="auto"/>
              </w:rPr>
            </w:pPr>
          </w:p>
        </w:tc>
      </w:tr>
      <w:tr>
        <w:trPr>
          <w:trHeight w:val="445"/>
        </w:trPr>
        <w:tc>
          <w:tcPr>
            <w:tcW w:w="4960" w:type="dxa"/>
            <w:vAlign w:val="bottom"/>
            <w:gridSpan w:val="75"/>
          </w:tcPr>
          <w:p>
            <w:pPr>
              <w:spacing w:after="0"/>
              <w:rPr>
                <w:sz w:val="24"/>
                <w:szCs w:val="24"/>
                <w:color w:val="auto"/>
              </w:rPr>
            </w:pPr>
          </w:p>
        </w:tc>
        <w:tc>
          <w:tcPr>
            <w:tcW w:w="2460" w:type="dxa"/>
            <w:vAlign w:val="bottom"/>
            <w:gridSpan w:val="1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AFFIRMATIVE COVENANTS</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3260" w:type="dxa"/>
            <w:vAlign w:val="bottom"/>
            <w:gridSpan w:val="61"/>
          </w:tcPr>
          <w:p>
            <w:pPr>
              <w:ind w:left="100"/>
              <w:spacing w:after="0"/>
              <w:rPr>
                <w:sz w:val="20"/>
                <w:szCs w:val="20"/>
                <w:color w:val="auto"/>
              </w:rPr>
            </w:pPr>
            <w:r>
              <w:rPr>
                <w:rFonts w:ascii="Times New Roman" w:cs="Times New Roman" w:eastAsia="Times New Roman" w:hAnsi="Times New Roman"/>
                <w:sz w:val="20"/>
                <w:szCs w:val="20"/>
                <w:color w:val="auto"/>
                <w:w w:val="98"/>
              </w:rPr>
              <w:t>Financial Statements and Other Reports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FF0000"/>
                <w:strike w:val="1"/>
                <w:w w:val="93"/>
              </w:rPr>
              <w:t>129</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0000FF"/>
                <w:w w:val="93"/>
              </w:rPr>
              <w:t>133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5.02.</w:t>
            </w:r>
          </w:p>
        </w:tc>
        <w:tc>
          <w:tcPr>
            <w:tcW w:w="1020" w:type="dxa"/>
            <w:vAlign w:val="bottom"/>
            <w:gridSpan w:val="3"/>
          </w:tcPr>
          <w:p>
            <w:pPr>
              <w:ind w:left="100"/>
              <w:spacing w:after="0" w:line="183" w:lineRule="exact"/>
              <w:rPr>
                <w:sz w:val="20"/>
                <w:szCs w:val="20"/>
                <w:color w:val="auto"/>
              </w:rPr>
            </w:pPr>
            <w:r>
              <w:rPr>
                <w:rFonts w:ascii="Times New Roman" w:cs="Times New Roman" w:eastAsia="Times New Roman" w:hAnsi="Times New Roman"/>
                <w:sz w:val="20"/>
                <w:szCs w:val="20"/>
                <w:color w:val="auto"/>
              </w:rPr>
              <w:t>Existence</w:t>
            </w:r>
          </w:p>
        </w:tc>
        <w:tc>
          <w:tcPr>
            <w:tcW w:w="2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auto"/>
              </w:rPr>
              <w:t>13</w:t>
            </w:r>
          </w:p>
        </w:tc>
        <w:tc>
          <w:tcPr>
            <w:tcW w:w="1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9"/>
              </w:rPr>
              <w:t>1</w:t>
            </w:r>
          </w:p>
        </w:tc>
        <w:tc>
          <w:tcPr>
            <w:tcW w:w="140" w:type="dxa"/>
            <w:vAlign w:val="bottom"/>
            <w:tcBorders>
              <w:bottom w:val="single" w:sz="8" w:color="0000FF"/>
            </w:tcBorders>
            <w:gridSpan w:val="6"/>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5</w:t>
            </w:r>
          </w:p>
        </w:tc>
        <w:tc>
          <w:tcPr>
            <w:tcW w:w="2260" w:type="dxa"/>
            <w:vAlign w:val="bottom"/>
            <w:gridSpan w:val="58"/>
          </w:tcPr>
          <w:p>
            <w:pPr>
              <w:spacing w:after="0"/>
              <w:rPr>
                <w:sz w:val="15"/>
                <w:szCs w:val="15"/>
                <w:color w:val="auto"/>
              </w:rPr>
            </w:pPr>
          </w:p>
        </w:tc>
        <w:tc>
          <w:tcPr>
            <w:tcW w:w="280" w:type="dxa"/>
            <w:vAlign w:val="bottom"/>
            <w:tcBorders>
              <w:top w:val="single" w:sz="8" w:color="0000FF"/>
            </w:tcBorders>
            <w:gridSpan w:val="2"/>
          </w:tcPr>
          <w:p>
            <w:pPr>
              <w:spacing w:after="0"/>
              <w:rPr>
                <w:sz w:val="15"/>
                <w:szCs w:val="15"/>
                <w:color w:val="auto"/>
              </w:rPr>
            </w:pPr>
          </w:p>
        </w:tc>
        <w:tc>
          <w:tcPr>
            <w:tcW w:w="22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5.03.</w:t>
            </w:r>
          </w:p>
        </w:tc>
        <w:tc>
          <w:tcPr>
            <w:tcW w:w="1660" w:type="dxa"/>
            <w:vAlign w:val="bottom"/>
            <w:gridSpan w:val="22"/>
          </w:tcPr>
          <w:p>
            <w:pPr>
              <w:ind w:left="100"/>
              <w:spacing w:after="0" w:line="169" w:lineRule="exact"/>
              <w:rPr>
                <w:sz w:val="20"/>
                <w:szCs w:val="20"/>
                <w:color w:val="auto"/>
              </w:rPr>
            </w:pPr>
            <w:r>
              <w:rPr>
                <w:rFonts w:ascii="Times New Roman" w:cs="Times New Roman" w:eastAsia="Times New Roman" w:hAnsi="Times New Roman"/>
                <w:sz w:val="19"/>
                <w:szCs w:val="19"/>
                <w:color w:val="auto"/>
                <w:w w:val="99"/>
              </w:rPr>
              <w:t>Payment of Taxes</w:t>
            </w:r>
          </w:p>
        </w:tc>
        <w:tc>
          <w:tcPr>
            <w:tcW w:w="260" w:type="dxa"/>
            <w:vAlign w:val="bottom"/>
            <w:gridSpan w:val="8"/>
          </w:tcPr>
          <w:p>
            <w:pPr>
              <w:jc w:val="right"/>
              <w:spacing w:after="0" w:line="169" w:lineRule="exact"/>
              <w:rPr>
                <w:sz w:val="20"/>
                <w:szCs w:val="20"/>
                <w:color w:val="auto"/>
              </w:rPr>
            </w:pPr>
            <w:r>
              <w:rPr>
                <w:rFonts w:ascii="Times New Roman" w:cs="Times New Roman" w:eastAsia="Times New Roman" w:hAnsi="Times New Roman"/>
                <w:sz w:val="19"/>
                <w:szCs w:val="19"/>
                <w:color w:val="auto"/>
              </w:rPr>
              <w:t>13</w:t>
            </w:r>
          </w:p>
        </w:tc>
        <w:tc>
          <w:tcPr>
            <w:tcW w:w="1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2</w:t>
            </w:r>
          </w:p>
        </w:tc>
        <w:tc>
          <w:tcPr>
            <w:tcW w:w="10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9"/>
                <w:szCs w:val="19"/>
                <w:color w:val="0000FF"/>
                <w:w w:val="83"/>
              </w:rPr>
              <w:t>5</w:t>
            </w:r>
          </w:p>
        </w:tc>
        <w:tc>
          <w:tcPr>
            <w:tcW w:w="416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5.04.</w:t>
            </w:r>
          </w:p>
        </w:tc>
        <w:tc>
          <w:tcPr>
            <w:tcW w:w="2020" w:type="dxa"/>
            <w:vAlign w:val="bottom"/>
            <w:gridSpan w:val="33"/>
          </w:tcPr>
          <w:p>
            <w:pPr>
              <w:ind w:left="100"/>
              <w:spacing w:after="0" w:line="176" w:lineRule="exact"/>
              <w:rPr>
                <w:sz w:val="20"/>
                <w:szCs w:val="20"/>
                <w:color w:val="auto"/>
              </w:rPr>
            </w:pPr>
            <w:r>
              <w:rPr>
                <w:rFonts w:ascii="Times New Roman" w:cs="Times New Roman" w:eastAsia="Times New Roman" w:hAnsi="Times New Roman"/>
                <w:sz w:val="20"/>
                <w:szCs w:val="20"/>
                <w:color w:val="auto"/>
                <w:w w:val="89"/>
              </w:rPr>
              <w:t>Maintenance of Properties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10"/>
          </w:tcPr>
          <w:p>
            <w:pPr>
              <w:jc w:val="center"/>
              <w:ind w:left="181"/>
              <w:spacing w:after="0" w:line="176" w:lineRule="exact"/>
              <w:rPr>
                <w:sz w:val="20"/>
                <w:szCs w:val="20"/>
                <w:color w:val="auto"/>
              </w:rPr>
            </w:pPr>
            <w:r>
              <w:rPr>
                <w:rFonts w:ascii="Times New Roman" w:cs="Times New Roman" w:eastAsia="Times New Roman" w:hAnsi="Times New Roman"/>
                <w:sz w:val="20"/>
                <w:szCs w:val="20"/>
                <w:color w:val="auto"/>
                <w:w w:val="89"/>
              </w:rPr>
              <w:t>13</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5.05.</w:t>
            </w:r>
          </w:p>
        </w:tc>
        <w:tc>
          <w:tcPr>
            <w:tcW w:w="1020" w:type="dxa"/>
            <w:vAlign w:val="bottom"/>
            <w:gridSpan w:val="3"/>
          </w:tcPr>
          <w:p>
            <w:pPr>
              <w:ind w:left="100"/>
              <w:spacing w:after="0" w:line="183" w:lineRule="exact"/>
              <w:rPr>
                <w:sz w:val="20"/>
                <w:szCs w:val="20"/>
                <w:color w:val="auto"/>
              </w:rPr>
            </w:pPr>
            <w:r>
              <w:rPr>
                <w:rFonts w:ascii="Times New Roman" w:cs="Times New Roman" w:eastAsia="Times New Roman" w:hAnsi="Times New Roman"/>
                <w:sz w:val="20"/>
                <w:szCs w:val="20"/>
                <w:color w:val="auto"/>
              </w:rPr>
              <w:t>Insurance</w:t>
            </w:r>
          </w:p>
        </w:tc>
        <w:tc>
          <w:tcPr>
            <w:tcW w:w="2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auto"/>
              </w:rPr>
              <w:t>13</w:t>
            </w:r>
          </w:p>
        </w:tc>
        <w:tc>
          <w:tcPr>
            <w:tcW w:w="1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9"/>
              </w:rPr>
              <w:t>2</w:t>
            </w:r>
          </w:p>
        </w:tc>
        <w:tc>
          <w:tcPr>
            <w:tcW w:w="120" w:type="dxa"/>
            <w:vAlign w:val="bottom"/>
            <w:tcBorders>
              <w:bottom w:val="single" w:sz="8" w:color="0000FF"/>
            </w:tcBorders>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6</w:t>
            </w:r>
          </w:p>
        </w:tc>
        <w:tc>
          <w:tcPr>
            <w:tcW w:w="4800" w:type="dxa"/>
            <w:vAlign w:val="bottom"/>
            <w:gridSpan w:val="7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5.06.</w:t>
            </w:r>
          </w:p>
        </w:tc>
        <w:tc>
          <w:tcPr>
            <w:tcW w:w="102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9"/>
                <w:szCs w:val="19"/>
                <w:color w:val="auto"/>
              </w:rPr>
              <w:t>Inspections</w:t>
            </w:r>
          </w:p>
        </w:tc>
        <w:tc>
          <w:tcPr>
            <w:tcW w:w="380" w:type="dxa"/>
            <w:vAlign w:val="bottom"/>
            <w:gridSpan w:val="8"/>
          </w:tcPr>
          <w:p>
            <w:pPr>
              <w:jc w:val="right"/>
              <w:spacing w:after="0" w:line="169" w:lineRule="exact"/>
              <w:rPr>
                <w:sz w:val="20"/>
                <w:szCs w:val="20"/>
                <w:color w:val="auto"/>
              </w:rPr>
            </w:pPr>
            <w:r>
              <w:rPr>
                <w:rFonts w:ascii="Times New Roman" w:cs="Times New Roman" w:eastAsia="Times New Roman" w:hAnsi="Times New Roman"/>
                <w:sz w:val="19"/>
                <w:szCs w:val="19"/>
                <w:color w:val="auto"/>
              </w:rPr>
              <w:t>13</w:t>
            </w:r>
          </w:p>
        </w:tc>
        <w:tc>
          <w:tcPr>
            <w:tcW w:w="12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2</w:t>
            </w:r>
          </w:p>
        </w:tc>
        <w:tc>
          <w:tcPr>
            <w:tcW w:w="8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w w:val="74"/>
              </w:rPr>
              <w:t>6</w:t>
            </w:r>
          </w:p>
        </w:tc>
        <w:tc>
          <w:tcPr>
            <w:tcW w:w="4680" w:type="dxa"/>
            <w:vAlign w:val="bottom"/>
            <w:gridSpan w:val="6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5.07.</w:t>
            </w:r>
          </w:p>
        </w:tc>
        <w:tc>
          <w:tcPr>
            <w:tcW w:w="152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20"/>
                <w:szCs w:val="20"/>
                <w:color w:val="auto"/>
              </w:rPr>
              <w:t>Maintenance of</w:t>
            </w:r>
          </w:p>
        </w:tc>
        <w:tc>
          <w:tcPr>
            <w:tcW w:w="1800" w:type="dxa"/>
            <w:vAlign w:val="bottom"/>
            <w:gridSpan w:val="46"/>
          </w:tcPr>
          <w:p>
            <w:pPr>
              <w:spacing w:after="0" w:line="176" w:lineRule="exact"/>
              <w:rPr>
                <w:sz w:val="20"/>
                <w:szCs w:val="20"/>
                <w:color w:val="auto"/>
              </w:rPr>
            </w:pPr>
            <w:r>
              <w:rPr>
                <w:rFonts w:ascii="Times New Roman" w:cs="Times New Roman" w:eastAsia="Times New Roman" w:hAnsi="Times New Roman"/>
                <w:sz w:val="20"/>
                <w:szCs w:val="20"/>
                <w:color w:val="auto"/>
                <w:w w:val="95"/>
              </w:rPr>
              <w:t>Books and Records  13</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3</w:t>
            </w:r>
          </w:p>
        </w:tc>
        <w:tc>
          <w:tcPr>
            <w:tcW w:w="200" w:type="dxa"/>
            <w:vAlign w:val="bottom"/>
            <w:gridSpan w:val="6"/>
          </w:tcPr>
          <w:p>
            <w:pPr>
              <w:spacing w:after="0" w:line="176" w:lineRule="exact"/>
              <w:rPr>
                <w:sz w:val="20"/>
                <w:szCs w:val="20"/>
                <w:color w:val="auto"/>
              </w:rPr>
            </w:pPr>
            <w:r>
              <w:rPr>
                <w:rFonts w:ascii="Times New Roman" w:cs="Times New Roman" w:eastAsia="Times New Roman" w:hAnsi="Times New Roman"/>
                <w:sz w:val="20"/>
                <w:szCs w:val="20"/>
                <w:color w:val="0000FF"/>
              </w:rPr>
              <w:t>6</w:t>
            </w:r>
          </w:p>
        </w:tc>
        <w:tc>
          <w:tcPr>
            <w:tcW w:w="1000" w:type="dxa"/>
            <w:vAlign w:val="bottom"/>
            <w:gridSpan w:val="10"/>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5.08.</w:t>
            </w:r>
          </w:p>
        </w:tc>
        <w:tc>
          <w:tcPr>
            <w:tcW w:w="2020" w:type="dxa"/>
            <w:vAlign w:val="bottom"/>
            <w:gridSpan w:val="33"/>
          </w:tcPr>
          <w:p>
            <w:pPr>
              <w:ind w:left="100"/>
              <w:spacing w:after="0" w:line="183" w:lineRule="exact"/>
              <w:rPr>
                <w:sz w:val="20"/>
                <w:szCs w:val="20"/>
                <w:color w:val="auto"/>
              </w:rPr>
            </w:pPr>
            <w:r>
              <w:rPr>
                <w:rFonts w:ascii="Times New Roman" w:cs="Times New Roman" w:eastAsia="Times New Roman" w:hAnsi="Times New Roman"/>
                <w:sz w:val="20"/>
                <w:szCs w:val="20"/>
                <w:color w:val="auto"/>
              </w:rPr>
              <w:t>Compliance with Laws</w:t>
            </w:r>
          </w:p>
        </w:tc>
        <w:tc>
          <w:tcPr>
            <w:tcW w:w="320" w:type="dxa"/>
            <w:vAlign w:val="bottom"/>
            <w:gridSpan w:val="6"/>
          </w:tcPr>
          <w:p>
            <w:pPr>
              <w:ind w:left="120"/>
              <w:spacing w:after="0" w:line="183" w:lineRule="exact"/>
              <w:rPr>
                <w:sz w:val="20"/>
                <w:szCs w:val="20"/>
                <w:color w:val="auto"/>
              </w:rPr>
            </w:pPr>
            <w:r>
              <w:rPr>
                <w:rFonts w:ascii="Times New Roman" w:cs="Times New Roman" w:eastAsia="Times New Roman" w:hAnsi="Times New Roman"/>
                <w:sz w:val="20"/>
                <w:szCs w:val="20"/>
                <w:color w:val="auto"/>
                <w:w w:val="89"/>
              </w:rPr>
              <w:t>13</w:t>
            </w:r>
          </w:p>
        </w:tc>
        <w:tc>
          <w:tcPr>
            <w:tcW w:w="1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20"/>
                <w:szCs w:val="20"/>
                <w:color w:val="0000FF"/>
                <w:w w:val="99"/>
              </w:rPr>
              <w:t>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5.09.</w:t>
            </w:r>
          </w:p>
        </w:tc>
        <w:tc>
          <w:tcPr>
            <w:tcW w:w="1340" w:type="dxa"/>
            <w:vAlign w:val="bottom"/>
            <w:gridSpan w:val="8"/>
          </w:tcPr>
          <w:p>
            <w:pPr>
              <w:ind w:left="100"/>
              <w:spacing w:after="0" w:line="169" w:lineRule="exact"/>
              <w:rPr>
                <w:sz w:val="20"/>
                <w:szCs w:val="20"/>
                <w:color w:val="auto"/>
              </w:rPr>
            </w:pPr>
            <w:r>
              <w:rPr>
                <w:rFonts w:ascii="Times New Roman" w:cs="Times New Roman" w:eastAsia="Times New Roman" w:hAnsi="Times New Roman"/>
                <w:sz w:val="19"/>
                <w:szCs w:val="19"/>
                <w:color w:val="auto"/>
              </w:rPr>
              <w:t>Environmental</w:t>
            </w:r>
          </w:p>
        </w:tc>
        <w:tc>
          <w:tcPr>
            <w:tcW w:w="340" w:type="dxa"/>
            <w:vAlign w:val="bottom"/>
            <w:gridSpan w:val="15"/>
          </w:tcPr>
          <w:p>
            <w:pPr>
              <w:ind w:left="140"/>
              <w:spacing w:after="0" w:line="169" w:lineRule="exact"/>
              <w:rPr>
                <w:sz w:val="20"/>
                <w:szCs w:val="20"/>
                <w:color w:val="auto"/>
              </w:rPr>
            </w:pPr>
            <w:r>
              <w:rPr>
                <w:rFonts w:ascii="Times New Roman" w:cs="Times New Roman" w:eastAsia="Times New Roman" w:hAnsi="Times New Roman"/>
                <w:sz w:val="19"/>
                <w:szCs w:val="19"/>
                <w:color w:val="auto"/>
                <w:w w:val="94"/>
              </w:rPr>
              <w:t>13</w:t>
            </w:r>
          </w:p>
        </w:tc>
        <w:tc>
          <w:tcPr>
            <w:tcW w:w="100" w:type="dxa"/>
            <w:vAlign w:val="bottom"/>
            <w:gridSpan w:val="4"/>
          </w:tcPr>
          <w:p>
            <w:pPr>
              <w:spacing w:after="0" w:line="169" w:lineRule="exact"/>
              <w:rPr>
                <w:sz w:val="20"/>
                <w:szCs w:val="20"/>
                <w:color w:val="auto"/>
              </w:rPr>
            </w:pPr>
            <w:r>
              <w:rPr>
                <w:rFonts w:ascii="Times New Roman" w:cs="Times New Roman" w:eastAsia="Times New Roman" w:hAnsi="Times New Roman"/>
                <w:sz w:val="19"/>
                <w:szCs w:val="19"/>
                <w:color w:val="FF0000"/>
                <w:strike w:val="1"/>
                <w:w w:val="83"/>
              </w:rPr>
              <w:t>3</w:t>
            </w:r>
          </w:p>
        </w:tc>
        <w:tc>
          <w:tcPr>
            <w:tcW w:w="10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7</w:t>
            </w:r>
          </w:p>
        </w:tc>
        <w:tc>
          <w:tcPr>
            <w:tcW w:w="580" w:type="dxa"/>
            <w:vAlign w:val="bottom"/>
            <w:gridSpan w:val="14"/>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740" w:type="dxa"/>
            <w:vAlign w:val="bottom"/>
            <w:gridSpan w:val="4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5.10.</w:t>
            </w:r>
          </w:p>
        </w:tc>
        <w:tc>
          <w:tcPr>
            <w:tcW w:w="2460" w:type="dxa"/>
            <w:vAlign w:val="bottom"/>
            <w:gridSpan w:val="43"/>
          </w:tcPr>
          <w:p>
            <w:pPr>
              <w:ind w:left="100"/>
              <w:spacing w:after="0" w:line="176" w:lineRule="exact"/>
              <w:rPr>
                <w:sz w:val="20"/>
                <w:szCs w:val="20"/>
                <w:color w:val="auto"/>
              </w:rPr>
            </w:pPr>
            <w:r>
              <w:rPr>
                <w:rFonts w:ascii="Times New Roman" w:cs="Times New Roman" w:eastAsia="Times New Roman" w:hAnsi="Times New Roman"/>
                <w:sz w:val="20"/>
                <w:szCs w:val="20"/>
                <w:color w:val="auto"/>
              </w:rPr>
              <w:t>Designation of Subsidiaries</w:t>
            </w:r>
          </w:p>
        </w:tc>
        <w:tc>
          <w:tcPr>
            <w:tcW w:w="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auto"/>
                <w:w w:val="99"/>
              </w:rPr>
              <w:t>13</w:t>
            </w:r>
          </w:p>
        </w:tc>
        <w:tc>
          <w:tcPr>
            <w:tcW w:w="1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40" w:type="dxa"/>
            <w:vAlign w:val="bottom"/>
            <w:gridSpan w:val="6"/>
          </w:tcPr>
          <w:p>
            <w:pPr>
              <w:spacing w:after="0" w:line="176" w:lineRule="exact"/>
              <w:rPr>
                <w:sz w:val="20"/>
                <w:szCs w:val="20"/>
                <w:color w:val="auto"/>
              </w:rPr>
            </w:pPr>
            <w:r>
              <w:rPr>
                <w:rFonts w:ascii="Times New Roman" w:cs="Times New Roman" w:eastAsia="Times New Roman" w:hAnsi="Times New Roman"/>
                <w:sz w:val="20"/>
                <w:szCs w:val="20"/>
                <w:color w:val="0000FF"/>
              </w:rPr>
              <w:t>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5.11.</w:t>
            </w:r>
          </w:p>
        </w:tc>
        <w:tc>
          <w:tcPr>
            <w:tcW w:w="1780" w:type="dxa"/>
            <w:vAlign w:val="bottom"/>
            <w:gridSpan w:val="27"/>
          </w:tcPr>
          <w:p>
            <w:pPr>
              <w:ind w:left="100"/>
              <w:spacing w:after="0" w:line="183" w:lineRule="exact"/>
              <w:rPr>
                <w:sz w:val="20"/>
                <w:szCs w:val="20"/>
                <w:color w:val="auto"/>
              </w:rPr>
            </w:pPr>
            <w:r>
              <w:rPr>
                <w:rFonts w:ascii="Times New Roman" w:cs="Times New Roman" w:eastAsia="Times New Roman" w:hAnsi="Times New Roman"/>
                <w:sz w:val="20"/>
                <w:szCs w:val="20"/>
                <w:color w:val="auto"/>
              </w:rPr>
              <w:t>Use of Proceeds  13</w:t>
            </w:r>
          </w:p>
        </w:tc>
        <w:tc>
          <w:tcPr>
            <w:tcW w:w="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4</w:t>
            </w:r>
          </w:p>
        </w:tc>
        <w:tc>
          <w:tcPr>
            <w:tcW w:w="900" w:type="dxa"/>
            <w:vAlign w:val="bottom"/>
            <w:gridSpan w:val="20"/>
          </w:tcPr>
          <w:p>
            <w:pPr>
              <w:jc w:val="right"/>
              <w:ind w:right="701"/>
              <w:spacing w:after="0" w:line="183" w:lineRule="exact"/>
              <w:rPr>
                <w:sz w:val="20"/>
                <w:szCs w:val="20"/>
                <w:color w:val="auto"/>
              </w:rPr>
            </w:pPr>
            <w:r>
              <w:rPr>
                <w:rFonts w:ascii="Times New Roman" w:cs="Times New Roman" w:eastAsia="Times New Roman" w:hAnsi="Times New Roman"/>
                <w:sz w:val="20"/>
                <w:szCs w:val="20"/>
                <w:color w:val="0000FF"/>
                <w:w w:val="79"/>
              </w:rPr>
              <w:t>8</w:t>
            </w:r>
          </w:p>
        </w:tc>
        <w:tc>
          <w:tcPr>
            <w:tcW w:w="120" w:type="dxa"/>
            <w:vAlign w:val="bottom"/>
            <w:tcBorders>
              <w:top w:val="single" w:sz="8" w:color="0000FF"/>
            </w:tcBorders>
            <w:gridSpan w:val="5"/>
          </w:tcPr>
          <w:p>
            <w:pPr>
              <w:spacing w:after="0"/>
              <w:rPr>
                <w:sz w:val="15"/>
                <w:szCs w:val="15"/>
                <w:color w:val="auto"/>
              </w:rPr>
            </w:pPr>
          </w:p>
        </w:tc>
        <w:tc>
          <w:tcPr>
            <w:tcW w:w="338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5.12.</w:t>
            </w:r>
          </w:p>
        </w:tc>
        <w:tc>
          <w:tcPr>
            <w:tcW w:w="1880" w:type="dxa"/>
            <w:vAlign w:val="bottom"/>
            <w:gridSpan w:val="29"/>
          </w:tcPr>
          <w:p>
            <w:pPr>
              <w:ind w:left="100"/>
              <w:spacing w:after="0" w:line="169" w:lineRule="exact"/>
              <w:rPr>
                <w:sz w:val="20"/>
                <w:szCs w:val="20"/>
                <w:color w:val="auto"/>
              </w:rPr>
            </w:pPr>
            <w:r>
              <w:rPr>
                <w:rFonts w:ascii="Times New Roman" w:cs="Times New Roman" w:eastAsia="Times New Roman" w:hAnsi="Times New Roman"/>
                <w:sz w:val="19"/>
                <w:szCs w:val="19"/>
                <w:color w:val="auto"/>
              </w:rPr>
              <w:t>Covenant to Guarantee</w:t>
            </w: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40" w:type="dxa"/>
            <w:vAlign w:val="bottom"/>
            <w:gridSpan w:val="48"/>
          </w:tcPr>
          <w:p>
            <w:pPr>
              <w:spacing w:after="0" w:line="169" w:lineRule="exact"/>
              <w:rPr>
                <w:sz w:val="20"/>
                <w:szCs w:val="20"/>
                <w:color w:val="auto"/>
              </w:rPr>
            </w:pPr>
            <w:r>
              <w:rPr>
                <w:rFonts w:ascii="Times New Roman" w:cs="Times New Roman" w:eastAsia="Times New Roman" w:hAnsi="Times New Roman"/>
                <w:sz w:val="19"/>
                <w:szCs w:val="19"/>
                <w:color w:val="auto"/>
              </w:rPr>
              <w:t>Obligations and Provide Security</w:t>
            </w:r>
          </w:p>
        </w:tc>
        <w:tc>
          <w:tcPr>
            <w:tcW w:w="38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9"/>
                <w:szCs w:val="19"/>
                <w:color w:val="auto"/>
              </w:rPr>
              <w:t>13</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5</w:t>
            </w:r>
          </w:p>
        </w:tc>
        <w:tc>
          <w:tcPr>
            <w:tcW w:w="1180" w:type="dxa"/>
            <w:vAlign w:val="bottom"/>
            <w:gridSpan w:val="2"/>
          </w:tcPr>
          <w:p>
            <w:pPr>
              <w:jc w:val="right"/>
              <w:ind w:right="1080"/>
              <w:spacing w:after="0" w:line="169" w:lineRule="exact"/>
              <w:rPr>
                <w:sz w:val="20"/>
                <w:szCs w:val="20"/>
                <w:color w:val="auto"/>
              </w:rPr>
            </w:pPr>
            <w:r>
              <w:rPr>
                <w:rFonts w:ascii="Times New Roman" w:cs="Times New Roman" w:eastAsia="Times New Roman" w:hAnsi="Times New Roman"/>
                <w:sz w:val="19"/>
                <w:szCs w:val="19"/>
                <w:color w:val="0000FF"/>
                <w:w w:val="83"/>
              </w:rPr>
              <w:t>8</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5.13.</w:t>
            </w:r>
          </w:p>
        </w:tc>
        <w:tc>
          <w:tcPr>
            <w:tcW w:w="1240" w:type="dxa"/>
            <w:vAlign w:val="bottom"/>
            <w:gridSpan w:val="6"/>
          </w:tcPr>
          <w:p>
            <w:pPr>
              <w:ind w:left="100"/>
              <w:spacing w:after="0" w:line="176" w:lineRule="exact"/>
              <w:rPr>
                <w:sz w:val="20"/>
                <w:szCs w:val="20"/>
                <w:color w:val="auto"/>
              </w:rPr>
            </w:pPr>
            <w:r>
              <w:rPr>
                <w:rFonts w:ascii="Times New Roman" w:cs="Times New Roman" w:eastAsia="Times New Roman" w:hAnsi="Times New Roman"/>
                <w:sz w:val="20"/>
                <w:szCs w:val="20"/>
                <w:color w:val="auto"/>
              </w:rPr>
              <w:t>[Reserved]</w:t>
            </w:r>
          </w:p>
        </w:tc>
        <w:tc>
          <w:tcPr>
            <w:tcW w:w="240" w:type="dxa"/>
            <w:vAlign w:val="bottom"/>
            <w:gridSpan w:val="8"/>
          </w:tcPr>
          <w:p>
            <w:pPr>
              <w:jc w:val="right"/>
              <w:spacing w:after="0" w:line="175" w:lineRule="exact"/>
              <w:rPr>
                <w:sz w:val="20"/>
                <w:szCs w:val="20"/>
                <w:color w:val="auto"/>
              </w:rPr>
            </w:pPr>
            <w:r>
              <w:rPr>
                <w:rFonts w:ascii="Times New Roman" w:cs="Times New Roman" w:eastAsia="Times New Roman" w:hAnsi="Times New Roman"/>
                <w:sz w:val="19"/>
                <w:szCs w:val="19"/>
                <w:color w:val="FF0000"/>
                <w:strike w:val="1"/>
                <w:w w:val="70"/>
              </w:rPr>
              <w:t>137</w:t>
            </w:r>
          </w:p>
        </w:tc>
        <w:tc>
          <w:tcPr>
            <w:tcW w:w="3620" w:type="dxa"/>
            <w:vAlign w:val="bottom"/>
            <w:gridSpan w:val="70"/>
          </w:tcPr>
          <w:p>
            <w:pPr>
              <w:jc w:val="center"/>
              <w:ind w:right="3340"/>
              <w:spacing w:after="0" w:line="176" w:lineRule="exact"/>
              <w:rPr>
                <w:sz w:val="20"/>
                <w:szCs w:val="20"/>
                <w:color w:val="auto"/>
              </w:rPr>
            </w:pPr>
            <w:r>
              <w:rPr>
                <w:rFonts w:ascii="Times New Roman" w:cs="Times New Roman" w:eastAsia="Times New Roman" w:hAnsi="Times New Roman"/>
                <w:sz w:val="20"/>
                <w:szCs w:val="20"/>
                <w:color w:val="0000FF"/>
                <w:w w:val="93"/>
              </w:rPr>
              <w:t>141</w:t>
            </w:r>
          </w:p>
        </w:tc>
        <w:tc>
          <w:tcPr>
            <w:tcW w:w="100" w:type="dxa"/>
            <w:vAlign w:val="bottom"/>
            <w:tcBorders>
              <w:top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5.14.</w:t>
            </w:r>
          </w:p>
        </w:tc>
        <w:tc>
          <w:tcPr>
            <w:tcW w:w="1480" w:type="dxa"/>
            <w:vAlign w:val="bottom"/>
            <w:gridSpan w:val="14"/>
          </w:tcPr>
          <w:p>
            <w:pPr>
              <w:ind w:left="100"/>
              <w:spacing w:after="0" w:line="183" w:lineRule="exact"/>
              <w:rPr>
                <w:sz w:val="20"/>
                <w:szCs w:val="20"/>
                <w:color w:val="auto"/>
              </w:rPr>
            </w:pPr>
            <w:r>
              <w:rPr>
                <w:rFonts w:ascii="Times New Roman" w:cs="Times New Roman" w:eastAsia="Times New Roman" w:hAnsi="Times New Roman"/>
                <w:sz w:val="20"/>
                <w:szCs w:val="20"/>
                <w:color w:val="auto"/>
                <w:w w:val="87"/>
              </w:rPr>
              <w:t>Further Assurances</w:t>
            </w:r>
          </w:p>
        </w:tc>
        <w:tc>
          <w:tcPr>
            <w:tcW w:w="280" w:type="dxa"/>
            <w:vAlign w:val="bottom"/>
            <w:tcBorders>
              <w:top w:val="single" w:sz="8" w:color="0000FF"/>
            </w:tcBorders>
            <w:gridSpan w:val="12"/>
          </w:tcPr>
          <w:p>
            <w:pPr>
              <w:spacing w:after="0"/>
              <w:rPr>
                <w:sz w:val="15"/>
                <w:szCs w:val="15"/>
                <w:color w:val="auto"/>
              </w:rPr>
            </w:pPr>
          </w:p>
        </w:tc>
        <w:tc>
          <w:tcPr>
            <w:tcW w:w="440" w:type="dxa"/>
            <w:vAlign w:val="bottom"/>
            <w:gridSpan w:val="10"/>
          </w:tcPr>
          <w:p>
            <w:pPr>
              <w:jc w:val="right"/>
              <w:ind w:right="341"/>
              <w:spacing w:after="0"/>
              <w:rPr>
                <w:sz w:val="20"/>
                <w:szCs w:val="20"/>
                <w:color w:val="auto"/>
              </w:rPr>
            </w:pPr>
            <w:r>
              <w:rPr>
                <w:rFonts w:ascii="Times New Roman" w:cs="Times New Roman" w:eastAsia="Times New Roman" w:hAnsi="Times New Roman"/>
                <w:sz w:val="20"/>
                <w:szCs w:val="20"/>
                <w:color w:val="FF0000"/>
                <w:strike w:val="1"/>
              </w:rPr>
              <w:t>138</w:t>
            </w:r>
          </w:p>
        </w:tc>
        <w:tc>
          <w:tcPr>
            <w:tcW w:w="22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9"/>
                <w:szCs w:val="19"/>
                <w:color w:val="0000FF"/>
                <w:w w:val="70"/>
              </w:rPr>
              <w:t>141</w:t>
            </w:r>
          </w:p>
        </w:tc>
        <w:tc>
          <w:tcPr>
            <w:tcW w:w="3860" w:type="dxa"/>
            <w:vAlign w:val="bottom"/>
            <w:gridSpan w:val="4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5.15.</w:t>
            </w:r>
          </w:p>
        </w:tc>
        <w:tc>
          <w:tcPr>
            <w:tcW w:w="2020" w:type="dxa"/>
            <w:vAlign w:val="bottom"/>
            <w:gridSpan w:val="33"/>
          </w:tcPr>
          <w:p>
            <w:pPr>
              <w:ind w:left="100"/>
              <w:spacing w:after="0" w:line="169" w:lineRule="exact"/>
              <w:rPr>
                <w:sz w:val="20"/>
                <w:szCs w:val="20"/>
                <w:color w:val="auto"/>
              </w:rPr>
            </w:pPr>
            <w:r>
              <w:rPr>
                <w:rFonts w:ascii="Times New Roman" w:cs="Times New Roman" w:eastAsia="Times New Roman" w:hAnsi="Times New Roman"/>
                <w:sz w:val="19"/>
                <w:szCs w:val="19"/>
                <w:color w:val="auto"/>
              </w:rPr>
              <w:t>Post-Closing Covenant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5"/>
          </w:tcPr>
          <w:p>
            <w:pPr>
              <w:spacing w:after="0" w:line="169" w:lineRule="exact"/>
              <w:rPr>
                <w:sz w:val="20"/>
                <w:szCs w:val="20"/>
                <w:color w:val="auto"/>
              </w:rPr>
            </w:pPr>
            <w:r>
              <w:rPr>
                <w:rFonts w:ascii="Times New Roman" w:cs="Times New Roman" w:eastAsia="Times New Roman" w:hAnsi="Times New Roman"/>
                <w:sz w:val="19"/>
                <w:szCs w:val="19"/>
                <w:color w:val="FF0000"/>
                <w:strike w:val="1"/>
                <w:w w:val="70"/>
              </w:rPr>
              <w:t>138</w:t>
            </w:r>
          </w:p>
        </w:tc>
        <w:tc>
          <w:tcPr>
            <w:tcW w:w="20" w:type="dxa"/>
            <w:vAlign w:val="bottom"/>
          </w:tcPr>
          <w:p>
            <w:pPr>
              <w:spacing w:after="0"/>
              <w:rPr>
                <w:sz w:val="15"/>
                <w:szCs w:val="15"/>
                <w:color w:val="auto"/>
              </w:rPr>
            </w:pPr>
          </w:p>
        </w:tc>
        <w:tc>
          <w:tcPr>
            <w:tcW w:w="280" w:type="dxa"/>
            <w:vAlign w:val="bottom"/>
            <w:tcBorders>
              <w:bottom w:val="single" w:sz="8" w:color="0000FF"/>
            </w:tcBorders>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0000FF"/>
                <w:w w:val="91"/>
              </w:rPr>
              <w:t>142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5.16.</w:t>
            </w:r>
          </w:p>
        </w:tc>
        <w:tc>
          <w:tcPr>
            <w:tcW w:w="2440" w:type="dxa"/>
            <w:vAlign w:val="bottom"/>
            <w:gridSpan w:val="42"/>
          </w:tcPr>
          <w:p>
            <w:pPr>
              <w:ind w:left="100"/>
              <w:spacing w:after="0" w:line="176"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20" w:type="dxa"/>
            <w:vAlign w:val="bottom"/>
          </w:tcPr>
          <w:p>
            <w:pPr>
              <w:spacing w:after="0"/>
              <w:rPr>
                <w:sz w:val="15"/>
                <w:szCs w:val="15"/>
                <w:color w:val="auto"/>
              </w:rPr>
            </w:pPr>
          </w:p>
        </w:tc>
        <w:tc>
          <w:tcPr>
            <w:tcW w:w="2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138</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11"/>
          </w:tcPr>
          <w:p>
            <w:pPr>
              <w:jc w:val="right"/>
              <w:ind w:right="160"/>
              <w:spacing w:after="0" w:line="176" w:lineRule="exact"/>
              <w:rPr>
                <w:sz w:val="20"/>
                <w:szCs w:val="20"/>
                <w:color w:val="auto"/>
              </w:rPr>
            </w:pPr>
            <w:r>
              <w:rPr>
                <w:rFonts w:ascii="Times New Roman" w:cs="Times New Roman" w:eastAsia="Times New Roman" w:hAnsi="Times New Roman"/>
                <w:sz w:val="20"/>
                <w:szCs w:val="20"/>
                <w:color w:val="0000FF"/>
                <w:w w:val="93"/>
              </w:rPr>
              <w:t>142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5.17.</w:t>
            </w:r>
          </w:p>
        </w:tc>
        <w:tc>
          <w:tcPr>
            <w:tcW w:w="1020" w:type="dxa"/>
            <w:vAlign w:val="bottom"/>
            <w:gridSpan w:val="3"/>
          </w:tcPr>
          <w:p>
            <w:pPr>
              <w:ind w:left="100"/>
              <w:spacing w:after="0" w:line="183" w:lineRule="exact"/>
              <w:rPr>
                <w:sz w:val="20"/>
                <w:szCs w:val="20"/>
                <w:color w:val="auto"/>
              </w:rPr>
            </w:pPr>
            <w:r>
              <w:rPr>
                <w:rFonts w:ascii="Times New Roman" w:cs="Times New Roman" w:eastAsia="Times New Roman" w:hAnsi="Times New Roman"/>
                <w:sz w:val="20"/>
                <w:szCs w:val="20"/>
                <w:color w:val="auto"/>
                <w:w w:val="98"/>
              </w:rPr>
              <w:t>Fiscal Year</w:t>
            </w:r>
          </w:p>
        </w:tc>
        <w:tc>
          <w:tcPr>
            <w:tcW w:w="360" w:type="dxa"/>
            <w:vAlign w:val="bottom"/>
            <w:gridSpan w:val="7"/>
          </w:tcPr>
          <w:p>
            <w:pPr>
              <w:jc w:val="right"/>
              <w:spacing w:after="0" w:line="183" w:lineRule="exact"/>
              <w:rPr>
                <w:sz w:val="20"/>
                <w:szCs w:val="20"/>
                <w:color w:val="auto"/>
              </w:rPr>
            </w:pPr>
            <w:r>
              <w:rPr>
                <w:rFonts w:ascii="Times New Roman" w:cs="Times New Roman" w:eastAsia="Times New Roman" w:hAnsi="Times New Roman"/>
                <w:sz w:val="20"/>
                <w:szCs w:val="20"/>
                <w:color w:val="auto"/>
              </w:rPr>
              <w:t>14</w:t>
            </w:r>
          </w:p>
        </w:tc>
        <w:tc>
          <w:tcPr>
            <w:tcW w:w="12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8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74"/>
              </w:rPr>
              <w:t>5</w:t>
            </w:r>
          </w:p>
        </w:tc>
        <w:tc>
          <w:tcPr>
            <w:tcW w:w="1220" w:type="dxa"/>
            <w:vAlign w:val="bottom"/>
            <w:gridSpan w:val="31"/>
          </w:tcPr>
          <w:p>
            <w:pPr>
              <w:spacing w:after="0"/>
              <w:rPr>
                <w:sz w:val="15"/>
                <w:szCs w:val="15"/>
                <w:color w:val="auto"/>
              </w:rPr>
            </w:pPr>
          </w:p>
        </w:tc>
        <w:tc>
          <w:tcPr>
            <w:tcW w:w="300" w:type="dxa"/>
            <w:vAlign w:val="bottom"/>
            <w:tcBorders>
              <w:top w:val="single" w:sz="8" w:color="0000FF"/>
            </w:tcBorders>
            <w:gridSpan w:val="10"/>
          </w:tcPr>
          <w:p>
            <w:pPr>
              <w:spacing w:after="0"/>
              <w:rPr>
                <w:sz w:val="15"/>
                <w:szCs w:val="15"/>
                <w:color w:val="auto"/>
              </w:rPr>
            </w:pPr>
          </w:p>
        </w:tc>
        <w:tc>
          <w:tcPr>
            <w:tcW w:w="31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5.18.</w:t>
            </w:r>
          </w:p>
        </w:tc>
        <w:tc>
          <w:tcPr>
            <w:tcW w:w="1660" w:type="dxa"/>
            <w:vAlign w:val="bottom"/>
            <w:gridSpan w:val="22"/>
          </w:tcPr>
          <w:p>
            <w:pPr>
              <w:ind w:left="100"/>
              <w:spacing w:after="0" w:line="169" w:lineRule="exact"/>
              <w:rPr>
                <w:sz w:val="20"/>
                <w:szCs w:val="20"/>
                <w:color w:val="auto"/>
              </w:rPr>
            </w:pPr>
            <w:r>
              <w:rPr>
                <w:rFonts w:ascii="Times New Roman" w:cs="Times New Roman" w:eastAsia="Times New Roman" w:hAnsi="Times New Roman"/>
                <w:sz w:val="19"/>
                <w:szCs w:val="19"/>
                <w:color w:val="auto"/>
                <w:w w:val="95"/>
              </w:rPr>
              <w:t>Nature of Business</w:t>
            </w:r>
          </w:p>
        </w:tc>
        <w:tc>
          <w:tcPr>
            <w:tcW w:w="340" w:type="dxa"/>
            <w:vAlign w:val="bottom"/>
            <w:gridSpan w:val="10"/>
          </w:tcPr>
          <w:p>
            <w:pPr>
              <w:jc w:val="right"/>
              <w:spacing w:after="0" w:line="169" w:lineRule="exact"/>
              <w:rPr>
                <w:sz w:val="20"/>
                <w:szCs w:val="20"/>
                <w:color w:val="auto"/>
              </w:rPr>
            </w:pPr>
            <w:r>
              <w:rPr>
                <w:rFonts w:ascii="Times New Roman" w:cs="Times New Roman" w:eastAsia="Times New Roman" w:hAnsi="Times New Roman"/>
                <w:sz w:val="19"/>
                <w:szCs w:val="19"/>
                <w:color w:val="auto"/>
              </w:rPr>
              <w:t>14</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1</w:t>
            </w:r>
          </w:p>
        </w:tc>
        <w:tc>
          <w:tcPr>
            <w:tcW w:w="4180" w:type="dxa"/>
            <w:vAlign w:val="bottom"/>
            <w:gridSpan w:val="52"/>
          </w:tcPr>
          <w:p>
            <w:pPr>
              <w:spacing w:after="0" w:line="169" w:lineRule="exact"/>
              <w:rPr>
                <w:sz w:val="20"/>
                <w:szCs w:val="20"/>
                <w:color w:val="auto"/>
              </w:rPr>
            </w:pPr>
            <w:r>
              <w:rPr>
                <w:rFonts w:ascii="Times New Roman" w:cs="Times New Roman" w:eastAsia="Times New Roman" w:hAnsi="Times New Roman"/>
                <w:sz w:val="19"/>
                <w:szCs w:val="19"/>
                <w:color w:val="0000FF"/>
              </w:rPr>
              <w:t>5</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5.19.</w:t>
            </w:r>
          </w:p>
        </w:tc>
        <w:tc>
          <w:tcPr>
            <w:tcW w:w="2100" w:type="dxa"/>
            <w:vAlign w:val="bottom"/>
            <w:gridSpan w:val="34"/>
            <w:vMerge w:val="restart"/>
          </w:tcPr>
          <w:p>
            <w:pPr>
              <w:ind w:left="100"/>
              <w:spacing w:after="0" w:line="203" w:lineRule="exact"/>
              <w:rPr>
                <w:sz w:val="20"/>
                <w:szCs w:val="20"/>
                <w:color w:val="auto"/>
              </w:rPr>
            </w:pPr>
            <w:r>
              <w:rPr>
                <w:rFonts w:ascii="Times New Roman" w:cs="Times New Roman" w:eastAsia="Times New Roman" w:hAnsi="Times New Roman"/>
                <w:sz w:val="20"/>
                <w:szCs w:val="20"/>
                <w:color w:val="auto"/>
                <w:w w:val="98"/>
              </w:rPr>
              <w:t>Amendments or Waivers</w:t>
            </w:r>
          </w:p>
        </w:tc>
        <w:tc>
          <w:tcPr>
            <w:tcW w:w="100" w:type="dxa"/>
            <w:vAlign w:val="bottom"/>
            <w:tcBorders>
              <w:righ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gridSpan w:val="12"/>
          </w:tcPr>
          <w:p>
            <w:pPr>
              <w:spacing w:after="0"/>
              <w:rPr>
                <w:sz w:val="2"/>
                <w:szCs w:val="2"/>
                <w:color w:val="auto"/>
              </w:rPr>
            </w:pPr>
          </w:p>
        </w:tc>
        <w:tc>
          <w:tcPr>
            <w:tcW w:w="840" w:type="dxa"/>
            <w:vAlign w:val="bottom"/>
            <w:gridSpan w:val="20"/>
          </w:tcPr>
          <w:p>
            <w:pPr>
              <w:spacing w:after="0"/>
              <w:rPr>
                <w:sz w:val="2"/>
                <w:szCs w:val="2"/>
                <w:color w:val="auto"/>
              </w:rPr>
            </w:pPr>
          </w:p>
        </w:tc>
        <w:tc>
          <w:tcPr>
            <w:tcW w:w="1000" w:type="dxa"/>
            <w:vAlign w:val="bottom"/>
            <w:gridSpan w:val="10"/>
          </w:tcPr>
          <w:p>
            <w:pPr>
              <w:spacing w:after="0"/>
              <w:rPr>
                <w:sz w:val="2"/>
                <w:szCs w:val="2"/>
                <w:color w:val="auto"/>
              </w:rPr>
            </w:pPr>
          </w:p>
        </w:tc>
        <w:tc>
          <w:tcPr>
            <w:tcW w:w="2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14</w:t>
            </w:r>
          </w:p>
        </w:tc>
        <w:tc>
          <w:tcPr>
            <w:tcW w:w="1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gridSpan w:val="2"/>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5</w:t>
            </w: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140" w:type="dxa"/>
            <w:vAlign w:val="bottom"/>
            <w:vMerge w:val="continue"/>
          </w:tcPr>
          <w:p>
            <w:pPr>
              <w:spacing w:after="0"/>
              <w:rPr>
                <w:sz w:val="15"/>
                <w:szCs w:val="15"/>
                <w:color w:val="auto"/>
              </w:rPr>
            </w:pPr>
          </w:p>
        </w:tc>
        <w:tc>
          <w:tcPr>
            <w:tcW w:w="2100" w:type="dxa"/>
            <w:vAlign w:val="bottom"/>
            <w:gridSpan w:val="34"/>
            <w:vMerge w:val="continue"/>
          </w:tcPr>
          <w:p>
            <w:pPr>
              <w:spacing w:after="0"/>
              <w:rPr>
                <w:sz w:val="15"/>
                <w:szCs w:val="15"/>
                <w:color w:val="auto"/>
              </w:rPr>
            </w:pPr>
          </w:p>
        </w:tc>
        <w:tc>
          <w:tcPr>
            <w:tcW w:w="2520" w:type="dxa"/>
            <w:vAlign w:val="bottom"/>
            <w:gridSpan w:val="45"/>
          </w:tcPr>
          <w:p>
            <w:pPr>
              <w:spacing w:after="0" w:line="176" w:lineRule="exact"/>
              <w:rPr>
                <w:sz w:val="20"/>
                <w:szCs w:val="20"/>
                <w:color w:val="auto"/>
              </w:rPr>
            </w:pPr>
            <w:r>
              <w:rPr>
                <w:rFonts w:ascii="Times New Roman" w:cs="Times New Roman" w:eastAsia="Times New Roman" w:hAnsi="Times New Roman"/>
                <w:sz w:val="20"/>
                <w:szCs w:val="20"/>
                <w:color w:val="auto"/>
              </w:rPr>
              <w:t>of Organizational Documents</w:t>
            </w:r>
          </w:p>
        </w:tc>
        <w:tc>
          <w:tcPr>
            <w:tcW w:w="2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0000FF"/>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74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ARTICLE 6</w:t>
            </w:r>
          </w:p>
        </w:tc>
        <w:tc>
          <w:tcPr>
            <w:tcW w:w="0" w:type="dxa"/>
            <w:vAlign w:val="bottom"/>
          </w:tcPr>
          <w:p>
            <w:pPr>
              <w:spacing w:after="0"/>
              <w:rPr>
                <w:sz w:val="1"/>
                <w:szCs w:val="1"/>
                <w:color w:val="auto"/>
              </w:rPr>
            </w:pPr>
          </w:p>
        </w:tc>
      </w:tr>
      <w:tr>
        <w:trPr>
          <w:trHeight w:val="391"/>
        </w:trPr>
        <w:tc>
          <w:tcPr>
            <w:tcW w:w="74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NEGATIVE COVENANTS</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134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20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89"/>
              </w:rPr>
              <w:t>14</w:t>
            </w:r>
          </w:p>
        </w:tc>
        <w:tc>
          <w:tcPr>
            <w:tcW w:w="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79"/>
              </w:rPr>
              <w:t>5</w:t>
            </w:r>
          </w:p>
        </w:tc>
        <w:tc>
          <w:tcPr>
            <w:tcW w:w="4540" w:type="dxa"/>
            <w:vAlign w:val="bottom"/>
            <w:gridSpan w:val="61"/>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ii</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139"/>
          </w:cols>
          <w:pgMar w:left="320" w:top="1440"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40"/>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00" w:type="dxa"/>
            <w:vAlign w:val="bottom"/>
            <w:vMerge w:val="restart"/>
          </w:tcPr>
          <w:p>
            <w:pPr>
              <w:spacing w:after="0"/>
              <w:rPr>
                <w:sz w:val="3"/>
                <w:szCs w:val="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Liens</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148</w:t>
            </w:r>
          </w:p>
        </w:tc>
        <w:tc>
          <w:tcPr>
            <w:tcW w:w="28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151</w:t>
            </w:r>
          </w:p>
        </w:tc>
        <w:tc>
          <w:tcPr>
            <w:tcW w:w="100" w:type="dxa"/>
            <w:vAlign w:val="bottom"/>
            <w:vMerge w:val="restart"/>
          </w:tcPr>
          <w:p>
            <w:pPr>
              <w:spacing w:after="0"/>
              <w:rPr>
                <w:sz w:val="3"/>
                <w:szCs w:val="3"/>
                <w:color w:val="auto"/>
              </w:rPr>
            </w:pPr>
          </w:p>
        </w:tc>
        <w:tc>
          <w:tcPr>
            <w:tcW w:w="5420" w:type="dxa"/>
            <w:vAlign w:val="bottom"/>
            <w:gridSpan w:val="74"/>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80" w:type="dxa"/>
            <w:vAlign w:val="bottom"/>
            <w:gridSpan w:val="7"/>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20" w:type="dxa"/>
            <w:vAlign w:val="bottom"/>
            <w:gridSpan w:val="7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6.03.</w:t>
            </w:r>
          </w:p>
        </w:tc>
        <w:tc>
          <w:tcPr>
            <w:tcW w:w="98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color w:val="auto"/>
              </w:rPr>
              <w:t>[Reserved]</w:t>
            </w:r>
          </w:p>
        </w:tc>
        <w:tc>
          <w:tcPr>
            <w:tcW w:w="260" w:type="dxa"/>
            <w:vAlign w:val="bottom"/>
            <w:tcBorders>
              <w:top w:val="single" w:sz="8" w:color="0000FF"/>
            </w:tcBorders>
            <w:gridSpan w:val="6"/>
          </w:tcPr>
          <w:p>
            <w:pPr>
              <w:jc w:val="right"/>
              <w:spacing w:after="0" w:line="169" w:lineRule="exact"/>
              <w:rPr>
                <w:sz w:val="20"/>
                <w:szCs w:val="20"/>
                <w:color w:val="auto"/>
              </w:rPr>
            </w:pPr>
            <w:r>
              <w:rPr>
                <w:rFonts w:ascii="Times New Roman" w:cs="Times New Roman" w:eastAsia="Times New Roman" w:hAnsi="Times New Roman"/>
                <w:sz w:val="19"/>
                <w:szCs w:val="19"/>
                <w:color w:val="auto"/>
              </w:rPr>
              <w:t>15</w:t>
            </w:r>
          </w:p>
        </w:tc>
        <w:tc>
          <w:tcPr>
            <w:tcW w:w="1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FF0000"/>
                <w:strike w:val="1"/>
              </w:rPr>
              <w:t>2</w:t>
            </w:r>
          </w:p>
        </w:tc>
        <w:tc>
          <w:tcPr>
            <w:tcW w:w="16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6</w:t>
            </w:r>
          </w:p>
        </w:tc>
        <w:tc>
          <w:tcPr>
            <w:tcW w:w="5260" w:type="dxa"/>
            <w:vAlign w:val="bottom"/>
            <w:gridSpan w:val="7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6.04.</w:t>
            </w:r>
          </w:p>
        </w:tc>
        <w:tc>
          <w:tcPr>
            <w:tcW w:w="100" w:type="dxa"/>
            <w:vAlign w:val="bottom"/>
          </w:tcPr>
          <w:p>
            <w:pPr>
              <w:spacing w:after="0"/>
              <w:rPr>
                <w:sz w:val="15"/>
                <w:szCs w:val="15"/>
                <w:color w:val="auto"/>
              </w:rPr>
            </w:pPr>
          </w:p>
        </w:tc>
        <w:tc>
          <w:tcPr>
            <w:tcW w:w="3900" w:type="dxa"/>
            <w:vAlign w:val="bottom"/>
            <w:gridSpan w:val="62"/>
          </w:tcPr>
          <w:p>
            <w:pPr>
              <w:spacing w:after="0" w:line="176" w:lineRule="exact"/>
              <w:rPr>
                <w:sz w:val="20"/>
                <w:szCs w:val="20"/>
                <w:color w:val="auto"/>
              </w:rPr>
            </w:pPr>
            <w:r>
              <w:rPr>
                <w:rFonts w:ascii="Times New Roman" w:cs="Times New Roman" w:eastAsia="Times New Roman" w:hAnsi="Times New Roman"/>
                <w:sz w:val="20"/>
                <w:szCs w:val="20"/>
                <w:color w:val="auto"/>
              </w:rPr>
              <w:t>Restricted Payments; Restricted Debt Payments</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20"/>
                <w:szCs w:val="20"/>
                <w:color w:val="auto"/>
              </w:rPr>
              <w:t>15</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6.05.</w:t>
            </w:r>
          </w:p>
        </w:tc>
        <w:tc>
          <w:tcPr>
            <w:tcW w:w="100" w:type="dxa"/>
            <w:vAlign w:val="bottom"/>
          </w:tcPr>
          <w:p>
            <w:pPr>
              <w:spacing w:after="0"/>
              <w:rPr>
                <w:sz w:val="15"/>
                <w:szCs w:val="15"/>
                <w:color w:val="auto"/>
              </w:rPr>
            </w:pPr>
          </w:p>
        </w:tc>
        <w:tc>
          <w:tcPr>
            <w:tcW w:w="2040" w:type="dxa"/>
            <w:vAlign w:val="bottom"/>
            <w:gridSpan w:val="25"/>
          </w:tcPr>
          <w:p>
            <w:pPr>
              <w:spacing w:after="0" w:line="183" w:lineRule="exact"/>
              <w:rPr>
                <w:sz w:val="20"/>
                <w:szCs w:val="20"/>
                <w:color w:val="auto"/>
              </w:rPr>
            </w:pPr>
            <w:r>
              <w:rPr>
                <w:rFonts w:ascii="Times New Roman" w:cs="Times New Roman" w:eastAsia="Times New Roman" w:hAnsi="Times New Roman"/>
                <w:sz w:val="20"/>
                <w:szCs w:val="20"/>
                <w:color w:val="auto"/>
                <w:w w:val="99"/>
              </w:rPr>
              <w:t>Burdensome Agreements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9"/>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3"/>
              </w:rPr>
              <w:t>157</w:t>
            </w:r>
          </w:p>
        </w:tc>
        <w:tc>
          <w:tcPr>
            <w:tcW w:w="36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0000FF"/>
              </w:rPr>
              <w:t>160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6.06.</w:t>
            </w:r>
          </w:p>
        </w:tc>
        <w:tc>
          <w:tcPr>
            <w:tcW w:w="1100" w:type="dxa"/>
            <w:vAlign w:val="bottom"/>
            <w:gridSpan w:val="5"/>
          </w:tcPr>
          <w:p>
            <w:pPr>
              <w:spacing w:after="0" w:line="169" w:lineRule="exact"/>
              <w:rPr>
                <w:sz w:val="20"/>
                <w:szCs w:val="20"/>
                <w:color w:val="auto"/>
              </w:rPr>
            </w:pPr>
            <w:r>
              <w:rPr>
                <w:rFonts w:ascii="Times New Roman" w:cs="Times New Roman" w:eastAsia="Times New Roman" w:hAnsi="Times New Roman"/>
                <w:sz w:val="19"/>
                <w:szCs w:val="19"/>
                <w:color w:val="auto"/>
              </w:rPr>
              <w:t>Investments</w:t>
            </w:r>
          </w:p>
        </w:tc>
        <w:tc>
          <w:tcPr>
            <w:tcW w:w="360" w:type="dxa"/>
            <w:vAlign w:val="bottom"/>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rPr>
              <w:t>158</w:t>
            </w:r>
          </w:p>
        </w:tc>
        <w:tc>
          <w:tcPr>
            <w:tcW w:w="3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9"/>
                <w:szCs w:val="19"/>
                <w:color w:val="0000FF"/>
                <w:w w:val="98"/>
              </w:rPr>
              <w:t>162</w:t>
            </w:r>
          </w:p>
        </w:tc>
        <w:tc>
          <w:tcPr>
            <w:tcW w:w="740" w:type="dxa"/>
            <w:vAlign w:val="bottom"/>
            <w:gridSpan w:val="25"/>
          </w:tcPr>
          <w:p>
            <w:pPr>
              <w:spacing w:after="0"/>
              <w:rPr>
                <w:sz w:val="15"/>
                <w:szCs w:val="15"/>
                <w:color w:val="auto"/>
              </w:rPr>
            </w:pPr>
          </w:p>
        </w:tc>
        <w:tc>
          <w:tcPr>
            <w:tcW w:w="300" w:type="dxa"/>
            <w:vAlign w:val="bottom"/>
            <w:tcBorders>
              <w:top w:val="single" w:sz="8" w:color="0000FF"/>
            </w:tcBorders>
            <w:gridSpan w:val="5"/>
          </w:tcPr>
          <w:p>
            <w:pPr>
              <w:spacing w:after="0"/>
              <w:rPr>
                <w:sz w:val="15"/>
                <w:szCs w:val="15"/>
                <w:color w:val="auto"/>
              </w:rPr>
            </w:pPr>
          </w:p>
        </w:tc>
        <w:tc>
          <w:tcPr>
            <w:tcW w:w="3980" w:type="dxa"/>
            <w:vAlign w:val="bottom"/>
            <w:gridSpan w:val="3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6.07.</w:t>
            </w:r>
          </w:p>
        </w:tc>
        <w:tc>
          <w:tcPr>
            <w:tcW w:w="100" w:type="dxa"/>
            <w:vAlign w:val="bottom"/>
          </w:tcPr>
          <w:p>
            <w:pPr>
              <w:spacing w:after="0"/>
              <w:rPr>
                <w:sz w:val="15"/>
                <w:szCs w:val="15"/>
                <w:color w:val="auto"/>
              </w:rPr>
            </w:pPr>
          </w:p>
        </w:tc>
        <w:tc>
          <w:tcPr>
            <w:tcW w:w="1760" w:type="dxa"/>
            <w:vAlign w:val="bottom"/>
            <w:gridSpan w:val="17"/>
          </w:tcPr>
          <w:p>
            <w:pPr>
              <w:spacing w:after="0" w:line="176" w:lineRule="exact"/>
              <w:rPr>
                <w:sz w:val="20"/>
                <w:szCs w:val="20"/>
                <w:color w:val="auto"/>
              </w:rPr>
            </w:pPr>
            <w:r>
              <w:rPr>
                <w:rFonts w:ascii="Times New Roman" w:cs="Times New Roman" w:eastAsia="Times New Roman" w:hAnsi="Times New Roman"/>
                <w:sz w:val="20"/>
                <w:szCs w:val="20"/>
                <w:color w:val="auto"/>
                <w:w w:val="94"/>
              </w:rPr>
              <w:t>Fundamental Changes;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44"/>
          </w:tcPr>
          <w:p>
            <w:pPr>
              <w:jc w:val="right"/>
              <w:spacing w:after="0" w:line="176" w:lineRule="exact"/>
              <w:rPr>
                <w:sz w:val="20"/>
                <w:szCs w:val="20"/>
                <w:color w:val="auto"/>
              </w:rPr>
            </w:pPr>
            <w:r>
              <w:rPr>
                <w:rFonts w:ascii="Times New Roman" w:cs="Times New Roman" w:eastAsia="Times New Roman" w:hAnsi="Times New Roman"/>
                <w:sz w:val="20"/>
                <w:szCs w:val="20"/>
                <w:color w:val="auto"/>
              </w:rPr>
              <w:t>Disposition of Assets  16</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6.08.</w:t>
            </w:r>
          </w:p>
        </w:tc>
        <w:tc>
          <w:tcPr>
            <w:tcW w:w="4260" w:type="dxa"/>
            <w:vAlign w:val="bottom"/>
            <w:gridSpan w:val="66"/>
          </w:tcPr>
          <w:p>
            <w:pPr>
              <w:ind w:left="100"/>
              <w:spacing w:after="0" w:line="183" w:lineRule="exact"/>
              <w:rPr>
                <w:sz w:val="20"/>
                <w:szCs w:val="20"/>
                <w:color w:val="auto"/>
              </w:rPr>
            </w:pPr>
            <w:r>
              <w:rPr>
                <w:rFonts w:ascii="Times New Roman" w:cs="Times New Roman" w:eastAsia="Times New Roman" w:hAnsi="Times New Roman"/>
                <w:sz w:val="20"/>
                <w:szCs w:val="20"/>
                <w:color w:val="auto"/>
                <w:w w:val="94"/>
              </w:rPr>
              <w:t>Amendments of or Waivers with Respect to Restricted</w:t>
            </w: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40" w:type="dxa"/>
            <w:vAlign w:val="bottom"/>
            <w:gridSpan w:val="5"/>
          </w:tcPr>
          <w:p>
            <w:pPr>
              <w:ind w:left="60"/>
              <w:spacing w:after="0" w:line="183" w:lineRule="exact"/>
              <w:rPr>
                <w:sz w:val="20"/>
                <w:szCs w:val="20"/>
                <w:color w:val="auto"/>
              </w:rPr>
            </w:pPr>
            <w:r>
              <w:rPr>
                <w:rFonts w:ascii="Times New Roman" w:cs="Times New Roman" w:eastAsia="Times New Roman" w:hAnsi="Times New Roman"/>
                <w:sz w:val="20"/>
                <w:szCs w:val="20"/>
                <w:color w:val="auto"/>
              </w:rPr>
              <w:t>Debt</w:t>
            </w:r>
          </w:p>
        </w:tc>
        <w:tc>
          <w:tcPr>
            <w:tcW w:w="30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FF0000"/>
                <w:strike w:val="1"/>
                <w:w w:val="93"/>
              </w:rPr>
              <w:t>168</w:t>
            </w:r>
          </w:p>
        </w:tc>
        <w:tc>
          <w:tcPr>
            <w:tcW w:w="30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20"/>
                <w:szCs w:val="20"/>
                <w:color w:val="0000FF"/>
                <w:w w:val="86"/>
              </w:rPr>
              <w:t>171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6.09.</w:t>
            </w:r>
          </w:p>
        </w:tc>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Holdings</w:t>
            </w:r>
          </w:p>
        </w:tc>
        <w:tc>
          <w:tcPr>
            <w:tcW w:w="440" w:type="dxa"/>
            <w:vAlign w:val="bottom"/>
            <w:gridSpan w:val="6"/>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rPr>
              <w:t>168</w:t>
            </w:r>
          </w:p>
        </w:tc>
        <w:tc>
          <w:tcPr>
            <w:tcW w:w="4020" w:type="dxa"/>
            <w:vAlign w:val="bottom"/>
            <w:gridSpan w:val="69"/>
          </w:tcPr>
          <w:p>
            <w:pPr>
              <w:jc w:val="right"/>
              <w:ind w:right="3720"/>
              <w:spacing w:after="0" w:line="169" w:lineRule="exact"/>
              <w:rPr>
                <w:sz w:val="20"/>
                <w:szCs w:val="20"/>
                <w:color w:val="auto"/>
              </w:rPr>
            </w:pPr>
            <w:r>
              <w:rPr>
                <w:rFonts w:ascii="Times New Roman" w:cs="Times New Roman" w:eastAsia="Times New Roman" w:hAnsi="Times New Roman"/>
                <w:sz w:val="19"/>
                <w:szCs w:val="19"/>
                <w:color w:val="0000FF"/>
                <w:w w:val="98"/>
              </w:rPr>
              <w:t>171</w:t>
            </w:r>
          </w:p>
        </w:tc>
        <w:tc>
          <w:tcPr>
            <w:tcW w:w="280" w:type="dxa"/>
            <w:vAlign w:val="bottom"/>
            <w:tcBorders>
              <w:top w:val="single" w:sz="8" w:color="0000FF"/>
            </w:tcBorders>
            <w:gridSpan w:val="2"/>
          </w:tcPr>
          <w:p>
            <w:pPr>
              <w:spacing w:after="0"/>
              <w:rPr>
                <w:sz w:val="14"/>
                <w:szCs w:val="14"/>
                <w:color w:val="auto"/>
              </w:rPr>
            </w:pPr>
          </w:p>
        </w:tc>
        <w:tc>
          <w:tcPr>
            <w:tcW w:w="1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6.10.</w:t>
            </w:r>
          </w:p>
        </w:tc>
        <w:tc>
          <w:tcPr>
            <w:tcW w:w="1620" w:type="dxa"/>
            <w:vAlign w:val="bottom"/>
            <w:tcBorders>
              <w:right w:val="single" w:sz="8" w:color="0000FF"/>
            </w:tcBorders>
            <w:gridSpan w:val="14"/>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40" w:type="dxa"/>
            <w:vAlign w:val="bottom"/>
            <w:gridSpan w:val="11"/>
            <w:vMerge w:val="restart"/>
          </w:tcPr>
          <w:p>
            <w:pPr>
              <w:jc w:val="right"/>
              <w:ind w:right="20"/>
              <w:spacing w:after="0" w:line="203" w:lineRule="exact"/>
              <w:rPr>
                <w:sz w:val="20"/>
                <w:szCs w:val="20"/>
                <w:color w:val="auto"/>
              </w:rPr>
            </w:pPr>
            <w:r>
              <w:rPr>
                <w:rFonts w:ascii="Times New Roman" w:cs="Times New Roman" w:eastAsia="Times New Roman" w:hAnsi="Times New Roman"/>
                <w:sz w:val="20"/>
                <w:szCs w:val="20"/>
                <w:color w:val="FF0000"/>
                <w:strike w:val="1"/>
                <w:w w:val="99"/>
              </w:rPr>
              <w:t>168</w:t>
            </w:r>
          </w:p>
        </w:tc>
        <w:tc>
          <w:tcPr>
            <w:tcW w:w="300" w:type="dxa"/>
            <w:vAlign w:val="bottom"/>
            <w:gridSpan w:val="10"/>
            <w:vMerge w:val="restart"/>
          </w:tcPr>
          <w:p>
            <w:pPr>
              <w:spacing w:after="0" w:line="203" w:lineRule="exact"/>
              <w:rPr>
                <w:sz w:val="20"/>
                <w:szCs w:val="20"/>
                <w:color w:val="auto"/>
              </w:rPr>
            </w:pPr>
            <w:r>
              <w:rPr>
                <w:rFonts w:ascii="Times New Roman" w:cs="Times New Roman" w:eastAsia="Times New Roman" w:hAnsi="Times New Roman"/>
                <w:sz w:val="20"/>
                <w:szCs w:val="20"/>
                <w:color w:val="0000FF"/>
                <w:w w:val="93"/>
              </w:rPr>
              <w:t>172</w:t>
            </w: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280" w:type="dxa"/>
            <w:vAlign w:val="bottom"/>
            <w:gridSpan w:val="4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13"/>
          </w:tcPr>
          <w:p>
            <w:pPr>
              <w:spacing w:after="0" w:line="176" w:lineRule="exact"/>
              <w:rPr>
                <w:sz w:val="20"/>
                <w:szCs w:val="20"/>
                <w:color w:val="auto"/>
              </w:rPr>
            </w:pPr>
            <w:r>
              <w:rPr>
                <w:rFonts w:ascii="Times New Roman" w:cs="Times New Roman" w:eastAsia="Times New Roman" w:hAnsi="Times New Roman"/>
                <w:sz w:val="20"/>
                <w:szCs w:val="20"/>
                <w:color w:val="auto"/>
                <w:w w:val="90"/>
              </w:rPr>
              <w:t>Financial Covenants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gridSpan w:val="11"/>
            <w:vMerge w:val="continue"/>
          </w:tcPr>
          <w:p>
            <w:pPr>
              <w:spacing w:after="0"/>
              <w:rPr>
                <w:sz w:val="15"/>
                <w:szCs w:val="15"/>
                <w:color w:val="auto"/>
              </w:rPr>
            </w:pPr>
          </w:p>
        </w:tc>
        <w:tc>
          <w:tcPr>
            <w:tcW w:w="300" w:type="dxa"/>
            <w:vAlign w:val="bottom"/>
            <w:gridSpan w:val="10"/>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12"/>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ARTICLE 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3380" w:type="dxa"/>
            <w:vAlign w:val="bottom"/>
            <w:gridSpan w:val="32"/>
          </w:tcPr>
          <w:p>
            <w:pPr>
              <w:spacing w:after="0"/>
              <w:rPr>
                <w:sz w:val="24"/>
                <w:szCs w:val="24"/>
                <w:color w:val="auto"/>
              </w:rPr>
            </w:pPr>
          </w:p>
        </w:tc>
        <w:tc>
          <w:tcPr>
            <w:tcW w:w="280" w:type="dxa"/>
            <w:vAlign w:val="bottom"/>
            <w:tcBorders>
              <w:top w:val="single" w:sz="8" w:color="0000FF"/>
            </w:tcBorders>
            <w:gridSpan w:val="9"/>
          </w:tcPr>
          <w:p>
            <w:pPr>
              <w:spacing w:after="0"/>
              <w:rPr>
                <w:sz w:val="24"/>
                <w:szCs w:val="24"/>
                <w:color w:val="auto"/>
              </w:rPr>
            </w:pPr>
          </w:p>
        </w:tc>
        <w:tc>
          <w:tcPr>
            <w:tcW w:w="1480" w:type="dxa"/>
            <w:vAlign w:val="bottom"/>
            <w:gridSpan w:val="23"/>
          </w:tcPr>
          <w:p>
            <w:pPr>
              <w:spacing w:after="0"/>
              <w:rPr>
                <w:sz w:val="24"/>
                <w:szCs w:val="24"/>
                <w:color w:val="auto"/>
              </w:rPr>
            </w:pPr>
          </w:p>
        </w:tc>
        <w:tc>
          <w:tcPr>
            <w:tcW w:w="1040" w:type="dxa"/>
            <w:vAlign w:val="bottom"/>
            <w:gridSpan w:val="12"/>
            <w:vMerge w:val="continue"/>
          </w:tcPr>
          <w:p>
            <w:pPr>
              <w:spacing w:after="0"/>
              <w:rPr>
                <w:sz w:val="24"/>
                <w:szCs w:val="24"/>
                <w:color w:val="auto"/>
              </w:rPr>
            </w:pPr>
          </w:p>
        </w:tc>
        <w:tc>
          <w:tcPr>
            <w:tcW w:w="1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100" w:type="dxa"/>
            <w:vAlign w:val="bottom"/>
          </w:tcPr>
          <w:p>
            <w:pPr>
              <w:spacing w:after="0"/>
              <w:rPr>
                <w:sz w:val="24"/>
                <w:szCs w:val="24"/>
                <w:color w:val="auto"/>
              </w:rPr>
            </w:pPr>
          </w:p>
        </w:tc>
        <w:tc>
          <w:tcPr>
            <w:tcW w:w="180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Events of Default  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0</w:t>
            </w:r>
          </w:p>
        </w:tc>
        <w:tc>
          <w:tcPr>
            <w:tcW w:w="1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79"/>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12"/>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ARTICLE 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40" w:type="dxa"/>
            <w:vAlign w:val="bottom"/>
            <w:gridSpan w:val="64"/>
          </w:tcPr>
          <w:p>
            <w:pPr>
              <w:spacing w:after="0"/>
              <w:rPr>
                <w:sz w:val="24"/>
                <w:szCs w:val="24"/>
                <w:color w:val="auto"/>
              </w:rPr>
            </w:pPr>
          </w:p>
        </w:tc>
        <w:tc>
          <w:tcPr>
            <w:tcW w:w="1040" w:type="dxa"/>
            <w:vAlign w:val="bottom"/>
            <w:gridSpan w:val="12"/>
            <w:vMerge w:val="continue"/>
          </w:tcPr>
          <w:p>
            <w:pPr>
              <w:spacing w:after="0"/>
              <w:rPr>
                <w:sz w:val="24"/>
                <w:szCs w:val="24"/>
                <w:color w:val="auto"/>
              </w:rPr>
            </w:pPr>
          </w:p>
        </w:tc>
        <w:tc>
          <w:tcPr>
            <w:tcW w:w="1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36"/>
          </w:tcPr>
          <w:p>
            <w:pPr>
              <w:jc w:val="center"/>
              <w:ind w:right="867"/>
              <w:spacing w:after="0"/>
              <w:rPr>
                <w:sz w:val="20"/>
                <w:szCs w:val="20"/>
                <w:color w:val="auto"/>
              </w:rPr>
            </w:pPr>
            <w:r>
              <w:rPr>
                <w:rFonts w:ascii="Times New Roman" w:cs="Times New Roman" w:eastAsia="Times New Roman" w:hAnsi="Times New Roman"/>
                <w:sz w:val="20"/>
                <w:szCs w:val="20"/>
                <w:color w:val="auto"/>
                <w:w w:val="97"/>
              </w:rPr>
              <w:t>THE ADMINISTRATIVE AGENT</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5000" w:type="dxa"/>
            <w:vAlign w:val="bottom"/>
            <w:gridSpan w:val="74"/>
          </w:tcPr>
          <w:p>
            <w:pPr>
              <w:ind w:left="100"/>
              <w:spacing w:after="0"/>
              <w:rPr>
                <w:sz w:val="20"/>
                <w:szCs w:val="20"/>
                <w:color w:val="auto"/>
              </w:rPr>
            </w:pPr>
            <w:r>
              <w:rPr>
                <w:rFonts w:ascii="Times New Roman" w:cs="Times New Roman" w:eastAsia="Times New Roman" w:hAnsi="Times New Roman"/>
                <w:sz w:val="20"/>
                <w:szCs w:val="20"/>
                <w:color w:val="auto"/>
              </w:rPr>
              <w:t>Appointment and Authorization of Administrative Agent  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8.02.</w:t>
            </w:r>
          </w:p>
        </w:tc>
        <w:tc>
          <w:tcPr>
            <w:tcW w:w="1680" w:type="dxa"/>
            <w:vAlign w:val="bottom"/>
            <w:gridSpan w:val="15"/>
          </w:tcPr>
          <w:p>
            <w:pPr>
              <w:spacing w:after="0" w:line="183" w:lineRule="exact"/>
              <w:rPr>
                <w:sz w:val="20"/>
                <w:szCs w:val="20"/>
                <w:color w:val="auto"/>
              </w:rPr>
            </w:pPr>
            <w:r>
              <w:rPr>
                <w:rFonts w:ascii="Times New Roman" w:cs="Times New Roman" w:eastAsia="Times New Roman" w:hAnsi="Times New Roman"/>
                <w:sz w:val="20"/>
                <w:szCs w:val="20"/>
                <w:color w:val="auto"/>
              </w:rPr>
              <w:t>Rights as a Lender</w:t>
            </w:r>
          </w:p>
        </w:tc>
        <w:tc>
          <w:tcPr>
            <w:tcW w:w="2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auto"/>
                <w:w w:val="89"/>
              </w:rPr>
              <w:t>17</w:t>
            </w:r>
          </w:p>
        </w:tc>
        <w:tc>
          <w:tcPr>
            <w:tcW w:w="1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8</w:t>
            </w:r>
          </w:p>
        </w:tc>
        <w:tc>
          <w:tcPr>
            <w:tcW w:w="470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8.03.</w:t>
            </w:r>
          </w:p>
        </w:tc>
        <w:tc>
          <w:tcPr>
            <w:tcW w:w="100" w:type="dxa"/>
            <w:vAlign w:val="bottom"/>
          </w:tcPr>
          <w:p>
            <w:pPr>
              <w:spacing w:after="0"/>
              <w:rPr>
                <w:sz w:val="15"/>
                <w:szCs w:val="15"/>
                <w:color w:val="auto"/>
              </w:rPr>
            </w:pPr>
          </w:p>
        </w:tc>
        <w:tc>
          <w:tcPr>
            <w:tcW w:w="1980" w:type="dxa"/>
            <w:vAlign w:val="bottom"/>
            <w:gridSpan w:val="23"/>
          </w:tcPr>
          <w:p>
            <w:pPr>
              <w:spacing w:after="0" w:line="169" w:lineRule="exact"/>
              <w:rPr>
                <w:sz w:val="20"/>
                <w:szCs w:val="20"/>
                <w:color w:val="auto"/>
              </w:rPr>
            </w:pPr>
            <w:r>
              <w:rPr>
                <w:rFonts w:ascii="Times New Roman" w:cs="Times New Roman" w:eastAsia="Times New Roman" w:hAnsi="Times New Roman"/>
                <w:sz w:val="19"/>
                <w:szCs w:val="19"/>
                <w:color w:val="auto"/>
              </w:rPr>
              <w:t>Exculpatory Provisions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auto"/>
                <w:w w:val="83"/>
              </w:rPr>
              <w:t>17</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4</w:t>
            </w:r>
          </w:p>
        </w:tc>
        <w:tc>
          <w:tcPr>
            <w:tcW w:w="1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9"/>
                <w:szCs w:val="19"/>
                <w:color w:val="0000FF"/>
                <w:w w:val="83"/>
              </w:rPr>
              <w:t>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8.04.</w:t>
            </w:r>
          </w:p>
        </w:tc>
        <w:tc>
          <w:tcPr>
            <w:tcW w:w="100" w:type="dxa"/>
            <w:vAlign w:val="bottom"/>
          </w:tcPr>
          <w:p>
            <w:pPr>
              <w:spacing w:after="0"/>
              <w:rPr>
                <w:sz w:val="15"/>
                <w:szCs w:val="15"/>
                <w:color w:val="auto"/>
              </w:rPr>
            </w:pPr>
          </w:p>
        </w:tc>
        <w:tc>
          <w:tcPr>
            <w:tcW w:w="3900" w:type="dxa"/>
            <w:vAlign w:val="bottom"/>
            <w:gridSpan w:val="62"/>
          </w:tcPr>
          <w:p>
            <w:pPr>
              <w:spacing w:after="0" w:line="176" w:lineRule="exact"/>
              <w:rPr>
                <w:sz w:val="20"/>
                <w:szCs w:val="20"/>
                <w:color w:val="auto"/>
              </w:rPr>
            </w:pPr>
            <w:r>
              <w:rPr>
                <w:rFonts w:ascii="Times New Roman" w:cs="Times New Roman" w:eastAsia="Times New Roman" w:hAnsi="Times New Roman"/>
                <w:sz w:val="20"/>
                <w:szCs w:val="20"/>
                <w:color w:val="auto"/>
                <w:w w:val="98"/>
              </w:rPr>
              <w:t>Exclusive Right to Enforce Rights and Remedies</w:t>
            </w:r>
          </w:p>
        </w:tc>
        <w:tc>
          <w:tcPr>
            <w:tcW w:w="3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auto"/>
              </w:rPr>
              <w:t>17</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9</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8.05.</w:t>
            </w:r>
          </w:p>
        </w:tc>
        <w:tc>
          <w:tcPr>
            <w:tcW w:w="100" w:type="dxa"/>
            <w:vAlign w:val="bottom"/>
          </w:tcPr>
          <w:p>
            <w:pPr>
              <w:spacing w:after="0"/>
              <w:rPr>
                <w:sz w:val="15"/>
                <w:szCs w:val="15"/>
                <w:color w:val="auto"/>
              </w:rPr>
            </w:pPr>
          </w:p>
        </w:tc>
        <w:tc>
          <w:tcPr>
            <w:tcW w:w="2740" w:type="dxa"/>
            <w:vAlign w:val="bottom"/>
            <w:gridSpan w:val="45"/>
          </w:tcPr>
          <w:p>
            <w:pPr>
              <w:spacing w:after="0" w:line="169" w:lineRule="exact"/>
              <w:rPr>
                <w:sz w:val="20"/>
                <w:szCs w:val="20"/>
                <w:color w:val="auto"/>
              </w:rPr>
            </w:pPr>
            <w:r>
              <w:rPr>
                <w:rFonts w:ascii="Times New Roman" w:cs="Times New Roman" w:eastAsia="Times New Roman" w:hAnsi="Times New Roman"/>
                <w:sz w:val="19"/>
                <w:szCs w:val="19"/>
                <w:color w:val="auto"/>
              </w:rPr>
              <w:t>Reliance by Administrative Agent</w:t>
            </w:r>
          </w:p>
        </w:tc>
        <w:tc>
          <w:tcPr>
            <w:tcW w:w="360" w:type="dxa"/>
            <w:vAlign w:val="bottom"/>
            <w:gridSpan w:val="7"/>
          </w:tcPr>
          <w:p>
            <w:pPr>
              <w:jc w:val="center"/>
              <w:ind w:left="84"/>
              <w:spacing w:after="0" w:line="169" w:lineRule="exact"/>
              <w:rPr>
                <w:sz w:val="20"/>
                <w:szCs w:val="20"/>
                <w:color w:val="auto"/>
              </w:rPr>
            </w:pPr>
            <w:r>
              <w:rPr>
                <w:rFonts w:ascii="Times New Roman" w:cs="Times New Roman" w:eastAsia="Times New Roman" w:hAnsi="Times New Roman"/>
                <w:sz w:val="19"/>
                <w:szCs w:val="19"/>
                <w:color w:val="auto"/>
                <w:w w:val="94"/>
              </w:rPr>
              <w:t>17</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6</w:t>
            </w:r>
          </w:p>
        </w:tc>
        <w:tc>
          <w:tcPr>
            <w:tcW w:w="16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color w:val="0000FF"/>
              </w:rPr>
              <w:t>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8.06.</w:t>
            </w:r>
          </w:p>
        </w:tc>
        <w:tc>
          <w:tcPr>
            <w:tcW w:w="100" w:type="dxa"/>
            <w:vAlign w:val="bottom"/>
          </w:tcPr>
          <w:p>
            <w:pPr>
              <w:spacing w:after="0"/>
              <w:rPr>
                <w:sz w:val="15"/>
                <w:szCs w:val="15"/>
                <w:color w:val="auto"/>
              </w:rPr>
            </w:pPr>
          </w:p>
        </w:tc>
        <w:tc>
          <w:tcPr>
            <w:tcW w:w="1680" w:type="dxa"/>
            <w:vAlign w:val="bottom"/>
            <w:gridSpan w:val="15"/>
          </w:tcPr>
          <w:p>
            <w:pPr>
              <w:spacing w:after="0" w:line="176" w:lineRule="exact"/>
              <w:rPr>
                <w:sz w:val="20"/>
                <w:szCs w:val="20"/>
                <w:color w:val="auto"/>
              </w:rPr>
            </w:pPr>
            <w:r>
              <w:rPr>
                <w:rFonts w:ascii="Times New Roman" w:cs="Times New Roman" w:eastAsia="Times New Roman" w:hAnsi="Times New Roman"/>
                <w:sz w:val="20"/>
                <w:szCs w:val="20"/>
                <w:color w:val="auto"/>
                <w:w w:val="99"/>
              </w:rPr>
              <w:t>Delegation of Duties</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1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rPr>
              <w:t>176</w:t>
            </w:r>
          </w:p>
        </w:tc>
        <w:tc>
          <w:tcPr>
            <w:tcW w:w="28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20"/>
                <w:szCs w:val="20"/>
                <w:color w:val="0000FF"/>
                <w:w w:val="86"/>
              </w:rPr>
              <w:t>180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8.07.</w:t>
            </w:r>
          </w:p>
        </w:tc>
        <w:tc>
          <w:tcPr>
            <w:tcW w:w="100" w:type="dxa"/>
            <w:vAlign w:val="bottom"/>
          </w:tcPr>
          <w:p>
            <w:pPr>
              <w:spacing w:after="0"/>
              <w:rPr>
                <w:sz w:val="15"/>
                <w:szCs w:val="15"/>
                <w:color w:val="auto"/>
              </w:rPr>
            </w:pPr>
          </w:p>
        </w:tc>
        <w:tc>
          <w:tcPr>
            <w:tcW w:w="2160" w:type="dxa"/>
            <w:vAlign w:val="bottom"/>
            <w:gridSpan w:val="31"/>
          </w:tcPr>
          <w:p>
            <w:pPr>
              <w:spacing w:after="0" w:line="183" w:lineRule="exact"/>
              <w:rPr>
                <w:sz w:val="20"/>
                <w:szCs w:val="20"/>
                <w:color w:val="auto"/>
              </w:rPr>
            </w:pPr>
            <w:r>
              <w:rPr>
                <w:rFonts w:ascii="Times New Roman" w:cs="Times New Roman" w:eastAsia="Times New Roman" w:hAnsi="Times New Roman"/>
                <w:sz w:val="20"/>
                <w:szCs w:val="20"/>
                <w:color w:val="auto"/>
              </w:rPr>
              <w:t>Successor Administrative</w:t>
            </w:r>
          </w:p>
        </w:tc>
        <w:tc>
          <w:tcPr>
            <w:tcW w:w="580" w:type="dxa"/>
            <w:vAlign w:val="bottom"/>
            <w:gridSpan w:val="14"/>
          </w:tcPr>
          <w:p>
            <w:pPr>
              <w:spacing w:after="0" w:line="183" w:lineRule="exact"/>
              <w:rPr>
                <w:sz w:val="20"/>
                <w:szCs w:val="20"/>
                <w:color w:val="auto"/>
              </w:rPr>
            </w:pPr>
            <w:r>
              <w:rPr>
                <w:rFonts w:ascii="Times New Roman" w:cs="Times New Roman" w:eastAsia="Times New Roman" w:hAnsi="Times New Roman"/>
                <w:sz w:val="20"/>
                <w:szCs w:val="20"/>
                <w:color w:val="auto"/>
              </w:rPr>
              <w:t>Agent</w:t>
            </w:r>
          </w:p>
        </w:tc>
        <w:tc>
          <w:tcPr>
            <w:tcW w:w="340" w:type="dxa"/>
            <w:vAlign w:val="bottom"/>
            <w:gridSpan w:val="6"/>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9"/>
              </w:rPr>
              <w:t>176</w:t>
            </w:r>
          </w:p>
        </w:tc>
        <w:tc>
          <w:tcPr>
            <w:tcW w:w="28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20"/>
                <w:szCs w:val="20"/>
                <w:color w:val="0000FF"/>
                <w:w w:val="86"/>
              </w:rPr>
              <w:t>180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8.08.</w:t>
            </w:r>
          </w:p>
        </w:tc>
        <w:tc>
          <w:tcPr>
            <w:tcW w:w="100" w:type="dxa"/>
            <w:vAlign w:val="bottom"/>
          </w:tcPr>
          <w:p>
            <w:pPr>
              <w:spacing w:after="0"/>
              <w:rPr>
                <w:sz w:val="15"/>
                <w:szCs w:val="15"/>
                <w:color w:val="auto"/>
              </w:rPr>
            </w:pPr>
          </w:p>
        </w:tc>
        <w:tc>
          <w:tcPr>
            <w:tcW w:w="3080" w:type="dxa"/>
            <w:vAlign w:val="bottom"/>
            <w:gridSpan w:val="51"/>
          </w:tcPr>
          <w:p>
            <w:pPr>
              <w:spacing w:after="0" w:line="169" w:lineRule="exact"/>
              <w:rPr>
                <w:sz w:val="20"/>
                <w:szCs w:val="20"/>
                <w:color w:val="auto"/>
              </w:rPr>
            </w:pPr>
            <w:r>
              <w:rPr>
                <w:rFonts w:ascii="Times New Roman" w:cs="Times New Roman" w:eastAsia="Times New Roman" w:hAnsi="Times New Roman"/>
                <w:sz w:val="19"/>
                <w:szCs w:val="19"/>
                <w:color w:val="auto"/>
              </w:rPr>
              <w:t>Non-Reliance on Administrative Agent,</w:t>
            </w:r>
          </w:p>
        </w:tc>
        <w:tc>
          <w:tcPr>
            <w:tcW w:w="80" w:type="dxa"/>
            <w:vAlign w:val="bottom"/>
            <w:gridSpan w:val="2"/>
          </w:tcPr>
          <w:p>
            <w:pPr>
              <w:spacing w:after="0"/>
              <w:rPr>
                <w:sz w:val="15"/>
                <w:szCs w:val="15"/>
                <w:color w:val="auto"/>
              </w:rPr>
            </w:pPr>
          </w:p>
        </w:tc>
        <w:tc>
          <w:tcPr>
            <w:tcW w:w="3040" w:type="dxa"/>
            <w:vAlign w:val="bottom"/>
            <w:gridSpan w:val="30"/>
          </w:tcPr>
          <w:p>
            <w:pPr>
              <w:ind w:left="60"/>
              <w:spacing w:after="0" w:line="169" w:lineRule="exact"/>
              <w:rPr>
                <w:sz w:val="20"/>
                <w:szCs w:val="20"/>
                <w:color w:val="auto"/>
              </w:rPr>
            </w:pPr>
            <w:r>
              <w:rPr>
                <w:rFonts w:ascii="Times New Roman" w:cs="Times New Roman" w:eastAsia="Times New Roman" w:hAnsi="Times New Roman"/>
                <w:sz w:val="19"/>
                <w:szCs w:val="19"/>
                <w:color w:val="auto"/>
              </w:rPr>
              <w:t>the Arrangers or the Other Lenders</w:t>
            </w:r>
          </w:p>
        </w:tc>
        <w:tc>
          <w:tcPr>
            <w:tcW w:w="28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91"/>
              </w:rPr>
              <w:t>178</w:t>
            </w:r>
          </w:p>
        </w:tc>
        <w:tc>
          <w:tcPr>
            <w:tcW w:w="3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8"/>
              </w:rPr>
              <w:t>181</w:t>
            </w: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8.09.</w:t>
            </w:r>
          </w:p>
        </w:tc>
        <w:tc>
          <w:tcPr>
            <w:tcW w:w="100" w:type="dxa"/>
            <w:vAlign w:val="bottom"/>
          </w:tcPr>
          <w:p>
            <w:pPr>
              <w:spacing w:after="0"/>
              <w:rPr>
                <w:sz w:val="15"/>
                <w:szCs w:val="15"/>
                <w:color w:val="auto"/>
              </w:rPr>
            </w:pPr>
          </w:p>
        </w:tc>
        <w:tc>
          <w:tcPr>
            <w:tcW w:w="2740" w:type="dxa"/>
            <w:vAlign w:val="bottom"/>
            <w:gridSpan w:val="45"/>
          </w:tcPr>
          <w:p>
            <w:pPr>
              <w:spacing w:after="0" w:line="176" w:lineRule="exact"/>
              <w:rPr>
                <w:sz w:val="20"/>
                <w:szCs w:val="20"/>
                <w:color w:val="auto"/>
              </w:rPr>
            </w:pPr>
            <w:r>
              <w:rPr>
                <w:rFonts w:ascii="Times New Roman" w:cs="Times New Roman" w:eastAsia="Times New Roman" w:hAnsi="Times New Roman"/>
                <w:sz w:val="20"/>
                <w:szCs w:val="20"/>
                <w:color w:val="auto"/>
              </w:rPr>
              <w:t>Collateral and Guaranty Matters</w:t>
            </w:r>
          </w:p>
        </w:tc>
        <w:tc>
          <w:tcPr>
            <w:tcW w:w="3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99"/>
              </w:rPr>
              <w:t>179</w:t>
            </w:r>
          </w:p>
        </w:tc>
        <w:tc>
          <w:tcPr>
            <w:tcW w:w="30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20"/>
                <w:szCs w:val="20"/>
                <w:color w:val="0000FF"/>
                <w:w w:val="93"/>
              </w:rPr>
              <w:t>182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8.10.</w:t>
            </w:r>
          </w:p>
        </w:tc>
        <w:tc>
          <w:tcPr>
            <w:tcW w:w="100" w:type="dxa"/>
            <w:vAlign w:val="bottom"/>
          </w:tcPr>
          <w:p>
            <w:pPr>
              <w:spacing w:after="0"/>
              <w:rPr>
                <w:sz w:val="15"/>
                <w:szCs w:val="15"/>
                <w:color w:val="auto"/>
              </w:rPr>
            </w:pPr>
          </w:p>
        </w:tc>
        <w:tc>
          <w:tcPr>
            <w:tcW w:w="2040" w:type="dxa"/>
            <w:vAlign w:val="bottom"/>
            <w:gridSpan w:val="25"/>
          </w:tcPr>
          <w:p>
            <w:pPr>
              <w:spacing w:after="0" w:line="183" w:lineRule="exact"/>
              <w:rPr>
                <w:sz w:val="20"/>
                <w:szCs w:val="20"/>
                <w:color w:val="auto"/>
              </w:rPr>
            </w:pPr>
            <w:r>
              <w:rPr>
                <w:rFonts w:ascii="Times New Roman" w:cs="Times New Roman" w:eastAsia="Times New Roman" w:hAnsi="Times New Roman"/>
                <w:sz w:val="20"/>
                <w:szCs w:val="20"/>
                <w:color w:val="auto"/>
              </w:rPr>
              <w:t>Intercreditor Agreements</w:t>
            </w:r>
          </w:p>
        </w:tc>
        <w:tc>
          <w:tcPr>
            <w:tcW w:w="360" w:type="dxa"/>
            <w:vAlign w:val="bottom"/>
            <w:gridSpan w:val="13"/>
          </w:tcPr>
          <w:p>
            <w:pPr>
              <w:jc w:val="right"/>
              <w:spacing w:after="0" w:line="183" w:lineRule="exact"/>
              <w:rPr>
                <w:sz w:val="20"/>
                <w:szCs w:val="20"/>
                <w:color w:val="auto"/>
              </w:rPr>
            </w:pPr>
            <w:r>
              <w:rPr>
                <w:rFonts w:ascii="Times New Roman" w:cs="Times New Roman" w:eastAsia="Times New Roman" w:hAnsi="Times New Roman"/>
                <w:sz w:val="20"/>
                <w:szCs w:val="20"/>
                <w:color w:val="auto"/>
              </w:rPr>
              <w:t>18</w:t>
            </w:r>
          </w:p>
        </w:tc>
        <w:tc>
          <w:tcPr>
            <w:tcW w:w="1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0</w:t>
            </w:r>
          </w:p>
        </w:tc>
        <w:tc>
          <w:tcPr>
            <w:tcW w:w="18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0000FF"/>
              </w:rPr>
              <w:t>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8.11.</w:t>
            </w:r>
          </w:p>
        </w:tc>
        <w:tc>
          <w:tcPr>
            <w:tcW w:w="2600" w:type="dxa"/>
            <w:vAlign w:val="bottom"/>
            <w:gridSpan w:val="43"/>
          </w:tcPr>
          <w:p>
            <w:pPr>
              <w:ind w:left="100"/>
              <w:spacing w:after="0" w:line="169" w:lineRule="exact"/>
              <w:rPr>
                <w:sz w:val="20"/>
                <w:szCs w:val="20"/>
                <w:color w:val="auto"/>
              </w:rPr>
            </w:pPr>
            <w:r>
              <w:rPr>
                <w:rFonts w:ascii="Times New Roman" w:cs="Times New Roman" w:eastAsia="Times New Roman" w:hAnsi="Times New Roman"/>
                <w:sz w:val="19"/>
                <w:szCs w:val="19"/>
                <w:color w:val="auto"/>
                <w:w w:val="95"/>
              </w:rPr>
              <w:t>Indemnification of Administrative</w:t>
            </w: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13"/>
          </w:tcPr>
          <w:p>
            <w:pPr>
              <w:jc w:val="center"/>
              <w:ind w:right="40"/>
              <w:spacing w:after="0" w:line="169" w:lineRule="exact"/>
              <w:rPr>
                <w:sz w:val="20"/>
                <w:szCs w:val="20"/>
                <w:color w:val="auto"/>
              </w:rPr>
            </w:pPr>
            <w:r>
              <w:rPr>
                <w:rFonts w:ascii="Times New Roman" w:cs="Times New Roman" w:eastAsia="Times New Roman" w:hAnsi="Times New Roman"/>
                <w:sz w:val="19"/>
                <w:szCs w:val="19"/>
                <w:color w:val="auto"/>
              </w:rPr>
              <w:t>Agent</w:t>
            </w:r>
          </w:p>
        </w:tc>
        <w:tc>
          <w:tcPr>
            <w:tcW w:w="28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auto"/>
              </w:rPr>
              <w:t>18</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1</w:t>
            </w:r>
          </w:p>
        </w:tc>
        <w:tc>
          <w:tcPr>
            <w:tcW w:w="1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9"/>
                <w:szCs w:val="19"/>
                <w:color w:val="0000FF"/>
                <w:w w:val="83"/>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8.12.</w:t>
            </w:r>
          </w:p>
        </w:tc>
        <w:tc>
          <w:tcPr>
            <w:tcW w:w="17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20"/>
                <w:szCs w:val="20"/>
                <w:color w:val="auto"/>
              </w:rPr>
              <w:t>Withholding Taxes</w:t>
            </w:r>
          </w:p>
        </w:tc>
        <w:tc>
          <w:tcPr>
            <w:tcW w:w="22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auto"/>
                <w:w w:val="99"/>
              </w:rPr>
              <w:t>18</w:t>
            </w:r>
          </w:p>
        </w:tc>
        <w:tc>
          <w:tcPr>
            <w:tcW w:w="1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20" w:type="dxa"/>
            <w:vAlign w:val="bottom"/>
            <w:tcBorders>
              <w:bottom w:val="single" w:sz="8" w:color="0000FF"/>
            </w:tcBorders>
            <w:gridSpan w:val="5"/>
          </w:tcPr>
          <w:p>
            <w:pPr>
              <w:jc w:val="right"/>
              <w:ind w:right="20"/>
              <w:spacing w:after="0" w:line="176" w:lineRule="exact"/>
              <w:rPr>
                <w:sz w:val="20"/>
                <w:szCs w:val="20"/>
                <w:color w:val="auto"/>
              </w:rPr>
            </w:pPr>
            <w:r>
              <w:rPr>
                <w:rFonts w:ascii="Times New Roman" w:cs="Times New Roman" w:eastAsia="Times New Roman" w:hAnsi="Times New Roman"/>
                <w:sz w:val="20"/>
                <w:szCs w:val="20"/>
                <w:color w:val="0000FF"/>
                <w:w w:val="79"/>
              </w:rPr>
              <w:t>5</w:t>
            </w:r>
          </w:p>
        </w:tc>
        <w:tc>
          <w:tcPr>
            <w:tcW w:w="1620" w:type="dxa"/>
            <w:vAlign w:val="bottom"/>
            <w:gridSpan w:val="31"/>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9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8.13.</w:t>
            </w:r>
          </w:p>
        </w:tc>
        <w:tc>
          <w:tcPr>
            <w:tcW w:w="2220" w:type="dxa"/>
            <w:vAlign w:val="bottom"/>
            <w:gridSpan w:val="30"/>
          </w:tcPr>
          <w:p>
            <w:pPr>
              <w:ind w:left="100"/>
              <w:spacing w:after="0" w:line="183" w:lineRule="exact"/>
              <w:rPr>
                <w:sz w:val="20"/>
                <w:szCs w:val="20"/>
                <w:color w:val="auto"/>
              </w:rPr>
            </w:pPr>
            <w:r>
              <w:rPr>
                <w:rFonts w:ascii="Times New Roman" w:cs="Times New Roman" w:eastAsia="Times New Roman" w:hAnsi="Times New Roman"/>
                <w:sz w:val="20"/>
                <w:szCs w:val="20"/>
                <w:color w:val="auto"/>
                <w:w w:val="97"/>
              </w:rPr>
              <w:t>Administrative Agent May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30"/>
          </w:tcPr>
          <w:p>
            <w:pPr>
              <w:jc w:val="center"/>
              <w:ind w:right="100"/>
              <w:spacing w:after="0" w:line="183" w:lineRule="exact"/>
              <w:rPr>
                <w:sz w:val="20"/>
                <w:szCs w:val="20"/>
                <w:color w:val="auto"/>
              </w:rPr>
            </w:pPr>
            <w:r>
              <w:rPr>
                <w:rFonts w:ascii="Times New Roman" w:cs="Times New Roman" w:eastAsia="Times New Roman" w:hAnsi="Times New Roman"/>
                <w:sz w:val="20"/>
                <w:szCs w:val="20"/>
                <w:color w:val="auto"/>
                <w:w w:val="98"/>
              </w:rPr>
              <w:t>File Proofs of Claim</w:t>
            </w:r>
          </w:p>
        </w:tc>
        <w:tc>
          <w:tcPr>
            <w:tcW w:w="3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auto"/>
              </w:rPr>
              <w:t>18</w:t>
            </w:r>
          </w:p>
        </w:tc>
        <w:tc>
          <w:tcPr>
            <w:tcW w:w="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80" w:type="dxa"/>
            <w:vAlign w:val="bottom"/>
            <w:gridSpan w:val="3"/>
          </w:tcPr>
          <w:p>
            <w:pPr>
              <w:jc w:val="right"/>
              <w:ind w:right="80"/>
              <w:spacing w:after="0" w:line="183" w:lineRule="exact"/>
              <w:rPr>
                <w:sz w:val="20"/>
                <w:szCs w:val="20"/>
                <w:color w:val="auto"/>
              </w:rPr>
            </w:pPr>
            <w:r>
              <w:rPr>
                <w:rFonts w:ascii="Times New Roman" w:cs="Times New Roman" w:eastAsia="Times New Roman" w:hAnsi="Times New Roman"/>
                <w:sz w:val="20"/>
                <w:szCs w:val="20"/>
                <w:color w:val="0000FF"/>
                <w:w w:val="79"/>
              </w:rPr>
              <w:t>5</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8.14.</w:t>
            </w:r>
          </w:p>
        </w:tc>
        <w:tc>
          <w:tcPr>
            <w:tcW w:w="100" w:type="dxa"/>
            <w:vAlign w:val="bottom"/>
          </w:tcPr>
          <w:p>
            <w:pPr>
              <w:spacing w:after="0"/>
              <w:rPr>
                <w:sz w:val="14"/>
                <w:szCs w:val="14"/>
                <w:color w:val="auto"/>
              </w:rPr>
            </w:pPr>
          </w:p>
        </w:tc>
        <w:tc>
          <w:tcPr>
            <w:tcW w:w="2740" w:type="dxa"/>
            <w:vAlign w:val="bottom"/>
            <w:gridSpan w:val="45"/>
          </w:tcPr>
          <w:p>
            <w:pPr>
              <w:spacing w:after="0" w:line="169" w:lineRule="exact"/>
              <w:rPr>
                <w:sz w:val="20"/>
                <w:szCs w:val="20"/>
                <w:color w:val="auto"/>
              </w:rPr>
            </w:pPr>
            <w:r>
              <w:rPr>
                <w:rFonts w:ascii="Times New Roman" w:cs="Times New Roman" w:eastAsia="Times New Roman" w:hAnsi="Times New Roman"/>
                <w:sz w:val="19"/>
                <w:szCs w:val="19"/>
                <w:color w:val="0000FF"/>
              </w:rPr>
              <w:t xml:space="preserve">Recovery of </w:t>
            </w:r>
            <w:r>
              <w:rPr>
                <w:rFonts w:ascii="Times New Roman" w:cs="Times New Roman" w:eastAsia="Times New Roman" w:hAnsi="Times New Roman"/>
                <w:sz w:val="19"/>
                <w:szCs w:val="19"/>
                <w:color w:val="000000"/>
              </w:rPr>
              <w:t>Erroneous Payments</w:t>
            </w:r>
          </w:p>
        </w:tc>
        <w:tc>
          <w:tcPr>
            <w:tcW w:w="32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auto"/>
              </w:rPr>
              <w:t>18</w:t>
            </w:r>
          </w:p>
        </w:tc>
        <w:tc>
          <w:tcPr>
            <w:tcW w:w="10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color w:val="FF0000"/>
                <w:strike w:val="1"/>
                <w:w w:val="83"/>
              </w:rPr>
              <w:t>2</w:t>
            </w:r>
          </w:p>
        </w:tc>
        <w:tc>
          <w:tcPr>
            <w:tcW w:w="140" w:type="dxa"/>
            <w:vAlign w:val="bottom"/>
            <w:gridSpan w:val="3"/>
          </w:tcPr>
          <w:p>
            <w:pPr>
              <w:jc w:val="right"/>
              <w:ind w:right="40"/>
              <w:spacing w:after="0" w:line="169" w:lineRule="exact"/>
              <w:rPr>
                <w:sz w:val="20"/>
                <w:szCs w:val="20"/>
                <w:color w:val="auto"/>
              </w:rPr>
            </w:pPr>
            <w:r>
              <w:rPr>
                <w:rFonts w:ascii="Times New Roman" w:cs="Times New Roman" w:eastAsia="Times New Roman" w:hAnsi="Times New Roman"/>
                <w:sz w:val="19"/>
                <w:szCs w:val="19"/>
                <w:color w:val="0000FF"/>
                <w:w w:val="83"/>
              </w:rPr>
              <w:t>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8.15.</w:t>
            </w:r>
          </w:p>
        </w:tc>
        <w:tc>
          <w:tcPr>
            <w:tcW w:w="100" w:type="dxa"/>
            <w:vAlign w:val="bottom"/>
          </w:tcPr>
          <w:p>
            <w:pPr>
              <w:spacing w:after="0"/>
              <w:rPr>
                <w:sz w:val="2"/>
                <w:szCs w:val="2"/>
                <w:color w:val="auto"/>
              </w:rPr>
            </w:pPr>
          </w:p>
        </w:tc>
        <w:tc>
          <w:tcPr>
            <w:tcW w:w="780" w:type="dxa"/>
            <w:vAlign w:val="bottom"/>
            <w:gridSpan w:val="2"/>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0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300" w:type="dxa"/>
            <w:vAlign w:val="bottom"/>
            <w:gridSpan w:val="4"/>
          </w:tcPr>
          <w:p>
            <w:pPr>
              <w:spacing w:after="0"/>
              <w:rPr>
                <w:sz w:val="2"/>
                <w:szCs w:val="2"/>
                <w:color w:val="auto"/>
              </w:rPr>
            </w:pPr>
          </w:p>
        </w:tc>
        <w:tc>
          <w:tcPr>
            <w:tcW w:w="980" w:type="dxa"/>
            <w:vAlign w:val="bottom"/>
            <w:gridSpan w:val="11"/>
          </w:tcPr>
          <w:p>
            <w:pPr>
              <w:spacing w:after="0"/>
              <w:rPr>
                <w:sz w:val="2"/>
                <w:szCs w:val="2"/>
                <w:color w:val="auto"/>
              </w:rPr>
            </w:pPr>
          </w:p>
        </w:tc>
        <w:tc>
          <w:tcPr>
            <w:tcW w:w="30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80" w:type="dxa"/>
            <w:vAlign w:val="bottom"/>
            <w:gridSpan w:val="78"/>
          </w:tcPr>
          <w:p>
            <w:pPr>
              <w:spacing w:after="0" w:line="176" w:lineRule="exact"/>
              <w:rPr>
                <w:sz w:val="20"/>
                <w:szCs w:val="20"/>
                <w:color w:val="auto"/>
              </w:rPr>
            </w:pPr>
            <w:r>
              <w:rPr>
                <w:rFonts w:ascii="Times New Roman" w:cs="Times New Roman" w:eastAsia="Times New Roman" w:hAnsi="Times New Roman"/>
                <w:sz w:val="20"/>
                <w:szCs w:val="20"/>
                <w:color w:val="auto"/>
              </w:rPr>
              <w:t>Banking Services Obligations and Secured Hedging Obligations  18</w:t>
            </w:r>
          </w:p>
        </w:tc>
        <w:tc>
          <w:tcPr>
            <w:tcW w:w="1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200" w:type="dxa"/>
            <w:vAlign w:val="bottom"/>
            <w:gridSpan w:val="4"/>
          </w:tcPr>
          <w:p>
            <w:pPr>
              <w:jc w:val="right"/>
              <w:ind w:right="1007"/>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0" w:type="dxa"/>
            <w:vAlign w:val="bottom"/>
          </w:tcPr>
          <w:p>
            <w:pPr>
              <w:spacing w:after="0"/>
              <w:rPr>
                <w:sz w:val="1"/>
                <w:szCs w:val="1"/>
                <w:color w:val="auto"/>
              </w:rPr>
            </w:pPr>
          </w:p>
        </w:tc>
      </w:tr>
      <w:tr>
        <w:trPr>
          <w:trHeight w:val="445"/>
        </w:trPr>
        <w:tc>
          <w:tcPr>
            <w:tcW w:w="6820" w:type="dxa"/>
            <w:vAlign w:val="bottom"/>
            <w:gridSpan w:val="83"/>
          </w:tcPr>
          <w:p>
            <w:pPr>
              <w:spacing w:after="0"/>
              <w:rPr>
                <w:sz w:val="20"/>
                <w:szCs w:val="20"/>
                <w:color w:val="auto"/>
              </w:rPr>
            </w:pPr>
            <w:r>
              <w:rPr>
                <w:rFonts w:ascii="Times New Roman" w:cs="Times New Roman" w:eastAsia="Times New Roman" w:hAnsi="Times New Roman"/>
                <w:sz w:val="20"/>
                <w:szCs w:val="20"/>
                <w:color w:val="auto"/>
              </w:rPr>
              <w:t>ARTICLE 9</w:t>
            </w:r>
          </w:p>
        </w:tc>
        <w:tc>
          <w:tcPr>
            <w:tcW w:w="100" w:type="dxa"/>
            <w:vAlign w:val="bottom"/>
            <w:tcBorders>
              <w:top w:val="single" w:sz="8" w:color="0000FF"/>
            </w:tcBorders>
          </w:tcPr>
          <w:p>
            <w:pPr>
              <w:spacing w:after="0"/>
              <w:rPr>
                <w:sz w:val="24"/>
                <w:szCs w:val="24"/>
                <w:color w:val="auto"/>
              </w:rPr>
            </w:pPr>
          </w:p>
        </w:tc>
        <w:tc>
          <w:tcPr>
            <w:tcW w:w="1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87"/>
          </w:tcPr>
          <w:p>
            <w:pPr>
              <w:spacing w:after="0"/>
              <w:rPr>
                <w:sz w:val="20"/>
                <w:szCs w:val="20"/>
                <w:color w:val="auto"/>
              </w:rPr>
            </w:pPr>
            <w:r>
              <w:rPr>
                <w:rFonts w:ascii="Times New Roman" w:cs="Times New Roman" w:eastAsia="Times New Roman" w:hAnsi="Times New Roman"/>
                <w:sz w:val="20"/>
                <w:szCs w:val="20"/>
                <w:color w:val="auto"/>
              </w:rPr>
              <w:t>MISCELLANEOUS</w:t>
            </w:r>
          </w:p>
        </w:tc>
        <w:tc>
          <w:tcPr>
            <w:tcW w:w="0" w:type="dxa"/>
            <w:vAlign w:val="bottom"/>
          </w:tcPr>
          <w:p>
            <w:pPr>
              <w:spacing w:after="0"/>
              <w:rPr>
                <w:sz w:val="1"/>
                <w:szCs w:val="1"/>
                <w:color w:val="auto"/>
              </w:rPr>
            </w:pPr>
          </w:p>
        </w:tc>
      </w:tr>
      <w:tr>
        <w:trPr>
          <w:trHeight w:val="358"/>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9.01.</w:t>
            </w:r>
          </w:p>
        </w:tc>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6</w:t>
            </w:r>
          </w:p>
        </w:tc>
        <w:tc>
          <w:tcPr>
            <w:tcW w:w="5580" w:type="dxa"/>
            <w:vAlign w:val="bottom"/>
            <w:gridSpan w:val="7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9.02.</w:t>
            </w:r>
          </w:p>
        </w:tc>
        <w:tc>
          <w:tcPr>
            <w:tcW w:w="2300" w:type="dxa"/>
            <w:vAlign w:val="bottom"/>
            <w:gridSpan w:val="34"/>
          </w:tcPr>
          <w:p>
            <w:pPr>
              <w:ind w:left="100"/>
              <w:spacing w:after="0" w:line="183" w:lineRule="exact"/>
              <w:rPr>
                <w:sz w:val="20"/>
                <w:szCs w:val="20"/>
                <w:color w:val="auto"/>
              </w:rPr>
            </w:pPr>
            <w:r>
              <w:rPr>
                <w:rFonts w:ascii="Times New Roman" w:cs="Times New Roman" w:eastAsia="Times New Roman" w:hAnsi="Times New Roman"/>
                <w:sz w:val="20"/>
                <w:szCs w:val="20"/>
                <w:color w:val="auto"/>
              </w:rPr>
              <w:t>Waivers; Amendments  18</w:t>
            </w:r>
          </w:p>
        </w:tc>
        <w:tc>
          <w:tcPr>
            <w:tcW w:w="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5</w:t>
            </w:r>
          </w:p>
        </w:tc>
        <w:tc>
          <w:tcPr>
            <w:tcW w:w="380" w:type="dxa"/>
            <w:vAlign w:val="bottom"/>
            <w:gridSpan w:val="9"/>
          </w:tcPr>
          <w:p>
            <w:pPr>
              <w:jc w:val="right"/>
              <w:ind w:right="280"/>
              <w:spacing w:after="0" w:line="183" w:lineRule="exact"/>
              <w:rPr>
                <w:sz w:val="20"/>
                <w:szCs w:val="20"/>
                <w:color w:val="auto"/>
              </w:rPr>
            </w:pPr>
            <w:r>
              <w:rPr>
                <w:rFonts w:ascii="Times New Roman" w:cs="Times New Roman" w:eastAsia="Times New Roman" w:hAnsi="Times New Roman"/>
                <w:sz w:val="20"/>
                <w:szCs w:val="20"/>
                <w:color w:val="0000FF"/>
                <w:w w:val="79"/>
              </w:rPr>
              <w:t>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9.03.</w:t>
            </w:r>
          </w:p>
        </w:tc>
        <w:tc>
          <w:tcPr>
            <w:tcW w:w="1680" w:type="dxa"/>
            <w:vAlign w:val="bottom"/>
            <w:gridSpan w:val="15"/>
          </w:tcPr>
          <w:p>
            <w:pPr>
              <w:spacing w:after="0" w:line="169" w:lineRule="exact"/>
              <w:rPr>
                <w:sz w:val="20"/>
                <w:szCs w:val="20"/>
                <w:color w:val="auto"/>
              </w:rPr>
            </w:pPr>
            <w:r>
              <w:rPr>
                <w:rFonts w:ascii="Times New Roman" w:cs="Times New Roman" w:eastAsia="Times New Roman" w:hAnsi="Times New Roman"/>
                <w:sz w:val="19"/>
                <w:szCs w:val="19"/>
                <w:color w:val="auto"/>
              </w:rPr>
              <w:t>Expenses; Indemnity</w:t>
            </w:r>
          </w:p>
        </w:tc>
        <w:tc>
          <w:tcPr>
            <w:tcW w:w="380" w:type="dxa"/>
            <w:vAlign w:val="bottom"/>
            <w:gridSpan w:val="11"/>
          </w:tcPr>
          <w:p>
            <w:pPr>
              <w:jc w:val="right"/>
              <w:spacing w:after="0" w:line="169" w:lineRule="exact"/>
              <w:rPr>
                <w:sz w:val="20"/>
                <w:szCs w:val="20"/>
                <w:color w:val="auto"/>
              </w:rPr>
            </w:pPr>
            <w:r>
              <w:rPr>
                <w:rFonts w:ascii="Times New Roman" w:cs="Times New Roman" w:eastAsia="Times New Roman" w:hAnsi="Times New Roman"/>
                <w:sz w:val="19"/>
                <w:szCs w:val="19"/>
                <w:color w:val="auto"/>
              </w:rPr>
              <w:t>19</w:t>
            </w:r>
          </w:p>
        </w:tc>
        <w:tc>
          <w:tcPr>
            <w:tcW w:w="10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5</w:t>
            </w:r>
          </w:p>
        </w:tc>
        <w:tc>
          <w:tcPr>
            <w:tcW w:w="10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9"/>
                <w:szCs w:val="19"/>
                <w:color w:val="0000FF"/>
                <w:w w:val="83"/>
              </w:rPr>
              <w:t>9</w:t>
            </w:r>
          </w:p>
        </w:tc>
        <w:tc>
          <w:tcPr>
            <w:tcW w:w="40" w:type="dxa"/>
            <w:vAlign w:val="bottom"/>
          </w:tcPr>
          <w:p>
            <w:pPr>
              <w:spacing w:after="0"/>
              <w:rPr>
                <w:sz w:val="15"/>
                <w:szCs w:val="15"/>
                <w:color w:val="auto"/>
              </w:rPr>
            </w:pPr>
          </w:p>
        </w:tc>
        <w:tc>
          <w:tcPr>
            <w:tcW w:w="100" w:type="dxa"/>
            <w:vAlign w:val="bottom"/>
            <w:tcBorders>
              <w:top w:val="single" w:sz="8" w:color="0000FF"/>
            </w:tcBorders>
            <w:gridSpan w:val="3"/>
          </w:tcPr>
          <w:p>
            <w:pPr>
              <w:spacing w:after="0"/>
              <w:rPr>
                <w:sz w:val="15"/>
                <w:szCs w:val="15"/>
                <w:color w:val="auto"/>
              </w:rPr>
            </w:pPr>
          </w:p>
        </w:tc>
        <w:tc>
          <w:tcPr>
            <w:tcW w:w="4380" w:type="dxa"/>
            <w:vAlign w:val="bottom"/>
            <w:gridSpan w:val="4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9.04.</w:t>
            </w:r>
          </w:p>
        </w:tc>
        <w:tc>
          <w:tcPr>
            <w:tcW w:w="1620" w:type="dxa"/>
            <w:vAlign w:val="bottom"/>
            <w:gridSpan w:val="14"/>
          </w:tcPr>
          <w:p>
            <w:pPr>
              <w:ind w:left="100"/>
              <w:spacing w:after="0" w:line="176" w:lineRule="exact"/>
              <w:rPr>
                <w:sz w:val="20"/>
                <w:szCs w:val="20"/>
                <w:color w:val="auto"/>
              </w:rPr>
            </w:pPr>
            <w:r>
              <w:rPr>
                <w:rFonts w:ascii="Times New Roman" w:cs="Times New Roman" w:eastAsia="Times New Roman" w:hAnsi="Times New Roman"/>
                <w:sz w:val="20"/>
                <w:szCs w:val="20"/>
                <w:color w:val="auto"/>
                <w:w w:val="99"/>
              </w:rPr>
              <w:t>Waiver of Claim</w:t>
            </w:r>
          </w:p>
        </w:tc>
        <w:tc>
          <w:tcPr>
            <w:tcW w:w="2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86"/>
              </w:rPr>
              <w:t>197</w:t>
            </w:r>
          </w:p>
        </w:tc>
        <w:tc>
          <w:tcPr>
            <w:tcW w:w="340" w:type="dxa"/>
            <w:vAlign w:val="bottom"/>
            <w:tcBorders>
              <w:bottom w:val="single" w:sz="8" w:color="0000FF"/>
            </w:tcBorders>
            <w:gridSpan w:val="11"/>
          </w:tcPr>
          <w:p>
            <w:pPr>
              <w:jc w:val="right"/>
              <w:ind w:right="40"/>
              <w:spacing w:after="0" w:line="176" w:lineRule="exact"/>
              <w:rPr>
                <w:sz w:val="20"/>
                <w:szCs w:val="20"/>
                <w:color w:val="auto"/>
              </w:rPr>
            </w:pPr>
            <w:r>
              <w:rPr>
                <w:rFonts w:ascii="Times New Roman" w:cs="Times New Roman" w:eastAsia="Times New Roman" w:hAnsi="Times New Roman"/>
                <w:sz w:val="20"/>
                <w:szCs w:val="20"/>
                <w:color w:val="0000FF"/>
                <w:w w:val="93"/>
              </w:rPr>
              <w:t>200</w:t>
            </w:r>
          </w:p>
        </w:tc>
        <w:tc>
          <w:tcPr>
            <w:tcW w:w="4640" w:type="dxa"/>
            <w:vAlign w:val="bottom"/>
            <w:gridSpan w:val="5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9.05.</w:t>
            </w:r>
          </w:p>
        </w:tc>
        <w:tc>
          <w:tcPr>
            <w:tcW w:w="2140" w:type="dxa"/>
            <w:vAlign w:val="bottom"/>
            <w:gridSpan w:val="30"/>
          </w:tcPr>
          <w:p>
            <w:pPr>
              <w:spacing w:after="0" w:line="183" w:lineRule="exact"/>
              <w:rPr>
                <w:sz w:val="20"/>
                <w:szCs w:val="20"/>
                <w:color w:val="auto"/>
              </w:rPr>
            </w:pPr>
            <w:r>
              <w:rPr>
                <w:rFonts w:ascii="Times New Roman" w:cs="Times New Roman" w:eastAsia="Times New Roman" w:hAnsi="Times New Roman"/>
                <w:sz w:val="20"/>
                <w:szCs w:val="20"/>
                <w:color w:val="auto"/>
                <w:w w:val="93"/>
              </w:rPr>
              <w:t>Successors and Assigns</w:t>
            </w:r>
          </w:p>
        </w:tc>
        <w:tc>
          <w:tcPr>
            <w:tcW w:w="240" w:type="dxa"/>
            <w:vAlign w:val="bottom"/>
            <w:gridSpan w:val="7"/>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3"/>
              </w:rPr>
              <w:t>197</w:t>
            </w:r>
          </w:p>
        </w:tc>
        <w:tc>
          <w:tcPr>
            <w:tcW w:w="30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FF"/>
                <w:w w:val="93"/>
              </w:rPr>
              <w:t>201</w:t>
            </w:r>
          </w:p>
        </w:tc>
        <w:tc>
          <w:tcPr>
            <w:tcW w:w="410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9.06.</w:t>
            </w:r>
          </w:p>
        </w:tc>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Survival</w:t>
            </w:r>
          </w:p>
        </w:tc>
        <w:tc>
          <w:tcPr>
            <w:tcW w:w="38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rPr>
              <w:t>206</w:t>
            </w:r>
          </w:p>
        </w:tc>
        <w:tc>
          <w:tcPr>
            <w:tcW w:w="360" w:type="dxa"/>
            <w:vAlign w:val="bottom"/>
            <w:tcBorders>
              <w:bottom w:val="single" w:sz="8" w:color="0000FF"/>
            </w:tcBorders>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0000FF"/>
                <w:w w:val="98"/>
              </w:rPr>
              <w:t>210</w:t>
            </w:r>
          </w:p>
        </w:tc>
        <w:tc>
          <w:tcPr>
            <w:tcW w:w="5260" w:type="dxa"/>
            <w:vAlign w:val="bottom"/>
            <w:gridSpan w:val="7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9.07.</w:t>
            </w:r>
          </w:p>
        </w:tc>
        <w:tc>
          <w:tcPr>
            <w:tcW w:w="100" w:type="dxa"/>
            <w:vAlign w:val="bottom"/>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Times New Roman" w:cs="Times New Roman" w:eastAsia="Times New Roman" w:hAnsi="Times New Roman"/>
                <w:sz w:val="20"/>
                <w:szCs w:val="20"/>
                <w:color w:val="auto"/>
              </w:rPr>
              <w:t>Counterparts;</w:t>
            </w:r>
          </w:p>
        </w:tc>
        <w:tc>
          <w:tcPr>
            <w:tcW w:w="2200" w:type="dxa"/>
            <w:vAlign w:val="bottom"/>
            <w:gridSpan w:val="51"/>
          </w:tcPr>
          <w:p>
            <w:pPr>
              <w:jc w:val="center"/>
              <w:ind w:right="200"/>
              <w:spacing w:after="0" w:line="176" w:lineRule="exact"/>
              <w:rPr>
                <w:sz w:val="20"/>
                <w:szCs w:val="20"/>
                <w:color w:val="auto"/>
              </w:rPr>
            </w:pPr>
            <w:r>
              <w:rPr>
                <w:rFonts w:ascii="Times New Roman" w:cs="Times New Roman" w:eastAsia="Times New Roman" w:hAnsi="Times New Roman"/>
                <w:sz w:val="20"/>
                <w:szCs w:val="20"/>
                <w:color w:val="auto"/>
                <w:w w:val="97"/>
              </w:rPr>
              <w:t>Integration; Effectiveness</w:t>
            </w:r>
          </w:p>
        </w:tc>
        <w:tc>
          <w:tcPr>
            <w:tcW w:w="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93"/>
              </w:rPr>
              <w:t>206</w:t>
            </w:r>
          </w:p>
        </w:tc>
        <w:tc>
          <w:tcPr>
            <w:tcW w:w="300" w:type="dxa"/>
            <w:vAlign w:val="bottom"/>
            <w:tcBorders>
              <w:bottom w:val="single" w:sz="8" w:color="0000FF"/>
            </w:tcBorders>
            <w:gridSpan w:val="4"/>
          </w:tcPr>
          <w:p>
            <w:pPr>
              <w:jc w:val="right"/>
              <w:spacing w:after="0" w:line="176" w:lineRule="exact"/>
              <w:rPr>
                <w:sz w:val="20"/>
                <w:szCs w:val="20"/>
                <w:color w:val="auto"/>
              </w:rPr>
            </w:pPr>
            <w:r>
              <w:rPr>
                <w:rFonts w:ascii="Times New Roman" w:cs="Times New Roman" w:eastAsia="Times New Roman" w:hAnsi="Times New Roman"/>
                <w:sz w:val="20"/>
                <w:szCs w:val="20"/>
                <w:color w:val="0000FF"/>
                <w:w w:val="93"/>
              </w:rPr>
              <w:t>210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9.08.</w:t>
            </w:r>
          </w:p>
        </w:tc>
        <w:tc>
          <w:tcPr>
            <w:tcW w:w="1100" w:type="dxa"/>
            <w:vAlign w:val="bottom"/>
            <w:gridSpan w:val="5"/>
          </w:tcPr>
          <w:p>
            <w:pPr>
              <w:spacing w:after="0" w:line="183" w:lineRule="exact"/>
              <w:rPr>
                <w:sz w:val="20"/>
                <w:szCs w:val="20"/>
                <w:color w:val="auto"/>
              </w:rPr>
            </w:pPr>
            <w:r>
              <w:rPr>
                <w:rFonts w:ascii="Times New Roman" w:cs="Times New Roman" w:eastAsia="Times New Roman" w:hAnsi="Times New Roman"/>
                <w:sz w:val="20"/>
                <w:szCs w:val="20"/>
                <w:color w:val="auto"/>
                <w:w w:val="97"/>
              </w:rPr>
              <w:t>Severability</w:t>
            </w:r>
          </w:p>
        </w:tc>
        <w:tc>
          <w:tcPr>
            <w:tcW w:w="360" w:type="dxa"/>
            <w:vAlign w:val="bottom"/>
            <w:gridSpan w:val="7"/>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rPr>
              <w:t>207</w:t>
            </w:r>
          </w:p>
        </w:tc>
        <w:tc>
          <w:tcPr>
            <w:tcW w:w="5320" w:type="dxa"/>
            <w:vAlign w:val="bottom"/>
            <w:gridSpan w:val="73"/>
          </w:tcPr>
          <w:p>
            <w:pPr>
              <w:spacing w:after="0" w:line="183" w:lineRule="exact"/>
              <w:rPr>
                <w:sz w:val="20"/>
                <w:szCs w:val="20"/>
                <w:color w:val="auto"/>
              </w:rPr>
            </w:pPr>
            <w:r>
              <w:rPr>
                <w:rFonts w:ascii="Times New Roman" w:cs="Times New Roman" w:eastAsia="Times New Roman" w:hAnsi="Times New Roman"/>
                <w:sz w:val="20"/>
                <w:szCs w:val="20"/>
                <w:color w:val="0000FF"/>
                <w:w w:val="99"/>
              </w:rPr>
              <w:t>210</w:t>
            </w: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9.09.</w:t>
            </w:r>
          </w:p>
        </w:tc>
        <w:tc>
          <w:tcPr>
            <w:tcW w:w="1460" w:type="dxa"/>
            <w:vAlign w:val="bottom"/>
            <w:gridSpan w:val="12"/>
          </w:tcPr>
          <w:p>
            <w:pPr>
              <w:spacing w:after="0" w:line="169" w:lineRule="exact"/>
              <w:rPr>
                <w:sz w:val="20"/>
                <w:szCs w:val="20"/>
                <w:color w:val="auto"/>
              </w:rPr>
            </w:pPr>
            <w:r>
              <w:rPr>
                <w:rFonts w:ascii="Times New Roman" w:cs="Times New Roman" w:eastAsia="Times New Roman" w:hAnsi="Times New Roman"/>
                <w:sz w:val="19"/>
                <w:szCs w:val="19"/>
                <w:color w:val="auto"/>
              </w:rPr>
              <w:t>Right of Setoff</w:t>
            </w:r>
          </w:p>
        </w:tc>
        <w:tc>
          <w:tcPr>
            <w:tcW w:w="2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9"/>
                <w:szCs w:val="19"/>
                <w:color w:val="FF0000"/>
                <w:strike w:val="1"/>
                <w:w w:val="70"/>
              </w:rPr>
              <w:t>207</w:t>
            </w:r>
          </w:p>
        </w:tc>
        <w:tc>
          <w:tcPr>
            <w:tcW w:w="80" w:type="dxa"/>
            <w:vAlign w:val="bottom"/>
            <w:tcBorders>
              <w:top w:val="single" w:sz="8" w:color="0000FF"/>
              <w:bottom w:val="single" w:sz="8" w:color="0000FF"/>
            </w:tcBorders>
            <w:gridSpan w:val="2"/>
          </w:tcPr>
          <w:p>
            <w:pPr>
              <w:spacing w:after="0"/>
              <w:rPr>
                <w:sz w:val="15"/>
                <w:szCs w:val="15"/>
                <w:color w:val="auto"/>
              </w:rPr>
            </w:pPr>
          </w:p>
        </w:tc>
        <w:tc>
          <w:tcPr>
            <w:tcW w:w="240" w:type="dxa"/>
            <w:vAlign w:val="bottom"/>
            <w:tcBorders>
              <w:bottom w:val="single" w:sz="8" w:color="0000FF"/>
            </w:tcBorders>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0000FF"/>
                <w:w w:val="70"/>
              </w:rPr>
              <w:t>210</w:t>
            </w:r>
          </w:p>
        </w:tc>
        <w:tc>
          <w:tcPr>
            <w:tcW w:w="4780" w:type="dxa"/>
            <w:vAlign w:val="bottom"/>
            <w:gridSpan w:val="6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9.10.</w:t>
            </w:r>
          </w:p>
        </w:tc>
        <w:tc>
          <w:tcPr>
            <w:tcW w:w="100" w:type="dxa"/>
            <w:vAlign w:val="bottom"/>
          </w:tcPr>
          <w:p>
            <w:pPr>
              <w:spacing w:after="0"/>
              <w:rPr>
                <w:sz w:val="15"/>
                <w:szCs w:val="15"/>
                <w:color w:val="auto"/>
              </w:rPr>
            </w:pPr>
          </w:p>
        </w:tc>
        <w:tc>
          <w:tcPr>
            <w:tcW w:w="4940" w:type="dxa"/>
            <w:vAlign w:val="bottom"/>
            <w:gridSpan w:val="74"/>
          </w:tcPr>
          <w:p>
            <w:pPr>
              <w:spacing w:after="0" w:line="176" w:lineRule="exact"/>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300" w:type="dxa"/>
            <w:vAlign w:val="bottom"/>
            <w:gridSpan w:val="3"/>
          </w:tcPr>
          <w:p>
            <w:pPr>
              <w:spacing w:after="0" w:line="176" w:lineRule="exact"/>
              <w:rPr>
                <w:sz w:val="20"/>
                <w:szCs w:val="20"/>
                <w:color w:val="auto"/>
              </w:rPr>
            </w:pPr>
            <w:r>
              <w:rPr>
                <w:rFonts w:ascii="Times New Roman" w:cs="Times New Roman" w:eastAsia="Times New Roman" w:hAnsi="Times New Roman"/>
                <w:sz w:val="20"/>
                <w:szCs w:val="20"/>
                <w:color w:val="FF0000"/>
                <w:strike w:val="1"/>
                <w:w w:val="93"/>
              </w:rPr>
              <w:t>207</w:t>
            </w:r>
          </w:p>
        </w:tc>
        <w:tc>
          <w:tcPr>
            <w:tcW w:w="340" w:type="dxa"/>
            <w:vAlign w:val="bottom"/>
            <w:gridSpan w:val="4"/>
          </w:tcPr>
          <w:p>
            <w:pPr>
              <w:jc w:val="right"/>
              <w:ind w:right="40"/>
              <w:spacing w:after="0" w:line="176" w:lineRule="exact"/>
              <w:rPr>
                <w:sz w:val="20"/>
                <w:szCs w:val="20"/>
                <w:color w:val="auto"/>
              </w:rPr>
            </w:pPr>
            <w:r>
              <w:rPr>
                <w:rFonts w:ascii="Times New Roman" w:cs="Times New Roman" w:eastAsia="Times New Roman" w:hAnsi="Times New Roman"/>
                <w:sz w:val="20"/>
                <w:szCs w:val="20"/>
                <w:color w:val="0000FF"/>
                <w:w w:val="93"/>
              </w:rPr>
              <w:t>211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9.11.</w:t>
            </w:r>
          </w:p>
        </w:tc>
        <w:tc>
          <w:tcPr>
            <w:tcW w:w="1780" w:type="dxa"/>
            <w:vAlign w:val="bottom"/>
            <w:gridSpan w:val="16"/>
          </w:tcPr>
          <w:p>
            <w:pPr>
              <w:ind w:left="100"/>
              <w:spacing w:after="0" w:line="183" w:lineRule="exact"/>
              <w:rPr>
                <w:sz w:val="20"/>
                <w:szCs w:val="20"/>
                <w:color w:val="auto"/>
              </w:rPr>
            </w:pPr>
            <w:r>
              <w:rPr>
                <w:rFonts w:ascii="Times New Roman" w:cs="Times New Roman" w:eastAsia="Times New Roman" w:hAnsi="Times New Roman"/>
                <w:sz w:val="20"/>
                <w:szCs w:val="20"/>
                <w:color w:val="auto"/>
              </w:rPr>
              <w:t>Waiver of Jury Trial</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00" w:type="dxa"/>
            <w:vAlign w:val="bottom"/>
            <w:gridSpan w:val="9"/>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93"/>
              </w:rPr>
              <w:t>208</w:t>
            </w:r>
          </w:p>
        </w:tc>
        <w:tc>
          <w:tcPr>
            <w:tcW w:w="300" w:type="dxa"/>
            <w:vAlign w:val="bottom"/>
            <w:tcBorders>
              <w:bottom w:val="single" w:sz="8" w:color="0000FF"/>
            </w:tcBorders>
            <w:gridSpan w:val="10"/>
          </w:tcPr>
          <w:p>
            <w:pPr>
              <w:jc w:val="right"/>
              <w:spacing w:after="0" w:line="183" w:lineRule="exact"/>
              <w:rPr>
                <w:sz w:val="20"/>
                <w:szCs w:val="20"/>
                <w:color w:val="auto"/>
              </w:rPr>
            </w:pPr>
            <w:r>
              <w:rPr>
                <w:rFonts w:ascii="Times New Roman" w:cs="Times New Roman" w:eastAsia="Times New Roman" w:hAnsi="Times New Roman"/>
                <w:sz w:val="20"/>
                <w:szCs w:val="20"/>
                <w:color w:val="0000FF"/>
                <w:w w:val="93"/>
              </w:rPr>
              <w:t>212</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9.12.</w:t>
            </w:r>
          </w:p>
        </w:tc>
        <w:tc>
          <w:tcPr>
            <w:tcW w:w="98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color w:val="auto"/>
              </w:rPr>
              <w:t>Headings</w:t>
            </w:r>
          </w:p>
        </w:tc>
        <w:tc>
          <w:tcPr>
            <w:tcW w:w="280" w:type="dxa"/>
            <w:vAlign w:val="bottom"/>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4"/>
              </w:rPr>
              <w:t>208</w:t>
            </w:r>
          </w:p>
        </w:tc>
        <w:tc>
          <w:tcPr>
            <w:tcW w:w="5520" w:type="dxa"/>
            <w:vAlign w:val="bottom"/>
            <w:gridSpan w:val="75"/>
          </w:tcPr>
          <w:p>
            <w:pPr>
              <w:jc w:val="right"/>
              <w:ind w:right="5147"/>
              <w:spacing w:after="0" w:line="169" w:lineRule="exact"/>
              <w:rPr>
                <w:sz w:val="20"/>
                <w:szCs w:val="20"/>
                <w:color w:val="auto"/>
              </w:rPr>
            </w:pPr>
            <w:r>
              <w:rPr>
                <w:rFonts w:ascii="Times New Roman" w:cs="Times New Roman" w:eastAsia="Times New Roman" w:hAnsi="Times New Roman"/>
                <w:sz w:val="19"/>
                <w:szCs w:val="19"/>
                <w:color w:val="0000FF"/>
                <w:w w:val="91"/>
              </w:rPr>
              <w:t>212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Section 9.13.</w:t>
            </w:r>
          </w:p>
        </w:tc>
        <w:tc>
          <w:tcPr>
            <w:tcW w:w="100" w:type="dxa"/>
            <w:vAlign w:val="bottom"/>
          </w:tcPr>
          <w:p>
            <w:pPr>
              <w:spacing w:after="0"/>
              <w:rPr>
                <w:sz w:val="2"/>
                <w:szCs w:val="2"/>
                <w:color w:val="auto"/>
              </w:rPr>
            </w:pPr>
          </w:p>
        </w:tc>
        <w:tc>
          <w:tcPr>
            <w:tcW w:w="1260" w:type="dxa"/>
            <w:vAlign w:val="bottom"/>
            <w:gridSpan w:val="10"/>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Confidentiality</w:t>
            </w:r>
          </w:p>
        </w:tc>
        <w:tc>
          <w:tcPr>
            <w:tcW w:w="5520" w:type="dxa"/>
            <w:vAlign w:val="bottom"/>
            <w:gridSpan w:val="75"/>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10"/>
            <w:vMerge w:val="continue"/>
          </w:tcPr>
          <w:p>
            <w:pPr>
              <w:spacing w:after="0"/>
              <w:rPr>
                <w:sz w:val="15"/>
                <w:szCs w:val="15"/>
                <w:color w:val="auto"/>
              </w:rPr>
            </w:pPr>
          </w:p>
        </w:tc>
        <w:tc>
          <w:tcPr>
            <w:tcW w:w="440" w:type="dxa"/>
            <w:vAlign w:val="bottom"/>
            <w:gridSpan w:val="6"/>
          </w:tcPr>
          <w:p>
            <w:pPr>
              <w:jc w:val="right"/>
              <w:ind w:right="343"/>
              <w:spacing w:after="0"/>
              <w:rPr>
                <w:sz w:val="20"/>
                <w:szCs w:val="20"/>
                <w:color w:val="auto"/>
              </w:rPr>
            </w:pPr>
            <w:r>
              <w:rPr>
                <w:rFonts w:ascii="Times New Roman" w:cs="Times New Roman" w:eastAsia="Times New Roman" w:hAnsi="Times New Roman"/>
                <w:sz w:val="20"/>
                <w:szCs w:val="20"/>
                <w:color w:val="FF0000"/>
                <w:strike w:val="1"/>
              </w:rPr>
              <w:t>208</w:t>
            </w:r>
          </w:p>
        </w:tc>
        <w:tc>
          <w:tcPr>
            <w:tcW w:w="300" w:type="dxa"/>
            <w:vAlign w:val="bottom"/>
            <w:tcBorders>
              <w:bottom w:val="single" w:sz="8" w:color="0000FF"/>
            </w:tcBorders>
            <w:gridSpan w:val="8"/>
          </w:tcPr>
          <w:p>
            <w:pPr>
              <w:jc w:val="right"/>
              <w:spacing w:after="0" w:line="176" w:lineRule="exact"/>
              <w:rPr>
                <w:sz w:val="20"/>
                <w:szCs w:val="20"/>
                <w:color w:val="auto"/>
              </w:rPr>
            </w:pPr>
            <w:r>
              <w:rPr>
                <w:rFonts w:ascii="Times New Roman" w:cs="Times New Roman" w:eastAsia="Times New Roman" w:hAnsi="Times New Roman"/>
                <w:sz w:val="20"/>
                <w:szCs w:val="20"/>
                <w:color w:val="0000FF"/>
                <w:w w:val="93"/>
              </w:rPr>
              <w:t>212</w:t>
            </w:r>
          </w:p>
        </w:tc>
        <w:tc>
          <w:tcPr>
            <w:tcW w:w="4780" w:type="dxa"/>
            <w:vAlign w:val="bottom"/>
            <w:gridSpan w:val="6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Section 9.14.</w:t>
            </w:r>
          </w:p>
        </w:tc>
        <w:tc>
          <w:tcPr>
            <w:tcW w:w="1700" w:type="dxa"/>
            <w:vAlign w:val="bottom"/>
            <w:gridSpan w:val="16"/>
          </w:tcPr>
          <w:p>
            <w:pPr>
              <w:spacing w:after="0" w:line="183" w:lineRule="exact"/>
              <w:rPr>
                <w:sz w:val="20"/>
                <w:szCs w:val="20"/>
                <w:color w:val="auto"/>
              </w:rPr>
            </w:pPr>
            <w:r>
              <w:rPr>
                <w:rFonts w:ascii="Times New Roman" w:cs="Times New Roman" w:eastAsia="Times New Roman" w:hAnsi="Times New Roman"/>
                <w:sz w:val="20"/>
                <w:szCs w:val="20"/>
                <w:color w:val="auto"/>
              </w:rPr>
              <w:t>No Fiduciary Duty</w:t>
            </w:r>
          </w:p>
        </w:tc>
        <w:tc>
          <w:tcPr>
            <w:tcW w:w="2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0"/>
                <w:szCs w:val="20"/>
                <w:color w:val="auto"/>
                <w:w w:val="89"/>
              </w:rPr>
              <w:t>21</w:t>
            </w:r>
          </w:p>
        </w:tc>
        <w:tc>
          <w:tcPr>
            <w:tcW w:w="1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0</w:t>
            </w:r>
          </w:p>
        </w:tc>
        <w:tc>
          <w:tcPr>
            <w:tcW w:w="1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0000FF"/>
                <w:w w:val="79"/>
              </w:rPr>
              <w:t>4</w:t>
            </w:r>
          </w:p>
        </w:tc>
        <w:tc>
          <w:tcPr>
            <w:tcW w:w="4680" w:type="dxa"/>
            <w:vAlign w:val="bottom"/>
            <w:gridSpan w:val="5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9"/>
                <w:szCs w:val="19"/>
                <w:color w:val="auto"/>
              </w:rPr>
              <w:t>Section 9.15.</w:t>
            </w:r>
          </w:p>
        </w:tc>
        <w:tc>
          <w:tcPr>
            <w:tcW w:w="1680" w:type="dxa"/>
            <w:vAlign w:val="bottom"/>
            <w:gridSpan w:val="15"/>
          </w:tcPr>
          <w:p>
            <w:pPr>
              <w:spacing w:after="0" w:line="169" w:lineRule="exact"/>
              <w:rPr>
                <w:sz w:val="20"/>
                <w:szCs w:val="20"/>
                <w:color w:val="auto"/>
              </w:rPr>
            </w:pPr>
            <w:r>
              <w:rPr>
                <w:rFonts w:ascii="Times New Roman" w:cs="Times New Roman" w:eastAsia="Times New Roman" w:hAnsi="Times New Roman"/>
                <w:sz w:val="19"/>
                <w:szCs w:val="19"/>
                <w:color w:val="auto"/>
              </w:rPr>
              <w:t>Several Obligations</w:t>
            </w:r>
          </w:p>
        </w:tc>
        <w:tc>
          <w:tcPr>
            <w:tcW w:w="280" w:type="dxa"/>
            <w:vAlign w:val="bottom"/>
            <w:gridSpan w:val="7"/>
          </w:tcPr>
          <w:p>
            <w:pPr>
              <w:jc w:val="right"/>
              <w:spacing w:after="0" w:line="169" w:lineRule="exact"/>
              <w:rPr>
                <w:sz w:val="20"/>
                <w:szCs w:val="20"/>
                <w:color w:val="auto"/>
              </w:rPr>
            </w:pPr>
            <w:r>
              <w:rPr>
                <w:rFonts w:ascii="Times New Roman" w:cs="Times New Roman" w:eastAsia="Times New Roman" w:hAnsi="Times New Roman"/>
                <w:sz w:val="19"/>
                <w:szCs w:val="19"/>
                <w:color w:val="auto"/>
              </w:rPr>
              <w:t>21</w:t>
            </w:r>
          </w:p>
        </w:tc>
        <w:tc>
          <w:tcPr>
            <w:tcW w:w="10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0</w:t>
            </w:r>
          </w:p>
        </w:tc>
        <w:tc>
          <w:tcPr>
            <w:tcW w:w="120" w:type="dxa"/>
            <w:vAlign w:val="bottom"/>
            <w:tcBorders>
              <w:bottom w:val="single" w:sz="8" w:color="0000FF"/>
            </w:tcBorders>
            <w:gridSpan w:val="6"/>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4</w:t>
            </w:r>
          </w:p>
        </w:tc>
        <w:tc>
          <w:tcPr>
            <w:tcW w:w="4600" w:type="dxa"/>
            <w:vAlign w:val="bottom"/>
            <w:gridSpan w:val="5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Section 9.16.</w:t>
            </w:r>
          </w:p>
        </w:tc>
        <w:tc>
          <w:tcPr>
            <w:tcW w:w="1680" w:type="dxa"/>
            <w:vAlign w:val="bottom"/>
            <w:gridSpan w:val="15"/>
          </w:tcPr>
          <w:p>
            <w:pPr>
              <w:spacing w:after="0" w:line="176" w:lineRule="exact"/>
              <w:rPr>
                <w:sz w:val="20"/>
                <w:szCs w:val="20"/>
                <w:color w:val="auto"/>
              </w:rPr>
            </w:pPr>
            <w:r>
              <w:rPr>
                <w:rFonts w:ascii="Times New Roman" w:cs="Times New Roman" w:eastAsia="Times New Roman" w:hAnsi="Times New Roman"/>
                <w:sz w:val="20"/>
                <w:szCs w:val="20"/>
                <w:color w:val="auto"/>
              </w:rPr>
              <w:t>USA PATRIOT Act</w:t>
            </w:r>
          </w:p>
        </w:tc>
        <w:tc>
          <w:tcPr>
            <w:tcW w:w="30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20"/>
                <w:szCs w:val="20"/>
                <w:color w:val="auto"/>
              </w:rPr>
              <w:t>21</w:t>
            </w:r>
          </w:p>
        </w:tc>
        <w:tc>
          <w:tcPr>
            <w:tcW w:w="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FF0000"/>
                <w:strike w:val="1"/>
                <w:w w:val="74"/>
              </w:rPr>
              <w:t>1</w:t>
            </w:r>
          </w:p>
        </w:tc>
        <w:tc>
          <w:tcPr>
            <w:tcW w:w="120" w:type="dxa"/>
            <w:vAlign w:val="bottom"/>
            <w:tcBorders>
              <w:bottom w:val="single" w:sz="8" w:color="0000FF"/>
            </w:tcBorders>
            <w:gridSpan w:val="6"/>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4</w:t>
            </w:r>
          </w:p>
        </w:tc>
        <w:tc>
          <w:tcPr>
            <w:tcW w:w="4600" w:type="dxa"/>
            <w:vAlign w:val="bottom"/>
            <w:gridSpan w:val="5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9.17.</w:t>
            </w:r>
          </w:p>
        </w:tc>
        <w:tc>
          <w:tcPr>
            <w:tcW w:w="100" w:type="dxa"/>
            <w:vAlign w:val="bottom"/>
          </w:tcPr>
          <w:p>
            <w:pPr>
              <w:spacing w:after="0"/>
              <w:rPr>
                <w:sz w:val="15"/>
                <w:szCs w:val="15"/>
                <w:color w:val="auto"/>
              </w:rPr>
            </w:pPr>
          </w:p>
        </w:tc>
        <w:tc>
          <w:tcPr>
            <w:tcW w:w="2760" w:type="dxa"/>
            <w:vAlign w:val="bottom"/>
            <w:gridSpan w:val="46"/>
          </w:tcPr>
          <w:p>
            <w:pPr>
              <w:spacing w:after="0" w:line="183" w:lineRule="exact"/>
              <w:rPr>
                <w:sz w:val="20"/>
                <w:szCs w:val="20"/>
                <w:color w:val="auto"/>
              </w:rPr>
            </w:pPr>
            <w:r>
              <w:rPr>
                <w:rFonts w:ascii="Times New Roman" w:cs="Times New Roman" w:eastAsia="Times New Roman" w:hAnsi="Times New Roman"/>
                <w:sz w:val="20"/>
                <w:szCs w:val="20"/>
                <w:color w:val="auto"/>
              </w:rPr>
              <w:t>Disclosure of Agent Conflicts  21</w:t>
            </w:r>
          </w:p>
        </w:tc>
        <w:tc>
          <w:tcPr>
            <w:tcW w:w="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500" w:type="dxa"/>
            <w:vAlign w:val="bottom"/>
            <w:gridSpan w:val="9"/>
          </w:tcPr>
          <w:p>
            <w:pPr>
              <w:jc w:val="right"/>
              <w:ind w:right="400"/>
              <w:spacing w:after="0" w:line="183" w:lineRule="exact"/>
              <w:rPr>
                <w:sz w:val="20"/>
                <w:szCs w:val="20"/>
                <w:color w:val="auto"/>
              </w:rPr>
            </w:pPr>
            <w:r>
              <w:rPr>
                <w:rFonts w:ascii="Times New Roman" w:cs="Times New Roman" w:eastAsia="Times New Roman" w:hAnsi="Times New Roman"/>
                <w:sz w:val="20"/>
                <w:szCs w:val="20"/>
                <w:color w:val="0000FF"/>
                <w:w w:val="79"/>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gridSpan w:val="8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iii</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139"/>
          </w:cols>
          <w:pgMar w:left="320" w:top="1381"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40"/>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9.18.</w:t>
            </w:r>
          </w:p>
        </w:tc>
        <w:tc>
          <w:tcPr>
            <w:tcW w:w="2280" w:type="dxa"/>
            <w:vAlign w:val="bottom"/>
            <w:gridSpan w:val="7"/>
            <w:vMerge w:val="restart"/>
          </w:tcPr>
          <w:p>
            <w:pPr>
              <w:ind w:left="100"/>
              <w:spacing w:after="0"/>
              <w:rPr>
                <w:sz w:val="20"/>
                <w:szCs w:val="20"/>
                <w:color w:val="auto"/>
              </w:rPr>
            </w:pPr>
            <w:r>
              <w:rPr>
                <w:rFonts w:ascii="Times New Roman" w:cs="Times New Roman" w:eastAsia="Times New Roman" w:hAnsi="Times New Roman"/>
                <w:sz w:val="20"/>
                <w:szCs w:val="20"/>
                <w:color w:val="auto"/>
                <w:w w:val="97"/>
              </w:rPr>
              <w:t>Appointment for Perfection</w:t>
            </w:r>
          </w:p>
        </w:tc>
        <w:tc>
          <w:tcPr>
            <w:tcW w:w="400" w:type="dxa"/>
            <w:vAlign w:val="bottom"/>
            <w:gridSpan w:val="8"/>
            <w:vMerge w:val="restart"/>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1</w:t>
            </w:r>
          </w:p>
        </w:tc>
        <w:tc>
          <w:tcPr>
            <w:tcW w:w="1840" w:type="dxa"/>
            <w:vAlign w:val="bottom"/>
            <w:gridSpan w:val="2"/>
            <w:vMerge w:val="restart"/>
          </w:tcPr>
          <w:p>
            <w:pPr>
              <w:jc w:val="right"/>
              <w:ind w:right="1740"/>
              <w:spacing w:after="0"/>
              <w:rPr>
                <w:sz w:val="20"/>
                <w:szCs w:val="20"/>
                <w:color w:val="auto"/>
              </w:rPr>
            </w:pPr>
            <w:r>
              <w:rPr>
                <w:rFonts w:ascii="Times New Roman" w:cs="Times New Roman" w:eastAsia="Times New Roman" w:hAnsi="Times New Roman"/>
                <w:sz w:val="20"/>
                <w:szCs w:val="20"/>
                <w:color w:val="0000FF"/>
                <w:w w:val="79"/>
              </w:rPr>
              <w:t>4</w:t>
            </w:r>
          </w:p>
        </w:tc>
        <w:tc>
          <w:tcPr>
            <w:tcW w:w="1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6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2280" w:type="dxa"/>
            <w:vAlign w:val="bottom"/>
            <w:gridSpan w:val="7"/>
            <w:vMerge w:val="continue"/>
          </w:tcPr>
          <w:p>
            <w:pPr>
              <w:spacing w:after="0"/>
              <w:rPr>
                <w:sz w:val="16"/>
                <w:szCs w:val="16"/>
                <w:color w:val="auto"/>
              </w:rPr>
            </w:pPr>
          </w:p>
        </w:tc>
        <w:tc>
          <w:tcPr>
            <w:tcW w:w="400" w:type="dxa"/>
            <w:vAlign w:val="bottom"/>
            <w:gridSpan w:val="8"/>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9.19.</w:t>
            </w:r>
          </w:p>
        </w:tc>
        <w:tc>
          <w:tcPr>
            <w:tcW w:w="2060" w:type="dxa"/>
            <w:vAlign w:val="bottom"/>
            <w:gridSpan w:val="4"/>
          </w:tcPr>
          <w:p>
            <w:pPr>
              <w:ind w:left="100"/>
              <w:spacing w:after="0" w:line="169" w:lineRule="exact"/>
              <w:rPr>
                <w:sz w:val="20"/>
                <w:szCs w:val="20"/>
                <w:color w:val="auto"/>
              </w:rPr>
            </w:pPr>
            <w:r>
              <w:rPr>
                <w:rFonts w:ascii="Times New Roman" w:cs="Times New Roman" w:eastAsia="Times New Roman" w:hAnsi="Times New Roman"/>
                <w:sz w:val="19"/>
                <w:szCs w:val="19"/>
                <w:color w:val="auto"/>
              </w:rPr>
              <w:t>Interest Rate Limitation</w:t>
            </w:r>
          </w:p>
        </w:tc>
        <w:tc>
          <w:tcPr>
            <w:tcW w:w="34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auto"/>
              </w:rPr>
              <w:t>21</w:t>
            </w:r>
          </w:p>
        </w:tc>
        <w:tc>
          <w:tcPr>
            <w:tcW w:w="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FF0000"/>
                <w:strike w:val="1"/>
                <w:w w:val="74"/>
              </w:rPr>
              <w:t>1</w:t>
            </w:r>
          </w:p>
        </w:tc>
        <w:tc>
          <w:tcPr>
            <w:tcW w:w="1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9"/>
                <w:szCs w:val="19"/>
                <w:color w:val="0000FF"/>
                <w:w w:val="83"/>
              </w:rPr>
              <w:t>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9.20.</w:t>
            </w:r>
          </w:p>
        </w:tc>
        <w:tc>
          <w:tcPr>
            <w:tcW w:w="2280" w:type="dxa"/>
            <w:vAlign w:val="bottom"/>
            <w:gridSpan w:val="7"/>
          </w:tcPr>
          <w:p>
            <w:pPr>
              <w:ind w:left="100"/>
              <w:spacing w:after="0" w:line="176" w:lineRule="exact"/>
              <w:rPr>
                <w:sz w:val="20"/>
                <w:szCs w:val="20"/>
                <w:color w:val="auto"/>
              </w:rPr>
            </w:pPr>
            <w:r>
              <w:rPr>
                <w:rFonts w:ascii="Times New Roman" w:cs="Times New Roman" w:eastAsia="Times New Roman" w:hAnsi="Times New Roman"/>
                <w:sz w:val="20"/>
                <w:szCs w:val="20"/>
                <w:color w:val="auto"/>
              </w:rPr>
              <w:t>Intercreditor Agreements</w:t>
            </w:r>
          </w:p>
        </w:tc>
        <w:tc>
          <w:tcPr>
            <w:tcW w:w="2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20"/>
                <w:szCs w:val="20"/>
                <w:color w:val="auto"/>
                <w:w w:val="89"/>
              </w:rPr>
              <w:t>21</w:t>
            </w:r>
          </w:p>
        </w:tc>
        <w:tc>
          <w:tcPr>
            <w:tcW w:w="100" w:type="dxa"/>
            <w:vAlign w:val="bottom"/>
            <w:tcBorders>
              <w:top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1</w:t>
            </w:r>
          </w:p>
        </w:tc>
        <w:tc>
          <w:tcPr>
            <w:tcW w:w="20" w:type="dxa"/>
            <w:vAlign w:val="bottom"/>
          </w:tcPr>
          <w:p>
            <w:pPr>
              <w:spacing w:after="0"/>
              <w:rPr>
                <w:sz w:val="15"/>
                <w:szCs w:val="15"/>
                <w:color w:val="auto"/>
              </w:rPr>
            </w:pPr>
          </w:p>
        </w:tc>
        <w:tc>
          <w:tcPr>
            <w:tcW w:w="180" w:type="dxa"/>
            <w:vAlign w:val="bottom"/>
            <w:gridSpan w:val="3"/>
          </w:tcPr>
          <w:p>
            <w:pPr>
              <w:jc w:val="right"/>
              <w:ind w:right="80"/>
              <w:spacing w:after="0" w:line="176" w:lineRule="exact"/>
              <w:rPr>
                <w:sz w:val="20"/>
                <w:szCs w:val="20"/>
                <w:color w:val="auto"/>
              </w:rPr>
            </w:pPr>
            <w:r>
              <w:rPr>
                <w:rFonts w:ascii="Times New Roman" w:cs="Times New Roman" w:eastAsia="Times New Roman" w:hAnsi="Times New Roman"/>
                <w:sz w:val="20"/>
                <w:szCs w:val="20"/>
                <w:color w:val="0000FF"/>
                <w:w w:val="79"/>
              </w:rPr>
              <w:t>5</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9.21.</w:t>
            </w:r>
          </w:p>
        </w:tc>
        <w:tc>
          <w:tcPr>
            <w:tcW w:w="1220" w:type="dxa"/>
            <w:vAlign w:val="bottom"/>
          </w:tcPr>
          <w:p>
            <w:pPr>
              <w:ind w:left="100"/>
              <w:spacing w:after="0" w:line="183" w:lineRule="exact"/>
              <w:rPr>
                <w:sz w:val="20"/>
                <w:szCs w:val="20"/>
                <w:color w:val="auto"/>
              </w:rPr>
            </w:pPr>
            <w:r>
              <w:rPr>
                <w:rFonts w:ascii="Times New Roman" w:cs="Times New Roman" w:eastAsia="Times New Roman" w:hAnsi="Times New Roman"/>
                <w:sz w:val="20"/>
                <w:szCs w:val="20"/>
                <w:color w:val="auto"/>
              </w:rPr>
              <w:t>Conflicts  21</w:t>
            </w: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2</w:t>
            </w:r>
          </w:p>
        </w:tc>
        <w:tc>
          <w:tcPr>
            <w:tcW w:w="740" w:type="dxa"/>
            <w:vAlign w:val="bottom"/>
            <w:gridSpan w:val="2"/>
          </w:tcPr>
          <w:p>
            <w:pPr>
              <w:jc w:val="right"/>
              <w:ind w:right="640"/>
              <w:spacing w:after="0" w:line="183" w:lineRule="exact"/>
              <w:rPr>
                <w:sz w:val="20"/>
                <w:szCs w:val="20"/>
                <w:color w:val="auto"/>
              </w:rPr>
            </w:pPr>
            <w:r>
              <w:rPr>
                <w:rFonts w:ascii="Times New Roman" w:cs="Times New Roman" w:eastAsia="Times New Roman" w:hAnsi="Times New Roman"/>
                <w:sz w:val="20"/>
                <w:szCs w:val="20"/>
                <w:color w:val="0000FF"/>
                <w:w w:val="79"/>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20"/>
                <w:szCs w:val="20"/>
                <w:color w:val="auto"/>
              </w:rPr>
              <w:t>Section 9.22.</w:t>
            </w:r>
          </w:p>
        </w:tc>
        <w:tc>
          <w:tcPr>
            <w:tcW w:w="13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2060" w:type="dxa"/>
            <w:vAlign w:val="bottom"/>
            <w:gridSpan w:val="4"/>
          </w:tcPr>
          <w:p>
            <w:pPr>
              <w:ind w:left="100"/>
              <w:spacing w:after="0" w:line="169" w:lineRule="exact"/>
              <w:rPr>
                <w:sz w:val="20"/>
                <w:szCs w:val="20"/>
                <w:color w:val="auto"/>
              </w:rPr>
            </w:pPr>
            <w:r>
              <w:rPr>
                <w:rFonts w:ascii="Times New Roman" w:cs="Times New Roman" w:eastAsia="Times New Roman" w:hAnsi="Times New Roman"/>
                <w:sz w:val="19"/>
                <w:szCs w:val="19"/>
                <w:color w:val="auto"/>
              </w:rPr>
              <w:t>Release of Guarantors</w:t>
            </w: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auto"/>
                <w:w w:val="94"/>
              </w:rPr>
              <w:t>21</w:t>
            </w:r>
          </w:p>
        </w:tc>
        <w:tc>
          <w:tcPr>
            <w:tcW w:w="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2</w:t>
            </w:r>
          </w:p>
        </w:tc>
        <w:tc>
          <w:tcPr>
            <w:tcW w:w="10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9.23.</w:t>
            </w:r>
          </w:p>
        </w:tc>
        <w:tc>
          <w:tcPr>
            <w:tcW w:w="650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20"/>
                <w:szCs w:val="20"/>
                <w:color w:val="auto"/>
                <w:w w:val="99"/>
              </w:rPr>
              <w:t>Acknowledgement and Consent to Bail-In of Affected Financial Institutions  21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6</w:t>
            </w:r>
          </w:p>
        </w:tc>
        <w:tc>
          <w:tcPr>
            <w:tcW w:w="0" w:type="dxa"/>
            <w:vAlign w:val="bottom"/>
          </w:tcPr>
          <w:p>
            <w:pPr>
              <w:spacing w:after="0"/>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9.24.</w:t>
            </w:r>
          </w:p>
        </w:tc>
        <w:tc>
          <w:tcPr>
            <w:tcW w:w="2060" w:type="dxa"/>
            <w:vAlign w:val="bottom"/>
            <w:gridSpan w:val="4"/>
          </w:tcPr>
          <w:p>
            <w:pPr>
              <w:ind w:left="100"/>
              <w:spacing w:after="0" w:line="183" w:lineRule="exact"/>
              <w:rPr>
                <w:sz w:val="20"/>
                <w:szCs w:val="20"/>
                <w:color w:val="auto"/>
              </w:rPr>
            </w:pPr>
            <w:r>
              <w:rPr>
                <w:rFonts w:ascii="Times New Roman" w:cs="Times New Roman" w:eastAsia="Times New Roman" w:hAnsi="Times New Roman"/>
                <w:sz w:val="20"/>
                <w:szCs w:val="20"/>
                <w:color w:val="auto"/>
              </w:rPr>
              <w:t>Certain ERISA Matters</w:t>
            </w:r>
          </w:p>
        </w:tc>
        <w:tc>
          <w:tcPr>
            <w:tcW w:w="3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0"/>
                <w:szCs w:val="20"/>
                <w:color w:val="auto"/>
              </w:rPr>
              <w:t>21</w:t>
            </w:r>
          </w:p>
        </w:tc>
        <w:tc>
          <w:tcPr>
            <w:tcW w:w="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2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20"/>
                <w:szCs w:val="20"/>
                <w:color w:val="0000FF"/>
                <w:w w:val="79"/>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9.25.</w:t>
            </w:r>
          </w:p>
        </w:tc>
        <w:tc>
          <w:tcPr>
            <w:tcW w:w="2060" w:type="dxa"/>
            <w:vAlign w:val="bottom"/>
            <w:gridSpan w:val="4"/>
          </w:tcPr>
          <w:p>
            <w:pPr>
              <w:ind w:left="100"/>
              <w:spacing w:after="0" w:line="169" w:lineRule="exact"/>
              <w:rPr>
                <w:sz w:val="20"/>
                <w:szCs w:val="20"/>
                <w:color w:val="auto"/>
              </w:rPr>
            </w:pPr>
            <w:r>
              <w:rPr>
                <w:rFonts w:ascii="Times New Roman" w:cs="Times New Roman" w:eastAsia="Times New Roman" w:hAnsi="Times New Roman"/>
                <w:sz w:val="19"/>
                <w:szCs w:val="19"/>
                <w:color w:val="auto"/>
              </w:rPr>
              <w:t>Judgment Currency  21</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FF0000"/>
                <w:strike w:val="1"/>
                <w:w w:val="83"/>
              </w:rPr>
              <w:t>4</w:t>
            </w:r>
          </w:p>
        </w:tc>
        <w:tc>
          <w:tcPr>
            <w:tcW w:w="1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83"/>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9.26.</w:t>
            </w:r>
          </w:p>
        </w:tc>
        <w:tc>
          <w:tcPr>
            <w:tcW w:w="4620" w:type="dxa"/>
            <w:vAlign w:val="bottom"/>
            <w:gridSpan w:val="19"/>
          </w:tcPr>
          <w:p>
            <w:pPr>
              <w:ind w:left="100"/>
              <w:spacing w:after="0" w:line="176" w:lineRule="exact"/>
              <w:rPr>
                <w:sz w:val="20"/>
                <w:szCs w:val="20"/>
                <w:color w:val="auto"/>
              </w:rPr>
            </w:pPr>
            <w:r>
              <w:rPr>
                <w:rFonts w:ascii="Times New Roman" w:cs="Times New Roman" w:eastAsia="Times New Roman" w:hAnsi="Times New Roman"/>
                <w:sz w:val="20"/>
                <w:szCs w:val="20"/>
                <w:color w:val="auto"/>
              </w:rPr>
              <w:t>Acknowledgement Regarding Any Supported QFCs  21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20"/>
                <w:szCs w:val="20"/>
                <w:color w:val="0000FF"/>
                <w:w w:val="79"/>
              </w:rPr>
              <w:t>8</w:t>
            </w:r>
          </w:p>
        </w:tc>
        <w:tc>
          <w:tcPr>
            <w:tcW w:w="18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iv</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139"/>
          </w:cols>
          <w:pgMar w:left="320" w:top="1381"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8"/>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240" w:type="dxa"/>
            <w:vAlign w:val="bottom"/>
          </w:tcPr>
          <w:p>
            <w:pPr>
              <w:spacing w:after="0"/>
              <w:rPr>
                <w:sz w:val="22"/>
                <w:szCs w:val="22"/>
                <w:color w:val="auto"/>
              </w:rPr>
            </w:pPr>
          </w:p>
        </w:tc>
        <w:tc>
          <w:tcPr>
            <w:tcW w:w="9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Commitment Schedule</w:t>
            </w:r>
          </w:p>
        </w:tc>
        <w:tc>
          <w:tcPr>
            <w:tcW w:w="0" w:type="dxa"/>
            <w:vAlign w:val="bottom"/>
          </w:tcPr>
          <w:p>
            <w:pPr>
              <w:spacing w:after="0"/>
              <w:rPr>
                <w:sz w:val="1"/>
                <w:szCs w:val="1"/>
                <w:color w:val="auto"/>
              </w:rPr>
            </w:pPr>
          </w:p>
        </w:tc>
      </w:tr>
      <w:tr>
        <w:trPr>
          <w:trHeight w:val="193"/>
        </w:trPr>
        <w:tc>
          <w:tcPr>
            <w:tcW w:w="14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Schedule 1.01(b)</w:t>
            </w:r>
          </w:p>
        </w:tc>
        <w:tc>
          <w:tcPr>
            <w:tcW w:w="240" w:type="dxa"/>
            <w:vAlign w:val="bottom"/>
          </w:tcPr>
          <w:p>
            <w:pPr>
              <w:ind w:left="80"/>
              <w:spacing w:after="0" w:line="193" w:lineRule="exact"/>
              <w:rPr>
                <w:sz w:val="20"/>
                <w:szCs w:val="20"/>
                <w:color w:val="auto"/>
              </w:rPr>
            </w:pPr>
            <w:r>
              <w:rPr>
                <w:rFonts w:ascii="Times New Roman" w:cs="Times New Roman" w:eastAsia="Times New Roman" w:hAnsi="Times New Roman"/>
                <w:sz w:val="20"/>
                <w:szCs w:val="20"/>
                <w:color w:val="auto"/>
              </w:rPr>
              <w:t>–</w:t>
            </w:r>
          </w:p>
        </w:tc>
        <w:tc>
          <w:tcPr>
            <w:tcW w:w="9500" w:type="dxa"/>
            <w:vAlign w:val="bottom"/>
          </w:tcPr>
          <w:p>
            <w:pPr>
              <w:ind w:left="140"/>
              <w:spacing w:after="0" w:line="193" w:lineRule="exact"/>
              <w:rPr>
                <w:sz w:val="20"/>
                <w:szCs w:val="20"/>
                <w:color w:val="auto"/>
              </w:rPr>
            </w:pPr>
            <w:r>
              <w:rPr>
                <w:rFonts w:ascii="Times New Roman" w:cs="Times New Roman" w:eastAsia="Times New Roman" w:hAnsi="Times New Roman"/>
                <w:sz w:val="20"/>
                <w:szCs w:val="20"/>
                <w:color w:val="auto"/>
              </w:rPr>
              <w:t>Dutch Auction</w:t>
            </w:r>
          </w:p>
        </w:tc>
        <w:tc>
          <w:tcPr>
            <w:tcW w:w="0" w:type="dxa"/>
            <w:vAlign w:val="bottom"/>
          </w:tcPr>
          <w:p>
            <w:pPr>
              <w:spacing w:after="0"/>
              <w:rPr>
                <w:sz w:val="1"/>
                <w:szCs w:val="1"/>
                <w:color w:val="auto"/>
              </w:rPr>
            </w:pPr>
          </w:p>
        </w:tc>
      </w:tr>
      <w:tr>
        <w:trPr>
          <w:trHeight w:val="203"/>
        </w:trPr>
        <w:tc>
          <w:tcPr>
            <w:tcW w:w="14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Schedule 1.01(c)</w:t>
            </w:r>
          </w:p>
        </w:tc>
        <w:tc>
          <w:tcPr>
            <w:tcW w:w="974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20"/>
                <w:szCs w:val="20"/>
                <w:color w:val="auto"/>
              </w:rPr>
              <w:t>–  Closing Date Collateral Documents and Loan Guarantees</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w w:val="98"/>
              </w:rPr>
              <w:t>Schedule 3.13</w:t>
            </w:r>
          </w:p>
        </w:tc>
        <w:tc>
          <w:tcPr>
            <w:tcW w:w="340" w:type="dxa"/>
            <w:vAlign w:val="bottom"/>
          </w:tcPr>
          <w:p>
            <w:pPr>
              <w:ind w:left="180"/>
              <w:spacing w:after="0" w:line="198"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193"/>
        </w:trPr>
        <w:tc>
          <w:tcPr>
            <w:tcW w:w="114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w w:val="98"/>
              </w:rPr>
              <w:t>Schedule 5.01</w:t>
            </w:r>
          </w:p>
        </w:tc>
        <w:tc>
          <w:tcPr>
            <w:tcW w:w="1008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rPr>
              <w:t>–  Borrower’s Website Address for Electronic Delivery</w:t>
            </w: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w w:val="98"/>
              </w:rPr>
              <w:t>Schedule 5.10</w:t>
            </w:r>
          </w:p>
        </w:tc>
        <w:tc>
          <w:tcPr>
            <w:tcW w:w="34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20"/>
                <w:szCs w:val="20"/>
                <w:color w:val="auto"/>
              </w:rPr>
              <w:t>Unrestricted Subsidiaries</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w w:val="98"/>
              </w:rPr>
              <w:t>Schedule 5.15</w:t>
            </w:r>
          </w:p>
        </w:tc>
        <w:tc>
          <w:tcPr>
            <w:tcW w:w="340" w:type="dxa"/>
            <w:vAlign w:val="bottom"/>
          </w:tcPr>
          <w:p>
            <w:pPr>
              <w:ind w:left="180"/>
              <w:spacing w:after="0" w:line="198"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20"/>
                <w:szCs w:val="20"/>
                <w:color w:val="auto"/>
              </w:rPr>
              <w:t>Post-Closing Obligations</w:t>
            </w:r>
          </w:p>
        </w:tc>
        <w:tc>
          <w:tcPr>
            <w:tcW w:w="0" w:type="dxa"/>
            <w:vAlign w:val="bottom"/>
          </w:tcPr>
          <w:p>
            <w:pPr>
              <w:spacing w:after="0"/>
              <w:rPr>
                <w:sz w:val="1"/>
                <w:szCs w:val="1"/>
                <w:color w:val="auto"/>
              </w:rPr>
            </w:pPr>
          </w:p>
        </w:tc>
      </w:tr>
      <w:tr>
        <w:trPr>
          <w:trHeight w:val="193"/>
        </w:trPr>
        <w:tc>
          <w:tcPr>
            <w:tcW w:w="114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w w:val="98"/>
              </w:rPr>
              <w:t>Schedule 6.01</w:t>
            </w:r>
          </w:p>
        </w:tc>
        <w:tc>
          <w:tcPr>
            <w:tcW w:w="340" w:type="dxa"/>
            <w:vAlign w:val="bottom"/>
          </w:tcPr>
          <w:p>
            <w:pPr>
              <w:ind w:left="180"/>
              <w:spacing w:after="0" w:line="193"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193" w:lineRule="exact"/>
              <w:rPr>
                <w:sz w:val="20"/>
                <w:szCs w:val="20"/>
                <w:color w:val="auto"/>
              </w:rPr>
            </w:pPr>
            <w:r>
              <w:rPr>
                <w:rFonts w:ascii="Times New Roman" w:cs="Times New Roman" w:eastAsia="Times New Roman" w:hAnsi="Times New Roman"/>
                <w:sz w:val="20"/>
                <w:szCs w:val="20"/>
                <w:color w:val="auto"/>
              </w:rPr>
              <w:t>Existing Debt</w:t>
            </w: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w w:val="98"/>
              </w:rPr>
              <w:t>Schedule 6.02</w:t>
            </w:r>
          </w:p>
        </w:tc>
        <w:tc>
          <w:tcPr>
            <w:tcW w:w="34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w w:val="98"/>
              </w:rPr>
              <w:t>Schedule 6.06</w:t>
            </w:r>
          </w:p>
        </w:tc>
        <w:tc>
          <w:tcPr>
            <w:tcW w:w="340" w:type="dxa"/>
            <w:vAlign w:val="bottom"/>
          </w:tcPr>
          <w:p>
            <w:pPr>
              <w:ind w:left="180"/>
              <w:spacing w:after="0" w:line="198" w:lineRule="exact"/>
              <w:rPr>
                <w:sz w:val="20"/>
                <w:szCs w:val="20"/>
                <w:color w:val="auto"/>
              </w:rPr>
            </w:pPr>
            <w:r>
              <w:rPr>
                <w:rFonts w:ascii="Times New Roman" w:cs="Times New Roman" w:eastAsia="Times New Roman" w:hAnsi="Times New Roman"/>
                <w:sz w:val="20"/>
                <w:szCs w:val="20"/>
                <w:color w:val="auto"/>
              </w:rPr>
              <w:t>–</w:t>
            </w:r>
          </w:p>
        </w:tc>
        <w:tc>
          <w:tcPr>
            <w:tcW w:w="9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20"/>
                <w:szCs w:val="20"/>
                <w:color w:val="auto"/>
              </w:rPr>
              <w:t>Existing Investments</w:t>
            </w:r>
          </w:p>
        </w:tc>
        <w:tc>
          <w:tcPr>
            <w:tcW w:w="0" w:type="dxa"/>
            <w:vAlign w:val="bottom"/>
          </w:tcPr>
          <w:p>
            <w:pPr>
              <w:spacing w:after="0"/>
              <w:rPr>
                <w:sz w:val="1"/>
                <w:szCs w:val="1"/>
                <w:color w:val="auto"/>
              </w:rPr>
            </w:pPr>
          </w:p>
        </w:tc>
      </w:tr>
      <w:tr>
        <w:trPr>
          <w:trHeight w:val="258"/>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9.01</w:t>
            </w:r>
          </w:p>
        </w:tc>
        <w:tc>
          <w:tcPr>
            <w:tcW w:w="100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  Issuing Bank Notice Information</w:t>
            </w:r>
          </w:p>
        </w:tc>
        <w:tc>
          <w:tcPr>
            <w:tcW w:w="0" w:type="dxa"/>
            <w:vAlign w:val="bottom"/>
          </w:tcPr>
          <w:p>
            <w:pPr>
              <w:spacing w:after="0"/>
              <w:rPr>
                <w:sz w:val="1"/>
                <w:szCs w:val="1"/>
                <w:color w:val="auto"/>
              </w:rPr>
            </w:pPr>
          </w:p>
        </w:tc>
      </w:tr>
      <w:tr>
        <w:trPr>
          <w:trHeight w:val="544"/>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A-1</w:t>
            </w:r>
          </w:p>
        </w:tc>
        <w:tc>
          <w:tcPr>
            <w:tcW w:w="10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Form of Affiliated Lender Assignment and Assumption</w:t>
            </w:r>
          </w:p>
        </w:tc>
        <w:tc>
          <w:tcPr>
            <w:tcW w:w="0" w:type="dxa"/>
            <w:vAlign w:val="bottom"/>
          </w:tcPr>
          <w:p>
            <w:pPr>
              <w:spacing w:after="0"/>
              <w:rPr>
                <w:sz w:val="1"/>
                <w:szCs w:val="1"/>
                <w:color w:val="auto"/>
              </w:rPr>
            </w:pPr>
          </w:p>
        </w:tc>
      </w:tr>
      <w:tr>
        <w:trPr>
          <w:trHeight w:val="193"/>
        </w:trPr>
        <w:tc>
          <w:tcPr>
            <w:tcW w:w="114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Exhibit A-2</w:t>
            </w:r>
          </w:p>
        </w:tc>
        <w:tc>
          <w:tcPr>
            <w:tcW w:w="100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  Form of Assignment and Assumption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Exhibit B</w:t>
            </w:r>
          </w:p>
        </w:tc>
        <w:tc>
          <w:tcPr>
            <w:tcW w:w="280" w:type="dxa"/>
            <w:vAlign w:val="bottom"/>
          </w:tcPr>
          <w:p>
            <w:pPr>
              <w:ind w:left="1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Form of Borrowing Request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Exhibit C</w:t>
            </w:r>
          </w:p>
        </w:tc>
        <w:tc>
          <w:tcPr>
            <w:tcW w:w="28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20"/>
                <w:szCs w:val="20"/>
                <w:color w:val="auto"/>
              </w:rPr>
              <w:t>Form of Intellectual Property Security Agreement</w:t>
            </w:r>
          </w:p>
        </w:tc>
        <w:tc>
          <w:tcPr>
            <w:tcW w:w="0" w:type="dxa"/>
            <w:vAlign w:val="bottom"/>
          </w:tcPr>
          <w:p>
            <w:pPr>
              <w:spacing w:after="0"/>
              <w:rPr>
                <w:sz w:val="1"/>
                <w:szCs w:val="1"/>
                <w:color w:val="auto"/>
              </w:rPr>
            </w:pPr>
          </w:p>
        </w:tc>
      </w:tr>
      <w:tr>
        <w:trPr>
          <w:trHeight w:val="193"/>
        </w:trPr>
        <w:tc>
          <w:tcPr>
            <w:tcW w:w="86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D</w:t>
            </w:r>
          </w:p>
        </w:tc>
        <w:tc>
          <w:tcPr>
            <w:tcW w:w="280" w:type="dxa"/>
            <w:vAlign w:val="bottom"/>
          </w:tcPr>
          <w:p>
            <w:pPr>
              <w:ind w:left="12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line="193" w:lineRule="exact"/>
              <w:rPr>
                <w:sz w:val="20"/>
                <w:szCs w:val="20"/>
                <w:color w:val="auto"/>
              </w:rPr>
            </w:pPr>
            <w:r>
              <w:rPr>
                <w:rFonts w:ascii="Times New Roman" w:cs="Times New Roman" w:eastAsia="Times New Roman" w:hAnsi="Times New Roman"/>
                <w:sz w:val="20"/>
                <w:szCs w:val="20"/>
                <w:color w:val="auto"/>
              </w:rPr>
              <w:t>Form of Compliance Certificate</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Exhibit E</w:t>
            </w:r>
          </w:p>
        </w:tc>
        <w:tc>
          <w:tcPr>
            <w:tcW w:w="28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20"/>
                <w:szCs w:val="20"/>
                <w:color w:val="auto"/>
              </w:rPr>
              <w:t>Form of Pari Passu Intercreditor Agreement</w:t>
            </w:r>
          </w:p>
        </w:tc>
        <w:tc>
          <w:tcPr>
            <w:tcW w:w="0" w:type="dxa"/>
            <w:vAlign w:val="bottom"/>
          </w:tcPr>
          <w:p>
            <w:pPr>
              <w:spacing w:after="0"/>
              <w:rPr>
                <w:sz w:val="1"/>
                <w:szCs w:val="1"/>
                <w:color w:val="auto"/>
              </w:rPr>
            </w:pPr>
          </w:p>
        </w:tc>
      </w:tr>
      <w:tr>
        <w:trPr>
          <w:trHeight w:val="193"/>
        </w:trPr>
        <w:tc>
          <w:tcPr>
            <w:tcW w:w="86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F</w:t>
            </w:r>
          </w:p>
        </w:tc>
        <w:tc>
          <w:tcPr>
            <w:tcW w:w="280" w:type="dxa"/>
            <w:vAlign w:val="bottom"/>
          </w:tcPr>
          <w:p>
            <w:pPr>
              <w:ind w:left="8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00"/>
              <w:spacing w:after="0" w:line="193" w:lineRule="exact"/>
              <w:rPr>
                <w:sz w:val="20"/>
                <w:szCs w:val="20"/>
                <w:color w:val="auto"/>
              </w:rPr>
            </w:pPr>
            <w:r>
              <w:rPr>
                <w:rFonts w:ascii="Times New Roman" w:cs="Times New Roman" w:eastAsia="Times New Roman" w:hAnsi="Times New Roman"/>
                <w:sz w:val="20"/>
                <w:szCs w:val="20"/>
                <w:color w:val="auto"/>
              </w:rPr>
              <w:t>Form of Intercompany Note</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Exhibit G</w:t>
            </w:r>
          </w:p>
        </w:tc>
        <w:tc>
          <w:tcPr>
            <w:tcW w:w="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20"/>
                <w:szCs w:val="20"/>
                <w:color w:val="auto"/>
              </w:rPr>
              <w:t>Form of Junior Lien Intercreditor Agreement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Exhibit H</w:t>
            </w:r>
          </w:p>
        </w:tc>
        <w:tc>
          <w:tcPr>
            <w:tcW w:w="280" w:type="dxa"/>
            <w:vAlign w:val="bottom"/>
          </w:tcPr>
          <w:p>
            <w:pPr>
              <w:ind w:left="12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20"/>
                <w:szCs w:val="20"/>
                <w:color w:val="auto"/>
              </w:rPr>
              <w:t>Form of Interest Election Request</w:t>
            </w:r>
          </w:p>
        </w:tc>
        <w:tc>
          <w:tcPr>
            <w:tcW w:w="0" w:type="dxa"/>
            <w:vAlign w:val="bottom"/>
          </w:tcPr>
          <w:p>
            <w:pPr>
              <w:spacing w:after="0"/>
              <w:rPr>
                <w:sz w:val="1"/>
                <w:szCs w:val="1"/>
                <w:color w:val="auto"/>
              </w:rPr>
            </w:pPr>
          </w:p>
        </w:tc>
      </w:tr>
      <w:tr>
        <w:trPr>
          <w:trHeight w:val="193"/>
        </w:trPr>
        <w:tc>
          <w:tcPr>
            <w:tcW w:w="86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I</w:t>
            </w:r>
          </w:p>
        </w:tc>
        <w:tc>
          <w:tcPr>
            <w:tcW w:w="280" w:type="dxa"/>
            <w:vAlign w:val="bottom"/>
          </w:tcPr>
          <w:p>
            <w:pPr>
              <w:ind w:left="4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Form of Loan Guaranty</w:t>
            </w:r>
          </w:p>
        </w:tc>
        <w:tc>
          <w:tcPr>
            <w:tcW w:w="0" w:type="dxa"/>
            <w:vAlign w:val="bottom"/>
          </w:tcPr>
          <w:p>
            <w:pPr>
              <w:spacing w:after="0"/>
              <w:rPr>
                <w:sz w:val="1"/>
                <w:szCs w:val="1"/>
                <w:color w:val="auto"/>
              </w:rPr>
            </w:pPr>
          </w:p>
        </w:tc>
      </w:tr>
      <w:tr>
        <w:trPr>
          <w:trHeight w:val="202"/>
        </w:trPr>
        <w:tc>
          <w:tcPr>
            <w:tcW w:w="8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Exhibit J</w:t>
            </w:r>
          </w:p>
        </w:tc>
        <w:tc>
          <w:tcPr>
            <w:tcW w:w="28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80"/>
              <w:spacing w:after="0" w:line="203" w:lineRule="exact"/>
              <w:rPr>
                <w:sz w:val="20"/>
                <w:szCs w:val="20"/>
                <w:color w:val="auto"/>
              </w:rPr>
            </w:pPr>
            <w:r>
              <w:rPr>
                <w:rFonts w:ascii="Times New Roman" w:cs="Times New Roman" w:eastAsia="Times New Roman" w:hAnsi="Times New Roman"/>
                <w:sz w:val="20"/>
                <w:szCs w:val="20"/>
                <w:color w:val="auto"/>
              </w:rPr>
              <w:t>Form of Perfection Certificate</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Exhibit K</w:t>
            </w:r>
          </w:p>
        </w:tc>
        <w:tc>
          <w:tcPr>
            <w:tcW w:w="280" w:type="dxa"/>
            <w:vAlign w:val="bottom"/>
          </w:tcPr>
          <w:p>
            <w:pPr>
              <w:ind w:left="12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20"/>
                <w:szCs w:val="20"/>
                <w:color w:val="auto"/>
              </w:rPr>
              <w:t>Form of Joinder Agreement</w:t>
            </w:r>
          </w:p>
        </w:tc>
        <w:tc>
          <w:tcPr>
            <w:tcW w:w="0" w:type="dxa"/>
            <w:vAlign w:val="bottom"/>
          </w:tcPr>
          <w:p>
            <w:pPr>
              <w:spacing w:after="0"/>
              <w:rPr>
                <w:sz w:val="1"/>
                <w:szCs w:val="1"/>
                <w:color w:val="auto"/>
              </w:rPr>
            </w:pPr>
          </w:p>
        </w:tc>
      </w:tr>
      <w:tr>
        <w:trPr>
          <w:trHeight w:val="193"/>
        </w:trPr>
        <w:tc>
          <w:tcPr>
            <w:tcW w:w="86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L</w:t>
            </w:r>
          </w:p>
        </w:tc>
        <w:tc>
          <w:tcPr>
            <w:tcW w:w="280" w:type="dxa"/>
            <w:vAlign w:val="bottom"/>
          </w:tcPr>
          <w:p>
            <w:pPr>
              <w:ind w:left="10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00"/>
              <w:spacing w:after="0" w:line="193" w:lineRule="exact"/>
              <w:rPr>
                <w:sz w:val="20"/>
                <w:szCs w:val="20"/>
                <w:color w:val="auto"/>
              </w:rPr>
            </w:pPr>
            <w:r>
              <w:rPr>
                <w:rFonts w:ascii="Times New Roman" w:cs="Times New Roman" w:eastAsia="Times New Roman" w:hAnsi="Times New Roman"/>
                <w:sz w:val="20"/>
                <w:szCs w:val="20"/>
                <w:color w:val="auto"/>
              </w:rPr>
              <w:t>Form of Promissory Note</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Exhibit M</w:t>
            </w:r>
          </w:p>
        </w:tc>
        <w:tc>
          <w:tcPr>
            <w:tcW w:w="280" w:type="dxa"/>
            <w:vAlign w:val="bottom"/>
          </w:tcPr>
          <w:p>
            <w:pPr>
              <w:ind w:left="160"/>
              <w:spacing w:after="0" w:line="203" w:lineRule="exact"/>
              <w:rPr>
                <w:sz w:val="20"/>
                <w:szCs w:val="20"/>
                <w:color w:val="auto"/>
              </w:rPr>
            </w:pPr>
            <w:r>
              <w:rPr>
                <w:rFonts w:ascii="Times New Roman" w:cs="Times New Roman" w:eastAsia="Times New Roman" w:hAnsi="Times New Roman"/>
                <w:sz w:val="20"/>
                <w:szCs w:val="20"/>
                <w:color w:val="auto"/>
                <w:w w:val="99"/>
              </w:rPr>
              <w:t>–</w:t>
            </w:r>
          </w:p>
        </w:tc>
        <w:tc>
          <w:tcPr>
            <w:tcW w:w="10080" w:type="dxa"/>
            <w:vAlign w:val="bottom"/>
            <w:gridSpan w:val="3"/>
          </w:tcPr>
          <w:p>
            <w:pPr>
              <w:ind w:left="180"/>
              <w:spacing w:after="0" w:line="203" w:lineRule="exact"/>
              <w:rPr>
                <w:sz w:val="20"/>
                <w:szCs w:val="20"/>
                <w:color w:val="auto"/>
              </w:rPr>
            </w:pPr>
            <w:r>
              <w:rPr>
                <w:rFonts w:ascii="Times New Roman" w:cs="Times New Roman" w:eastAsia="Times New Roman" w:hAnsi="Times New Roman"/>
                <w:sz w:val="20"/>
                <w:szCs w:val="20"/>
                <w:color w:val="auto"/>
              </w:rPr>
              <w:t>Form of Pledge and Security Agreement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Exhibit N</w:t>
            </w:r>
          </w:p>
        </w:tc>
        <w:tc>
          <w:tcPr>
            <w:tcW w:w="280" w:type="dxa"/>
            <w:vAlign w:val="bottom"/>
          </w:tcPr>
          <w:p>
            <w:pPr>
              <w:ind w:left="12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20"/>
                <w:szCs w:val="20"/>
                <w:color w:val="auto"/>
              </w:rPr>
              <w:t>Form of Letter of Credit Request</w:t>
            </w:r>
          </w:p>
        </w:tc>
        <w:tc>
          <w:tcPr>
            <w:tcW w:w="0" w:type="dxa"/>
            <w:vAlign w:val="bottom"/>
          </w:tcPr>
          <w:p>
            <w:pPr>
              <w:spacing w:after="0"/>
              <w:rPr>
                <w:sz w:val="1"/>
                <w:szCs w:val="1"/>
                <w:color w:val="auto"/>
              </w:rPr>
            </w:pPr>
          </w:p>
        </w:tc>
      </w:tr>
      <w:tr>
        <w:trPr>
          <w:trHeight w:val="193"/>
        </w:trPr>
        <w:tc>
          <w:tcPr>
            <w:tcW w:w="114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Exhibit O-1</w:t>
            </w:r>
          </w:p>
        </w:tc>
        <w:tc>
          <w:tcPr>
            <w:tcW w:w="100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  Form of Tax Compliance Certificate (For Foreign Lenders That Are Not Partnerships For US Federal Income Tax</w:t>
            </w:r>
          </w:p>
        </w:tc>
        <w:tc>
          <w:tcPr>
            <w:tcW w:w="0" w:type="dxa"/>
            <w:vAlign w:val="bottom"/>
          </w:tcPr>
          <w:p>
            <w:pPr>
              <w:spacing w:after="0"/>
              <w:rPr>
                <w:sz w:val="1"/>
                <w:szCs w:val="1"/>
                <w:color w:val="auto"/>
              </w:rPr>
            </w:pPr>
          </w:p>
        </w:tc>
      </w:tr>
      <w:tr>
        <w:trPr>
          <w:trHeight w:val="20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Exhibit O-2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0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Purposes)</w:t>
            </w:r>
          </w:p>
        </w:tc>
        <w:tc>
          <w:tcPr>
            <w:tcW w:w="0" w:type="dxa"/>
            <w:vAlign w:val="bottom"/>
          </w:tcPr>
          <w:p>
            <w:pPr>
              <w:spacing w:after="0"/>
              <w:rPr>
                <w:sz w:val="1"/>
                <w:szCs w:val="1"/>
                <w:color w:val="auto"/>
              </w:rPr>
            </w:pPr>
          </w:p>
        </w:tc>
      </w:tr>
      <w:tr>
        <w:trPr>
          <w:trHeight w:val="198"/>
        </w:trPr>
        <w:tc>
          <w:tcPr>
            <w:tcW w:w="1140" w:type="dxa"/>
            <w:vAlign w:val="bottom"/>
            <w:gridSpan w:val="2"/>
            <w:vMerge w:val="continue"/>
          </w:tcPr>
          <w:p>
            <w:pPr>
              <w:spacing w:after="0"/>
              <w:rPr>
                <w:sz w:val="17"/>
                <w:szCs w:val="17"/>
                <w:color w:val="auto"/>
              </w:rPr>
            </w:pPr>
          </w:p>
        </w:tc>
        <w:tc>
          <w:tcPr>
            <w:tcW w:w="100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  Form of Tax Compliance Certificate (For Foreign Participants That Are Not Partnerships For US Federal Income Tax</w:t>
            </w:r>
          </w:p>
        </w:tc>
        <w:tc>
          <w:tcPr>
            <w:tcW w:w="0" w:type="dxa"/>
            <w:vAlign w:val="bottom"/>
          </w:tcPr>
          <w:p>
            <w:pPr>
              <w:spacing w:after="0"/>
              <w:rPr>
                <w:sz w:val="1"/>
                <w:szCs w:val="1"/>
                <w:color w:val="auto"/>
              </w:rPr>
            </w:pPr>
          </w:p>
        </w:tc>
      </w:tr>
      <w:tr>
        <w:trPr>
          <w:trHeight w:val="19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Exhibit O-3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00" w:type="dxa"/>
            <w:vAlign w:val="bottom"/>
          </w:tcPr>
          <w:p>
            <w:pPr>
              <w:ind w:left="80"/>
              <w:spacing w:after="0" w:line="193" w:lineRule="exact"/>
              <w:rPr>
                <w:sz w:val="20"/>
                <w:szCs w:val="20"/>
                <w:color w:val="auto"/>
              </w:rPr>
            </w:pPr>
            <w:r>
              <w:rPr>
                <w:rFonts w:ascii="Times New Roman" w:cs="Times New Roman" w:eastAsia="Times New Roman" w:hAnsi="Times New Roman"/>
                <w:sz w:val="20"/>
                <w:szCs w:val="20"/>
                <w:color w:val="auto"/>
              </w:rPr>
              <w:t>Purposes)</w:t>
            </w:r>
          </w:p>
        </w:tc>
        <w:tc>
          <w:tcPr>
            <w:tcW w:w="0" w:type="dxa"/>
            <w:vAlign w:val="bottom"/>
          </w:tcPr>
          <w:p>
            <w:pPr>
              <w:spacing w:after="0"/>
              <w:rPr>
                <w:sz w:val="1"/>
                <w:szCs w:val="1"/>
                <w:color w:val="auto"/>
              </w:rPr>
            </w:pPr>
          </w:p>
        </w:tc>
      </w:tr>
      <w:tr>
        <w:trPr>
          <w:trHeight w:val="203"/>
        </w:trPr>
        <w:tc>
          <w:tcPr>
            <w:tcW w:w="1140" w:type="dxa"/>
            <w:vAlign w:val="bottom"/>
            <w:gridSpan w:val="2"/>
            <w:vMerge w:val="continue"/>
          </w:tcPr>
          <w:p>
            <w:pPr>
              <w:spacing w:after="0"/>
              <w:rPr>
                <w:sz w:val="17"/>
                <w:szCs w:val="17"/>
                <w:color w:val="auto"/>
              </w:rPr>
            </w:pPr>
          </w:p>
        </w:tc>
        <w:tc>
          <w:tcPr>
            <w:tcW w:w="100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  Form of Tax Compliance Certificate (For Foreign Lenders That Are Partnerships For US Federal Income Tax Purposes)</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Exhibit O-4</w:t>
            </w:r>
          </w:p>
        </w:tc>
        <w:tc>
          <w:tcPr>
            <w:tcW w:w="100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w w:val="99"/>
              </w:rPr>
              <w:t>–  Form of Tax Compliance Certificate (For Foreign Participants That Are Partnerships For US Federal Income Tax Purposes)</w:t>
            </w:r>
          </w:p>
        </w:tc>
        <w:tc>
          <w:tcPr>
            <w:tcW w:w="0" w:type="dxa"/>
            <w:vAlign w:val="bottom"/>
          </w:tcPr>
          <w:p>
            <w:pPr>
              <w:spacing w:after="0"/>
              <w:rPr>
                <w:sz w:val="1"/>
                <w:szCs w:val="1"/>
                <w:color w:val="auto"/>
              </w:rPr>
            </w:pPr>
          </w:p>
        </w:tc>
      </w:tr>
      <w:tr>
        <w:trPr>
          <w:trHeight w:val="193"/>
        </w:trPr>
        <w:tc>
          <w:tcPr>
            <w:tcW w:w="86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Exhibit P</w:t>
            </w:r>
          </w:p>
        </w:tc>
        <w:tc>
          <w:tcPr>
            <w:tcW w:w="280" w:type="dxa"/>
            <w:vAlign w:val="bottom"/>
          </w:tcPr>
          <w:p>
            <w:pPr>
              <w:ind w:left="8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00"/>
              <w:spacing w:after="0" w:line="193" w:lineRule="exact"/>
              <w:rPr>
                <w:sz w:val="20"/>
                <w:szCs w:val="20"/>
                <w:color w:val="auto"/>
              </w:rPr>
            </w:pPr>
            <w:r>
              <w:rPr>
                <w:rFonts w:ascii="Times New Roman" w:cs="Times New Roman" w:eastAsia="Times New Roman" w:hAnsi="Times New Roman"/>
                <w:sz w:val="20"/>
                <w:szCs w:val="20"/>
                <w:color w:val="auto"/>
              </w:rPr>
              <w:t>Form of Solvency Certificate</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Q</w:t>
            </w:r>
          </w:p>
        </w:tc>
        <w:tc>
          <w:tcPr>
            <w:tcW w:w="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Form of Notice of Loan Prepayment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v</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220"/>
          </w:cols>
          <w:pgMar w:left="320" w:top="1399" w:right="3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u w:val="single" w:color="auto"/>
          <w:color w:val="auto"/>
        </w:rPr>
        <w:t>CREDIT AGREEMENT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CREDIT AGREEMENT, dated as of October 6, 2021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among FWR Holding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AI Fresh Parent,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Lenders from time to time party hereto, the</w:t>
      </w:r>
    </w:p>
    <w:p>
      <w:pPr>
        <w:spacing w:after="0" w:line="212" w:lineRule="auto"/>
        <w:rPr>
          <w:sz w:val="20"/>
          <w:szCs w:val="20"/>
          <w:color w:val="auto"/>
        </w:rPr>
      </w:pPr>
      <w:r>
        <w:rPr>
          <w:rFonts w:ascii="Times New Roman" w:cs="Times New Roman" w:eastAsia="Times New Roman" w:hAnsi="Times New Roman"/>
          <w:sz w:val="20"/>
          <w:szCs w:val="20"/>
          <w:color w:val="auto"/>
        </w:rPr>
        <w:t>Issuing Banks from time to time party hereto and Bank of America, N.A. (including its branches and correspondents) (“</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in its capacities as administrative agent for the Lenders and collateral agent for the Secured Parties (in such capacities and together with its permitted successors and assigns,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an Issuing Bank and the Swingline Lender.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89" w:lineRule="exact"/>
        <w:rPr>
          <w:sz w:val="20"/>
          <w:szCs w:val="20"/>
          <w:color w:val="auto"/>
        </w:rPr>
      </w:pPr>
    </w:p>
    <w:p>
      <w:pPr>
        <w:jc w:val="both"/>
        <w:ind w:firstLine="656"/>
        <w:spacing w:after="0" w:line="226" w:lineRule="auto"/>
        <w:tabs>
          <w:tab w:leader="none" w:pos="128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or substantially concurrently with the occurrence of the Closing Date, First Watch Restaurant Group,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 indirect parent entity of the Borrower, will consummate an initial public offering of its Capital Stock (the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concurrently with the occurrence of the Closing Date, all outstanding indebtedness for borrowed money of the Borrower and its subsidiaries under that certain Credit Agreement, dated as of August 21, 2017 (as amended,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Holdings, the Borrower, the subsidiary guarantors party thereto, the lenders party thereto and Golub Capital Markets LLC, as administrative agent, will be repaid, redeemed, discharged, refinanced, replaced or terminated and in each case, the liens and guarantees in support thereof shall be released or terminated (the “</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fund a portion of the Closing Date Refinancing, the Borrower has requested that the Lenders extend credit under this Agreement in the form of (x) Initial Term Loans in an aggregate principal amount on the Closing Date of $100,000,000 and (y) an Initial Revolving Facility with an available amount of $75,000,000.</w:t>
      </w:r>
    </w:p>
    <w:p>
      <w:pPr>
        <w:spacing w:after="0" w:line="146"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are willing to extend such credit to the Borrower on the terms and subject to the conditions set forth herein. Accordingly, the parties hereto agree as follows:</w:t>
      </w:r>
    </w:p>
    <w:p>
      <w:pPr>
        <w:spacing w:after="0" w:line="1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1</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DEFINITIONS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Defined Terms. As used in this Agreement, the following terms have the meanings specified below:</w:t>
      </w:r>
    </w:p>
    <w:p>
      <w:pPr>
        <w:spacing w:after="0" w:line="17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Alternate Base 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 xml:space="preserve">“ABR Term SOFR Determination Day” has the meaning </w:t>
      </w:r>
      <w:r>
        <w:rPr>
          <w:rFonts w:ascii="Times New Roman" w:cs="Times New Roman" w:eastAsia="Times New Roman" w:hAnsi="Times New Roman"/>
          <w:sz w:val="20"/>
          <w:szCs w:val="20"/>
          <w:u w:val="single" w:color="auto"/>
          <w:color w:val="008000"/>
        </w:rPr>
        <w:t>set forth in the definition of “</w:t>
      </w:r>
      <w:r>
        <w:rPr>
          <w:rFonts w:ascii="Times New Roman" w:cs="Times New Roman" w:eastAsia="Times New Roman" w:hAnsi="Times New Roman"/>
          <w:sz w:val="20"/>
          <w:szCs w:val="20"/>
          <w:u w:val="single" w:color="auto"/>
          <w:color w:val="0000FF"/>
        </w:rPr>
        <w:t>Term SOFR”.</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Debtor-In-Possession Financing</w:t>
      </w:r>
      <w:r>
        <w:rPr>
          <w:rFonts w:ascii="Times New Roman" w:cs="Times New Roman" w:eastAsia="Times New Roman" w:hAnsi="Times New Roman"/>
          <w:sz w:val="20"/>
          <w:szCs w:val="20"/>
          <w:color w:val="auto"/>
        </w:rPr>
        <w:t>” means any debtor-in-possession or similar financing (a) incurred by Holdings, the Borrower or a Restricted Subsidiary following a voluntary petition by Holdings, the Borrower or any of its Restricted Subsidiaries under or in connection with any Debtor Relief Law and (b) approved pursuant to an order of an applicable court under any Debtor Relief Law.</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w:t>
      </w:r>
      <w:r>
        <w:rPr>
          <w:rFonts w:ascii="Times New Roman" w:cs="Times New Roman" w:eastAsia="Times New Roman" w:hAnsi="Times New Roman"/>
          <w:sz w:val="20"/>
          <w:szCs w:val="20"/>
          <w:color w:val="auto"/>
        </w:rPr>
        <w:t>” means automated clearing house transfers.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xml:space="preserve">” means any commitment hereunder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means any Additional Revolving Loan and any Additional Term Loan.</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Commitments</w:t>
      </w:r>
      <w:r>
        <w:rPr>
          <w:rFonts w:ascii="Times New Roman" w:cs="Times New Roman" w:eastAsia="Times New Roman" w:hAnsi="Times New Roman"/>
          <w:sz w:val="20"/>
          <w:szCs w:val="20"/>
          <w:color w:val="auto"/>
        </w:rPr>
        <w:t xml:space="preserve">” means any revolving credit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w:t>
      </w:r>
    </w:p>
    <w:p>
      <w:pPr>
        <w:spacing w:after="0"/>
        <w:rPr>
          <w:sz w:val="20"/>
          <w:szCs w:val="20"/>
          <w:color w:val="auto"/>
        </w:rPr>
      </w:pP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Exposure</w:t>
      </w:r>
      <w:r>
        <w:rPr>
          <w:rFonts w:ascii="Times New Roman" w:cs="Times New Roman" w:eastAsia="Times New Roman" w:hAnsi="Times New Roman"/>
          <w:sz w:val="20"/>
          <w:szCs w:val="20"/>
          <w:color w:val="auto"/>
        </w:rPr>
        <w:t xml:space="preserve">” means, with respect to any Lender at any time, the aggregate Outstanding Amount at such time of all Additional Revolving Loans of such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outstanding amount at such time of such Lender’s LC Exposure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Swingline Exposure, in each case, attributable to its Additional Revolving Credit Commitment.</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Lender</w:t>
      </w:r>
      <w:r>
        <w:rPr>
          <w:rFonts w:ascii="Times New Roman" w:cs="Times New Roman" w:eastAsia="Times New Roman" w:hAnsi="Times New Roman"/>
          <w:sz w:val="20"/>
          <w:szCs w:val="20"/>
          <w:color w:val="auto"/>
        </w:rPr>
        <w:t>” means any Lender with an Additional Revolving Credit Commitment or any Additional Revolving Credit Exposure.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Loans</w:t>
      </w:r>
      <w:r>
        <w:rPr>
          <w:rFonts w:ascii="Times New Roman" w:cs="Times New Roman" w:eastAsia="Times New Roman" w:hAnsi="Times New Roman"/>
          <w:sz w:val="20"/>
          <w:szCs w:val="20"/>
          <w:color w:val="auto"/>
        </w:rPr>
        <w:t xml:space="preserve">” means any revolving loan added hereunder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Term Lender</w:t>
      </w:r>
      <w:r>
        <w:rPr>
          <w:rFonts w:ascii="Times New Roman" w:cs="Times New Roman" w:eastAsia="Times New Roman" w:hAnsi="Times New Roman"/>
          <w:sz w:val="19"/>
          <w:szCs w:val="19"/>
          <w:color w:val="auto"/>
        </w:rPr>
        <w:t>” means any Lender with an Additional Term Loan Commitment or an outstanding Additional Term Loan.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 Commitment</w:t>
      </w:r>
      <w:r>
        <w:rPr>
          <w:rFonts w:ascii="Times New Roman" w:cs="Times New Roman" w:eastAsia="Times New Roman" w:hAnsi="Times New Roman"/>
          <w:sz w:val="20"/>
          <w:szCs w:val="20"/>
          <w:color w:val="auto"/>
        </w:rPr>
        <w:t xml:space="preserve">” means any term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means any term loan added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Consolidated Net Income</w:t>
      </w:r>
      <w:r>
        <w:rPr>
          <w:rFonts w:ascii="Times New Roman" w:cs="Times New Roman" w:eastAsia="Times New Roman" w:hAnsi="Times New Roman"/>
          <w:sz w:val="20"/>
          <w:szCs w:val="20"/>
          <w:color w:val="auto"/>
        </w:rPr>
        <w:t xml:space="preserve">” means, in respect of any period, an amount determined for the Borrower and its Restricted Subsidiaries, on a consolidated basis, equal to (a)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sum, without duplication (and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extent deducted and not added back in calculating Consolidated Net Income for such period), for such period of:</w:t>
      </w:r>
    </w:p>
    <w:p>
      <w:pPr>
        <w:spacing w:after="0" w:line="167" w:lineRule="exact"/>
        <w:rPr>
          <w:sz w:val="20"/>
          <w:szCs w:val="20"/>
          <w:color w:val="auto"/>
        </w:rPr>
      </w:pPr>
    </w:p>
    <w:p>
      <w:pPr>
        <w:ind w:left="1300" w:firstLine="652"/>
        <w:spacing w:after="0" w:line="233" w:lineRule="auto"/>
        <w:tabs>
          <w:tab w:leader="none" w:pos="25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depreciation and/or amortization (including amortization of goodwill, software and other intangible assets), (B) any impairment Charge, including any bad debt expense, and (C) any asset write-off and/or write-down;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1300" w:firstLine="652"/>
        <w:spacing w:after="0" w:line="233" w:lineRule="auto"/>
        <w:tabs>
          <w:tab w:leader="none" w:pos="259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that may be added back in the calculation of Consolidated Adjusted EBITDA for such period pursuant to </w:t>
      </w:r>
      <w:r>
        <w:rPr>
          <w:rFonts w:ascii="Times New Roman" w:cs="Times New Roman" w:eastAsia="Times New Roman" w:hAnsi="Times New Roman"/>
          <w:sz w:val="20"/>
          <w:szCs w:val="20"/>
          <w:u w:val="single" w:color="auto"/>
          <w:color w:val="auto"/>
        </w:rPr>
        <w:t>clause (c)(viii)</w:t>
      </w:r>
      <w:r>
        <w:rPr>
          <w:rFonts w:ascii="Times New Roman" w:cs="Times New Roman" w:eastAsia="Times New Roman" w:hAnsi="Times New Roman"/>
          <w:sz w:val="20"/>
          <w:szCs w:val="20"/>
          <w:color w:val="auto"/>
        </w:rPr>
        <w:t xml:space="preserve"> of the definition thereof.</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Adjustment</w:t>
      </w:r>
      <w:r>
        <w:rPr>
          <w:rFonts w:ascii="Times New Roman" w:cs="Times New Roman" w:eastAsia="Times New Roman" w:hAnsi="Times New Roman"/>
          <w:sz w:val="20"/>
          <w:szCs w:val="20"/>
          <w:color w:val="008000"/>
          <w:strike w:val="1"/>
        </w:rPr>
        <w:t>” has the meaning assigned to such term in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0000FF"/>
        </w:rPr>
        <w:t>“Adjusted Daily Simple SOFR” means, for any day, (a) Daily Simple SOFR for such day plus (b) the Daily Simple SOFR Adjustment; provided that if Adjusted Daily Simple SOFR determined as provided above shall ever be less than the Floor, then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Daily Simple SOFR shall be deemed to be the Floor.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0000FF"/>
        </w:rPr>
        <w:t>“Adjusted Term SOFR” means, for any day, (a) Term SOFR for such day plus (b) the Term SOFR Adjustment; provided that if Adjusted Term SOFR determined as provided above shall ever be less than 0.00%, then Adjusted Term SOFR shall be deemed to be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Floor.</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xml:space="preserve">” means the date of delivery of financial statements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as applicable.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has the meaning assigned to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 customary administrative questionnaire in the form provided by the Administrative Agent.</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Adverse Proceeding</w:t>
      </w:r>
      <w:r>
        <w:rPr>
          <w:rFonts w:ascii="Times New Roman" w:cs="Times New Roman" w:eastAsia="Times New Roman" w:hAnsi="Times New Roman"/>
          <w:sz w:val="19"/>
          <w:szCs w:val="19"/>
          <w:color w:val="auto"/>
        </w:rPr>
        <w:t>” means any action, suit, proceeding (whether administrative, judicial or otherwise), governmental investigation or arbitration (whether or not purportedly on behalf of Holdings, the Borrower or any of its Restricted Subsidiaries) at law or in equity, or</w:t>
      </w:r>
    </w:p>
    <w:p>
      <w:pPr>
        <w:spacing w:after="0" w:line="211" w:lineRule="auto"/>
        <w:rPr>
          <w:sz w:val="20"/>
          <w:szCs w:val="20"/>
          <w:color w:val="auto"/>
        </w:rPr>
      </w:pPr>
      <w:r>
        <w:rPr>
          <w:rFonts w:ascii="Times New Roman" w:cs="Times New Roman" w:eastAsia="Times New Roman" w:hAnsi="Times New Roman"/>
          <w:sz w:val="20"/>
          <w:szCs w:val="20"/>
          <w:color w:val="auto"/>
        </w:rPr>
        <w:t>before or by any Governmental Authority, domestic or foreign (including any Environmental Claim), whether pending or, to the knowledge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r>
        <w:rPr>
          <w:rFonts w:ascii="Times New Roman" w:cs="Times New Roman" w:eastAsia="Times New Roman" w:hAnsi="Times New Roman"/>
          <w:sz w:val="20"/>
          <w:szCs w:val="20"/>
          <w:i w:val="1"/>
          <w:iCs w:val="1"/>
          <w:color w:val="auto"/>
        </w:rPr>
        <w:t>.</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as applied to any Person, any other Person directly or indirectly Controlling, Controlled by, or under common Control with, that Person. No Person shall be an “Affiliate” of the Borrower and/or any Restricted Subsidiary solely because it is an unrelated</w:t>
      </w:r>
    </w:p>
    <w:p>
      <w:pPr>
        <w:spacing w:after="0" w:line="222" w:lineRule="auto"/>
        <w:rPr>
          <w:sz w:val="20"/>
          <w:szCs w:val="20"/>
          <w:color w:val="auto"/>
        </w:rPr>
      </w:pPr>
      <w:r>
        <w:rPr>
          <w:rFonts w:ascii="Times New Roman" w:cs="Times New Roman" w:eastAsia="Times New Roman" w:hAnsi="Times New Roman"/>
          <w:sz w:val="19"/>
          <w:szCs w:val="19"/>
          <w:color w:val="auto"/>
        </w:rPr>
        <w:t>portfolio company of any Sponsor and none of the Administrative Agent, the Arrangers, any Lender (other than any Affiliated Lender or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Debt Fund Affiliate) or any of their respective Affiliates shall be considered an Affiliate of the Borrower or any subsidiary thereof. For purposes of this Agreement and the other Loan Documents, Jefferies LLC and its Affiliates shall be deemed to be Affiliates of Jefferies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Finance LLC and its Affiliates.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w:t>
      </w:r>
      <w:r>
        <w:rPr>
          <w:rFonts w:ascii="Times New Roman" w:cs="Times New Roman" w:eastAsia="Times New Roman" w:hAnsi="Times New Roman"/>
          <w:sz w:val="20"/>
          <w:szCs w:val="20"/>
          <w:color w:val="auto"/>
        </w:rPr>
        <w:t>” means any Non-Debt Fund Affiliate, Holdings, the Borrower and/or any subsidiary of the Borrower.</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 Assignment and Assumption</w:t>
      </w:r>
      <w:r>
        <w:rPr>
          <w:rFonts w:ascii="Times New Roman" w:cs="Times New Roman" w:eastAsia="Times New Roman" w:hAnsi="Times New Roman"/>
          <w:sz w:val="20"/>
          <w:szCs w:val="20"/>
          <w:color w:val="auto"/>
        </w:rPr>
        <w:t xml:space="preserve">” means (a) an assignment and assumption entered into by a Lender and an Affiliated Lender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and/or (b) any other form approved by the Administrative Agent and the Borrower.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 Cap</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9.05(g)(iv)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 to this Credit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9.25</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highest of (a) the Federal Funds Effective Rate in effect on</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(b) </w:t>
      </w:r>
      <w:r>
        <w:rPr>
          <w:rFonts w:ascii="Times New Roman" w:cs="Times New Roman" w:eastAsia="Times New Roman" w:hAnsi="Times New Roman"/>
          <w:sz w:val="19"/>
          <w:szCs w:val="19"/>
          <w:color w:val="FF0000"/>
          <w:strike w:val="1"/>
        </w:rPr>
        <w:t>to the extent ascertainable, the Published LIBO Rate (which rate shall be calculated based upon an Interest Period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one month and shall be determined on a daily basis and</w:t>
      </w:r>
      <w:r>
        <w:rPr>
          <w:rFonts w:ascii="Times New Roman" w:cs="Times New Roman" w:eastAsia="Times New Roman" w:hAnsi="Times New Roman"/>
          <w:sz w:val="19"/>
          <w:szCs w:val="19"/>
          <w:color w:val="008000"/>
          <w:strike w:val="1"/>
        </w:rPr>
        <w:t>, for the avoidance of doubt,</w:t>
      </w:r>
      <w:r>
        <w:rPr>
          <w:rFonts w:ascii="Times New Roman" w:cs="Times New Roman" w:eastAsia="Times New Roman" w:hAnsi="Times New Roman"/>
          <w:sz w:val="19"/>
          <w:szCs w:val="19"/>
          <w:color w:val="FF0000"/>
          <w:strike w:val="1"/>
        </w:rPr>
        <w:t xml:space="preserve"> the Published LIBO Rate for any day shall be based on</w:t>
      </w:r>
    </w:p>
    <w:p>
      <w:pPr>
        <w:spacing w:after="0" w:line="211" w:lineRule="auto"/>
        <w:rPr>
          <w:sz w:val="20"/>
          <w:szCs w:val="20"/>
          <w:color w:val="auto"/>
        </w:rPr>
      </w:pPr>
      <w:r>
        <w:rPr>
          <w:rFonts w:ascii="Times New Roman" w:cs="Times New Roman" w:eastAsia="Times New Roman" w:hAnsi="Times New Roman"/>
          <w:sz w:val="20"/>
          <w:szCs w:val="20"/>
          <w:color w:val="FF0000"/>
          <w:strike w:val="1"/>
        </w:rPr>
        <w:t>the rate determined on such day at 11 a.m. (London time))</w:t>
      </w:r>
      <w:r>
        <w:rPr>
          <w:rFonts w:ascii="Times New Roman" w:cs="Times New Roman" w:eastAsia="Times New Roman" w:hAnsi="Times New Roman"/>
          <w:sz w:val="20"/>
          <w:szCs w:val="20"/>
          <w:u w:val="single" w:color="auto"/>
          <w:color w:val="0000FF"/>
        </w:rPr>
        <w:t>Adjusted Term SOFR for a one-month tenor in effect on such day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1.00%,</w:t>
      </w:r>
    </w:p>
    <w:p>
      <w:pPr>
        <w:jc w:val="both"/>
        <w:ind w:firstLine="8"/>
        <w:spacing w:after="0" w:line="216" w:lineRule="auto"/>
        <w:tabs>
          <w:tab w:leader="none" w:pos="28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Prime Rate and (d) solely in the case of Initial Revolving Loans and Initial Term Loans, 1.00%. Any change in the Alternate Base Rate due to a change in the Prime Rate, the Federal Funds Effective Rate or </w:t>
      </w:r>
      <w:r>
        <w:rPr>
          <w:rFonts w:ascii="Times New Roman" w:cs="Times New Roman" w:eastAsia="Times New Roman" w:hAnsi="Times New Roman"/>
          <w:sz w:val="20"/>
          <w:szCs w:val="20"/>
          <w:color w:val="FF0000"/>
          <w:strike w:val="1"/>
        </w:rPr>
        <w:t>the 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as the case may be, shall be effective from and including the effective date of such change in the Prime Rate, the Federal Funds Effective Rate or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000000"/>
        </w:rPr>
        <w:t>, as the case may be.</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0000FF"/>
        </w:rPr>
        <w:t>“Amendment No. 1” means that certain Amendment No. 1 to Credit Agreement, dated as of February 24, 2023, by and among the Borrower, the Issuing Banks party thereto, the Lenders party thereto and the Administrative Agent.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 with respect to any Term Lender of any Class, a percentage equal to a fraction the numerator of which is the aggregate outstanding principal amount of the Term Loans and unused Additional Term Loan Commitments of such Term</w:t>
      </w:r>
    </w:p>
    <w:p>
      <w:pPr>
        <w:spacing w:after="0" w:line="224" w:lineRule="auto"/>
        <w:rPr>
          <w:sz w:val="20"/>
          <w:szCs w:val="20"/>
          <w:color w:val="auto"/>
        </w:rPr>
      </w:pPr>
      <w:r>
        <w:rPr>
          <w:rFonts w:ascii="Times New Roman" w:cs="Times New Roman" w:eastAsia="Times New Roman" w:hAnsi="Times New Roman"/>
          <w:sz w:val="19"/>
          <w:szCs w:val="19"/>
          <w:color w:val="auto"/>
        </w:rPr>
        <w:t>Lender under the applicable Class and the denominator of which is the aggregate outstanding principal amount of the Term Loans and unused</w:t>
      </w:r>
    </w:p>
    <w:p>
      <w:pPr>
        <w:spacing w:after="0" w:line="221" w:lineRule="auto"/>
        <w:rPr>
          <w:sz w:val="20"/>
          <w:szCs w:val="20"/>
          <w:color w:val="auto"/>
        </w:rPr>
      </w:pPr>
      <w:r>
        <w:rPr>
          <w:rFonts w:ascii="Times New Roman" w:cs="Times New Roman" w:eastAsia="Times New Roman" w:hAnsi="Times New Roman"/>
          <w:sz w:val="20"/>
          <w:szCs w:val="20"/>
          <w:color w:val="auto"/>
        </w:rPr>
        <w:t>Term Commitments of all Term Lenders under the applicable Class and (b) with respect to any Revolving Lender of any Class, the percentage of the aggregate amount of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 xml:space="preserve">Commitments of such Class represented by such Lender’s Revolving Credit Commitment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otherwise herein (except with respect to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when there is a Defaulting Lender, such Defaulting Lender’s Revolving Credit Commitment shall be disregarded for any relevant calculation.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in the event that the Revolving</w:t>
      </w:r>
    </w:p>
    <w:p>
      <w:pPr>
        <w:spacing w:after="0" w:line="211" w:lineRule="auto"/>
        <w:rPr>
          <w:sz w:val="20"/>
          <w:szCs w:val="20"/>
          <w:color w:val="auto"/>
        </w:rPr>
      </w:pPr>
      <w:r>
        <w:rPr>
          <w:rFonts w:ascii="Times New Roman" w:cs="Times New Roman" w:eastAsia="Times New Roman" w:hAnsi="Times New Roman"/>
          <w:sz w:val="20"/>
          <w:szCs w:val="20"/>
          <w:color w:val="auto"/>
        </w:rPr>
        <w:t>Credit Commitments of any Class have expired or been terminated, the Applicable Percentage of any Revolving Lender of such Class shall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 determined on the basis of the Revolving Credit Exposure of such Revolving Lender attributable to its Revolving Credit Commitment of such Class, giving effect to any assignment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(a) with respect to any Initial Term Loan, the rate per annum applicable to the relevant Class</w:t>
      </w:r>
    </w:p>
    <w:p>
      <w:pPr>
        <w:jc w:val="both"/>
        <w:spacing w:after="0" w:line="215" w:lineRule="auto"/>
        <w:rPr>
          <w:sz w:val="20"/>
          <w:szCs w:val="20"/>
          <w:color w:val="auto"/>
        </w:rPr>
      </w:pPr>
      <w:r>
        <w:rPr>
          <w:rFonts w:ascii="Times New Roman" w:cs="Times New Roman" w:eastAsia="Times New Roman" w:hAnsi="Times New Roman"/>
          <w:sz w:val="19"/>
          <w:szCs w:val="19"/>
          <w:color w:val="auto"/>
        </w:rPr>
        <w:t>of Loans in the table set forth below under the caption “ABR Spread for Initial Term Loans” or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Spread for Initial Term Loans”, as the case may be, based upon the Total Rent Adjusted Net Leverage Ratio and (b) with respect to any Initial Revolving Loan,</w:t>
      </w:r>
    </w:p>
    <w:p>
      <w:pPr>
        <w:spacing w:after="0" w:line="222" w:lineRule="auto"/>
        <w:rPr>
          <w:sz w:val="20"/>
          <w:szCs w:val="20"/>
          <w:color w:val="auto"/>
        </w:rPr>
      </w:pPr>
      <w:r>
        <w:rPr>
          <w:rFonts w:ascii="Times New Roman" w:cs="Times New Roman" w:eastAsia="Times New Roman" w:hAnsi="Times New Roman"/>
          <w:sz w:val="19"/>
          <w:szCs w:val="19"/>
          <w:color w:val="auto"/>
        </w:rPr>
        <w:t>the rate per annum applicable to the relevant Class of Loans in the table set forth below under the caption “ABR Spread for Initial Revolving</w:t>
      </w:r>
    </w:p>
    <w:p>
      <w:pPr>
        <w:spacing w:after="0" w:line="221" w:lineRule="auto"/>
        <w:rPr>
          <w:sz w:val="20"/>
          <w:szCs w:val="20"/>
          <w:color w:val="auto"/>
        </w:rPr>
      </w:pPr>
      <w:r>
        <w:rPr>
          <w:rFonts w:ascii="Times New Roman" w:cs="Times New Roman" w:eastAsia="Times New Roman" w:hAnsi="Times New Roman"/>
          <w:sz w:val="20"/>
          <w:szCs w:val="20"/>
          <w:color w:val="auto"/>
        </w:rPr>
        <w:t>Loans”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Spread for Initial Revolving Loans”, as the case may be, based upon the Total Rent Adjusted Net Leverage Ratio;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first Adjustment Date following the completion of at least one full Fiscal Quarter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0" w:name="page121"/>
    <w:bookmarkEnd w:id="120"/>
    <w:p>
      <w:pPr>
        <w:ind w:right="20"/>
        <w:spacing w:after="0"/>
        <w:rPr>
          <w:sz w:val="20"/>
          <w:szCs w:val="20"/>
          <w:color w:val="auto"/>
        </w:rPr>
      </w:pPr>
      <w:r>
        <w:rPr>
          <w:rFonts w:ascii="Times New Roman" w:cs="Times New Roman" w:eastAsia="Times New Roman" w:hAnsi="Times New Roman"/>
          <w:sz w:val="20"/>
          <w:szCs w:val="20"/>
          <w:color w:val="auto"/>
        </w:rPr>
        <w:t xml:space="preserve">after the Closing Date, the “Applicable Rate” for any Initial Term Loan and/or any Initial Revolving Loan shall be the applicable rate per annum set forth below in </w:t>
      </w:r>
      <w:r>
        <w:rPr>
          <w:rFonts w:ascii="Times New Roman" w:cs="Times New Roman" w:eastAsia="Times New Roman" w:hAnsi="Times New Roman"/>
          <w:sz w:val="20"/>
          <w:szCs w:val="20"/>
          <w:u w:val="single" w:color="auto"/>
          <w:color w:val="auto"/>
        </w:rPr>
        <w:t>Category 3</w:t>
      </w:r>
      <w:r>
        <w:rPr>
          <w:rFonts w:ascii="Times New Roman" w:cs="Times New Roman" w:eastAsia="Times New Roman" w:hAnsi="Times New Roman"/>
          <w:sz w:val="20"/>
          <w:szCs w:val="20"/>
          <w:color w:val="auto"/>
        </w:rPr>
        <w:t xml:space="preserve"> of the table set forth below:</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top w:val="single" w:sz="8" w:color="auto"/>
              <w:left w:val="single" w:sz="8" w:color="auto"/>
            </w:tcBorders>
            <w:shd w:val="clear" w:color="auto" w:fill="D9D9D9"/>
          </w:tcPr>
          <w:p>
            <w:pPr>
              <w:spacing w:after="0"/>
              <w:rPr>
                <w:sz w:val="23"/>
                <w:szCs w:val="23"/>
                <w:color w:val="auto"/>
              </w:rPr>
            </w:pPr>
          </w:p>
        </w:tc>
        <w:tc>
          <w:tcPr>
            <w:tcW w:w="4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auto"/>
            </w:tcBorders>
            <w:shd w:val="clear" w:color="auto" w:fill="D9D9D9"/>
          </w:tcPr>
          <w:p>
            <w:pPr>
              <w:spacing w:after="0"/>
              <w:rPr>
                <w:sz w:val="23"/>
                <w:szCs w:val="23"/>
                <w:color w:val="auto"/>
              </w:rPr>
            </w:pPr>
          </w:p>
        </w:tc>
        <w:tc>
          <w:tcPr>
            <w:tcW w:w="360" w:type="dxa"/>
            <w:vAlign w:val="bottom"/>
            <w:tcBorders>
              <w:top w:val="single" w:sz="8" w:color="auto"/>
            </w:tcBorders>
            <w:shd w:val="clear" w:color="auto" w:fill="D9D9D9"/>
          </w:tcPr>
          <w:p>
            <w:pPr>
              <w:spacing w:after="0"/>
              <w:rPr>
                <w:sz w:val="23"/>
                <w:szCs w:val="23"/>
                <w:color w:val="auto"/>
              </w:rPr>
            </w:pPr>
          </w:p>
        </w:tc>
        <w:tc>
          <w:tcPr>
            <w:tcW w:w="400" w:type="dxa"/>
            <w:vAlign w:val="bottom"/>
            <w:tcBorders>
              <w:top w:val="single" w:sz="8" w:color="auto"/>
            </w:tcBorders>
            <w:shd w:val="clear" w:color="auto" w:fill="D9D9D9"/>
          </w:tcPr>
          <w:p>
            <w:pPr>
              <w:spacing w:after="0"/>
              <w:rPr>
                <w:sz w:val="23"/>
                <w:szCs w:val="23"/>
                <w:color w:val="auto"/>
              </w:rPr>
            </w:pPr>
          </w:p>
        </w:tc>
        <w:tc>
          <w:tcPr>
            <w:tcW w:w="40" w:type="dxa"/>
            <w:vAlign w:val="bottom"/>
            <w:tcBorders>
              <w:top w:val="single" w:sz="8" w:color="auto"/>
            </w:tcBorders>
            <w:shd w:val="clear" w:color="auto" w:fill="D9D9D9"/>
          </w:tcPr>
          <w:p>
            <w:pPr>
              <w:spacing w:after="0"/>
              <w:rPr>
                <w:sz w:val="23"/>
                <w:szCs w:val="23"/>
                <w:color w:val="auto"/>
              </w:rPr>
            </w:pPr>
          </w:p>
        </w:tc>
        <w:tc>
          <w:tcPr>
            <w:tcW w:w="780" w:type="dxa"/>
            <w:vAlign w:val="bottom"/>
            <w:tcBorders>
              <w:top w:val="single" w:sz="8" w:color="auto"/>
            </w:tcBorders>
            <w:shd w:val="clear" w:color="auto" w:fill="D9D9D9"/>
          </w:tcPr>
          <w:p>
            <w:pPr>
              <w:spacing w:after="0"/>
              <w:rPr>
                <w:sz w:val="23"/>
                <w:szCs w:val="23"/>
                <w:color w:val="auto"/>
              </w:rPr>
            </w:pPr>
          </w:p>
        </w:tc>
        <w:tc>
          <w:tcPr>
            <w:tcW w:w="360" w:type="dxa"/>
            <w:vAlign w:val="bottom"/>
            <w:tcBorders>
              <w:top w:val="single" w:sz="8" w:color="auto"/>
            </w:tcBorders>
            <w:shd w:val="clear" w:color="auto" w:fill="D9D9D9"/>
          </w:tcPr>
          <w:p>
            <w:pPr>
              <w:spacing w:after="0"/>
              <w:rPr>
                <w:sz w:val="23"/>
                <w:szCs w:val="23"/>
                <w:color w:val="auto"/>
              </w:rPr>
            </w:pPr>
          </w:p>
        </w:tc>
        <w:tc>
          <w:tcPr>
            <w:tcW w:w="160" w:type="dxa"/>
            <w:vAlign w:val="bottom"/>
            <w:tcBorders>
              <w:top w:val="single" w:sz="8" w:color="auto"/>
              <w:right w:val="single" w:sz="8" w:color="auto"/>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420" w:type="dxa"/>
            <w:vAlign w:val="bottom"/>
            <w:tcBorders>
              <w:top w:val="single" w:sz="8" w:color="auto"/>
            </w:tcBorders>
            <w:shd w:val="clear" w:color="auto" w:fill="D9D9D9"/>
          </w:tcPr>
          <w:p>
            <w:pPr>
              <w:spacing w:after="0"/>
              <w:rPr>
                <w:sz w:val="23"/>
                <w:szCs w:val="23"/>
                <w:color w:val="auto"/>
              </w:rPr>
            </w:pPr>
          </w:p>
        </w:tc>
        <w:tc>
          <w:tcPr>
            <w:tcW w:w="960" w:type="dxa"/>
            <w:vAlign w:val="bottom"/>
            <w:tcBorders>
              <w:top w:val="single" w:sz="8" w:color="auto"/>
            </w:tcBorders>
            <w:shd w:val="clear" w:color="auto" w:fill="D9D9D9"/>
          </w:tcPr>
          <w:p>
            <w:pPr>
              <w:spacing w:after="0"/>
              <w:rPr>
                <w:sz w:val="23"/>
                <w:szCs w:val="23"/>
                <w:color w:val="auto"/>
              </w:rPr>
            </w:pPr>
          </w:p>
        </w:tc>
        <w:tc>
          <w:tcPr>
            <w:tcW w:w="420" w:type="dxa"/>
            <w:vAlign w:val="bottom"/>
            <w:tcBorders>
              <w:top w:val="single" w:sz="8" w:color="auto"/>
            </w:tcBorders>
            <w:shd w:val="clear" w:color="auto" w:fill="D9D9D9"/>
          </w:tcPr>
          <w:p>
            <w:pPr>
              <w:spacing w:after="0"/>
              <w:rPr>
                <w:sz w:val="23"/>
                <w:szCs w:val="23"/>
                <w:color w:val="auto"/>
              </w:rPr>
            </w:pPr>
          </w:p>
        </w:tc>
        <w:tc>
          <w:tcPr>
            <w:tcW w:w="240" w:type="dxa"/>
            <w:vAlign w:val="bottom"/>
            <w:tcBorders>
              <w:top w:val="single" w:sz="8" w:color="auto"/>
              <w:right w:val="single" w:sz="8" w:color="auto"/>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gridSpan w:val="3"/>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FF0000"/>
                <w:strike w:val="1"/>
                <w:w w:val="95"/>
              </w:rPr>
              <w:t>LIBO Rate</w:t>
            </w:r>
          </w:p>
        </w:tc>
        <w:tc>
          <w:tcPr>
            <w:tcW w:w="1200" w:type="dxa"/>
            <w:vAlign w:val="bottom"/>
            <w:tcBorders>
              <w:top w:val="single" w:sz="8" w:color="auto"/>
              <w:right w:val="single" w:sz="8" w:color="auto"/>
            </w:tcBorders>
            <w:gridSpan w:val="4"/>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0000FF"/>
              </w:rPr>
              <w:t>Term SOFR</w:t>
            </w:r>
          </w:p>
        </w:tc>
        <w:tc>
          <w:tcPr>
            <w:tcW w:w="200" w:type="dxa"/>
            <w:vAlign w:val="bottom"/>
            <w:tcBorders>
              <w:top w:val="single" w:sz="8" w:color="auto"/>
            </w:tcBorders>
            <w:shd w:val="clear" w:color="auto" w:fill="D9D9D9"/>
          </w:tcPr>
          <w:p>
            <w:pPr>
              <w:spacing w:after="0"/>
              <w:rPr>
                <w:sz w:val="23"/>
                <w:szCs w:val="23"/>
                <w:color w:val="auto"/>
              </w:rPr>
            </w:pPr>
          </w:p>
        </w:tc>
        <w:tc>
          <w:tcPr>
            <w:tcW w:w="2040" w:type="dxa"/>
            <w:vAlign w:val="bottom"/>
            <w:tcBorders>
              <w:top w:val="single" w:sz="8" w:color="auto"/>
              <w:right w:val="single" w:sz="8" w:color="auto"/>
            </w:tcBorders>
            <w:gridSpan w:val="8"/>
            <w:shd w:val="clear" w:color="auto" w:fill="D9D9D9"/>
          </w:tcPr>
          <w:p>
            <w:pPr>
              <w:jc w:val="center"/>
              <w:ind w:right="240"/>
              <w:spacing w:after="0"/>
              <w:rPr>
                <w:sz w:val="20"/>
                <w:szCs w:val="20"/>
                <w:color w:val="auto"/>
              </w:rPr>
            </w:pPr>
            <w:r>
              <w:rPr>
                <w:rFonts w:ascii="Times New Roman" w:cs="Times New Roman" w:eastAsia="Times New Roman" w:hAnsi="Times New Roman"/>
                <w:sz w:val="20"/>
                <w:szCs w:val="20"/>
                <w:color w:val="auto"/>
                <w:w w:val="98"/>
              </w:rPr>
              <w:t>ABR Spread for Initial</w:t>
            </w:r>
          </w:p>
        </w:tc>
        <w:tc>
          <w:tcPr>
            <w:tcW w:w="200" w:type="dxa"/>
            <w:vAlign w:val="bottom"/>
            <w:tcBorders>
              <w:top w:val="single" w:sz="8" w:color="auto"/>
            </w:tcBorders>
            <w:shd w:val="clear" w:color="auto" w:fill="D9D9D9"/>
          </w:tcPr>
          <w:p>
            <w:pPr>
              <w:spacing w:after="0"/>
              <w:rPr>
                <w:sz w:val="23"/>
                <w:szCs w:val="23"/>
                <w:color w:val="auto"/>
              </w:rPr>
            </w:pPr>
          </w:p>
        </w:tc>
        <w:tc>
          <w:tcPr>
            <w:tcW w:w="880" w:type="dxa"/>
            <w:vAlign w:val="bottom"/>
            <w:tcBorders>
              <w:top w:val="single" w:sz="8" w:color="auto"/>
            </w:tcBorders>
            <w:gridSpan w:val="3"/>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FF0000"/>
                <w:strike w:val="1"/>
                <w:w w:val="97"/>
              </w:rPr>
              <w:t>LIBO Rate</w:t>
            </w:r>
          </w:p>
        </w:tc>
        <w:tc>
          <w:tcPr>
            <w:tcW w:w="1180" w:type="dxa"/>
            <w:vAlign w:val="bottom"/>
            <w:tcBorders>
              <w:top w:val="single" w:sz="8" w:color="auto"/>
              <w:right w:val="single" w:sz="8" w:color="auto"/>
            </w:tcBorders>
            <w:gridSpan w:val="4"/>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0000FF"/>
              </w:rPr>
              <w:t>Term SOFR</w:t>
            </w:r>
          </w:p>
        </w:tc>
        <w:tc>
          <w:tcPr>
            <w:tcW w:w="0" w:type="dxa"/>
            <w:vAlign w:val="bottom"/>
          </w:tcPr>
          <w:p>
            <w:pPr>
              <w:spacing w:after="0"/>
              <w:rPr>
                <w:sz w:val="1"/>
                <w:szCs w:val="1"/>
                <w:color w:val="auto"/>
              </w:rPr>
            </w:pPr>
          </w:p>
        </w:tc>
      </w:tr>
      <w:tr>
        <w:trPr>
          <w:trHeight w:val="183"/>
        </w:trPr>
        <w:tc>
          <w:tcPr>
            <w:tcW w:w="40" w:type="dxa"/>
            <w:vAlign w:val="bottom"/>
            <w:tcBorders>
              <w:top w:val="single" w:sz="8" w:color="D9D9D9"/>
              <w:left w:val="single" w:sz="8" w:color="auto"/>
            </w:tcBorders>
            <w:shd w:val="clear" w:color="auto" w:fill="D9D9D9"/>
          </w:tcPr>
          <w:p>
            <w:pPr>
              <w:spacing w:after="0"/>
              <w:rPr>
                <w:sz w:val="15"/>
                <w:szCs w:val="15"/>
                <w:color w:val="auto"/>
              </w:rPr>
            </w:pPr>
          </w:p>
        </w:tc>
        <w:tc>
          <w:tcPr>
            <w:tcW w:w="40" w:type="dxa"/>
            <w:vAlign w:val="bottom"/>
            <w:tcBorders>
              <w:top w:val="single" w:sz="8" w:color="D9D9D9"/>
            </w:tcBorders>
            <w:shd w:val="clear" w:color="auto" w:fill="D9D9D9"/>
          </w:tcPr>
          <w:p>
            <w:pPr>
              <w:spacing w:after="0"/>
              <w:rPr>
                <w:sz w:val="15"/>
                <w:szCs w:val="15"/>
                <w:color w:val="auto"/>
              </w:rPr>
            </w:pPr>
          </w:p>
        </w:tc>
        <w:tc>
          <w:tcPr>
            <w:tcW w:w="80" w:type="dxa"/>
            <w:vAlign w:val="bottom"/>
            <w:tcBorders>
              <w:top w:val="single" w:sz="8" w:color="D9D9D9"/>
            </w:tcBorders>
            <w:shd w:val="clear" w:color="auto" w:fill="D9D9D9"/>
          </w:tcPr>
          <w:p>
            <w:pPr>
              <w:spacing w:after="0"/>
              <w:rPr>
                <w:sz w:val="15"/>
                <w:szCs w:val="15"/>
                <w:color w:val="auto"/>
              </w:rPr>
            </w:pPr>
          </w:p>
        </w:tc>
        <w:tc>
          <w:tcPr>
            <w:tcW w:w="360" w:type="dxa"/>
            <w:vAlign w:val="bottom"/>
            <w:tcBorders>
              <w:top w:val="single" w:sz="8" w:color="D9D9D9"/>
            </w:tcBorders>
            <w:shd w:val="clear" w:color="auto" w:fill="D9D9D9"/>
          </w:tcPr>
          <w:p>
            <w:pPr>
              <w:spacing w:after="0"/>
              <w:rPr>
                <w:sz w:val="15"/>
                <w:szCs w:val="15"/>
                <w:color w:val="auto"/>
              </w:rPr>
            </w:pPr>
          </w:p>
        </w:tc>
        <w:tc>
          <w:tcPr>
            <w:tcW w:w="400" w:type="dxa"/>
            <w:vAlign w:val="bottom"/>
            <w:tcBorders>
              <w:top w:val="single" w:sz="8" w:color="D9D9D9"/>
            </w:tcBorders>
            <w:shd w:val="clear" w:color="auto" w:fill="D9D9D9"/>
          </w:tcPr>
          <w:p>
            <w:pPr>
              <w:spacing w:after="0"/>
              <w:rPr>
                <w:sz w:val="15"/>
                <w:szCs w:val="15"/>
                <w:color w:val="auto"/>
              </w:rPr>
            </w:pPr>
          </w:p>
        </w:tc>
        <w:tc>
          <w:tcPr>
            <w:tcW w:w="40" w:type="dxa"/>
            <w:vAlign w:val="bottom"/>
            <w:tcBorders>
              <w:top w:val="single" w:sz="8" w:color="D9D9D9"/>
            </w:tcBorders>
            <w:shd w:val="clear" w:color="auto" w:fill="D9D9D9"/>
          </w:tcPr>
          <w:p>
            <w:pPr>
              <w:spacing w:after="0"/>
              <w:rPr>
                <w:sz w:val="15"/>
                <w:szCs w:val="15"/>
                <w:color w:val="auto"/>
              </w:rPr>
            </w:pPr>
          </w:p>
        </w:tc>
        <w:tc>
          <w:tcPr>
            <w:tcW w:w="780" w:type="dxa"/>
            <w:vAlign w:val="bottom"/>
            <w:tcBorders>
              <w:top w:val="single" w:sz="8" w:color="D9D9D9"/>
            </w:tcBorders>
            <w:shd w:val="clear" w:color="auto" w:fill="D9D9D9"/>
          </w:tcPr>
          <w:p>
            <w:pPr>
              <w:spacing w:after="0"/>
              <w:rPr>
                <w:sz w:val="15"/>
                <w:szCs w:val="15"/>
                <w:color w:val="auto"/>
              </w:rPr>
            </w:pPr>
          </w:p>
        </w:tc>
        <w:tc>
          <w:tcPr>
            <w:tcW w:w="360" w:type="dxa"/>
            <w:vAlign w:val="bottom"/>
            <w:tcBorders>
              <w:top w:val="single" w:sz="8" w:color="D9D9D9"/>
            </w:tcBorders>
            <w:shd w:val="clear" w:color="auto" w:fill="D9D9D9"/>
          </w:tcPr>
          <w:p>
            <w:pPr>
              <w:spacing w:after="0"/>
              <w:rPr>
                <w:sz w:val="15"/>
                <w:szCs w:val="15"/>
                <w:color w:val="auto"/>
              </w:rPr>
            </w:pPr>
          </w:p>
        </w:tc>
        <w:tc>
          <w:tcPr>
            <w:tcW w:w="160" w:type="dxa"/>
            <w:vAlign w:val="bottom"/>
            <w:tcBorders>
              <w:top w:val="single" w:sz="8" w:color="D9D9D9"/>
              <w:right w:val="single" w:sz="8" w:color="auto"/>
            </w:tcBorders>
            <w:shd w:val="clear" w:color="auto" w:fill="D9D9D9"/>
          </w:tcPr>
          <w:p>
            <w:pPr>
              <w:spacing w:after="0"/>
              <w:rPr>
                <w:sz w:val="15"/>
                <w:szCs w:val="15"/>
                <w:color w:val="auto"/>
              </w:rPr>
            </w:pPr>
          </w:p>
        </w:tc>
        <w:tc>
          <w:tcPr>
            <w:tcW w:w="200" w:type="dxa"/>
            <w:vAlign w:val="bottom"/>
            <w:tcBorders>
              <w:top w:val="single" w:sz="8" w:color="D9D9D9"/>
            </w:tcBorders>
            <w:shd w:val="clear" w:color="auto" w:fill="D9D9D9"/>
          </w:tcPr>
          <w:p>
            <w:pPr>
              <w:spacing w:after="0"/>
              <w:rPr>
                <w:sz w:val="15"/>
                <w:szCs w:val="15"/>
                <w:color w:val="auto"/>
              </w:rPr>
            </w:pPr>
          </w:p>
        </w:tc>
        <w:tc>
          <w:tcPr>
            <w:tcW w:w="420" w:type="dxa"/>
            <w:vAlign w:val="bottom"/>
            <w:tcBorders>
              <w:top w:val="single" w:sz="8" w:color="D9D9D9"/>
            </w:tcBorders>
            <w:shd w:val="clear" w:color="auto" w:fill="D9D9D9"/>
          </w:tcPr>
          <w:p>
            <w:pPr>
              <w:spacing w:after="0"/>
              <w:rPr>
                <w:sz w:val="15"/>
                <w:szCs w:val="15"/>
                <w:color w:val="auto"/>
              </w:rPr>
            </w:pPr>
          </w:p>
        </w:tc>
        <w:tc>
          <w:tcPr>
            <w:tcW w:w="960" w:type="dxa"/>
            <w:vAlign w:val="bottom"/>
            <w:tcBorders>
              <w:top w:val="single" w:sz="8" w:color="D9D9D9"/>
            </w:tcBorders>
            <w:shd w:val="clear" w:color="auto" w:fill="D9D9D9"/>
          </w:tcPr>
          <w:p>
            <w:pPr>
              <w:spacing w:after="0"/>
              <w:rPr>
                <w:sz w:val="15"/>
                <w:szCs w:val="15"/>
                <w:color w:val="auto"/>
              </w:rPr>
            </w:pPr>
          </w:p>
        </w:tc>
        <w:tc>
          <w:tcPr>
            <w:tcW w:w="420" w:type="dxa"/>
            <w:vAlign w:val="bottom"/>
            <w:tcBorders>
              <w:top w:val="single" w:sz="8" w:color="D9D9D9"/>
            </w:tcBorders>
            <w:shd w:val="clear" w:color="auto" w:fill="D9D9D9"/>
          </w:tcPr>
          <w:p>
            <w:pPr>
              <w:spacing w:after="0"/>
              <w:rPr>
                <w:sz w:val="15"/>
                <w:szCs w:val="15"/>
                <w:color w:val="auto"/>
              </w:rPr>
            </w:pPr>
          </w:p>
        </w:tc>
        <w:tc>
          <w:tcPr>
            <w:tcW w:w="240" w:type="dxa"/>
            <w:vAlign w:val="bottom"/>
            <w:tcBorders>
              <w:top w:val="single" w:sz="8" w:color="D9D9D9"/>
              <w:right w:val="single" w:sz="8" w:color="auto"/>
            </w:tcBorders>
            <w:shd w:val="clear" w:color="auto" w:fill="D9D9D9"/>
          </w:tcPr>
          <w:p>
            <w:pPr>
              <w:spacing w:after="0"/>
              <w:rPr>
                <w:sz w:val="15"/>
                <w:szCs w:val="15"/>
                <w:color w:val="auto"/>
              </w:rPr>
            </w:pPr>
          </w:p>
        </w:tc>
        <w:tc>
          <w:tcPr>
            <w:tcW w:w="200" w:type="dxa"/>
            <w:vAlign w:val="bottom"/>
            <w:tcBorders>
              <w:top w:val="single" w:sz="8" w:color="D9D9D9"/>
            </w:tcBorders>
            <w:shd w:val="clear" w:color="auto" w:fill="D9D9D9"/>
          </w:tcPr>
          <w:p>
            <w:pPr>
              <w:spacing w:after="0"/>
              <w:rPr>
                <w:sz w:val="15"/>
                <w:szCs w:val="15"/>
                <w:color w:val="auto"/>
              </w:rPr>
            </w:pPr>
          </w:p>
        </w:tc>
        <w:tc>
          <w:tcPr>
            <w:tcW w:w="860" w:type="dxa"/>
            <w:vAlign w:val="bottom"/>
            <w:tcBorders>
              <w:top w:val="single" w:sz="8" w:color="auto"/>
            </w:tcBorders>
            <w:gridSpan w:val="3"/>
            <w:vMerge w:val="continue"/>
            <w:shd w:val="clear" w:color="auto" w:fill="D9D9D9"/>
          </w:tcPr>
          <w:p>
            <w:pPr>
              <w:spacing w:after="0"/>
              <w:rPr>
                <w:sz w:val="15"/>
                <w:szCs w:val="15"/>
                <w:color w:val="auto"/>
              </w:rPr>
            </w:pPr>
          </w:p>
        </w:tc>
        <w:tc>
          <w:tcPr>
            <w:tcW w:w="1200" w:type="dxa"/>
            <w:vAlign w:val="bottom"/>
            <w:tcBorders>
              <w:top w:val="single" w:sz="8" w:color="auto"/>
              <w:right w:val="single" w:sz="8" w:color="auto"/>
            </w:tcBorders>
            <w:gridSpan w:val="4"/>
            <w:vMerge w:val="continue"/>
            <w:shd w:val="clear" w:color="auto" w:fill="D9D9D9"/>
          </w:tcPr>
          <w:p>
            <w:pPr>
              <w:spacing w:after="0"/>
              <w:rPr>
                <w:sz w:val="15"/>
                <w:szCs w:val="15"/>
                <w:color w:val="auto"/>
              </w:rPr>
            </w:pPr>
          </w:p>
        </w:tc>
        <w:tc>
          <w:tcPr>
            <w:tcW w:w="200" w:type="dxa"/>
            <w:vAlign w:val="bottom"/>
            <w:tcBorders>
              <w:top w:val="single" w:sz="8" w:color="D9D9D9"/>
            </w:tcBorders>
            <w:shd w:val="clear" w:color="auto" w:fill="D9D9D9"/>
          </w:tcPr>
          <w:p>
            <w:pPr>
              <w:spacing w:after="0"/>
              <w:rPr>
                <w:sz w:val="15"/>
                <w:szCs w:val="15"/>
                <w:color w:val="auto"/>
              </w:rPr>
            </w:pPr>
          </w:p>
        </w:tc>
        <w:tc>
          <w:tcPr>
            <w:tcW w:w="80" w:type="dxa"/>
            <w:vAlign w:val="bottom"/>
            <w:tcBorders>
              <w:top w:val="single" w:sz="8" w:color="auto"/>
            </w:tcBorders>
            <w:shd w:val="clear" w:color="auto" w:fill="D9D9D9"/>
          </w:tcPr>
          <w:p>
            <w:pPr>
              <w:spacing w:after="0"/>
              <w:rPr>
                <w:sz w:val="15"/>
                <w:szCs w:val="15"/>
                <w:color w:val="auto"/>
              </w:rPr>
            </w:pPr>
          </w:p>
        </w:tc>
        <w:tc>
          <w:tcPr>
            <w:tcW w:w="1720" w:type="dxa"/>
            <w:vAlign w:val="bottom"/>
            <w:tcBorders>
              <w:top w:val="single" w:sz="8" w:color="auto"/>
            </w:tcBorders>
            <w:gridSpan w:val="6"/>
            <w:shd w:val="clear" w:color="auto" w:fill="D9D9D9"/>
          </w:tcPr>
          <w:p>
            <w:pPr>
              <w:jc w:val="center"/>
              <w:ind w:right="80"/>
              <w:spacing w:after="0" w:line="183" w:lineRule="exact"/>
              <w:rPr>
                <w:sz w:val="20"/>
                <w:szCs w:val="20"/>
                <w:color w:val="auto"/>
              </w:rPr>
            </w:pPr>
            <w:r>
              <w:rPr>
                <w:rFonts w:ascii="Times New Roman" w:cs="Times New Roman" w:eastAsia="Times New Roman" w:hAnsi="Times New Roman"/>
                <w:sz w:val="20"/>
                <w:szCs w:val="20"/>
                <w:color w:val="auto"/>
                <w:w w:val="99"/>
              </w:rPr>
              <w:t>Revolving Loans</w:t>
            </w:r>
          </w:p>
        </w:tc>
        <w:tc>
          <w:tcPr>
            <w:tcW w:w="240" w:type="dxa"/>
            <w:vAlign w:val="bottom"/>
            <w:tcBorders>
              <w:top w:val="single" w:sz="8" w:color="D9D9D9"/>
              <w:right w:val="single" w:sz="8" w:color="auto"/>
            </w:tcBorders>
            <w:shd w:val="clear" w:color="auto" w:fill="D9D9D9"/>
          </w:tcPr>
          <w:p>
            <w:pPr>
              <w:spacing w:after="0"/>
              <w:rPr>
                <w:sz w:val="15"/>
                <w:szCs w:val="15"/>
                <w:color w:val="auto"/>
              </w:rPr>
            </w:pPr>
          </w:p>
        </w:tc>
        <w:tc>
          <w:tcPr>
            <w:tcW w:w="200" w:type="dxa"/>
            <w:vAlign w:val="bottom"/>
            <w:tcBorders>
              <w:top w:val="single" w:sz="8" w:color="D9D9D9"/>
            </w:tcBorders>
            <w:shd w:val="clear" w:color="auto" w:fill="D9D9D9"/>
          </w:tcPr>
          <w:p>
            <w:pPr>
              <w:spacing w:after="0"/>
              <w:rPr>
                <w:sz w:val="15"/>
                <w:szCs w:val="15"/>
                <w:color w:val="auto"/>
              </w:rPr>
            </w:pPr>
          </w:p>
        </w:tc>
        <w:tc>
          <w:tcPr>
            <w:tcW w:w="880" w:type="dxa"/>
            <w:vAlign w:val="bottom"/>
            <w:tcBorders>
              <w:top w:val="single" w:sz="8" w:color="auto"/>
            </w:tcBorders>
            <w:gridSpan w:val="3"/>
            <w:vMerge w:val="continue"/>
            <w:shd w:val="clear" w:color="auto" w:fill="D9D9D9"/>
          </w:tcPr>
          <w:p>
            <w:pPr>
              <w:spacing w:after="0"/>
              <w:rPr>
                <w:sz w:val="15"/>
                <w:szCs w:val="15"/>
                <w:color w:val="auto"/>
              </w:rPr>
            </w:pPr>
          </w:p>
        </w:tc>
        <w:tc>
          <w:tcPr>
            <w:tcW w:w="1180" w:type="dxa"/>
            <w:vAlign w:val="bottom"/>
            <w:tcBorders>
              <w:top w:val="single" w:sz="8" w:color="auto"/>
              <w:right w:val="single" w:sz="8" w:color="auto"/>
            </w:tcBorders>
            <w:gridSpan w:val="4"/>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top w:val="single" w:sz="8" w:color="D9D9D9"/>
              <w:left w:val="single" w:sz="8" w:color="auto"/>
              <w:bottom w:val="single" w:sz="8" w:color="D9D9D9"/>
            </w:tcBorders>
            <w:shd w:val="clear" w:color="auto" w:fill="D9D9D9"/>
          </w:tcPr>
          <w:p>
            <w:pPr>
              <w:spacing w:after="0"/>
              <w:rPr>
                <w:sz w:val="15"/>
                <w:szCs w:val="15"/>
                <w:color w:val="auto"/>
              </w:rPr>
            </w:pPr>
          </w:p>
        </w:tc>
        <w:tc>
          <w:tcPr>
            <w:tcW w:w="40" w:type="dxa"/>
            <w:vAlign w:val="bottom"/>
            <w:tcBorders>
              <w:top w:val="single" w:sz="8" w:color="D9D9D9"/>
              <w:bottom w:val="single" w:sz="8" w:color="D9D9D9"/>
            </w:tcBorders>
            <w:shd w:val="clear" w:color="auto" w:fill="D9D9D9"/>
          </w:tcPr>
          <w:p>
            <w:pPr>
              <w:spacing w:after="0"/>
              <w:rPr>
                <w:sz w:val="15"/>
                <w:szCs w:val="15"/>
                <w:color w:val="auto"/>
              </w:rPr>
            </w:pPr>
          </w:p>
        </w:tc>
        <w:tc>
          <w:tcPr>
            <w:tcW w:w="80" w:type="dxa"/>
            <w:vAlign w:val="bottom"/>
            <w:tcBorders>
              <w:top w:val="single" w:sz="8" w:color="D9D9D9"/>
              <w:bottom w:val="single" w:sz="8" w:color="D9D9D9"/>
            </w:tcBorders>
            <w:shd w:val="clear" w:color="auto" w:fill="D9D9D9"/>
          </w:tcPr>
          <w:p>
            <w:pPr>
              <w:spacing w:after="0"/>
              <w:rPr>
                <w:sz w:val="15"/>
                <w:szCs w:val="15"/>
                <w:color w:val="auto"/>
              </w:rPr>
            </w:pPr>
          </w:p>
        </w:tc>
        <w:tc>
          <w:tcPr>
            <w:tcW w:w="2100" w:type="dxa"/>
            <w:vAlign w:val="bottom"/>
            <w:tcBorders>
              <w:top w:val="single" w:sz="8" w:color="D9D9D9"/>
              <w:bottom w:val="single" w:sz="8" w:color="D9D9D9"/>
              <w:right w:val="single" w:sz="8" w:color="auto"/>
            </w:tcBorders>
            <w:gridSpan w:val="6"/>
            <w:vMerge w:val="restart"/>
            <w:shd w:val="clear" w:color="auto" w:fill="D9D9D9"/>
          </w:tcPr>
          <w:p>
            <w:pPr>
              <w:spacing w:after="0"/>
              <w:rPr>
                <w:sz w:val="20"/>
                <w:szCs w:val="20"/>
                <w:color w:val="auto"/>
              </w:rPr>
            </w:pPr>
            <w:r>
              <w:rPr>
                <w:rFonts w:ascii="Times New Roman" w:cs="Times New Roman" w:eastAsia="Times New Roman" w:hAnsi="Times New Roman"/>
                <w:sz w:val="20"/>
                <w:szCs w:val="20"/>
                <w:color w:val="auto"/>
              </w:rPr>
              <w:t>Total Rent Adjusted Net</w:t>
            </w:r>
          </w:p>
        </w:tc>
        <w:tc>
          <w:tcPr>
            <w:tcW w:w="2240" w:type="dxa"/>
            <w:vAlign w:val="bottom"/>
            <w:tcBorders>
              <w:top w:val="single" w:sz="8" w:color="D9D9D9"/>
              <w:bottom w:val="single" w:sz="8" w:color="D9D9D9"/>
              <w:right w:val="single" w:sz="8" w:color="auto"/>
            </w:tcBorders>
            <w:gridSpan w:val="5"/>
            <w:vMerge w:val="restart"/>
            <w:shd w:val="clear" w:color="auto" w:fill="D9D9D9"/>
          </w:tcPr>
          <w:p>
            <w:pPr>
              <w:jc w:val="center"/>
              <w:ind w:right="40"/>
              <w:spacing w:after="0"/>
              <w:rPr>
                <w:sz w:val="20"/>
                <w:szCs w:val="20"/>
                <w:color w:val="auto"/>
              </w:rPr>
            </w:pPr>
            <w:r>
              <w:rPr>
                <w:rFonts w:ascii="Times New Roman" w:cs="Times New Roman" w:eastAsia="Times New Roman" w:hAnsi="Times New Roman"/>
                <w:sz w:val="20"/>
                <w:szCs w:val="20"/>
                <w:color w:val="auto"/>
                <w:w w:val="98"/>
              </w:rPr>
              <w:t>ABR Spread for Initial</w:t>
            </w:r>
          </w:p>
        </w:tc>
        <w:tc>
          <w:tcPr>
            <w:tcW w:w="200" w:type="dxa"/>
            <w:vAlign w:val="bottom"/>
            <w:tcBorders>
              <w:top w:val="single" w:sz="8" w:color="D9D9D9"/>
              <w:bottom w:val="single" w:sz="8" w:color="D9D9D9"/>
            </w:tcBorders>
            <w:shd w:val="clear" w:color="auto" w:fill="D9D9D9"/>
          </w:tcPr>
          <w:p>
            <w:pPr>
              <w:spacing w:after="0"/>
              <w:rPr>
                <w:sz w:val="15"/>
                <w:szCs w:val="15"/>
                <w:color w:val="auto"/>
              </w:rPr>
            </w:pPr>
          </w:p>
        </w:tc>
        <w:tc>
          <w:tcPr>
            <w:tcW w:w="20" w:type="dxa"/>
            <w:vAlign w:val="bottom"/>
            <w:tcBorders>
              <w:top w:val="single" w:sz="8" w:color="FF0000"/>
              <w:bottom w:val="single" w:sz="8" w:color="FF0000"/>
            </w:tcBorders>
            <w:vMerge w:val="restart"/>
            <w:shd w:val="clear" w:color="auto" w:fill="D9D9D9"/>
          </w:tcPr>
          <w:p>
            <w:pPr>
              <w:spacing w:after="0"/>
              <w:rPr>
                <w:sz w:val="15"/>
                <w:szCs w:val="15"/>
                <w:color w:val="auto"/>
              </w:rPr>
            </w:pPr>
          </w:p>
        </w:tc>
        <w:tc>
          <w:tcPr>
            <w:tcW w:w="840" w:type="dxa"/>
            <w:vAlign w:val="bottom"/>
            <w:tcBorders>
              <w:top w:val="single" w:sz="8" w:color="FF0000"/>
              <w:bottom w:val="single" w:sz="8" w:color="auto"/>
            </w:tcBorders>
            <w:gridSpan w:val="2"/>
            <w:shd w:val="clear" w:color="auto" w:fill="D9D9D9"/>
          </w:tcPr>
          <w:p>
            <w:pPr>
              <w:spacing w:after="0" w:line="169" w:lineRule="exact"/>
              <w:rPr>
                <w:sz w:val="20"/>
                <w:szCs w:val="20"/>
                <w:color w:val="auto"/>
              </w:rPr>
            </w:pPr>
            <w:r>
              <w:rPr>
                <w:rFonts w:ascii="Times New Roman" w:cs="Times New Roman" w:eastAsia="Times New Roman" w:hAnsi="Times New Roman"/>
                <w:sz w:val="19"/>
                <w:szCs w:val="19"/>
                <w:color w:val="auto"/>
              </w:rPr>
              <w:t>Spread for</w:t>
            </w:r>
          </w:p>
        </w:tc>
        <w:tc>
          <w:tcPr>
            <w:tcW w:w="960" w:type="dxa"/>
            <w:vAlign w:val="bottom"/>
            <w:tcBorders>
              <w:top w:val="single" w:sz="8" w:color="0000FF"/>
              <w:bottom w:val="single" w:sz="8" w:color="auto"/>
            </w:tcBorders>
            <w:gridSpan w:val="2"/>
            <w:shd w:val="clear" w:color="auto" w:fill="D9D9D9"/>
          </w:tcPr>
          <w:p>
            <w:pPr>
              <w:ind w:left="20"/>
              <w:spacing w:after="0" w:line="169" w:lineRule="exact"/>
              <w:rPr>
                <w:sz w:val="20"/>
                <w:szCs w:val="20"/>
                <w:color w:val="auto"/>
              </w:rPr>
            </w:pPr>
            <w:r>
              <w:rPr>
                <w:rFonts w:ascii="Times New Roman" w:cs="Times New Roman" w:eastAsia="Times New Roman" w:hAnsi="Times New Roman"/>
                <w:sz w:val="19"/>
                <w:szCs w:val="19"/>
                <w:color w:val="auto"/>
              </w:rPr>
              <w:t>Initial Term</w:t>
            </w:r>
          </w:p>
        </w:tc>
        <w:tc>
          <w:tcPr>
            <w:tcW w:w="20" w:type="dxa"/>
            <w:vAlign w:val="bottom"/>
            <w:tcBorders>
              <w:top w:val="single" w:sz="8" w:color="0000FF"/>
              <w:bottom w:val="single" w:sz="8" w:color="0000FF"/>
            </w:tcBorders>
            <w:vMerge w:val="restart"/>
            <w:shd w:val="clear" w:color="auto" w:fill="D9D9D9"/>
          </w:tcPr>
          <w:p>
            <w:pPr>
              <w:spacing w:after="0"/>
              <w:rPr>
                <w:sz w:val="15"/>
                <w:szCs w:val="15"/>
                <w:color w:val="auto"/>
              </w:rPr>
            </w:pPr>
          </w:p>
        </w:tc>
        <w:tc>
          <w:tcPr>
            <w:tcW w:w="220" w:type="dxa"/>
            <w:vAlign w:val="bottom"/>
            <w:tcBorders>
              <w:top w:val="single" w:sz="8" w:color="D9D9D9"/>
              <w:bottom w:val="single" w:sz="8" w:color="D9D9D9"/>
              <w:right w:val="single" w:sz="8" w:color="auto"/>
            </w:tcBorders>
            <w:shd w:val="clear" w:color="auto" w:fill="D9D9D9"/>
          </w:tcPr>
          <w:p>
            <w:pPr>
              <w:spacing w:after="0"/>
              <w:rPr>
                <w:sz w:val="15"/>
                <w:szCs w:val="15"/>
                <w:color w:val="auto"/>
              </w:rPr>
            </w:pPr>
          </w:p>
        </w:tc>
        <w:tc>
          <w:tcPr>
            <w:tcW w:w="200" w:type="dxa"/>
            <w:vAlign w:val="bottom"/>
            <w:tcBorders>
              <w:top w:val="single" w:sz="8" w:color="D9D9D9"/>
              <w:bottom w:val="single" w:sz="8" w:color="D9D9D9"/>
            </w:tcBorders>
            <w:vMerge w:val="restart"/>
            <w:shd w:val="clear" w:color="auto" w:fill="D9D9D9"/>
          </w:tcPr>
          <w:p>
            <w:pPr>
              <w:spacing w:after="0"/>
              <w:rPr>
                <w:sz w:val="15"/>
                <w:szCs w:val="15"/>
                <w:color w:val="auto"/>
              </w:rPr>
            </w:pPr>
          </w:p>
        </w:tc>
        <w:tc>
          <w:tcPr>
            <w:tcW w:w="80" w:type="dxa"/>
            <w:vAlign w:val="bottom"/>
            <w:tcBorders>
              <w:top w:val="single" w:sz="8" w:color="D9D9D9"/>
              <w:bottom w:val="single" w:sz="8" w:color="D9D9D9"/>
            </w:tcBorders>
            <w:vMerge w:val="restart"/>
            <w:shd w:val="clear" w:color="auto" w:fill="D9D9D9"/>
          </w:tcPr>
          <w:p>
            <w:pPr>
              <w:spacing w:after="0"/>
              <w:rPr>
                <w:sz w:val="15"/>
                <w:szCs w:val="15"/>
                <w:color w:val="auto"/>
              </w:rPr>
            </w:pPr>
          </w:p>
        </w:tc>
        <w:tc>
          <w:tcPr>
            <w:tcW w:w="140" w:type="dxa"/>
            <w:vAlign w:val="bottom"/>
            <w:tcBorders>
              <w:top w:val="single" w:sz="8" w:color="D9D9D9"/>
              <w:bottom w:val="single" w:sz="8" w:color="auto"/>
            </w:tcBorders>
            <w:shd w:val="clear" w:color="auto" w:fill="D9D9D9"/>
          </w:tcPr>
          <w:p>
            <w:pPr>
              <w:spacing w:after="0"/>
              <w:rPr>
                <w:sz w:val="15"/>
                <w:szCs w:val="15"/>
                <w:color w:val="auto"/>
              </w:rPr>
            </w:pPr>
          </w:p>
        </w:tc>
        <w:tc>
          <w:tcPr>
            <w:tcW w:w="1360" w:type="dxa"/>
            <w:vAlign w:val="bottom"/>
            <w:tcBorders>
              <w:top w:val="single" w:sz="8" w:color="auto"/>
              <w:bottom w:val="single" w:sz="8" w:color="auto"/>
            </w:tcBorders>
            <w:gridSpan w:val="3"/>
            <w:shd w:val="clear" w:color="auto" w:fill="D9D9D9"/>
          </w:tcPr>
          <w:p>
            <w:pPr>
              <w:jc w:val="center"/>
              <w:spacing w:after="0" w:line="169" w:lineRule="exact"/>
              <w:rPr>
                <w:sz w:val="20"/>
                <w:szCs w:val="20"/>
                <w:color w:val="auto"/>
              </w:rPr>
            </w:pPr>
            <w:r>
              <w:rPr>
                <w:rFonts w:ascii="Times New Roman" w:cs="Times New Roman" w:eastAsia="Times New Roman" w:hAnsi="Times New Roman"/>
                <w:sz w:val="19"/>
                <w:szCs w:val="19"/>
                <w:color w:val="auto"/>
                <w:w w:val="85"/>
              </w:rPr>
              <w:t>(including Swingline</w:t>
            </w:r>
          </w:p>
        </w:tc>
        <w:tc>
          <w:tcPr>
            <w:tcW w:w="160" w:type="dxa"/>
            <w:vAlign w:val="bottom"/>
            <w:tcBorders>
              <w:top w:val="single" w:sz="8" w:color="D9D9D9"/>
              <w:bottom w:val="single" w:sz="8" w:color="auto"/>
            </w:tcBorders>
            <w:shd w:val="clear" w:color="auto" w:fill="D9D9D9"/>
          </w:tcPr>
          <w:p>
            <w:pPr>
              <w:spacing w:after="0"/>
              <w:rPr>
                <w:sz w:val="15"/>
                <w:szCs w:val="15"/>
                <w:color w:val="auto"/>
              </w:rPr>
            </w:pPr>
          </w:p>
        </w:tc>
        <w:tc>
          <w:tcPr>
            <w:tcW w:w="300" w:type="dxa"/>
            <w:vAlign w:val="bottom"/>
            <w:tcBorders>
              <w:top w:val="single" w:sz="8" w:color="D9D9D9"/>
              <w:bottom w:val="single" w:sz="8" w:color="D9D9D9"/>
              <w:right w:val="single" w:sz="8" w:color="auto"/>
            </w:tcBorders>
            <w:gridSpan w:val="2"/>
            <w:vMerge w:val="restart"/>
            <w:shd w:val="clear" w:color="auto" w:fill="D9D9D9"/>
          </w:tcPr>
          <w:p>
            <w:pPr>
              <w:spacing w:after="0"/>
              <w:rPr>
                <w:sz w:val="15"/>
                <w:szCs w:val="15"/>
                <w:color w:val="auto"/>
              </w:rPr>
            </w:pPr>
          </w:p>
        </w:tc>
        <w:tc>
          <w:tcPr>
            <w:tcW w:w="200" w:type="dxa"/>
            <w:vAlign w:val="bottom"/>
            <w:tcBorders>
              <w:top w:val="single" w:sz="8" w:color="D9D9D9"/>
              <w:bottom w:val="single" w:sz="8" w:color="D9D9D9"/>
            </w:tcBorders>
            <w:vMerge w:val="restart"/>
            <w:shd w:val="clear" w:color="auto" w:fill="D9D9D9"/>
          </w:tcPr>
          <w:p>
            <w:pPr>
              <w:spacing w:after="0"/>
              <w:rPr>
                <w:sz w:val="15"/>
                <w:szCs w:val="15"/>
                <w:color w:val="auto"/>
              </w:rPr>
            </w:pPr>
          </w:p>
        </w:tc>
        <w:tc>
          <w:tcPr>
            <w:tcW w:w="240" w:type="dxa"/>
            <w:vAlign w:val="bottom"/>
            <w:tcBorders>
              <w:top w:val="single" w:sz="8" w:color="FF0000"/>
              <w:bottom w:val="single" w:sz="8" w:color="FF0000"/>
            </w:tcBorders>
            <w:vMerge w:val="restart"/>
            <w:shd w:val="clear" w:color="auto" w:fill="D9D9D9"/>
          </w:tcPr>
          <w:p>
            <w:pPr>
              <w:spacing w:after="0"/>
              <w:rPr>
                <w:sz w:val="15"/>
                <w:szCs w:val="15"/>
                <w:color w:val="auto"/>
              </w:rPr>
            </w:pPr>
          </w:p>
        </w:tc>
        <w:tc>
          <w:tcPr>
            <w:tcW w:w="20" w:type="dxa"/>
            <w:vAlign w:val="bottom"/>
            <w:tcBorders>
              <w:top w:val="single" w:sz="8" w:color="FF0000"/>
              <w:bottom w:val="single" w:sz="8" w:color="FF0000"/>
            </w:tcBorders>
            <w:shd w:val="clear" w:color="auto" w:fill="D9D9D9"/>
          </w:tcPr>
          <w:p>
            <w:pPr>
              <w:spacing w:after="0"/>
              <w:rPr>
                <w:sz w:val="15"/>
                <w:szCs w:val="15"/>
                <w:color w:val="auto"/>
              </w:rPr>
            </w:pPr>
          </w:p>
        </w:tc>
        <w:tc>
          <w:tcPr>
            <w:tcW w:w="620" w:type="dxa"/>
            <w:vAlign w:val="bottom"/>
            <w:tcBorders>
              <w:top w:val="single" w:sz="8" w:color="FF0000"/>
              <w:bottom w:val="single" w:sz="8" w:color="auto"/>
            </w:tcBorders>
            <w:shd w:val="clear" w:color="auto" w:fill="D9D9D9"/>
          </w:tcPr>
          <w:p>
            <w:pPr>
              <w:spacing w:after="0" w:line="169" w:lineRule="exact"/>
              <w:rPr>
                <w:sz w:val="20"/>
                <w:szCs w:val="20"/>
                <w:color w:val="auto"/>
              </w:rPr>
            </w:pPr>
            <w:r>
              <w:rPr>
                <w:rFonts w:ascii="Times New Roman" w:cs="Times New Roman" w:eastAsia="Times New Roman" w:hAnsi="Times New Roman"/>
                <w:sz w:val="19"/>
                <w:szCs w:val="19"/>
                <w:color w:val="auto"/>
              </w:rPr>
              <w:t>Spread</w:t>
            </w:r>
          </w:p>
        </w:tc>
        <w:tc>
          <w:tcPr>
            <w:tcW w:w="720" w:type="dxa"/>
            <w:vAlign w:val="bottom"/>
            <w:tcBorders>
              <w:top w:val="single" w:sz="8" w:color="0000FF"/>
              <w:bottom w:val="single" w:sz="8" w:color="auto"/>
            </w:tcBorders>
            <w:shd w:val="clear" w:color="auto" w:fill="D9D9D9"/>
          </w:tcPr>
          <w:p>
            <w:pPr>
              <w:spacing w:after="0" w:line="169" w:lineRule="exact"/>
              <w:rPr>
                <w:sz w:val="20"/>
                <w:szCs w:val="20"/>
                <w:color w:val="auto"/>
              </w:rPr>
            </w:pPr>
            <w:r>
              <w:rPr>
                <w:rFonts w:ascii="Times New Roman" w:cs="Times New Roman" w:eastAsia="Times New Roman" w:hAnsi="Times New Roman"/>
                <w:sz w:val="19"/>
                <w:szCs w:val="19"/>
                <w:color w:val="auto"/>
                <w:w w:val="96"/>
              </w:rPr>
              <w:t>for Initial</w:t>
            </w:r>
          </w:p>
        </w:tc>
        <w:tc>
          <w:tcPr>
            <w:tcW w:w="20" w:type="dxa"/>
            <w:vAlign w:val="bottom"/>
            <w:tcBorders>
              <w:top w:val="single" w:sz="8" w:color="0000FF"/>
              <w:bottom w:val="single" w:sz="8" w:color="0000FF"/>
            </w:tcBorders>
            <w:shd w:val="clear" w:color="auto" w:fill="D9D9D9"/>
          </w:tcPr>
          <w:p>
            <w:pPr>
              <w:spacing w:after="0"/>
              <w:rPr>
                <w:sz w:val="15"/>
                <w:szCs w:val="15"/>
                <w:color w:val="auto"/>
              </w:rPr>
            </w:pPr>
          </w:p>
        </w:tc>
        <w:tc>
          <w:tcPr>
            <w:tcW w:w="220" w:type="dxa"/>
            <w:vAlign w:val="bottom"/>
            <w:tcBorders>
              <w:top w:val="single" w:sz="8" w:color="0000FF"/>
              <w:bottom w:val="single" w:sz="8" w:color="0000FF"/>
            </w:tcBorders>
            <w:vMerge w:val="restart"/>
            <w:shd w:val="clear" w:color="auto" w:fill="D9D9D9"/>
          </w:tcPr>
          <w:p>
            <w:pPr>
              <w:spacing w:after="0"/>
              <w:rPr>
                <w:sz w:val="15"/>
                <w:szCs w:val="15"/>
                <w:color w:val="auto"/>
              </w:rPr>
            </w:pPr>
          </w:p>
        </w:tc>
        <w:tc>
          <w:tcPr>
            <w:tcW w:w="220" w:type="dxa"/>
            <w:vAlign w:val="bottom"/>
            <w:tcBorders>
              <w:top w:val="single" w:sz="8" w:color="D9D9D9"/>
              <w:bottom w:val="single" w:sz="8" w:color="D9D9D9"/>
              <w:right w:val="single" w:sz="8" w:color="auto"/>
            </w:tcBorders>
            <w:vMerge w:val="restart"/>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tcBorders>
            <w:shd w:val="clear" w:color="auto" w:fill="D9D9D9"/>
          </w:tcPr>
          <w:p>
            <w:pPr>
              <w:spacing w:after="0"/>
              <w:rPr>
                <w:sz w:val="2"/>
                <w:szCs w:val="2"/>
                <w:color w:val="auto"/>
              </w:rPr>
            </w:pPr>
          </w:p>
        </w:tc>
        <w:tc>
          <w:tcPr>
            <w:tcW w:w="4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100" w:type="dxa"/>
            <w:vAlign w:val="bottom"/>
            <w:tcBorders>
              <w:right w:val="single" w:sz="8" w:color="auto"/>
            </w:tcBorders>
            <w:gridSpan w:val="6"/>
            <w:vMerge w:val="continue"/>
            <w:shd w:val="clear" w:color="auto" w:fill="D9D9D9"/>
          </w:tcPr>
          <w:p>
            <w:pPr>
              <w:spacing w:after="0"/>
              <w:rPr>
                <w:sz w:val="2"/>
                <w:szCs w:val="2"/>
                <w:color w:val="auto"/>
              </w:rPr>
            </w:pPr>
          </w:p>
        </w:tc>
        <w:tc>
          <w:tcPr>
            <w:tcW w:w="2240" w:type="dxa"/>
            <w:vAlign w:val="bottom"/>
            <w:tcBorders>
              <w:right w:val="single" w:sz="8" w:color="auto"/>
            </w:tcBorders>
            <w:gridSpan w:val="5"/>
            <w:vMerge w:val="continue"/>
            <w:shd w:val="clear" w:color="auto" w:fill="D9D9D9"/>
          </w:tcPr>
          <w:p>
            <w:pPr>
              <w:spacing w:after="0"/>
              <w:rPr>
                <w:sz w:val="2"/>
                <w:szCs w:val="2"/>
                <w:color w:val="auto"/>
              </w:rPr>
            </w:pPr>
          </w:p>
        </w:tc>
        <w:tc>
          <w:tcPr>
            <w:tcW w:w="200" w:type="dxa"/>
            <w:vAlign w:val="bottom"/>
            <w:shd w:val="clear" w:color="auto" w:fill="D9D9D9"/>
          </w:tcPr>
          <w:p>
            <w:pPr>
              <w:spacing w:after="0"/>
              <w:rPr>
                <w:sz w:val="2"/>
                <w:szCs w:val="2"/>
                <w:color w:val="auto"/>
              </w:rPr>
            </w:pPr>
          </w:p>
        </w:tc>
        <w:tc>
          <w:tcPr>
            <w:tcW w:w="20" w:type="dxa"/>
            <w:vAlign w:val="bottom"/>
            <w:vMerge w:val="continue"/>
            <w:shd w:val="clear" w:color="auto" w:fill="D9D9D9"/>
          </w:tcPr>
          <w:p>
            <w:pPr>
              <w:spacing w:after="0"/>
              <w:rPr>
                <w:sz w:val="2"/>
                <w:szCs w:val="2"/>
                <w:color w:val="auto"/>
              </w:rPr>
            </w:pPr>
          </w:p>
        </w:tc>
        <w:tc>
          <w:tcPr>
            <w:tcW w:w="640" w:type="dxa"/>
            <w:vAlign w:val="bottom"/>
            <w:shd w:val="clear" w:color="auto" w:fill="D9D9D9"/>
          </w:tcPr>
          <w:p>
            <w:pPr>
              <w:spacing w:after="0"/>
              <w:rPr>
                <w:sz w:val="2"/>
                <w:szCs w:val="2"/>
                <w:color w:val="auto"/>
              </w:rPr>
            </w:pPr>
          </w:p>
        </w:tc>
        <w:tc>
          <w:tcPr>
            <w:tcW w:w="500" w:type="dxa"/>
            <w:vAlign w:val="bottom"/>
            <w:gridSpan w:val="2"/>
            <w:vMerge w:val="restart"/>
            <w:shd w:val="clear" w:color="auto" w:fill="D9D9D9"/>
          </w:tcPr>
          <w:p>
            <w:pPr>
              <w:spacing w:after="0" w:line="169" w:lineRule="exact"/>
              <w:rPr>
                <w:sz w:val="20"/>
                <w:szCs w:val="20"/>
                <w:color w:val="auto"/>
              </w:rPr>
            </w:pPr>
            <w:r>
              <w:rPr>
                <w:rFonts w:ascii="Times New Roman" w:cs="Times New Roman" w:eastAsia="Times New Roman" w:hAnsi="Times New Roman"/>
                <w:sz w:val="19"/>
                <w:szCs w:val="19"/>
                <w:color w:val="auto"/>
              </w:rPr>
              <w:t>Loans</w:t>
            </w:r>
          </w:p>
        </w:tc>
        <w:tc>
          <w:tcPr>
            <w:tcW w:w="660" w:type="dxa"/>
            <w:vAlign w:val="bottom"/>
            <w:shd w:val="clear" w:color="auto" w:fill="D9D9D9"/>
          </w:tcPr>
          <w:p>
            <w:pPr>
              <w:spacing w:after="0"/>
              <w:rPr>
                <w:sz w:val="2"/>
                <w:szCs w:val="2"/>
                <w:color w:val="auto"/>
              </w:rPr>
            </w:pPr>
          </w:p>
        </w:tc>
        <w:tc>
          <w:tcPr>
            <w:tcW w:w="20" w:type="dxa"/>
            <w:vAlign w:val="bottom"/>
            <w:vMerge w:val="continue"/>
            <w:shd w:val="clear" w:color="auto" w:fill="D9D9D9"/>
          </w:tcPr>
          <w:p>
            <w:pPr>
              <w:spacing w:after="0"/>
              <w:rPr>
                <w:sz w:val="2"/>
                <w:szCs w:val="2"/>
                <w:color w:val="auto"/>
              </w:rPr>
            </w:pPr>
          </w:p>
        </w:tc>
        <w:tc>
          <w:tcPr>
            <w:tcW w:w="220" w:type="dxa"/>
            <w:vAlign w:val="bottom"/>
            <w:tcBorders>
              <w:right w:val="single" w:sz="8" w:color="auto"/>
            </w:tcBorders>
            <w:shd w:val="clear" w:color="auto" w:fill="D9D9D9"/>
          </w:tcPr>
          <w:p>
            <w:pPr>
              <w:spacing w:after="0"/>
              <w:rPr>
                <w:sz w:val="2"/>
                <w:szCs w:val="2"/>
                <w:color w:val="auto"/>
              </w:rPr>
            </w:pPr>
          </w:p>
        </w:tc>
        <w:tc>
          <w:tcPr>
            <w:tcW w:w="200" w:type="dxa"/>
            <w:vAlign w:val="bottom"/>
            <w:vMerge w:val="continue"/>
            <w:shd w:val="clear" w:color="auto" w:fill="D9D9D9"/>
          </w:tcPr>
          <w:p>
            <w:pPr>
              <w:spacing w:after="0"/>
              <w:rPr>
                <w:sz w:val="2"/>
                <w:szCs w:val="2"/>
                <w:color w:val="auto"/>
              </w:rPr>
            </w:pPr>
          </w:p>
        </w:tc>
        <w:tc>
          <w:tcPr>
            <w:tcW w:w="80" w:type="dxa"/>
            <w:vAlign w:val="bottom"/>
            <w:vMerge w:val="continue"/>
            <w:shd w:val="clear" w:color="auto" w:fill="D9D9D9"/>
          </w:tcPr>
          <w:p>
            <w:pPr>
              <w:spacing w:after="0"/>
              <w:rPr>
                <w:sz w:val="2"/>
                <w:szCs w:val="2"/>
                <w:color w:val="auto"/>
              </w:rPr>
            </w:pPr>
          </w:p>
        </w:tc>
        <w:tc>
          <w:tcPr>
            <w:tcW w:w="140" w:type="dxa"/>
            <w:vAlign w:val="bottom"/>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540" w:type="dxa"/>
            <w:vAlign w:val="bottom"/>
            <w:vMerge w:val="restart"/>
            <w:shd w:val="clear" w:color="auto" w:fill="D9D9D9"/>
          </w:tcPr>
          <w:p>
            <w:pPr>
              <w:jc w:val="center"/>
              <w:spacing w:after="0" w:line="156" w:lineRule="exact"/>
              <w:rPr>
                <w:sz w:val="20"/>
                <w:szCs w:val="20"/>
                <w:color w:val="auto"/>
              </w:rPr>
            </w:pPr>
            <w:r>
              <w:rPr>
                <w:rFonts w:ascii="Times New Roman" w:cs="Times New Roman" w:eastAsia="Times New Roman" w:hAnsi="Times New Roman"/>
                <w:sz w:val="18"/>
                <w:szCs w:val="18"/>
                <w:color w:val="auto"/>
              </w:rPr>
              <w:t>Loans)</w:t>
            </w:r>
          </w:p>
        </w:tc>
        <w:tc>
          <w:tcPr>
            <w:tcW w:w="400" w:type="dxa"/>
            <w:vAlign w:val="bottom"/>
            <w:shd w:val="clear" w:color="auto" w:fill="D9D9D9"/>
          </w:tcPr>
          <w:p>
            <w:pPr>
              <w:spacing w:after="0"/>
              <w:rPr>
                <w:sz w:val="2"/>
                <w:szCs w:val="2"/>
                <w:color w:val="auto"/>
              </w:rPr>
            </w:pPr>
          </w:p>
        </w:tc>
        <w:tc>
          <w:tcPr>
            <w:tcW w:w="160" w:type="dxa"/>
            <w:vAlign w:val="bottom"/>
            <w:shd w:val="clear" w:color="auto" w:fill="D9D9D9"/>
          </w:tcPr>
          <w:p>
            <w:pPr>
              <w:spacing w:after="0"/>
              <w:rPr>
                <w:sz w:val="2"/>
                <w:szCs w:val="2"/>
                <w:color w:val="auto"/>
              </w:rPr>
            </w:pPr>
          </w:p>
        </w:tc>
        <w:tc>
          <w:tcPr>
            <w:tcW w:w="300" w:type="dxa"/>
            <w:vAlign w:val="bottom"/>
            <w:tcBorders>
              <w:right w:val="single" w:sz="8" w:color="auto"/>
            </w:tcBorders>
            <w:gridSpan w:val="2"/>
            <w:vMerge w:val="continue"/>
            <w:shd w:val="clear" w:color="auto" w:fill="D9D9D9"/>
          </w:tcPr>
          <w:p>
            <w:pPr>
              <w:spacing w:after="0"/>
              <w:rPr>
                <w:sz w:val="2"/>
                <w:szCs w:val="2"/>
                <w:color w:val="auto"/>
              </w:rPr>
            </w:pPr>
          </w:p>
        </w:tc>
        <w:tc>
          <w:tcPr>
            <w:tcW w:w="200" w:type="dxa"/>
            <w:vAlign w:val="bottom"/>
            <w:vMerge w:val="continue"/>
            <w:shd w:val="clear" w:color="auto" w:fill="D9D9D9"/>
          </w:tcPr>
          <w:p>
            <w:pPr>
              <w:spacing w:after="0"/>
              <w:rPr>
                <w:sz w:val="2"/>
                <w:szCs w:val="2"/>
                <w:color w:val="auto"/>
              </w:rPr>
            </w:pPr>
          </w:p>
        </w:tc>
        <w:tc>
          <w:tcPr>
            <w:tcW w:w="240" w:type="dxa"/>
            <w:vAlign w:val="bottom"/>
            <w:vMerge w:val="continue"/>
            <w:shd w:val="clear" w:color="auto" w:fill="D9D9D9"/>
          </w:tcPr>
          <w:p>
            <w:pPr>
              <w:spacing w:after="0"/>
              <w:rPr>
                <w:sz w:val="2"/>
                <w:szCs w:val="2"/>
                <w:color w:val="auto"/>
              </w:rPr>
            </w:pPr>
          </w:p>
        </w:tc>
        <w:tc>
          <w:tcPr>
            <w:tcW w:w="1380" w:type="dxa"/>
            <w:vAlign w:val="bottom"/>
            <w:gridSpan w:val="4"/>
            <w:vMerge w:val="restart"/>
            <w:shd w:val="clear" w:color="auto" w:fill="D9D9D9"/>
          </w:tcPr>
          <w:p>
            <w:pPr>
              <w:jc w:val="center"/>
              <w:ind w:right="20"/>
              <w:spacing w:after="0" w:line="169" w:lineRule="exact"/>
              <w:rPr>
                <w:sz w:val="20"/>
                <w:szCs w:val="20"/>
                <w:color w:val="auto"/>
              </w:rPr>
            </w:pPr>
            <w:r>
              <w:rPr>
                <w:rFonts w:ascii="Times New Roman" w:cs="Times New Roman" w:eastAsia="Times New Roman" w:hAnsi="Times New Roman"/>
                <w:sz w:val="19"/>
                <w:szCs w:val="19"/>
                <w:color w:val="auto"/>
              </w:rPr>
              <w:t>Revolving Loans</w:t>
            </w:r>
          </w:p>
        </w:tc>
        <w:tc>
          <w:tcPr>
            <w:tcW w:w="220" w:type="dxa"/>
            <w:vAlign w:val="bottom"/>
            <w:vMerge w:val="continue"/>
            <w:shd w:val="clear" w:color="auto" w:fill="D9D9D9"/>
          </w:tcPr>
          <w:p>
            <w:pPr>
              <w:spacing w:after="0"/>
              <w:rPr>
                <w:sz w:val="2"/>
                <w:szCs w:val="2"/>
                <w:color w:val="auto"/>
              </w:rPr>
            </w:pPr>
          </w:p>
        </w:tc>
        <w:tc>
          <w:tcPr>
            <w:tcW w:w="220" w:type="dxa"/>
            <w:vAlign w:val="bottom"/>
            <w:tcBorders>
              <w:right w:val="single" w:sz="8" w:color="auto"/>
            </w:tcBorders>
            <w:vMerge w:val="continue"/>
            <w:shd w:val="clear" w:color="auto" w:fill="D9D9D9"/>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D9D9D9"/>
              <w:left w:val="single" w:sz="8" w:color="auto"/>
              <w:bottom w:val="single" w:sz="8" w:color="D9D9D9"/>
            </w:tcBorders>
            <w:shd w:val="clear" w:color="auto" w:fill="D9D9D9"/>
          </w:tcPr>
          <w:p>
            <w:pPr>
              <w:spacing w:after="0"/>
              <w:rPr>
                <w:sz w:val="11"/>
                <w:szCs w:val="11"/>
                <w:color w:val="auto"/>
              </w:rPr>
            </w:pPr>
          </w:p>
        </w:tc>
        <w:tc>
          <w:tcPr>
            <w:tcW w:w="40" w:type="dxa"/>
            <w:vAlign w:val="bottom"/>
            <w:tcBorders>
              <w:top w:val="single" w:sz="8" w:color="D9D9D9"/>
              <w:bottom w:val="single" w:sz="8" w:color="D9D9D9"/>
            </w:tcBorders>
            <w:shd w:val="clear" w:color="auto" w:fill="D9D9D9"/>
          </w:tcPr>
          <w:p>
            <w:pPr>
              <w:spacing w:after="0"/>
              <w:rPr>
                <w:sz w:val="11"/>
                <w:szCs w:val="11"/>
                <w:color w:val="auto"/>
              </w:rPr>
            </w:pPr>
          </w:p>
        </w:tc>
        <w:tc>
          <w:tcPr>
            <w:tcW w:w="80" w:type="dxa"/>
            <w:vAlign w:val="bottom"/>
            <w:tcBorders>
              <w:top w:val="single" w:sz="8" w:color="D9D9D9"/>
              <w:bottom w:val="single" w:sz="8" w:color="D9D9D9"/>
            </w:tcBorders>
            <w:shd w:val="clear" w:color="auto" w:fill="D9D9D9"/>
          </w:tcPr>
          <w:p>
            <w:pPr>
              <w:spacing w:after="0"/>
              <w:rPr>
                <w:sz w:val="11"/>
                <w:szCs w:val="11"/>
                <w:color w:val="auto"/>
              </w:rPr>
            </w:pPr>
          </w:p>
        </w:tc>
        <w:tc>
          <w:tcPr>
            <w:tcW w:w="1940" w:type="dxa"/>
            <w:vAlign w:val="bottom"/>
            <w:tcBorders>
              <w:top w:val="single" w:sz="8" w:color="auto"/>
              <w:bottom w:val="single" w:sz="8" w:color="auto"/>
            </w:tcBorders>
            <w:gridSpan w:val="5"/>
            <w:vMerge w:val="restart"/>
            <w:shd w:val="clear" w:color="auto" w:fill="D9D9D9"/>
          </w:tcPr>
          <w:p>
            <w:pPr>
              <w:ind w:left="360"/>
              <w:spacing w:after="0" w:line="183" w:lineRule="exact"/>
              <w:rPr>
                <w:sz w:val="20"/>
                <w:szCs w:val="20"/>
                <w:color w:val="auto"/>
              </w:rPr>
            </w:pPr>
            <w:r>
              <w:rPr>
                <w:rFonts w:ascii="Times New Roman" w:cs="Times New Roman" w:eastAsia="Times New Roman" w:hAnsi="Times New Roman"/>
                <w:sz w:val="20"/>
                <w:szCs w:val="20"/>
                <w:color w:val="auto"/>
              </w:rPr>
              <w:t>Leverage Ratio</w:t>
            </w:r>
          </w:p>
        </w:tc>
        <w:tc>
          <w:tcPr>
            <w:tcW w:w="160" w:type="dxa"/>
            <w:vAlign w:val="bottom"/>
            <w:tcBorders>
              <w:top w:val="single" w:sz="8" w:color="D9D9D9"/>
              <w:bottom w:val="single" w:sz="8" w:color="D9D9D9"/>
              <w:right w:val="single" w:sz="8" w:color="auto"/>
            </w:tcBorders>
            <w:shd w:val="clear" w:color="auto" w:fill="D9D9D9"/>
          </w:tcPr>
          <w:p>
            <w:pPr>
              <w:spacing w:after="0"/>
              <w:rPr>
                <w:sz w:val="11"/>
                <w:szCs w:val="11"/>
                <w:color w:val="auto"/>
              </w:rPr>
            </w:pPr>
          </w:p>
        </w:tc>
        <w:tc>
          <w:tcPr>
            <w:tcW w:w="200" w:type="dxa"/>
            <w:vAlign w:val="bottom"/>
            <w:tcBorders>
              <w:top w:val="single" w:sz="8" w:color="D9D9D9"/>
              <w:bottom w:val="single" w:sz="8" w:color="D9D9D9"/>
            </w:tcBorders>
            <w:shd w:val="clear" w:color="auto" w:fill="D9D9D9"/>
          </w:tcPr>
          <w:p>
            <w:pPr>
              <w:spacing w:after="0"/>
              <w:rPr>
                <w:sz w:val="11"/>
                <w:szCs w:val="11"/>
                <w:color w:val="auto"/>
              </w:rPr>
            </w:pPr>
          </w:p>
        </w:tc>
        <w:tc>
          <w:tcPr>
            <w:tcW w:w="420" w:type="dxa"/>
            <w:vAlign w:val="bottom"/>
            <w:tcBorders>
              <w:top w:val="single" w:sz="8" w:color="auto"/>
              <w:bottom w:val="single" w:sz="8" w:color="D9D9D9"/>
            </w:tcBorders>
            <w:shd w:val="clear" w:color="auto" w:fill="D9D9D9"/>
          </w:tcPr>
          <w:p>
            <w:pPr>
              <w:spacing w:after="0"/>
              <w:rPr>
                <w:sz w:val="11"/>
                <w:szCs w:val="11"/>
                <w:color w:val="auto"/>
              </w:rPr>
            </w:pPr>
          </w:p>
        </w:tc>
        <w:tc>
          <w:tcPr>
            <w:tcW w:w="1380" w:type="dxa"/>
            <w:vAlign w:val="bottom"/>
            <w:tcBorders>
              <w:top w:val="single" w:sz="8" w:color="auto"/>
              <w:bottom w:val="single" w:sz="8" w:color="auto"/>
            </w:tcBorders>
            <w:gridSpan w:val="2"/>
            <w:vMerge w:val="restart"/>
            <w:shd w:val="clear" w:color="auto" w:fill="D9D9D9"/>
          </w:tcPr>
          <w:p>
            <w:pPr>
              <w:jc w:val="center"/>
              <w:ind w:right="420"/>
              <w:spacing w:after="0" w:line="183" w:lineRule="exact"/>
              <w:rPr>
                <w:sz w:val="20"/>
                <w:szCs w:val="20"/>
                <w:color w:val="auto"/>
              </w:rPr>
            </w:pPr>
            <w:r>
              <w:rPr>
                <w:rFonts w:ascii="Times New Roman" w:cs="Times New Roman" w:eastAsia="Times New Roman" w:hAnsi="Times New Roman"/>
                <w:sz w:val="20"/>
                <w:szCs w:val="20"/>
                <w:color w:val="auto"/>
                <w:w w:val="98"/>
              </w:rPr>
              <w:t>Term Loans</w:t>
            </w:r>
          </w:p>
        </w:tc>
        <w:tc>
          <w:tcPr>
            <w:tcW w:w="240" w:type="dxa"/>
            <w:vAlign w:val="bottom"/>
            <w:tcBorders>
              <w:top w:val="single" w:sz="8" w:color="D9D9D9"/>
              <w:bottom w:val="single" w:sz="8" w:color="D9D9D9"/>
              <w:right w:val="single" w:sz="8" w:color="auto"/>
            </w:tcBorders>
            <w:shd w:val="clear" w:color="auto" w:fill="D9D9D9"/>
          </w:tcPr>
          <w:p>
            <w:pPr>
              <w:spacing w:after="0"/>
              <w:rPr>
                <w:sz w:val="11"/>
                <w:szCs w:val="11"/>
                <w:color w:val="auto"/>
              </w:rPr>
            </w:pPr>
          </w:p>
        </w:tc>
        <w:tc>
          <w:tcPr>
            <w:tcW w:w="200" w:type="dxa"/>
            <w:vAlign w:val="bottom"/>
            <w:tcBorders>
              <w:top w:val="single" w:sz="8" w:color="D9D9D9"/>
              <w:bottom w:val="single" w:sz="8" w:color="D9D9D9"/>
            </w:tcBorders>
            <w:shd w:val="clear" w:color="auto" w:fill="D9D9D9"/>
          </w:tcPr>
          <w:p>
            <w:pPr>
              <w:spacing w:after="0"/>
              <w:rPr>
                <w:sz w:val="11"/>
                <w:szCs w:val="11"/>
                <w:color w:val="auto"/>
              </w:rPr>
            </w:pPr>
          </w:p>
        </w:tc>
        <w:tc>
          <w:tcPr>
            <w:tcW w:w="20" w:type="dxa"/>
            <w:vAlign w:val="bottom"/>
            <w:tcBorders>
              <w:top w:val="single" w:sz="8" w:color="D9D9D9"/>
              <w:bottom w:val="single" w:sz="8" w:color="D9D9D9"/>
            </w:tcBorders>
            <w:shd w:val="clear" w:color="auto" w:fill="D9D9D9"/>
          </w:tcPr>
          <w:p>
            <w:pPr>
              <w:spacing w:after="0"/>
              <w:rPr>
                <w:sz w:val="11"/>
                <w:szCs w:val="11"/>
                <w:color w:val="auto"/>
              </w:rPr>
            </w:pPr>
          </w:p>
        </w:tc>
        <w:tc>
          <w:tcPr>
            <w:tcW w:w="640" w:type="dxa"/>
            <w:vAlign w:val="bottom"/>
            <w:tcBorders>
              <w:top w:val="single" w:sz="8" w:color="D9D9D9"/>
              <w:bottom w:val="single" w:sz="8" w:color="D9D9D9"/>
            </w:tcBorders>
            <w:shd w:val="clear" w:color="auto" w:fill="D9D9D9"/>
          </w:tcPr>
          <w:p>
            <w:pPr>
              <w:spacing w:after="0"/>
              <w:rPr>
                <w:sz w:val="11"/>
                <w:szCs w:val="11"/>
                <w:color w:val="auto"/>
              </w:rPr>
            </w:pPr>
          </w:p>
        </w:tc>
        <w:tc>
          <w:tcPr>
            <w:tcW w:w="500" w:type="dxa"/>
            <w:vAlign w:val="bottom"/>
            <w:tcBorders>
              <w:top w:val="single" w:sz="8" w:color="D9D9D9"/>
              <w:bottom w:val="single" w:sz="8" w:color="D9D9D9"/>
            </w:tcBorders>
            <w:gridSpan w:val="2"/>
            <w:vMerge w:val="continue"/>
            <w:shd w:val="clear" w:color="auto" w:fill="D9D9D9"/>
          </w:tcPr>
          <w:p>
            <w:pPr>
              <w:spacing w:after="0"/>
              <w:rPr>
                <w:sz w:val="11"/>
                <w:szCs w:val="11"/>
                <w:color w:val="auto"/>
              </w:rPr>
            </w:pPr>
          </w:p>
        </w:tc>
        <w:tc>
          <w:tcPr>
            <w:tcW w:w="900" w:type="dxa"/>
            <w:vAlign w:val="bottom"/>
            <w:tcBorders>
              <w:top w:val="single" w:sz="8" w:color="D9D9D9"/>
              <w:bottom w:val="single" w:sz="8" w:color="D9D9D9"/>
              <w:right w:val="single" w:sz="8" w:color="auto"/>
            </w:tcBorders>
            <w:gridSpan w:val="3"/>
            <w:shd w:val="clear" w:color="auto" w:fill="D9D9D9"/>
          </w:tcPr>
          <w:p>
            <w:pPr>
              <w:spacing w:after="0"/>
              <w:rPr>
                <w:sz w:val="11"/>
                <w:szCs w:val="11"/>
                <w:color w:val="auto"/>
              </w:rPr>
            </w:pPr>
          </w:p>
        </w:tc>
        <w:tc>
          <w:tcPr>
            <w:tcW w:w="200" w:type="dxa"/>
            <w:vAlign w:val="bottom"/>
            <w:tcBorders>
              <w:top w:val="single" w:sz="8" w:color="D9D9D9"/>
              <w:bottom w:val="single" w:sz="8" w:color="D9D9D9"/>
            </w:tcBorders>
            <w:shd w:val="clear" w:color="auto" w:fill="D9D9D9"/>
          </w:tcPr>
          <w:p>
            <w:pPr>
              <w:spacing w:after="0"/>
              <w:rPr>
                <w:sz w:val="11"/>
                <w:szCs w:val="11"/>
                <w:color w:val="auto"/>
              </w:rPr>
            </w:pPr>
          </w:p>
        </w:tc>
        <w:tc>
          <w:tcPr>
            <w:tcW w:w="80" w:type="dxa"/>
            <w:vAlign w:val="bottom"/>
            <w:tcBorders>
              <w:top w:val="single" w:sz="8" w:color="D9D9D9"/>
              <w:bottom w:val="single" w:sz="8" w:color="D9D9D9"/>
            </w:tcBorders>
            <w:shd w:val="clear" w:color="auto" w:fill="D9D9D9"/>
          </w:tcPr>
          <w:p>
            <w:pPr>
              <w:spacing w:after="0"/>
              <w:rPr>
                <w:sz w:val="11"/>
                <w:szCs w:val="11"/>
                <w:color w:val="auto"/>
              </w:rPr>
            </w:pPr>
          </w:p>
        </w:tc>
        <w:tc>
          <w:tcPr>
            <w:tcW w:w="140" w:type="dxa"/>
            <w:vAlign w:val="bottom"/>
            <w:tcBorders>
              <w:top w:val="single" w:sz="8" w:color="D9D9D9"/>
              <w:bottom w:val="single" w:sz="8" w:color="D9D9D9"/>
            </w:tcBorders>
            <w:shd w:val="clear" w:color="auto" w:fill="D9D9D9"/>
          </w:tcPr>
          <w:p>
            <w:pPr>
              <w:spacing w:after="0"/>
              <w:rPr>
                <w:sz w:val="11"/>
                <w:szCs w:val="11"/>
                <w:color w:val="auto"/>
              </w:rPr>
            </w:pPr>
          </w:p>
        </w:tc>
        <w:tc>
          <w:tcPr>
            <w:tcW w:w="420" w:type="dxa"/>
            <w:vAlign w:val="bottom"/>
            <w:tcBorders>
              <w:top w:val="single" w:sz="8" w:color="D9D9D9"/>
              <w:bottom w:val="single" w:sz="8" w:color="D9D9D9"/>
            </w:tcBorders>
            <w:shd w:val="clear" w:color="auto" w:fill="D9D9D9"/>
          </w:tcPr>
          <w:p>
            <w:pPr>
              <w:spacing w:after="0"/>
              <w:rPr>
                <w:sz w:val="11"/>
                <w:szCs w:val="11"/>
                <w:color w:val="auto"/>
              </w:rPr>
            </w:pPr>
          </w:p>
        </w:tc>
        <w:tc>
          <w:tcPr>
            <w:tcW w:w="540" w:type="dxa"/>
            <w:vAlign w:val="bottom"/>
            <w:tcBorders>
              <w:top w:val="single" w:sz="8" w:color="D9D9D9"/>
              <w:bottom w:val="single" w:sz="8" w:color="auto"/>
            </w:tcBorders>
            <w:vMerge w:val="continue"/>
            <w:shd w:val="clear" w:color="auto" w:fill="D9D9D9"/>
          </w:tcPr>
          <w:p>
            <w:pPr>
              <w:spacing w:after="0"/>
              <w:rPr>
                <w:sz w:val="11"/>
                <w:szCs w:val="11"/>
                <w:color w:val="auto"/>
              </w:rPr>
            </w:pPr>
          </w:p>
        </w:tc>
        <w:tc>
          <w:tcPr>
            <w:tcW w:w="860" w:type="dxa"/>
            <w:vAlign w:val="bottom"/>
            <w:tcBorders>
              <w:top w:val="single" w:sz="8" w:color="D9D9D9"/>
              <w:bottom w:val="single" w:sz="8" w:color="D9D9D9"/>
              <w:right w:val="single" w:sz="8" w:color="auto"/>
            </w:tcBorders>
            <w:gridSpan w:val="4"/>
            <w:vMerge w:val="restart"/>
            <w:shd w:val="clear" w:color="auto" w:fill="D9D9D9"/>
          </w:tcPr>
          <w:p>
            <w:pPr>
              <w:spacing w:after="0"/>
              <w:rPr>
                <w:sz w:val="11"/>
                <w:szCs w:val="11"/>
                <w:color w:val="auto"/>
              </w:rPr>
            </w:pPr>
          </w:p>
        </w:tc>
        <w:tc>
          <w:tcPr>
            <w:tcW w:w="200" w:type="dxa"/>
            <w:vAlign w:val="bottom"/>
            <w:tcBorders>
              <w:top w:val="single" w:sz="8" w:color="D9D9D9"/>
              <w:bottom w:val="single" w:sz="8" w:color="D9D9D9"/>
            </w:tcBorders>
            <w:vMerge w:val="restart"/>
            <w:shd w:val="clear" w:color="auto" w:fill="D9D9D9"/>
          </w:tcPr>
          <w:p>
            <w:pPr>
              <w:spacing w:after="0"/>
              <w:rPr>
                <w:sz w:val="11"/>
                <w:szCs w:val="11"/>
                <w:color w:val="auto"/>
              </w:rPr>
            </w:pPr>
          </w:p>
        </w:tc>
        <w:tc>
          <w:tcPr>
            <w:tcW w:w="240" w:type="dxa"/>
            <w:vAlign w:val="bottom"/>
            <w:tcBorders>
              <w:top w:val="single" w:sz="8" w:color="D9D9D9"/>
              <w:bottom w:val="single" w:sz="8" w:color="D9D9D9"/>
            </w:tcBorders>
            <w:vMerge w:val="restart"/>
            <w:shd w:val="clear" w:color="auto" w:fill="D9D9D9"/>
          </w:tcPr>
          <w:p>
            <w:pPr>
              <w:spacing w:after="0"/>
              <w:rPr>
                <w:sz w:val="11"/>
                <w:szCs w:val="11"/>
                <w:color w:val="auto"/>
              </w:rPr>
            </w:pPr>
          </w:p>
        </w:tc>
        <w:tc>
          <w:tcPr>
            <w:tcW w:w="1380" w:type="dxa"/>
            <w:vAlign w:val="bottom"/>
            <w:tcBorders>
              <w:top w:val="single" w:sz="8" w:color="D9D9D9"/>
              <w:bottom w:val="single" w:sz="8" w:color="D9D9D9"/>
            </w:tcBorders>
            <w:gridSpan w:val="4"/>
            <w:vMerge w:val="continue"/>
            <w:shd w:val="clear" w:color="auto" w:fill="D9D9D9"/>
          </w:tcPr>
          <w:p>
            <w:pPr>
              <w:spacing w:after="0"/>
              <w:rPr>
                <w:sz w:val="11"/>
                <w:szCs w:val="11"/>
                <w:color w:val="auto"/>
              </w:rPr>
            </w:pPr>
          </w:p>
        </w:tc>
        <w:tc>
          <w:tcPr>
            <w:tcW w:w="440" w:type="dxa"/>
            <w:vAlign w:val="bottom"/>
            <w:tcBorders>
              <w:top w:val="single" w:sz="8" w:color="D9D9D9"/>
              <w:bottom w:val="single" w:sz="8" w:color="D9D9D9"/>
              <w:right w:val="single" w:sz="8" w:color="auto"/>
            </w:tcBorders>
            <w:gridSpan w:val="2"/>
            <w:vMerge w:val="restart"/>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1940" w:type="dxa"/>
            <w:vAlign w:val="bottom"/>
            <w:tcBorders>
              <w:top w:val="single" w:sz="8" w:color="auto"/>
              <w:bottom w:val="single" w:sz="8" w:color="auto"/>
            </w:tcBorders>
            <w:gridSpan w:val="5"/>
            <w:vMerge w:val="continue"/>
            <w:shd w:val="clear" w:color="auto" w:fill="D9D9D9"/>
          </w:tcPr>
          <w:p>
            <w:pPr>
              <w:spacing w:after="0"/>
              <w:rPr>
                <w:sz w:val="5"/>
                <w:szCs w:val="5"/>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tcBorders>
            <w:shd w:val="clear" w:color="auto" w:fill="D9D9D9"/>
          </w:tcPr>
          <w:p>
            <w:pPr>
              <w:spacing w:after="0"/>
              <w:rPr>
                <w:sz w:val="5"/>
                <w:szCs w:val="5"/>
                <w:color w:val="auto"/>
              </w:rPr>
            </w:pPr>
          </w:p>
        </w:tc>
        <w:tc>
          <w:tcPr>
            <w:tcW w:w="420" w:type="dxa"/>
            <w:vAlign w:val="bottom"/>
            <w:tcBorders>
              <w:top w:val="single" w:sz="8" w:color="D9D9D9"/>
              <w:bottom w:val="single" w:sz="8" w:color="auto"/>
            </w:tcBorders>
            <w:shd w:val="clear" w:color="auto" w:fill="D9D9D9"/>
          </w:tcPr>
          <w:p>
            <w:pPr>
              <w:spacing w:after="0"/>
              <w:rPr>
                <w:sz w:val="5"/>
                <w:szCs w:val="5"/>
                <w:color w:val="auto"/>
              </w:rPr>
            </w:pPr>
          </w:p>
        </w:tc>
        <w:tc>
          <w:tcPr>
            <w:tcW w:w="1380" w:type="dxa"/>
            <w:vAlign w:val="bottom"/>
            <w:tcBorders>
              <w:top w:val="single" w:sz="8" w:color="auto"/>
              <w:bottom w:val="single" w:sz="8" w:color="auto"/>
            </w:tcBorders>
            <w:gridSpan w:val="2"/>
            <w:vMerge w:val="continue"/>
            <w:shd w:val="clear" w:color="auto" w:fill="D9D9D9"/>
          </w:tcPr>
          <w:p>
            <w:pPr>
              <w:spacing w:after="0"/>
              <w:rPr>
                <w:sz w:val="5"/>
                <w:szCs w:val="5"/>
                <w:color w:val="auto"/>
              </w:rPr>
            </w:pPr>
          </w:p>
        </w:tc>
        <w:tc>
          <w:tcPr>
            <w:tcW w:w="2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640" w:type="dxa"/>
            <w:vAlign w:val="bottom"/>
            <w:tcBorders>
              <w:top w:val="single" w:sz="8" w:color="D9D9D9"/>
              <w:bottom w:val="single" w:sz="8" w:color="auto"/>
            </w:tcBorders>
            <w:shd w:val="clear" w:color="auto" w:fill="D9D9D9"/>
          </w:tcPr>
          <w:p>
            <w:pPr>
              <w:spacing w:after="0"/>
              <w:rPr>
                <w:sz w:val="5"/>
                <w:szCs w:val="5"/>
                <w:color w:val="auto"/>
              </w:rPr>
            </w:pPr>
          </w:p>
        </w:tc>
        <w:tc>
          <w:tcPr>
            <w:tcW w:w="500" w:type="dxa"/>
            <w:vAlign w:val="bottom"/>
            <w:tcBorders>
              <w:top w:val="single" w:sz="8" w:color="auto"/>
              <w:bottom w:val="single" w:sz="8" w:color="auto"/>
            </w:tcBorders>
            <w:gridSpan w:val="2"/>
            <w:shd w:val="clear" w:color="auto" w:fill="D9D9D9"/>
          </w:tcPr>
          <w:p>
            <w:pPr>
              <w:spacing w:after="0"/>
              <w:rPr>
                <w:sz w:val="5"/>
                <w:szCs w:val="5"/>
                <w:color w:val="auto"/>
              </w:rPr>
            </w:pPr>
          </w:p>
        </w:tc>
        <w:tc>
          <w:tcPr>
            <w:tcW w:w="900" w:type="dxa"/>
            <w:vAlign w:val="bottom"/>
            <w:tcBorders>
              <w:top w:val="single" w:sz="8" w:color="D9D9D9"/>
              <w:bottom w:val="single" w:sz="8" w:color="auto"/>
              <w:right w:val="single" w:sz="8" w:color="auto"/>
            </w:tcBorders>
            <w:gridSpan w:val="3"/>
            <w:shd w:val="clear" w:color="auto" w:fill="D9D9D9"/>
          </w:tcPr>
          <w:p>
            <w:pPr>
              <w:spacing w:after="0"/>
              <w:rPr>
                <w:sz w:val="5"/>
                <w:szCs w:val="5"/>
                <w:color w:val="auto"/>
              </w:rPr>
            </w:pPr>
          </w:p>
        </w:tc>
        <w:tc>
          <w:tcPr>
            <w:tcW w:w="20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420" w:type="dxa"/>
            <w:vAlign w:val="bottom"/>
            <w:tcBorders>
              <w:top w:val="single" w:sz="8" w:color="D9D9D9"/>
              <w:bottom w:val="single" w:sz="8" w:color="auto"/>
            </w:tcBorders>
            <w:shd w:val="clear" w:color="auto" w:fill="D9D9D9"/>
          </w:tcPr>
          <w:p>
            <w:pPr>
              <w:spacing w:after="0"/>
              <w:rPr>
                <w:sz w:val="5"/>
                <w:szCs w:val="5"/>
                <w:color w:val="auto"/>
              </w:rPr>
            </w:pPr>
          </w:p>
        </w:tc>
        <w:tc>
          <w:tcPr>
            <w:tcW w:w="540" w:type="dxa"/>
            <w:vAlign w:val="bottom"/>
            <w:tcBorders>
              <w:top w:val="single" w:sz="8" w:color="D9D9D9"/>
              <w:bottom w:val="single" w:sz="8" w:color="auto"/>
            </w:tcBorders>
            <w:shd w:val="clear" w:color="auto" w:fill="D9D9D9"/>
          </w:tcPr>
          <w:p>
            <w:pPr>
              <w:spacing w:after="0"/>
              <w:rPr>
                <w:sz w:val="5"/>
                <w:szCs w:val="5"/>
                <w:color w:val="auto"/>
              </w:rPr>
            </w:pPr>
          </w:p>
        </w:tc>
        <w:tc>
          <w:tcPr>
            <w:tcW w:w="860" w:type="dxa"/>
            <w:vAlign w:val="bottom"/>
            <w:tcBorders>
              <w:top w:val="single" w:sz="8" w:color="D9D9D9"/>
              <w:bottom w:val="single" w:sz="8" w:color="auto"/>
              <w:right w:val="single" w:sz="8" w:color="auto"/>
            </w:tcBorders>
            <w:gridSpan w:val="4"/>
            <w:vMerge w:val="continue"/>
            <w:shd w:val="clear" w:color="auto" w:fill="D9D9D9"/>
          </w:tcPr>
          <w:p>
            <w:pPr>
              <w:spacing w:after="0"/>
              <w:rPr>
                <w:sz w:val="5"/>
                <w:szCs w:val="5"/>
                <w:color w:val="auto"/>
              </w:rPr>
            </w:pPr>
          </w:p>
        </w:tc>
        <w:tc>
          <w:tcPr>
            <w:tcW w:w="200" w:type="dxa"/>
            <w:vAlign w:val="bottom"/>
            <w:tcBorders>
              <w:top w:val="single" w:sz="8" w:color="D9D9D9"/>
              <w:bottom w:val="single" w:sz="8" w:color="auto"/>
            </w:tcBorders>
            <w:vMerge w:val="continue"/>
            <w:shd w:val="clear" w:color="auto" w:fill="D9D9D9"/>
          </w:tcPr>
          <w:p>
            <w:pPr>
              <w:spacing w:after="0"/>
              <w:rPr>
                <w:sz w:val="5"/>
                <w:szCs w:val="5"/>
                <w:color w:val="auto"/>
              </w:rPr>
            </w:pPr>
          </w:p>
        </w:tc>
        <w:tc>
          <w:tcPr>
            <w:tcW w:w="240" w:type="dxa"/>
            <w:vAlign w:val="bottom"/>
            <w:tcBorders>
              <w:top w:val="single" w:sz="8" w:color="D9D9D9"/>
              <w:bottom w:val="single" w:sz="8" w:color="auto"/>
            </w:tcBorders>
            <w:vMerge w:val="continue"/>
            <w:shd w:val="clear" w:color="auto" w:fill="D9D9D9"/>
          </w:tcPr>
          <w:p>
            <w:pPr>
              <w:spacing w:after="0"/>
              <w:rPr>
                <w:sz w:val="5"/>
                <w:szCs w:val="5"/>
                <w:color w:val="auto"/>
              </w:rPr>
            </w:pPr>
          </w:p>
        </w:tc>
        <w:tc>
          <w:tcPr>
            <w:tcW w:w="1380" w:type="dxa"/>
            <w:vAlign w:val="bottom"/>
            <w:tcBorders>
              <w:top w:val="single" w:sz="8" w:color="auto"/>
              <w:bottom w:val="single" w:sz="8" w:color="auto"/>
            </w:tcBorders>
            <w:gridSpan w:val="4"/>
            <w:shd w:val="clear" w:color="auto" w:fill="D9D9D9"/>
          </w:tcPr>
          <w:p>
            <w:pPr>
              <w:spacing w:after="0"/>
              <w:rPr>
                <w:sz w:val="5"/>
                <w:szCs w:val="5"/>
                <w:color w:val="auto"/>
              </w:rPr>
            </w:pPr>
          </w:p>
        </w:tc>
        <w:tc>
          <w:tcPr>
            <w:tcW w:w="440" w:type="dxa"/>
            <w:vAlign w:val="bottom"/>
            <w:tcBorders>
              <w:top w:val="single" w:sz="8" w:color="D9D9D9"/>
              <w:bottom w:val="single" w:sz="8" w:color="auto"/>
              <w:right w:val="single" w:sz="8" w:color="auto"/>
            </w:tcBorders>
            <w:gridSpan w:val="2"/>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20"/>
                <w:szCs w:val="20"/>
                <w:color w:val="auto"/>
                <w:w w:val="97"/>
              </w:rPr>
              <w:t>Category 1</w:t>
            </w:r>
          </w:p>
        </w:tc>
        <w:tc>
          <w:tcPr>
            <w:tcW w:w="1340" w:type="dxa"/>
            <w:vAlign w:val="bottom"/>
            <w:tcBorders>
              <w:right w:val="single" w:sz="8" w:color="auto"/>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Borders>
              <w:right w:val="single" w:sz="8" w:color="auto"/>
            </w:tcBorders>
            <w:gridSpan w:val="6"/>
          </w:tcPr>
          <w:p>
            <w:pPr>
              <w:ind w:left="120"/>
              <w:spacing w:after="0"/>
              <w:rPr>
                <w:sz w:val="20"/>
                <w:szCs w:val="20"/>
                <w:color w:val="auto"/>
              </w:rPr>
            </w:pPr>
            <w:r>
              <w:rPr>
                <w:rFonts w:ascii="Times New Roman" w:cs="Times New Roman" w:eastAsia="Times New Roman" w:hAnsi="Times New Roman"/>
                <w:sz w:val="20"/>
                <w:szCs w:val="20"/>
                <w:color w:val="auto"/>
              </w:rPr>
              <w:t>Greater than 5.00 to</w:t>
            </w:r>
          </w:p>
        </w:tc>
        <w:tc>
          <w:tcPr>
            <w:tcW w:w="1580" w:type="dxa"/>
            <w:vAlign w:val="bottom"/>
            <w:gridSpan w:val="3"/>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rPr>
              <w:t>2.00%</w:t>
            </w:r>
          </w:p>
        </w:tc>
        <w:tc>
          <w:tcPr>
            <w:tcW w:w="4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20" w:type="dxa"/>
            <w:vAlign w:val="bottom"/>
            <w:gridSpan w:val="6"/>
            <w:vMerge w:val="restart"/>
          </w:tcPr>
          <w:p>
            <w:pPr>
              <w:ind w:left="860"/>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380" w:type="dxa"/>
            <w:vAlign w:val="bottom"/>
            <w:gridSpan w:val="5"/>
            <w:vMerge w:val="restart"/>
          </w:tcPr>
          <w:p>
            <w:pPr>
              <w:jc w:val="center"/>
              <w:ind w:left="721"/>
              <w:spacing w:after="0"/>
              <w:rPr>
                <w:sz w:val="20"/>
                <w:szCs w:val="20"/>
                <w:color w:val="auto"/>
              </w:rPr>
            </w:pPr>
            <w:r>
              <w:rPr>
                <w:rFonts w:ascii="Times New Roman" w:cs="Times New Roman" w:eastAsia="Times New Roman" w:hAnsi="Times New Roman"/>
                <w:sz w:val="20"/>
                <w:szCs w:val="20"/>
                <w:color w:val="auto"/>
              </w:rPr>
              <w:t>2.00%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00" w:type="dxa"/>
            <w:vAlign w:val="bottom"/>
            <w:gridSpan w:val="5"/>
            <w:vMerge w:val="restart"/>
          </w:tcPr>
          <w:p>
            <w:pPr>
              <w:jc w:val="center"/>
              <w:ind w:left="341"/>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20" w:type="dxa"/>
            <w:vAlign w:val="bottom"/>
            <w:tcBorders>
              <w:left w:val="single" w:sz="8" w:color="auto"/>
            </w:tcBorders>
            <w:gridSpan w:val="5"/>
          </w:tcPr>
          <w:p>
            <w:pPr>
              <w:ind w:left="280"/>
              <w:spacing w:after="0"/>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580" w:type="dxa"/>
            <w:vAlign w:val="bottom"/>
            <w:gridSpan w:val="3"/>
            <w:vMerge w:val="continue"/>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020" w:type="dxa"/>
            <w:vAlign w:val="bottom"/>
            <w:gridSpan w:val="6"/>
            <w:vMerge w:val="continue"/>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1380" w:type="dxa"/>
            <w:vAlign w:val="bottom"/>
            <w:gridSpan w:val="5"/>
            <w:vMerge w:val="continue"/>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800" w:type="dxa"/>
            <w:vAlign w:val="bottom"/>
            <w:gridSpan w:val="5"/>
            <w:vMerge w:val="continue"/>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right w:val="single" w:sz="8" w:color="auto"/>
            </w:tcBorders>
            <w:gridSpan w:val="7"/>
          </w:tcPr>
          <w:p>
            <w:pPr>
              <w:spacing w:after="0" w:line="196" w:lineRule="exact"/>
              <w:rPr>
                <w:sz w:val="20"/>
                <w:szCs w:val="20"/>
                <w:color w:val="auto"/>
              </w:rPr>
            </w:pPr>
            <w:r>
              <w:rPr>
                <w:rFonts w:ascii="Times New Roman" w:cs="Times New Roman" w:eastAsia="Times New Roman" w:hAnsi="Times New Roman"/>
                <w:sz w:val="20"/>
                <w:szCs w:val="20"/>
                <w:color w:val="auto"/>
              </w:rPr>
              <w:t>Category 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right w:val="single" w:sz="8" w:color="auto"/>
            </w:tcBorders>
            <w:gridSpan w:val="6"/>
          </w:tcPr>
          <w:p>
            <w:pPr>
              <w:ind w:left="120"/>
              <w:spacing w:after="0" w:line="228" w:lineRule="exact"/>
              <w:rPr>
                <w:sz w:val="20"/>
                <w:szCs w:val="20"/>
                <w:color w:val="auto"/>
              </w:rPr>
            </w:pPr>
            <w:r>
              <w:rPr>
                <w:rFonts w:ascii="Times New Roman" w:cs="Times New Roman" w:eastAsia="Times New Roman" w:hAnsi="Times New Roman"/>
                <w:sz w:val="20"/>
                <w:szCs w:val="20"/>
                <w:color w:val="auto"/>
              </w:rPr>
              <w:t>Greater than 4.50 to</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right w:val="single" w:sz="8" w:color="auto"/>
            </w:tcBorders>
            <w:gridSpan w:val="6"/>
          </w:tcPr>
          <w:p>
            <w:pPr>
              <w:ind w:left="120"/>
              <w:spacing w:after="0" w:line="203" w:lineRule="exact"/>
              <w:rPr>
                <w:sz w:val="20"/>
                <w:szCs w:val="20"/>
                <w:color w:val="auto"/>
              </w:rPr>
            </w:pPr>
            <w:r>
              <w:rPr>
                <w:rFonts w:ascii="Times New Roman" w:cs="Times New Roman" w:eastAsia="Times New Roman" w:hAnsi="Times New Roman"/>
                <w:sz w:val="20"/>
                <w:szCs w:val="20"/>
                <w:color w:val="auto"/>
              </w:rPr>
              <w:t>1.00 but less than or</w:t>
            </w:r>
          </w:p>
        </w:tc>
        <w:tc>
          <w:tcPr>
            <w:tcW w:w="1580" w:type="dxa"/>
            <w:vAlign w:val="bottom"/>
            <w:gridSpan w:val="3"/>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rPr>
              <w:t>1.75%</w:t>
            </w: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20" w:type="dxa"/>
            <w:vAlign w:val="bottom"/>
            <w:gridSpan w:val="6"/>
            <w:vMerge w:val="restart"/>
          </w:tcPr>
          <w:p>
            <w:pPr>
              <w:ind w:left="860"/>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380" w:type="dxa"/>
            <w:vAlign w:val="bottom"/>
            <w:gridSpan w:val="5"/>
            <w:vMerge w:val="restart"/>
          </w:tcPr>
          <w:p>
            <w:pPr>
              <w:jc w:val="center"/>
              <w:ind w:left="721"/>
              <w:spacing w:after="0"/>
              <w:rPr>
                <w:sz w:val="20"/>
                <w:szCs w:val="20"/>
                <w:color w:val="auto"/>
              </w:rPr>
            </w:pPr>
            <w:r>
              <w:rPr>
                <w:rFonts w:ascii="Times New Roman" w:cs="Times New Roman" w:eastAsia="Times New Roman" w:hAnsi="Times New Roman"/>
                <w:sz w:val="20"/>
                <w:szCs w:val="20"/>
                <w:color w:val="auto"/>
              </w:rPr>
              <w:t>1.75%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0" w:type="dxa"/>
            <w:vAlign w:val="bottom"/>
            <w:gridSpan w:val="5"/>
            <w:vMerge w:val="restart"/>
          </w:tcPr>
          <w:p>
            <w:pPr>
              <w:jc w:val="center"/>
              <w:ind w:left="341"/>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right w:val="single" w:sz="8" w:color="auto"/>
            </w:tcBorders>
            <w:gridSpan w:val="6"/>
            <w:vMerge w:val="restart"/>
          </w:tcPr>
          <w:p>
            <w:pPr>
              <w:ind w:left="120"/>
              <w:spacing w:after="0"/>
              <w:rPr>
                <w:sz w:val="20"/>
                <w:szCs w:val="20"/>
                <w:color w:val="auto"/>
              </w:rPr>
            </w:pPr>
            <w:r>
              <w:rPr>
                <w:rFonts w:ascii="Times New Roman" w:cs="Times New Roman" w:eastAsia="Times New Roman" w:hAnsi="Times New Roman"/>
                <w:sz w:val="20"/>
                <w:szCs w:val="20"/>
                <w:color w:val="auto"/>
              </w:rPr>
              <w:t>equal to 5.00 to 1.00</w:t>
            </w:r>
          </w:p>
        </w:tc>
        <w:tc>
          <w:tcPr>
            <w:tcW w:w="158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gridSpan w:val="6"/>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right w:val="single" w:sz="8" w:color="auto"/>
            </w:tcBorders>
            <w:gridSpan w:val="7"/>
          </w:tcPr>
          <w:p>
            <w:pPr>
              <w:spacing w:after="0" w:line="196" w:lineRule="exact"/>
              <w:rPr>
                <w:sz w:val="20"/>
                <w:szCs w:val="20"/>
                <w:color w:val="auto"/>
              </w:rPr>
            </w:pPr>
            <w:r>
              <w:rPr>
                <w:rFonts w:ascii="Times New Roman" w:cs="Times New Roman" w:eastAsia="Times New Roman" w:hAnsi="Times New Roman"/>
                <w:sz w:val="20"/>
                <w:szCs w:val="20"/>
                <w:color w:val="auto"/>
              </w:rPr>
              <w:t>Category 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right w:val="single" w:sz="8" w:color="auto"/>
            </w:tcBorders>
            <w:gridSpan w:val="6"/>
          </w:tcPr>
          <w:p>
            <w:pPr>
              <w:ind w:left="120"/>
              <w:spacing w:after="0" w:line="228" w:lineRule="exact"/>
              <w:rPr>
                <w:sz w:val="20"/>
                <w:szCs w:val="20"/>
                <w:color w:val="auto"/>
              </w:rPr>
            </w:pPr>
            <w:r>
              <w:rPr>
                <w:rFonts w:ascii="Times New Roman" w:cs="Times New Roman" w:eastAsia="Times New Roman" w:hAnsi="Times New Roman"/>
                <w:sz w:val="20"/>
                <w:szCs w:val="20"/>
                <w:color w:val="auto"/>
              </w:rPr>
              <w:t>Greater than 4.00 to</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right w:val="single" w:sz="8" w:color="auto"/>
            </w:tcBorders>
            <w:gridSpan w:val="6"/>
          </w:tcPr>
          <w:p>
            <w:pPr>
              <w:ind w:left="120"/>
              <w:spacing w:after="0" w:line="203" w:lineRule="exact"/>
              <w:rPr>
                <w:sz w:val="20"/>
                <w:szCs w:val="20"/>
                <w:color w:val="auto"/>
              </w:rPr>
            </w:pPr>
            <w:r>
              <w:rPr>
                <w:rFonts w:ascii="Times New Roman" w:cs="Times New Roman" w:eastAsia="Times New Roman" w:hAnsi="Times New Roman"/>
                <w:sz w:val="20"/>
                <w:szCs w:val="20"/>
                <w:color w:val="auto"/>
              </w:rPr>
              <w:t>1.00 but less than or</w:t>
            </w:r>
          </w:p>
        </w:tc>
        <w:tc>
          <w:tcPr>
            <w:tcW w:w="1580" w:type="dxa"/>
            <w:vAlign w:val="bottom"/>
            <w:gridSpan w:val="3"/>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rPr>
              <w:t>1.50%</w:t>
            </w: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20" w:type="dxa"/>
            <w:vAlign w:val="bottom"/>
            <w:gridSpan w:val="6"/>
            <w:vMerge w:val="restart"/>
          </w:tcPr>
          <w:p>
            <w:pPr>
              <w:ind w:left="860"/>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380" w:type="dxa"/>
            <w:vAlign w:val="bottom"/>
            <w:gridSpan w:val="5"/>
            <w:vMerge w:val="restart"/>
          </w:tcPr>
          <w:p>
            <w:pPr>
              <w:jc w:val="center"/>
              <w:ind w:left="721"/>
              <w:spacing w:after="0"/>
              <w:rPr>
                <w:sz w:val="20"/>
                <w:szCs w:val="20"/>
                <w:color w:val="auto"/>
              </w:rPr>
            </w:pPr>
            <w:r>
              <w:rPr>
                <w:rFonts w:ascii="Times New Roman" w:cs="Times New Roman" w:eastAsia="Times New Roman" w:hAnsi="Times New Roman"/>
                <w:sz w:val="20"/>
                <w:szCs w:val="20"/>
                <w:color w:val="auto"/>
              </w:rPr>
              <w:t>1.50%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0" w:type="dxa"/>
            <w:vAlign w:val="bottom"/>
            <w:gridSpan w:val="5"/>
            <w:vMerge w:val="restart"/>
          </w:tcPr>
          <w:p>
            <w:pPr>
              <w:jc w:val="center"/>
              <w:ind w:left="341"/>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right w:val="single" w:sz="8" w:color="auto"/>
            </w:tcBorders>
            <w:gridSpan w:val="6"/>
            <w:vMerge w:val="restart"/>
          </w:tcPr>
          <w:p>
            <w:pPr>
              <w:ind w:left="120"/>
              <w:spacing w:after="0"/>
              <w:rPr>
                <w:sz w:val="20"/>
                <w:szCs w:val="20"/>
                <w:color w:val="auto"/>
              </w:rPr>
            </w:pPr>
            <w:r>
              <w:rPr>
                <w:rFonts w:ascii="Times New Roman" w:cs="Times New Roman" w:eastAsia="Times New Roman" w:hAnsi="Times New Roman"/>
                <w:sz w:val="20"/>
                <w:szCs w:val="20"/>
                <w:color w:val="auto"/>
              </w:rPr>
              <w:t>equal to 4.50 to 1.00</w:t>
            </w:r>
          </w:p>
        </w:tc>
        <w:tc>
          <w:tcPr>
            <w:tcW w:w="158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gridSpan w:val="6"/>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right w:val="single" w:sz="8" w:color="auto"/>
            </w:tcBorders>
            <w:gridSpan w:val="7"/>
          </w:tcPr>
          <w:p>
            <w:pPr>
              <w:spacing w:after="0" w:line="196" w:lineRule="exact"/>
              <w:rPr>
                <w:sz w:val="20"/>
                <w:szCs w:val="20"/>
                <w:color w:val="auto"/>
              </w:rPr>
            </w:pPr>
            <w:r>
              <w:rPr>
                <w:rFonts w:ascii="Times New Roman" w:cs="Times New Roman" w:eastAsia="Times New Roman" w:hAnsi="Times New Roman"/>
                <w:sz w:val="20"/>
                <w:szCs w:val="20"/>
                <w:color w:val="auto"/>
              </w:rPr>
              <w:t>Category 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right w:val="single" w:sz="8" w:color="auto"/>
            </w:tcBorders>
            <w:gridSpan w:val="6"/>
          </w:tcPr>
          <w:p>
            <w:pPr>
              <w:ind w:left="120"/>
              <w:spacing w:after="0" w:line="228" w:lineRule="exact"/>
              <w:rPr>
                <w:sz w:val="20"/>
                <w:szCs w:val="20"/>
                <w:color w:val="auto"/>
              </w:rPr>
            </w:pPr>
            <w:r>
              <w:rPr>
                <w:rFonts w:ascii="Times New Roman" w:cs="Times New Roman" w:eastAsia="Times New Roman" w:hAnsi="Times New Roman"/>
                <w:sz w:val="20"/>
                <w:szCs w:val="20"/>
                <w:color w:val="auto"/>
              </w:rPr>
              <w:t>Less than or equal to</w:t>
            </w:r>
          </w:p>
        </w:tc>
        <w:tc>
          <w:tcPr>
            <w:tcW w:w="1580" w:type="dxa"/>
            <w:vAlign w:val="bottom"/>
            <w:gridSpan w:val="3"/>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rPr>
              <w:t>1.25%</w:t>
            </w: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20" w:type="dxa"/>
            <w:vAlign w:val="bottom"/>
            <w:gridSpan w:val="6"/>
            <w:vMerge w:val="restart"/>
          </w:tcPr>
          <w:p>
            <w:pPr>
              <w:ind w:left="860"/>
              <w:spacing w:after="0"/>
              <w:rPr>
                <w:sz w:val="20"/>
                <w:szCs w:val="20"/>
                <w:color w:val="auto"/>
              </w:rPr>
            </w:pPr>
            <w:r>
              <w:rPr>
                <w:rFonts w:ascii="Times New Roman" w:cs="Times New Roman" w:eastAsia="Times New Roman" w:hAnsi="Times New Roman"/>
                <w:sz w:val="20"/>
                <w:szCs w:val="20"/>
                <w:color w:val="auto"/>
              </w:rPr>
              <w:t>2.25%</w:t>
            </w:r>
          </w:p>
        </w:tc>
        <w:tc>
          <w:tcPr>
            <w:tcW w:w="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80" w:type="dxa"/>
            <w:vAlign w:val="bottom"/>
            <w:gridSpan w:val="5"/>
            <w:vMerge w:val="restart"/>
          </w:tcPr>
          <w:p>
            <w:pPr>
              <w:jc w:val="center"/>
              <w:ind w:left="721"/>
              <w:spacing w:after="0"/>
              <w:rPr>
                <w:sz w:val="20"/>
                <w:szCs w:val="20"/>
                <w:color w:val="auto"/>
              </w:rPr>
            </w:pPr>
            <w:r>
              <w:rPr>
                <w:rFonts w:ascii="Times New Roman" w:cs="Times New Roman" w:eastAsia="Times New Roman" w:hAnsi="Times New Roman"/>
                <w:sz w:val="20"/>
                <w:szCs w:val="20"/>
                <w:color w:val="auto"/>
              </w:rPr>
              <w:t>1.25%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0" w:type="dxa"/>
            <w:vAlign w:val="bottom"/>
            <w:gridSpan w:val="5"/>
            <w:vMerge w:val="restart"/>
          </w:tcPr>
          <w:p>
            <w:pPr>
              <w:jc w:val="center"/>
              <w:ind w:left="341"/>
              <w:spacing w:after="0"/>
              <w:rPr>
                <w:sz w:val="20"/>
                <w:szCs w:val="20"/>
                <w:color w:val="auto"/>
              </w:rPr>
            </w:pPr>
            <w:r>
              <w:rPr>
                <w:rFonts w:ascii="Times New Roman" w:cs="Times New Roman" w:eastAsia="Times New Roman" w:hAnsi="Times New Roman"/>
                <w:sz w:val="20"/>
                <w:szCs w:val="20"/>
                <w:color w:val="auto"/>
              </w:rPr>
              <w:t>2.25%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right w:val="single" w:sz="8" w:color="auto"/>
            </w:tcBorders>
            <w:gridSpan w:val="6"/>
            <w:vMerge w:val="restart"/>
          </w:tcPr>
          <w:p>
            <w:pPr>
              <w:ind w:left="120"/>
              <w:spacing w:after="0"/>
              <w:rPr>
                <w:sz w:val="20"/>
                <w:szCs w:val="20"/>
                <w:color w:val="auto"/>
              </w:rPr>
            </w:pPr>
            <w:r>
              <w:rPr>
                <w:rFonts w:ascii="Times New Roman" w:cs="Times New Roman" w:eastAsia="Times New Roman" w:hAnsi="Times New Roman"/>
                <w:sz w:val="20"/>
                <w:szCs w:val="20"/>
                <w:color w:val="auto"/>
              </w:rPr>
              <w:t>4.00 to 1.00</w:t>
            </w:r>
          </w:p>
        </w:tc>
        <w:tc>
          <w:tcPr>
            <w:tcW w:w="158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gridSpan w:val="6"/>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Applicable Rate with respect to any Initial Term Loan and Initial Revolving Loan (including any Swingline Loan) shall be</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adjusted quarterly on a prospective basis on each Adjustment Date based upon the Total Rent Adjusted Net Leverage Ratio in accordance with the table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election of the Required Lenders or the Required Revolving Lenders, as applicable, if financial</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statements are not delivered when required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the “Applicable Rate” for any Initial Term Loan</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or Initial Revolving Loan shall be the rate per annum set forth above in </w:t>
      </w:r>
      <w:r>
        <w:rPr>
          <w:rFonts w:ascii="Times New Roman" w:cs="Times New Roman" w:eastAsia="Times New Roman" w:hAnsi="Times New Roman"/>
          <w:sz w:val="20"/>
          <w:szCs w:val="20"/>
          <w:u w:val="single" w:color="auto"/>
          <w:color w:val="auto"/>
        </w:rPr>
        <w:t>Category 1</w:t>
      </w:r>
      <w:r>
        <w:rPr>
          <w:rFonts w:ascii="Times New Roman" w:cs="Times New Roman" w:eastAsia="Times New Roman" w:hAnsi="Times New Roman"/>
          <w:sz w:val="20"/>
          <w:szCs w:val="20"/>
          <w:color w:val="auto"/>
        </w:rPr>
        <w:t xml:space="preserve"> until such financial statements are delivered in compliance with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means, with respect to any Revolving Lender at any time, the percentage of the Total</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Revolving Credit Commitment at such time represented by such Revolving Lender’s Revolving Credit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when there is a Defaulting Lender, any such Defaulting Lender’s Revolving Credit Commitment shall be</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20"/>
          <w:szCs w:val="20"/>
          <w:color w:val="auto"/>
        </w:rPr>
        <w:t>disregarded in the relevant calculations. In the event that (a) the Revolving Credit Commitments of any Class have expired or been terminated in accordance with the terms hereof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60"/>
          </w:cols>
          <w:pgMar w:left="320" w:top="1399"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 xml:space="preserve">than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the Applicable Revolving Credit Percentage shall be recalculated without giving effect to the Revolving Credit</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Commitments of such Class or (b) the Revolving Credit Commitments of all Classes have terminated (or the Revolving Credit Commitments of any Class have terminated pursuant to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the Applicable Revolving Credit Percentage shall be determined based upon the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Revolving Credit Commitments (or the Revolving Credit Commitments of such Class) most recently in effect, giving effect to any assignments thereof.</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with respect to any Lender, any Person (other than a natural person (or any holding company, investment vehicle or trust for, or owned and operated by, or for the primary benefit of, one or more natural persons)) that is engaged in making,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purchasing, holding or otherwise investing in commercial loans and similar extensions of credit in the ordinary course of its activities and is administered, advised or managed by (a) such Lender, (b) any Affiliate of such Lender or (c) any entity or any Affiliate of any entity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administers, advises or manages such Lender.</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BofA Securities, Inc. and PNC Bank, National Association, in their respective capacities as joint lead arrangers and joint bookrunners hereunder.</w:t>
      </w:r>
    </w:p>
    <w:p>
      <w:pPr>
        <w:spacing w:after="0" w:line="161"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means, collectively, each Assignment and Assumption and each Affiliated Lender Assignment and Assumption.</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and/or (b) any other form approved by the Administrative Agent and the Borrower.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at any time, an amount equal to, without duplication:</w:t>
      </w:r>
    </w:p>
    <w:p>
      <w:pPr>
        <w:spacing w:after="0" w:line="189"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not less than zero for any period, equal to the CNI Growth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be available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(x) unless the Total Rent Adjusted Net Leverage Ratio does not exceed 4.50:1.00 on a Pro Forma Basis and (y) for any Restricted Payment made in reliance on </w:t>
      </w:r>
      <w:r>
        <w:rPr>
          <w:rFonts w:ascii="Times New Roman" w:cs="Times New Roman" w:eastAsia="Times New Roman" w:hAnsi="Times New Roman"/>
          <w:sz w:val="20"/>
          <w:szCs w:val="20"/>
          <w:u w:val="single" w:color="auto"/>
          <w:color w:val="auto"/>
        </w:rPr>
        <w:t>Section 6.04(a)(iii)(A)</w:t>
      </w:r>
      <w:r>
        <w:rPr>
          <w:rFonts w:ascii="Times New Roman" w:cs="Times New Roman" w:eastAsia="Times New Roman" w:hAnsi="Times New Roman"/>
          <w:sz w:val="20"/>
          <w:szCs w:val="20"/>
          <w:color w:val="auto"/>
        </w:rPr>
        <w:t xml:space="preserve"> if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amount of any capital contribution in respect of Qualified Capital Stock or the proceeds of any issuance of Qualified Capital Stock after the Closing Date that are Not Otherwise Applied (other than any amount</w:t>
      </w:r>
    </w:p>
    <w:p>
      <w:pPr>
        <w:spacing w:after="0" w:line="1" w:lineRule="exact"/>
        <w:rPr>
          <w:rFonts w:ascii="Times New Roman" w:cs="Times New Roman" w:eastAsia="Times New Roman" w:hAnsi="Times New Roman"/>
          <w:sz w:val="20"/>
          <w:szCs w:val="20"/>
          <w:color w:val="auto"/>
        </w:rPr>
      </w:pPr>
    </w:p>
    <w:p>
      <w:pPr>
        <w:jc w:val="both"/>
        <w:ind w:left="1300"/>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constituting a Cure Amount or an Available Excluded Contribution Amount, (2) received from the Borrower or any Restricted Subsidiary or (3) consisting of the proceeds of any loan or advance made pursuant to </w:t>
      </w:r>
      <w:r>
        <w:rPr>
          <w:rFonts w:ascii="Times New Roman" w:cs="Times New Roman" w:eastAsia="Times New Roman" w:hAnsi="Times New Roman"/>
          <w:sz w:val="20"/>
          <w:szCs w:val="20"/>
          <w:u w:val="single" w:color="auto"/>
          <w:color w:val="auto"/>
        </w:rPr>
        <w:t>Section 6.06(h)(ii)</w:t>
      </w:r>
      <w:r>
        <w:rPr>
          <w:rFonts w:ascii="Times New Roman" w:cs="Times New Roman" w:eastAsia="Times New Roman" w:hAnsi="Times New Roman"/>
          <w:sz w:val="20"/>
          <w:szCs w:val="20"/>
          <w:color w:val="auto"/>
        </w:rPr>
        <w:t xml:space="preserve">) received or deemed to be received as Cash equity by the Borrower or any of its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fair market value, as determined by the Borrower in good faith, of Cash Equivalents, marketable securities or other property received or deemed to be received by the Borrower as a capital contribution in respect of Qualified Capital Stock or in return for any issuance of Qualified Capital Stock that are Not Otherwise Applied (other than any amount (1) constituting a Cure Amount or an Available Excluded Contribution Amount or (2) received from the Borrower or any Restricted Subsidiary), in each case, during the period from and including the day immediately following the Closing Date through and including such time; </w:t>
      </w:r>
      <w:r>
        <w:rPr>
          <w:rFonts w:ascii="Times New Roman" w:cs="Times New Roman" w:eastAsia="Times New Roman" w:hAnsi="Times New Roman"/>
          <w:sz w:val="20"/>
          <w:szCs w:val="20"/>
          <w:u w:val="single" w:color="auto"/>
          <w:color w:val="auto"/>
        </w:rPr>
        <w:t>plus</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any Indebtedness (including any Disqualified Capital Stock), of the Borrower or any Restricted Subsidiary issued after the Closing Date (other than Indebtedness or such Disqualified Capital Stock issued to the Borrower or any Restricted Subsidiary), which has been converted into or exchanged for Capital Stock of the Borrower or any Parent Company that does not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20"/>
          <w:szCs w:val="20"/>
          <w:color w:val="auto"/>
        </w:rPr>
        <w:t>Disqualified Capital Stock, together with the fair market value of any Cash Equivalents and the fair market value (as</w:t>
      </w:r>
    </w:p>
    <w:p>
      <w:pPr>
        <w:ind w:left="1300"/>
        <w:spacing w:after="0" w:line="204" w:lineRule="auto"/>
        <w:rPr>
          <w:sz w:val="20"/>
          <w:szCs w:val="20"/>
          <w:color w:val="auto"/>
        </w:rPr>
      </w:pPr>
      <w:r>
        <w:rPr>
          <w:rFonts w:ascii="Times New Roman" w:cs="Times New Roman" w:eastAsia="Times New Roman" w:hAnsi="Times New Roman"/>
          <w:sz w:val="20"/>
          <w:szCs w:val="20"/>
          <w:color w:val="auto"/>
        </w:rPr>
        <w:t>determined by the Borrower in good faith) of any assets received by the Borrower or such Restricted Subsidiary upon such exchange or conversion, in each case, during the period from and including the day immediately following the Closing Date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through and including such time; </w:t>
      </w:r>
      <w:r>
        <w:rPr>
          <w:rFonts w:ascii="Times New Roman" w:cs="Times New Roman" w:eastAsia="Times New Roman" w:hAnsi="Times New Roman"/>
          <w:sz w:val="20"/>
          <w:szCs w:val="20"/>
          <w:u w:val="single" w:color="auto"/>
          <w:color w:val="auto"/>
        </w:rPr>
        <w:t>plus</w:t>
      </w:r>
    </w:p>
    <w:p>
      <w:pPr>
        <w:spacing w:after="0" w:line="167" w:lineRule="exact"/>
        <w:rPr>
          <w:sz w:val="20"/>
          <w:szCs w:val="20"/>
          <w:color w:val="auto"/>
        </w:rPr>
      </w:pPr>
    </w:p>
    <w:p>
      <w:pPr>
        <w:jc w:val="both"/>
        <w:ind w:left="1300" w:right="20" w:firstLine="652"/>
        <w:spacing w:after="0" w:line="222" w:lineRule="auto"/>
        <w:tabs>
          <w:tab w:leader="none" w:pos="25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reflected as a return of capital with respect to such Investment for purposes of determining the amount of such Investment (pursuant to the definition thereof), the proceeds received (or deemed to be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sum of (A) the amount of any Investment made by the Borrower or any Restricted Subsidiary in any Unrestricted Subsidiary or any other Person (other than the Borrower or any Restricted Subsidiary) that has been re-designated as or has become, as applicable, a Restricted Subsidiary or has been merged, consolidated or amalgamated with or into, or is liquidated, wound up or dissolved into, the Borrower or any Restricted Subsidiary and (B) an amount equal to the fair market value (as determined by the Borrower in good faith) of the assets (including cash or Cash Equivalents) of any Unrestricted Subsidiary or any other Person (other than the Borrower or any Restricted Subsidiary) that have been distributed, conveyed or otherwise transferred to the Borrower or any Restricted Subsidiary, in each case, during the period from and including the day immediately following the Closing Date through and including such time, in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to the extent the original Investment in such Person was made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5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included in the CNI Growth Amount, the aggregate amount of any Cash dividend or other Cash distribution received (or deemed received) by the Borrower or any Restricted Subsidiary from any Unrestricted Subsidiary after the Closing Date (up to the original amount of the Investment permitted in reliance on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Declined Proceeds;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fair market value of any First Lien Debt and/or Junior Lien Debt that has been contributed to the Borrower and/or any of its Restricted Subsidiaries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(or any comparable provision under any definitive documentation governing such First Lien Debt or Junior Lien Debt, as applicable);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1300" w:right="20" w:firstLine="652"/>
        <w:spacing w:after="0"/>
        <w:tabs>
          <w:tab w:leader="none" w:pos="258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face amount of any Indebtedness of the Borrower and/or any Restricted Subsidiary that is cancelled, released or otherwise terminated by virtue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3" w:name="page124"/>
    <w:bookmarkEnd w:id="123"/>
    <w:p>
      <w:pPr>
        <w:ind w:left="1300" w:right="20"/>
        <w:spacing w:after="0"/>
        <w:rPr>
          <w:sz w:val="20"/>
          <w:szCs w:val="20"/>
          <w:color w:val="auto"/>
        </w:rPr>
      </w:pPr>
      <w:r>
        <w:rPr>
          <w:rFonts w:ascii="Times New Roman" w:cs="Times New Roman" w:eastAsia="Times New Roman" w:hAnsi="Times New Roman"/>
          <w:sz w:val="20"/>
          <w:szCs w:val="20"/>
          <w:color w:val="auto"/>
        </w:rPr>
        <w:t xml:space="preserve">the incurrence or assumption by any Unrestricted Subsidiary of any such Indebtedness, including by way of an “exchange” or similar transaction; </w:t>
      </w:r>
      <w:r>
        <w:rPr>
          <w:rFonts w:ascii="Times New Roman" w:cs="Times New Roman" w:eastAsia="Times New Roman" w:hAnsi="Times New Roman"/>
          <w:sz w:val="20"/>
          <w:szCs w:val="20"/>
          <w:u w:val="single" w:color="auto"/>
          <w:color w:val="auto"/>
        </w:rPr>
        <w:t>plus</w:t>
      </w:r>
    </w:p>
    <w:p>
      <w:pPr>
        <w:spacing w:after="0" w:line="148" w:lineRule="exact"/>
        <w:rPr>
          <w:sz w:val="20"/>
          <w:szCs w:val="20"/>
          <w:color w:val="auto"/>
        </w:rPr>
      </w:pPr>
    </w:p>
    <w:p>
      <w:pPr>
        <w:jc w:val="both"/>
        <w:ind w:left="1300" w:firstLine="652"/>
        <w:spacing w:after="0" w:line="220" w:lineRule="auto"/>
        <w:tabs>
          <w:tab w:leader="none" w:pos="25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value of any transaction consideration in any Permitted Acquisition or other Investment attributable in the good faith determination of the Borrower to the Qualified Capital Stock of the Borrower or its applicable Parent Company issued in connection with such Permitted Acquisition or other Investment that is Not Otherwise Applied up to the fair market value (as determined by the Borrower in good faith) of the assets acquired by the Borrower and its Restricted Subsidiaries as a result of such Permitted Acquisition or other Investment; </w:t>
      </w:r>
      <w:r>
        <w:rPr>
          <w:rFonts w:ascii="Times New Roman" w:cs="Times New Roman" w:eastAsia="Times New Roman" w:hAnsi="Times New Roman"/>
          <w:sz w:val="20"/>
          <w:szCs w:val="20"/>
          <w:u w:val="single" w:color="auto"/>
          <w:color w:val="auto"/>
        </w:rPr>
        <w:t>minus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sum of (i) Restricted Payments made pursuant to </w:t>
      </w:r>
      <w:r>
        <w:rPr>
          <w:rFonts w:ascii="Times New Roman" w:cs="Times New Roman" w:eastAsia="Times New Roman" w:hAnsi="Times New Roman"/>
          <w:sz w:val="20"/>
          <w:szCs w:val="20"/>
          <w:u w:val="single" w:color="auto"/>
          <w:color w:val="auto"/>
        </w:rPr>
        <w:t>Section 6.04(a)(iii)(A)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Restricted Debt Payments made pursuant to </w:t>
      </w:r>
      <w:r>
        <w:rPr>
          <w:rFonts w:ascii="Times New Roman" w:cs="Times New Roman" w:eastAsia="Times New Roman" w:hAnsi="Times New Roman"/>
          <w:sz w:val="20"/>
          <w:szCs w:val="20"/>
          <w:u w:val="single" w:color="auto"/>
          <w:color w:val="auto"/>
        </w:rPr>
        <w:t>Section 6.04(b)(vi)(A)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Investments made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in each case, after the Closing Date and prior to such time or contemporaneously therewith.</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Excluded Contribution Amount</w:t>
      </w:r>
      <w:r>
        <w:rPr>
          <w:rFonts w:ascii="Times New Roman" w:cs="Times New Roman" w:eastAsia="Times New Roman" w:hAnsi="Times New Roman"/>
          <w:sz w:val="20"/>
          <w:szCs w:val="20"/>
          <w:color w:val="auto"/>
        </w:rPr>
        <w:t>” means the aggregate amount of Cash or Cash Equivalents or the fair market value of other assets (as determined by the Borrower in good faith, but excluding any Cure Amount) received (or deemed received) by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any of its Restricted Subsidiaries after the Closing Date from:</w:t>
      </w:r>
    </w:p>
    <w:p>
      <w:pPr>
        <w:spacing w:after="0" w:line="167" w:lineRule="exact"/>
        <w:rPr>
          <w:sz w:val="20"/>
          <w:szCs w:val="20"/>
          <w:color w:val="auto"/>
        </w:rPr>
      </w:pPr>
    </w:p>
    <w:p>
      <w:pPr>
        <w:ind w:left="660" w:firstLine="644"/>
        <w:spacing w:after="0" w:line="233" w:lineRule="auto"/>
        <w:tabs>
          <w:tab w:leader="none" w:pos="194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(or deemed contributions) of assets (including cash) in respect of Qualified Capital Stock of the Borrower (other than any amount received from any Restricted Subsidiary) that are Not Otherwise Applied;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issuance of Qualified Capital Stock of the Borrower that are Not Otherwise Applied (other than (x) to any Restricted Subsidiary,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20"/>
          <w:szCs w:val="20"/>
          <w:u w:val="single" w:color="auto"/>
          <w:color w:val="auto"/>
        </w:rPr>
        <w:t>Section 6.06(h)(ii)</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 each case, designated by the Borrower as an Available Excluded Contribution Amount on or promptly after the date on which the relevant capital contribution is made (or deemed to be made) or the relevant proceeds are received (or deemed to be received), as the case may be, and</w:t>
      </w:r>
    </w:p>
    <w:p>
      <w:pPr>
        <w:spacing w:after="0"/>
        <w:rPr>
          <w:sz w:val="20"/>
          <w:szCs w:val="20"/>
          <w:color w:val="auto"/>
        </w:rPr>
      </w:pPr>
      <w:r>
        <w:rPr>
          <w:rFonts w:ascii="Times New Roman" w:cs="Times New Roman" w:eastAsia="Times New Roman" w:hAnsi="Times New Roman"/>
          <w:sz w:val="20"/>
          <w:szCs w:val="20"/>
          <w:color w:val="auto"/>
        </w:rPr>
        <w:t>which are excluded from the calculation of the Available Amount.</w:t>
      </w:r>
    </w:p>
    <w:p>
      <w:pPr>
        <w:spacing w:after="0" w:line="5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0000FF"/>
        </w:rPr>
        <w:t>“Available Tenor” means, as of any date of determination and with respect to the then-current Benchmark, as applicable, (a) if such Benchmark is a term rate, any tenor for such Benchmark (or component thereof) that is or may be used for determining the length of an</w:t>
      </w:r>
    </w:p>
    <w:p>
      <w:pPr>
        <w:spacing w:after="0" w:line="224" w:lineRule="auto"/>
        <w:rPr>
          <w:sz w:val="20"/>
          <w:szCs w:val="20"/>
          <w:color w:val="auto"/>
        </w:rPr>
      </w:pPr>
      <w:r>
        <w:rPr>
          <w:rFonts w:ascii="Times New Roman" w:cs="Times New Roman" w:eastAsia="Times New Roman" w:hAnsi="Times New Roman"/>
          <w:sz w:val="19"/>
          <w:szCs w:val="19"/>
          <w:u w:val="single" w:color="auto"/>
          <w:color w:val="0000FF"/>
        </w:rPr>
        <w:t>interest period pursuant to this Agreement or (b) otherwise, any payment period for interest calculated with reference to such Benchmark (or</w:t>
      </w: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component thereof) that is or may be used for determining any frequency of making payments of interest calculated with reference to such Benchmark pursuant to this Agreement, in each case, as of such date and not including</w:t>
      </w:r>
      <w:r>
        <w:rPr>
          <w:rFonts w:ascii="Times New Roman" w:cs="Times New Roman" w:eastAsia="Times New Roman" w:hAnsi="Times New Roman"/>
          <w:sz w:val="20"/>
          <w:szCs w:val="20"/>
          <w:u w:val="single" w:color="auto"/>
          <w:color w:val="008000"/>
        </w:rPr>
        <w:t>, for the avoidance of doubt,</w:t>
      </w:r>
      <w:r>
        <w:rPr>
          <w:rFonts w:ascii="Times New Roman" w:cs="Times New Roman" w:eastAsia="Times New Roman" w:hAnsi="Times New Roman"/>
          <w:sz w:val="20"/>
          <w:szCs w:val="20"/>
          <w:u w:val="single" w:color="auto"/>
          <w:color w:val="0000FF"/>
        </w:rPr>
        <w:t xml:space="preserve"> any tenor for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Benchmark that is then-removed from the definition of “Interest Period” pursuant to Section 2.14(b).</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w:t>
      </w:r>
    </w:p>
    <w:p>
      <w:pPr>
        <w:spacing w:after="0" w:line="211" w:lineRule="auto"/>
        <w:rPr>
          <w:sz w:val="20"/>
          <w:szCs w:val="20"/>
          <w:color w:val="auto"/>
        </w:rPr>
      </w:pPr>
      <w:r>
        <w:rPr>
          <w:rFonts w:ascii="Times New Roman" w:cs="Times New Roman" w:eastAsia="Times New Roman" w:hAnsi="Times New Roman"/>
          <w:sz w:val="20"/>
          <w:szCs w:val="20"/>
          <w:color w:val="auto"/>
        </w:rPr>
        <w:t>the United Kingdom Banking Act 2009 (as amended from time to time) and any other law, regulation or rule applicable in the United</w:t>
      </w:r>
    </w:p>
    <w:p>
      <w:pPr>
        <w:ind w:right="20"/>
        <w:spacing w:after="0" w:line="221"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 (other than through liquidation, administration or other insolvency proceedings).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has the meaning assigned to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services: commercial credit cards, stored value cards, purchasing cards,</w:t>
      </w:r>
    </w:p>
    <w:p>
      <w:pPr>
        <w:spacing w:after="0" w:line="204" w:lineRule="auto"/>
        <w:rPr>
          <w:sz w:val="20"/>
          <w:szCs w:val="20"/>
          <w:color w:val="auto"/>
        </w:rPr>
      </w:pPr>
      <w:r>
        <w:rPr>
          <w:rFonts w:ascii="Times New Roman" w:cs="Times New Roman" w:eastAsia="Times New Roman" w:hAnsi="Times New Roman"/>
          <w:sz w:val="20"/>
          <w:szCs w:val="20"/>
          <w:color w:val="auto"/>
        </w:rPr>
        <w:t>treasury management services, netting services, overdraft protections, check drawing services, automated payment services (including depository, overdraft, controlled disbursement, ACH transactions, return items and interstate depository network services), employee credit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card programs, cash pooling services, supply chain and/or supplier financing services and any arrangement and/or service similar to any of the foregoing and/or otherwise in connection with Cash management and Deposit Accounts.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any Loan Party, whether absolute or contingent and however and whenever created, arising, evidenced or acquired (including all renewals, extensions and modifications thereof and substitutions therefor),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any arrangement in connection with Banking Services that is in effect on the Closing Date or entered into at any time on or after the Closing Date between any Loan Party and (a) a counterparty that is (or is an Affiliate of) the Administrative Agent, any Lender or any</w:t>
      </w:r>
    </w:p>
    <w:p>
      <w:pPr>
        <w:spacing w:after="0" w:line="211" w:lineRule="auto"/>
        <w:rPr>
          <w:sz w:val="20"/>
          <w:szCs w:val="20"/>
          <w:color w:val="auto"/>
        </w:rPr>
      </w:pPr>
      <w:r>
        <w:rPr>
          <w:rFonts w:ascii="Times New Roman" w:cs="Times New Roman" w:eastAsia="Times New Roman" w:hAnsi="Times New Roman"/>
          <w:sz w:val="20"/>
          <w:szCs w:val="20"/>
          <w:color w:val="auto"/>
        </w:rPr>
        <w:t>Arranger as of the Closing Date or at the time such arrangement is entered into and/or (b) any other Person, in each case of the Persons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that is designated in writing by the Borrower to the Administrative Agent as a provider of Banking Services Obligations for purposes of the Loan Documents, it being understood that each counterparty provider of Banking Services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Obligations shall be deemed (A) to appoint the Administrative Agent as its agent under the applicable Loan Documents and (B) to agree to be bound by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any applicable Intercreditor Agreement as if it were a Lender.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xml:space="preserve">” means Title 11 of the United States Code (11 USC § 101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it has been, or may be, amended, from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time.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u w:val="single" w:color="auto"/>
          <w:color w:val="0000FF"/>
        </w:rPr>
        <w:t>“Benchmark” means, initially, the Term SOFR Reference Rate; provided that if a Benchmark Transition Event has occurred with respect to the Term SOFR Reference Rate or the then-current Benchmark, then “Benchmark” means the applicable Benchmark Replacement</w:t>
      </w:r>
    </w:p>
    <w:p>
      <w:pPr>
        <w:spacing w:after="0"/>
        <w:rPr>
          <w:sz w:val="20"/>
          <w:szCs w:val="20"/>
          <w:color w:val="auto"/>
        </w:rPr>
      </w:pPr>
      <w:r>
        <w:rPr>
          <w:rFonts w:ascii="Times New Roman" w:cs="Times New Roman" w:eastAsia="Times New Roman" w:hAnsi="Times New Roman"/>
          <w:sz w:val="20"/>
          <w:szCs w:val="20"/>
          <w:u w:val="single" w:color="auto"/>
          <w:color w:val="0000FF"/>
        </w:rPr>
        <w:t>to the extent that such Benchmark Replacement has replaced such prior benchmark rate pursuant to Section 2.14(b).</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0000FF"/>
        </w:rPr>
        <w:t>“Benchmark Replacement” means, with respect to any Benchmark Transition Event, the first alternative set forth in the order below that can be determined by the Administrative Agent for the applicable Benchmark Replacement Date:</w:t>
      </w:r>
    </w:p>
    <w:p>
      <w:pPr>
        <w:spacing w:after="0" w:line="161" w:lineRule="exact"/>
        <w:rPr>
          <w:sz w:val="20"/>
          <w:szCs w:val="20"/>
          <w:color w:val="auto"/>
        </w:rPr>
      </w:pPr>
    </w:p>
    <w:p>
      <w:pPr>
        <w:ind w:left="1940" w:hanging="636"/>
        <w:spacing w:after="0"/>
        <w:tabs>
          <w:tab w:leader="none" w:pos="1940" w:val="left"/>
        </w:tabs>
        <w:numPr>
          <w:ilvl w:val="1"/>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Adjusted Daily Simple SOFR; or</w:t>
      </w:r>
    </w:p>
    <w:p>
      <w:pPr>
        <w:spacing w:after="0" w:line="175" w:lineRule="exact"/>
        <w:rPr>
          <w:rFonts w:ascii="Times New Roman" w:cs="Times New Roman" w:eastAsia="Times New Roman" w:hAnsi="Times New Roman"/>
          <w:sz w:val="20"/>
          <w:szCs w:val="20"/>
          <w:u w:val="single" w:color="auto"/>
          <w:color w:val="0000FF"/>
        </w:rPr>
      </w:pPr>
    </w:p>
    <w:p>
      <w:pPr>
        <w:jc w:val="both"/>
        <w:ind w:left="660" w:firstLine="644"/>
        <w:spacing w:after="0" w:line="224" w:lineRule="auto"/>
        <w:tabs>
          <w:tab w:leader="none" w:pos="1944" w:val="left"/>
        </w:tabs>
        <w:numPr>
          <w:ilvl w:val="1"/>
          <w:numId w:val="53"/>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w:t>
      </w:r>
    </w:p>
    <w:p>
      <w:pPr>
        <w:spacing w:after="0" w:line="2" w:lineRule="exact"/>
        <w:rPr>
          <w:rFonts w:ascii="Times New Roman" w:cs="Times New Roman" w:eastAsia="Times New Roman" w:hAnsi="Times New Roman"/>
          <w:sz w:val="19"/>
          <w:szCs w:val="19"/>
          <w:u w:val="single" w:color="auto"/>
          <w:color w:val="0000FF"/>
        </w:rPr>
      </w:pPr>
    </w:p>
    <w:p>
      <w:pPr>
        <w:ind w:left="940" w:hanging="284"/>
        <w:spacing w:after="0"/>
        <w:tabs>
          <w:tab w:leader="none" w:pos="940" w:val="left"/>
        </w:tabs>
        <w:numPr>
          <w:ilvl w:val="0"/>
          <w:numId w:val="5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related Benchmark Replacement Adjustment.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0000FF"/>
        </w:rPr>
        <w:t xml:space="preserve">If the Benchmark Replacement as determined pursuant to clause (a) or (b) above would be less than the Floor for any Class, such Benchmark Replacement for such Class </w:t>
      </w:r>
      <w:r>
        <w:rPr>
          <w:rFonts w:ascii="Times New Roman" w:cs="Times New Roman" w:eastAsia="Times New Roman" w:hAnsi="Times New Roman"/>
          <w:sz w:val="20"/>
          <w:szCs w:val="20"/>
          <w:u w:val="single" w:color="auto"/>
          <w:color w:val="008000"/>
        </w:rPr>
        <w:t>will be deemed to be</w:t>
      </w:r>
      <w:r>
        <w:rPr>
          <w:rFonts w:ascii="Times New Roman" w:cs="Times New Roman" w:eastAsia="Times New Roman" w:hAnsi="Times New Roman"/>
          <w:sz w:val="20"/>
          <w:szCs w:val="20"/>
          <w:u w:val="single" w:color="auto"/>
          <w:color w:val="0000FF"/>
        </w:rPr>
        <w:t xml:space="preserve"> the Floor for such Class for </w:t>
      </w:r>
      <w:r>
        <w:rPr>
          <w:rFonts w:ascii="Times New Roman" w:cs="Times New Roman" w:eastAsia="Times New Roman" w:hAnsi="Times New Roman"/>
          <w:sz w:val="20"/>
          <w:szCs w:val="20"/>
          <w:u w:val="single" w:color="auto"/>
          <w:color w:val="008000"/>
        </w:rPr>
        <w:t>purposes of this Agreement and the other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8000"/>
        </w:rPr>
        <w:t>Documents.</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u w:val="single" w:color="auto"/>
          <w:color w:val="0000FF"/>
        </w:rPr>
        <w:t>“Benchmark Replacement Adjustment” means, with respect to any replacement of the then-current Benchmark with an Unadjusted Benchmark Replacement, the spread adjustment, or method for calculating or determining such spread adjustment, (which may be a positive</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or negative value or zero) that has been selected by the Administrative Agent and the Borrower giving due consideration to (a) any selection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or recommendation of a spread adjustment, or method for calculating or determining such spread adjustment, for the replacement of such Benchmark with the applicable Unadjusted Benchmark Replacement by the Relevant Governmental Body or (b) any evolving or then-</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prevailing market convention for determining a spread adjustment, or method for calculating or determining such spread adjustment, for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replacement of such Benchmark with the applicable Unadjusted Benchmark Replacement for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5" w:name="page126"/>
    <w:bookmarkEnd w:id="125"/>
    <w:p>
      <w:pPr>
        <w:ind w:firstLine="648"/>
        <w:spacing w:after="0"/>
        <w:rPr>
          <w:sz w:val="20"/>
          <w:szCs w:val="20"/>
          <w:color w:val="auto"/>
        </w:rPr>
      </w:pPr>
      <w:r>
        <w:rPr>
          <w:rFonts w:ascii="Times New Roman" w:cs="Times New Roman" w:eastAsia="Times New Roman" w:hAnsi="Times New Roman"/>
          <w:sz w:val="20"/>
          <w:szCs w:val="20"/>
          <w:u w:val="single" w:color="auto"/>
          <w:color w:val="0000FF"/>
        </w:rPr>
        <w:t>“Benchmark Replacement Date” means, with respect to any Benchmark, the earlier to occur of the following events with respect to such then-current Benchmark:</w:t>
      </w:r>
    </w:p>
    <w:p>
      <w:pPr>
        <w:spacing w:after="0" w:line="148" w:lineRule="exact"/>
        <w:rPr>
          <w:sz w:val="20"/>
          <w:szCs w:val="20"/>
          <w:color w:val="auto"/>
        </w:rPr>
      </w:pPr>
    </w:p>
    <w:p>
      <w:pPr>
        <w:jc w:val="both"/>
        <w:ind w:left="660" w:firstLine="644"/>
        <w:spacing w:after="0" w:line="222" w:lineRule="auto"/>
        <w:tabs>
          <w:tab w:leader="none" w:pos="1946" w:val="left"/>
        </w:tabs>
        <w:numPr>
          <w:ilvl w:val="0"/>
          <w:numId w:val="5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w:t>
      </w:r>
    </w:p>
    <w:p>
      <w:pPr>
        <w:spacing w:after="0" w:line="161" w:lineRule="exact"/>
        <w:rPr>
          <w:rFonts w:ascii="Times New Roman" w:cs="Times New Roman" w:eastAsia="Times New Roman" w:hAnsi="Times New Roman"/>
          <w:sz w:val="20"/>
          <w:szCs w:val="20"/>
          <w:u w:val="single" w:color="auto"/>
          <w:color w:val="0000FF"/>
        </w:rPr>
      </w:pPr>
    </w:p>
    <w:p>
      <w:pPr>
        <w:jc w:val="both"/>
        <w:ind w:left="660" w:firstLine="644"/>
        <w:spacing w:after="0" w:line="220" w:lineRule="auto"/>
        <w:tabs>
          <w:tab w:leader="none" w:pos="1944" w:val="left"/>
        </w:tabs>
        <w:numPr>
          <w:ilvl w:val="0"/>
          <w:numId w:val="5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4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0000FF"/>
        </w:rPr>
        <w:t>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“Benchmark Transition Event” means the occurrence of one or more of the following events with respect to the then-current</w:t>
      </w:r>
    </w:p>
    <w:p>
      <w:pPr>
        <w:spacing w:after="0"/>
        <w:rPr>
          <w:sz w:val="20"/>
          <w:szCs w:val="20"/>
          <w:color w:val="auto"/>
        </w:rPr>
      </w:pPr>
      <w:r>
        <w:rPr>
          <w:rFonts w:ascii="Times New Roman" w:cs="Times New Roman" w:eastAsia="Times New Roman" w:hAnsi="Times New Roman"/>
          <w:sz w:val="20"/>
          <w:szCs w:val="20"/>
          <w:u w:val="single" w:color="auto"/>
          <w:color w:val="0000FF"/>
        </w:rPr>
        <w:t>Benchmark:</w:t>
      </w:r>
    </w:p>
    <w:p>
      <w:pPr>
        <w:spacing w:after="0" w:line="167" w:lineRule="exact"/>
        <w:rPr>
          <w:sz w:val="20"/>
          <w:szCs w:val="20"/>
          <w:color w:val="auto"/>
        </w:rPr>
      </w:pPr>
    </w:p>
    <w:p>
      <w:pPr>
        <w:jc w:val="both"/>
        <w:ind w:left="660" w:firstLine="644"/>
        <w:spacing w:after="0" w:line="217" w:lineRule="auto"/>
        <w:tabs>
          <w:tab w:leader="none" w:pos="1946" w:val="left"/>
        </w:tabs>
        <w:numPr>
          <w:ilvl w:val="0"/>
          <w:numId w:val="5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w:t>
      </w:r>
      <w:r>
        <w:rPr>
          <w:rFonts w:ascii="Times New Roman" w:cs="Times New Roman" w:eastAsia="Times New Roman" w:hAnsi="Times New Roman"/>
          <w:sz w:val="20"/>
          <w:szCs w:val="20"/>
          <w:u w:val="single" w:color="auto"/>
          <w:color w:val="008000"/>
        </w:rPr>
        <w:t>, at the time of such</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statement </w:t>
      </w:r>
      <w:r>
        <w:rPr>
          <w:rFonts w:ascii="Times New Roman" w:cs="Times New Roman" w:eastAsia="Times New Roman" w:hAnsi="Times New Roman"/>
          <w:sz w:val="20"/>
          <w:szCs w:val="20"/>
          <w:u w:val="single" w:color="auto"/>
          <w:color w:val="0000FF"/>
        </w:rPr>
        <w:t>or publication</w:t>
      </w:r>
      <w:r>
        <w:rPr>
          <w:rFonts w:ascii="Times New Roman" w:cs="Times New Roman" w:eastAsia="Times New Roman" w:hAnsi="Times New Roman"/>
          <w:sz w:val="20"/>
          <w:szCs w:val="20"/>
          <w:u w:val="single" w:color="auto"/>
          <w:color w:val="008000"/>
        </w:rPr>
        <w:t xml:space="preserve">, there is no successor administrator that </w:t>
      </w:r>
      <w:r>
        <w:rPr>
          <w:rFonts w:ascii="Times New Roman" w:cs="Times New Roman" w:eastAsia="Times New Roman" w:hAnsi="Times New Roman"/>
          <w:sz w:val="20"/>
          <w:szCs w:val="20"/>
          <w:u w:val="single" w:color="auto"/>
          <w:color w:val="0000FF"/>
        </w:rPr>
        <w:t>will continue to provide any Available Tenor of such Benchmark (or</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such component thereof);</w:t>
      </w:r>
    </w:p>
    <w:p>
      <w:pPr>
        <w:spacing w:after="0" w:line="161" w:lineRule="exact"/>
        <w:rPr>
          <w:rFonts w:ascii="Times New Roman" w:cs="Times New Roman" w:eastAsia="Times New Roman" w:hAnsi="Times New Roman"/>
          <w:sz w:val="20"/>
          <w:szCs w:val="20"/>
          <w:u w:val="single" w:color="auto"/>
          <w:color w:val="0000FF"/>
        </w:rPr>
      </w:pPr>
    </w:p>
    <w:p>
      <w:pPr>
        <w:jc w:val="both"/>
        <w:ind w:left="660" w:firstLine="644"/>
        <w:spacing w:after="0" w:line="213" w:lineRule="auto"/>
        <w:tabs>
          <w:tab w:leader="none" w:pos="1951" w:val="left"/>
        </w:tabs>
        <w:numPr>
          <w:ilvl w:val="0"/>
          <w:numId w:val="5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a public statement or publication of information by the regulatory supervisor for the administrator of such Benchmark (or the published component used in the calculation thereof), the Board, </w:t>
      </w:r>
      <w:r>
        <w:rPr>
          <w:rFonts w:ascii="Times New Roman" w:cs="Times New Roman" w:eastAsia="Times New Roman" w:hAnsi="Times New Roman"/>
          <w:sz w:val="20"/>
          <w:szCs w:val="20"/>
          <w:u w:val="single" w:color="auto"/>
          <w:color w:val="008000"/>
        </w:rPr>
        <w:t>the Federal Reserve Bank of New York,</w:t>
      </w:r>
      <w:r>
        <w:rPr>
          <w:rFonts w:ascii="Times New Roman" w:cs="Times New Roman" w:eastAsia="Times New Roman" w:hAnsi="Times New Roman"/>
          <w:sz w:val="20"/>
          <w:szCs w:val="20"/>
          <w:u w:val="single" w:color="auto"/>
          <w:color w:val="0000FF"/>
        </w:rPr>
        <w:t xml:space="preserv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2" w:lineRule="exact"/>
        <w:rPr>
          <w:rFonts w:ascii="Times New Roman" w:cs="Times New Roman" w:eastAsia="Times New Roman" w:hAnsi="Times New Roman"/>
          <w:sz w:val="20"/>
          <w:szCs w:val="20"/>
          <w:u w:val="single" w:color="auto"/>
          <w:color w:val="0000FF"/>
        </w:rPr>
      </w:pPr>
    </w:p>
    <w:p>
      <w:pPr>
        <w:jc w:val="both"/>
        <w:ind w:left="660" w:firstLine="644"/>
        <w:spacing w:after="0" w:line="226" w:lineRule="auto"/>
        <w:tabs>
          <w:tab w:leader="none" w:pos="1944" w:val="left"/>
        </w:tabs>
        <w:numPr>
          <w:ilvl w:val="0"/>
          <w:numId w:val="5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For the avoidance of doubt, a “Benchmark Transition Event” will be deemed to have occurred with respect to any Benchmark if a</w:t>
      </w: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public statement or publication of information set forth above has occurred with respect to each then-current Available Tenor of such Benchmark (or the published component used in the calculation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“Benchmark Unavailability Period</w:t>
      </w:r>
      <w:r>
        <w:rPr>
          <w:rFonts w:ascii="Times New Roman" w:cs="Times New Roman" w:eastAsia="Times New Roman" w:hAnsi="Times New Roman"/>
          <w:sz w:val="20"/>
          <w:szCs w:val="20"/>
          <w:u w:val="single" w:color="auto"/>
          <w:color w:val="008000"/>
        </w:rPr>
        <w:t>” means, with respect to any</w:t>
      </w:r>
      <w:r>
        <w:rPr>
          <w:rFonts w:ascii="Times New Roman" w:cs="Times New Roman" w:eastAsia="Times New Roman" w:hAnsi="Times New Roman"/>
          <w:sz w:val="20"/>
          <w:szCs w:val="20"/>
          <w:u w:val="single" w:color="auto"/>
          <w:color w:val="0000FF"/>
        </w:rPr>
        <w:t xml:space="preserve"> Benchmark, the period (if any) (a) beginning at the time that a</w:t>
      </w: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Benchmark Replacement Date has occurred if, at such time, no Benchmark Replacement has replaced the then-current Benchmark for all purposes hereunder and under any Loan Document in accordance with Section 2.14(b) and (b) ending at the time that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26" w:name="page127"/>
    <w:bookmarkEnd w:id="126"/>
    <w:p>
      <w:pPr>
        <w:jc w:val="both"/>
        <w:spacing w:after="0"/>
        <w:rPr>
          <w:sz w:val="20"/>
          <w:szCs w:val="20"/>
          <w:color w:val="auto"/>
        </w:rPr>
      </w:pPr>
      <w:r>
        <w:rPr>
          <w:rFonts w:ascii="Times New Roman" w:cs="Times New Roman" w:eastAsia="Times New Roman" w:hAnsi="Times New Roman"/>
          <w:sz w:val="20"/>
          <w:szCs w:val="20"/>
          <w:u w:val="single" w:color="auto"/>
          <w:color w:val="0000FF"/>
        </w:rPr>
        <w:t>Replacement has replaced the then-current Benchmark for all purposes hereunder and under any other Loan Document in accordance with Section 2.14(b).</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US.</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such term in the preamble to this Agreement and shall, for the avoidance of doubt, include any Successor Borrower.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any Loans of the same Type and Class made, converted or continued on the same date and, in the case of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as to which a single Interest Period is in effect.</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substantially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that is reasonably acceptable to the Administrative Agent and the Borrower, including</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any form on an electronic platform or electronic transmission system as shall be approved by the Administrative Agent and the Borrower, in each case, appropriately completed and signed by a Responsible Officer of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used in connection with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the term</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“Business Day” shall also exclude any day </w:t>
      </w:r>
      <w:r>
        <w:rPr>
          <w:rFonts w:ascii="Times New Roman" w:cs="Times New Roman" w:eastAsia="Times New Roman" w:hAnsi="Times New Roman"/>
          <w:sz w:val="20"/>
          <w:szCs w:val="20"/>
          <w:color w:val="FF0000"/>
          <w:strike w:val="1"/>
        </w:rPr>
        <w:t>on which banks are not open for dealings in Dollar deposits in the London interbank market</w:t>
      </w:r>
      <w:r>
        <w:rPr>
          <w:rFonts w:ascii="Times New Roman" w:cs="Times New Roman" w:eastAsia="Times New Roman" w:hAnsi="Times New Roman"/>
          <w:sz w:val="20"/>
          <w:szCs w:val="20"/>
          <w:u w:val="single" w:color="auto"/>
          <w:color w:val="0000FF"/>
        </w:rPr>
        <w:t>that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not a U.S. Government Securities Business Day</w:t>
      </w:r>
      <w:r>
        <w:rPr>
          <w:rFonts w:ascii="Times New Roman" w:cs="Times New Roman" w:eastAsia="Times New Roman" w:hAnsi="Times New Roman"/>
          <w:sz w:val="20"/>
          <w:szCs w:val="20"/>
          <w:color w:val="000000"/>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Optimization Initiative</w:t>
      </w:r>
      <w:r>
        <w:rPr>
          <w:rFonts w:ascii="Times New Roman" w:cs="Times New Roman" w:eastAsia="Times New Roman" w:hAnsi="Times New Roman"/>
          <w:sz w:val="20"/>
          <w:szCs w:val="20"/>
          <w:color w:val="auto"/>
        </w:rPr>
        <w:t>” has the meaning assigned to such term in the definition of “Consolidated Adjusted EBITDA”.</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the Borrower and its Restricted Subsidiaries for any period, the aggregate amount, without duplication, of all expenditures (whether paid in cash or accrued as liabilities and including in all events all amounts expended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capitalized under Capital Leases) that would, in accordance with GAAP, are, or are required to be included as, capital expenditures on the consolidated statement of cash flows of the Borrower and its Restricted Subsidiaries for such period.</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w:t>
      </w:r>
      <w:r>
        <w:rPr>
          <w:rFonts w:ascii="Times New Roman" w:cs="Times New Roman" w:eastAsia="Times New Roman" w:hAnsi="Times New Roman"/>
          <w:sz w:val="19"/>
          <w:szCs w:val="19"/>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avoidance of doubt, the amount of obligations attributable to any Capital Lease shall be the amount thereof accounted for as a liability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any and all shares, interests, participations, preferred equity certificates, convertible preferred equity</w:t>
      </w:r>
    </w:p>
    <w:p>
      <w:pPr>
        <w:jc w:val="both"/>
        <w:spacing w:after="0" w:line="221" w:lineRule="auto"/>
        <w:rPr>
          <w:sz w:val="20"/>
          <w:szCs w:val="20"/>
          <w:color w:val="auto"/>
        </w:rPr>
      </w:pPr>
      <w:r>
        <w:rPr>
          <w:rFonts w:ascii="Times New Roman" w:cs="Times New Roman" w:eastAsia="Times New Roman" w:hAnsi="Times New Roman"/>
          <w:sz w:val="20"/>
          <w:szCs w:val="20"/>
          <w:color w:val="auto"/>
        </w:rPr>
        <w:t>certificates or other equivalents (however designated) of capital stock of a corporation, any and all equivalent ownership interests in a Person (other than a corporation),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partnership interests and membership interests, and any and all warrants, rights or options to purchase or other arrangements or rights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acquire any of the foregoing, but excluding for the avoidance of doubt any Indebtedness convertible into or exchangeable for any of the foregoing.</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any Restricted Subsidiary of the Borrower that is subject to regulation as an insurance company (or any Restricted Subsidiary thereof).</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a credit balance in any Deposit Account, in each case determined in accordance with GAAP.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as at any date of determination, (a) readily marketable securities (i) issued or directly and unconditionally</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guaranteed or insured as to interest and principal by the </w:t>
      </w:r>
      <w:r>
        <w:rPr>
          <w:rFonts w:ascii="Times New Roman" w:cs="Times New Roman" w:eastAsia="Times New Roman" w:hAnsi="Times New Roman"/>
          <w:sz w:val="19"/>
          <w:szCs w:val="19"/>
          <w:color w:val="FF0000"/>
          <w:strike w:val="1"/>
        </w:rPr>
        <w:t>US</w:t>
      </w:r>
      <w:r>
        <w:rPr>
          <w:rFonts w:ascii="Times New Roman" w:cs="Times New Roman" w:eastAsia="Times New Roman" w:hAnsi="Times New Roman"/>
          <w:sz w:val="19"/>
          <w:szCs w:val="19"/>
          <w:u w:val="single" w:color="auto"/>
          <w:color w:val="0000FF"/>
        </w:rPr>
        <w:t>U.S.</w:t>
      </w:r>
      <w:r>
        <w:rPr>
          <w:rFonts w:ascii="Times New Roman" w:cs="Times New Roman" w:eastAsia="Times New Roman" w:hAnsi="Times New Roman"/>
          <w:sz w:val="19"/>
          <w:szCs w:val="19"/>
          <w:color w:val="auto"/>
        </w:rPr>
        <w:t xml:space="preserve"> government or (ii) issued by any agency or instrumentality of the US the obligations of which are backed by the full faith and credit of the US, in each case maturing within one year after such date and, in each case,</w:t>
      </w:r>
    </w:p>
    <w:p>
      <w:pPr>
        <w:spacing w:after="0" w:line="222" w:lineRule="auto"/>
        <w:rPr>
          <w:sz w:val="20"/>
          <w:szCs w:val="20"/>
          <w:color w:val="auto"/>
        </w:rPr>
      </w:pPr>
      <w:r>
        <w:rPr>
          <w:rFonts w:ascii="Times New Roman" w:cs="Times New Roman" w:eastAsia="Times New Roman" w:hAnsi="Times New Roman"/>
          <w:sz w:val="19"/>
          <w:szCs w:val="19"/>
          <w:color w:val="auto"/>
        </w:rPr>
        <w:t>repurchase agreements and reverse repurchase agreements relating thereto, (b) readily marketable direct obligations issued by any state of the</w:t>
      </w:r>
    </w:p>
    <w:p>
      <w:pPr>
        <w:spacing w:after="0" w:line="204" w:lineRule="auto"/>
        <w:rPr>
          <w:sz w:val="20"/>
          <w:szCs w:val="20"/>
          <w:color w:val="auto"/>
        </w:rPr>
      </w:pPr>
      <w:r>
        <w:rPr>
          <w:rFonts w:ascii="Times New Roman" w:cs="Times New Roman" w:eastAsia="Times New Roman" w:hAnsi="Times New Roman"/>
          <w:sz w:val="20"/>
          <w:szCs w:val="20"/>
          <w:color w:val="auto"/>
        </w:rPr>
        <w:t>US or any political subdivision of any such state or any public instrumentality thereof or by any foreign government, in each case maturing within one year after such date and having, at the time of the acquisition thereof, a rating of at least A-2 from S&amp;P or at least P-2 from</w:t>
      </w:r>
    </w:p>
    <w:p>
      <w:pPr>
        <w:spacing w:after="0" w:line="211" w:lineRule="auto"/>
        <w:rPr>
          <w:sz w:val="20"/>
          <w:szCs w:val="20"/>
          <w:color w:val="auto"/>
        </w:rPr>
      </w:pPr>
      <w:r>
        <w:rPr>
          <w:rFonts w:ascii="Times New Roman" w:cs="Times New Roman" w:eastAsia="Times New Roman" w:hAnsi="Times New Roman"/>
          <w:sz w:val="20"/>
          <w:szCs w:val="20"/>
          <w:color w:val="auto"/>
        </w:rPr>
        <w:t>Moody’s or at least “A” from Fitch (or, if at any time none of S&amp;P, Moody’s or Fitch rates such obligations, an equivalent rating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another nationally recognized statistical rating agency) and, in each case, repurchase agreements and reverse repurchase agreements relating thereto, (c) commercial paper maturing no more than one year from the date of creation thereof and having, at the time of the acquisition</w:t>
      </w:r>
    </w:p>
    <w:p>
      <w:pPr>
        <w:spacing w:after="0" w:line="223" w:lineRule="auto"/>
        <w:rPr>
          <w:sz w:val="20"/>
          <w:szCs w:val="20"/>
          <w:color w:val="auto"/>
        </w:rPr>
      </w:pPr>
      <w:r>
        <w:rPr>
          <w:rFonts w:ascii="Times New Roman" w:cs="Times New Roman" w:eastAsia="Times New Roman" w:hAnsi="Times New Roman"/>
          <w:sz w:val="19"/>
          <w:szCs w:val="19"/>
          <w:color w:val="auto"/>
        </w:rPr>
        <w:t>thereof, a rating of at least A-2 from S&amp;P, at least P-2 from Moody’s or at least “F2” from Fitch (or, if at any time none of S&amp;P, Moody’s or</w:t>
      </w:r>
    </w:p>
    <w:p>
      <w:pPr>
        <w:spacing w:after="0" w:line="204" w:lineRule="auto"/>
        <w:rPr>
          <w:sz w:val="20"/>
          <w:szCs w:val="20"/>
          <w:color w:val="auto"/>
        </w:rPr>
      </w:pPr>
      <w:r>
        <w:rPr>
          <w:rFonts w:ascii="Times New Roman" w:cs="Times New Roman" w:eastAsia="Times New Roman" w:hAnsi="Times New Roman"/>
          <w:sz w:val="20"/>
          <w:szCs w:val="20"/>
          <w:color w:val="auto"/>
        </w:rPr>
        <w:t>Fitch rates such obligations, an equivalent rating from another nationally recognized statistical rating agency), (d) deposits, money market deposits, time deposit accounts, certificates of deposit or bankers’ acceptances (or similar instruments) maturing within one year after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date and issued or accepted by any Lender or by any bank organized under, or authorized to operate as a bank under, the laws of the US, any state thereof or the District of Columbia or any political subdivision thereof or any foreign bank or its branches or agencies in each case</w:t>
      </w:r>
    </w:p>
    <w:p>
      <w:pPr>
        <w:spacing w:after="0" w:line="211" w:lineRule="auto"/>
        <w:rPr>
          <w:sz w:val="20"/>
          <w:szCs w:val="20"/>
          <w:color w:val="auto"/>
        </w:rPr>
      </w:pPr>
      <w:r>
        <w:rPr>
          <w:rFonts w:ascii="Times New Roman" w:cs="Times New Roman" w:eastAsia="Times New Roman" w:hAnsi="Times New Roman"/>
          <w:sz w:val="20"/>
          <w:szCs w:val="20"/>
          <w:color w:val="auto"/>
        </w:rPr>
        <w:t>organized under, or authorized to operate as bank under, the laws of any jurisdiction in which any subsidiary is organized or has operations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and that has capital and surplus of not less than $100,000,000 and, in each case, repurchase agreements and reverse repurchase agreements relating thereto, (e) securities with maturities of six months or less from the date of acquisition backed by standby letters of credit issued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commercial bank having capital and surplus of not less than $100,000,000, (f) shares of any investment fund that has (i) substantially all of its assets invested in the types of investments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above, (ii) net assets of not less than $250,000,000 and</w:t>
      </w:r>
    </w:p>
    <w:p>
      <w:pPr>
        <w:jc w:val="both"/>
        <w:ind w:firstLine="8"/>
        <w:spacing w:after="0" w:line="212" w:lineRule="auto"/>
        <w:tabs>
          <w:tab w:leader="none" w:pos="35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rating of at least A-2 from S&amp;P, at least P-2 from Moody’s or at least “A” from Fitch (or, if at any time either S&amp;P, Moody’s or Fitch are not rating such fund, an equivalent rating from another nationally recognized statistical rating agency) and (g) solely with respect to any Captive Insurance Subsidiary, any investment that such Captive Insurance Subsidiary is not prohibited to make in accordance with applicable law. “Cash Equivalents” shall also include (x) Investments of the type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in this paragraph.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Interest Expense Amount</w:t>
      </w:r>
      <w:r>
        <w:rPr>
          <w:rFonts w:ascii="Times New Roman" w:cs="Times New Roman" w:eastAsia="Times New Roman" w:hAnsi="Times New Roman"/>
          <w:sz w:val="20"/>
          <w:szCs w:val="20"/>
          <w:color w:val="auto"/>
        </w:rPr>
        <w:t>” has the meaning assigned to such term in the definition of “Consolidated Fixed Charges”.</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(a) the adoption of any law, treaty, rule or regulation after the Closing Date, (b) any change in any law, treaty, rule or regulation or in the interpretation or application thereof by any Governmental Authority after the Closing Date or (c)</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compliance by any Lender or any Issuing Bank (or, for purposes of </w:t>
      </w:r>
      <w:r>
        <w:rPr>
          <w:rFonts w:ascii="Times New Roman" w:cs="Times New Roman" w:eastAsia="Times New Roman" w:hAnsi="Times New Roman"/>
          <w:sz w:val="19"/>
          <w:szCs w:val="19"/>
          <w:u w:val="single" w:color="auto"/>
          <w:color w:val="auto"/>
        </w:rPr>
        <w:t>Section 2.15(b)</w:t>
      </w:r>
      <w:r>
        <w:rPr>
          <w:rFonts w:ascii="Times New Roman" w:cs="Times New Roman" w:eastAsia="Times New Roman" w:hAnsi="Times New Roman"/>
          <w:sz w:val="19"/>
          <w:szCs w:val="19"/>
          <w:color w:val="auto"/>
        </w:rPr>
        <w:t>, by any lending office of such Lender or such Issuing Bank or by such Lender’s or such Issuing Bank’s holding company, if any) with any request, guideline or directive (whether or not having the</w:t>
      </w:r>
    </w:p>
    <w:p>
      <w:pPr>
        <w:spacing w:after="0" w:line="211" w:lineRule="auto"/>
        <w:rPr>
          <w:sz w:val="20"/>
          <w:szCs w:val="20"/>
          <w:color w:val="auto"/>
        </w:rPr>
      </w:pPr>
      <w:r>
        <w:rPr>
          <w:rFonts w:ascii="Times New Roman" w:cs="Times New Roman" w:eastAsia="Times New Roman" w:hAnsi="Times New Roman"/>
          <w:sz w:val="20"/>
          <w:szCs w:val="20"/>
          <w:color w:val="auto"/>
        </w:rPr>
        <w:t>force of law) of any Governmental Authority made or issued after the Closing Date (other than any such request, guideline or directive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comply with any law, rule or regulation that was in effect on the Closing Date). For purposes of this definition and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 the Dodd-Frank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Wall Street Reform and Consumer Protection Act and all requests, rules, guidelines, requirements and directives thereunder or issued in</w:t>
      </w:r>
    </w:p>
    <w:p>
      <w:pPr>
        <w:spacing w:after="0" w:line="204" w:lineRule="auto"/>
        <w:rPr>
          <w:sz w:val="20"/>
          <w:szCs w:val="20"/>
          <w:color w:val="auto"/>
        </w:rPr>
      </w:pPr>
      <w:r>
        <w:rPr>
          <w:rFonts w:ascii="Times New Roman" w:cs="Times New Roman" w:eastAsia="Times New Roman" w:hAnsi="Times New Roman"/>
          <w:sz w:val="20"/>
          <w:szCs w:val="20"/>
          <w:color w:val="auto"/>
        </w:rPr>
        <w:t>connection therewith or in implementation thereof and (y) all requests, rules, guidelines, requirements or directives promulgated by the Bank for International Settlements, the Basel Committee on Banking Supervision (or any successor or similar authority) or US or foreign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regulatory authorities, in each case pursuant to Basel III, shall in each case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be deemed to be a Change in Law, regardless of the date enacted, adopted, issued or implemented.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jc w:val="both"/>
        <w:ind w:left="660" w:firstLine="644"/>
        <w:spacing w:after="0" w:line="224" w:lineRule="auto"/>
        <w:tabs>
          <w:tab w:leader="none" w:pos="194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Responsible Officer of the Borrower becomes aware of the acquisition of the beneficial ownership by any Person or group (as used in this definition,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 (iii) underwriters in connection with any offering of Capital Stock), of voting common stock representing more than the greater of (x) 35% of the total voting power of all of the outstanding voting common stock of the Parent and (y) the percentage of the total voting power of all of the outstanding voting common stock of the Parent owned, directly or indirectly, beneficially by the Permitted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provisions of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no “Change of Control” shall be deemed to have occurred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if the Permitted Holders have the right, by voting power, contract or otherwise, to elect or designate for election at least a majority of the board of directors of the Parent; and</w:t>
      </w:r>
    </w:p>
    <w:p>
      <w:pPr>
        <w:spacing w:after="0" w:line="161" w:lineRule="exact"/>
        <w:rPr>
          <w:rFonts w:ascii="Times New Roman" w:cs="Times New Roman" w:eastAsia="Times New Roman" w:hAnsi="Times New Roman"/>
          <w:sz w:val="19"/>
          <w:szCs w:val="19"/>
          <w:color w:val="auto"/>
        </w:rPr>
      </w:pPr>
    </w:p>
    <w:p>
      <w:pPr>
        <w:ind w:left="660" w:firstLine="644"/>
        <w:spacing w:after="0" w:line="233"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ceasing to control, directly or indirectly, 100% of the voting Capital Stock of the Borrower (other than as a result of a merger of the Borrower into the Parent or of the Parent into the Borrower).</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For purposes of this definition, (1) a Person or group shall not be deemed to beneficially own Capital Stock or voting power subject to a stock or asset purchase agreement, merger agreement or similar agreement (or voting or similar agreement related thereto) until the</w:t>
      </w:r>
    </w:p>
    <w:p>
      <w:pPr>
        <w:spacing w:after="0" w:line="224" w:lineRule="auto"/>
        <w:rPr>
          <w:sz w:val="20"/>
          <w:szCs w:val="20"/>
          <w:color w:val="auto"/>
        </w:rPr>
      </w:pPr>
      <w:r>
        <w:rPr>
          <w:rFonts w:ascii="Times New Roman" w:cs="Times New Roman" w:eastAsia="Times New Roman" w:hAnsi="Times New Roman"/>
          <w:sz w:val="19"/>
          <w:szCs w:val="19"/>
          <w:color w:val="auto"/>
        </w:rPr>
        <w:t>consummation of the acquisition of the Capital Stock or voting power pursuant to the transactions contemplated by such agreement, (2) if any</w:t>
      </w:r>
    </w:p>
    <w:p>
      <w:pPr>
        <w:spacing w:after="0" w:line="204" w:lineRule="auto"/>
        <w:rPr>
          <w:sz w:val="20"/>
          <w:szCs w:val="20"/>
          <w:color w:val="auto"/>
        </w:rPr>
      </w:pPr>
      <w:r>
        <w:rPr>
          <w:rFonts w:ascii="Times New Roman" w:cs="Times New Roman" w:eastAsia="Times New Roman" w:hAnsi="Times New Roman"/>
          <w:sz w:val="20"/>
          <w:szCs w:val="20"/>
          <w:color w:val="auto"/>
        </w:rPr>
        <w:t>group includes one or more Permitted Holders, the issued and outstanding Capital Stock of the relevant Person that is directly or indirectly owned by the Permitted Holders that are part of such group shall not be treated as being beneficially owned by such group or any other</w:t>
      </w:r>
    </w:p>
    <w:p>
      <w:pPr>
        <w:spacing w:after="0" w:line="211" w:lineRule="auto"/>
        <w:rPr>
          <w:sz w:val="20"/>
          <w:szCs w:val="20"/>
          <w:color w:val="auto"/>
        </w:rPr>
      </w:pPr>
      <w:r>
        <w:rPr>
          <w:rFonts w:ascii="Times New Roman" w:cs="Times New Roman" w:eastAsia="Times New Roman" w:hAnsi="Times New Roman"/>
          <w:sz w:val="20"/>
          <w:szCs w:val="20"/>
          <w:color w:val="auto"/>
        </w:rPr>
        <w:t>member of such group for purposes of this definition, (3) a Person or group will not be deemed to beneficially own the Capital Stock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another Person as a result of its ownership of the Capital Stock or other securities of such other Person’s parent company (or any related contractual right) unless it beneficially owns or controls 50% or more of the total voting power of the Capital Stock entitled to vote for the</w:t>
      </w:r>
    </w:p>
    <w:p>
      <w:pPr>
        <w:spacing w:after="0" w:line="211" w:lineRule="auto"/>
        <w:rPr>
          <w:sz w:val="20"/>
          <w:szCs w:val="20"/>
          <w:color w:val="auto"/>
        </w:rPr>
      </w:pPr>
      <w:r>
        <w:rPr>
          <w:rFonts w:ascii="Times New Roman" w:cs="Times New Roman" w:eastAsia="Times New Roman" w:hAnsi="Times New Roman"/>
          <w:sz w:val="20"/>
          <w:szCs w:val="20"/>
          <w:color w:val="auto"/>
        </w:rPr>
        <w:t>election of directors of such Person’s parent company having a majority of the aggregate votes on the board of directors (or equivalent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governing body) of such Person’s parent company and (4) it is understood and agreed that any transaction resulting in a Successor Borrower or Successor Holdings in accordance with the terms hereof shall not give rise to a Change of Control.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w:t>
      </w:r>
      <w:r>
        <w:rPr>
          <w:rFonts w:ascii="Times New Roman" w:cs="Times New Roman" w:eastAsia="Times New Roman" w:hAnsi="Times New Roman"/>
          <w:sz w:val="20"/>
          <w:szCs w:val="20"/>
          <w:color w:val="auto"/>
        </w:rPr>
        <w:t>” means any fee, charge, expense, cost, accrual, reserve or loss of any kind.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Charged Amounts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when used with respect to (a) any Loan or Borrowing, refers to whether such Loan, or the Loans comprising such Borrowing, are Initial Term Loans, Additional Term Loans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 xml:space="preserve">, Initial Revolving Loans, Additional Revolving Loans of any series established as a separate “Class”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 xml:space="preserve"> or Swingline Loans, (b) any Commitment, refers to whether such Commitment is an Initial Term Loan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Commitment, an Additional Term Loan Commitment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 xml:space="preserve">, an Initial Revolving Credit Commitment, an Additional Revolving Credit Commitment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 xml:space="preserve"> or a commitment to make Swingline Loans, (c)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Lender, refers to whether such Lender has a Loan or Commitment of a particular Class and (d) any Revolving Credit Exposure, refers to whether such Revolving Credit Exposure is attributable to a Revolving Credit Commitment of a particular Class.</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October 6, 2021, the date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were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has the meaning assigned to such term in the recitals to this Agreement.</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CNI Growth Amount</w:t>
      </w:r>
      <w:r>
        <w:rPr>
          <w:rFonts w:ascii="Times New Roman" w:cs="Times New Roman" w:eastAsia="Times New Roman" w:hAnsi="Times New Roman"/>
          <w:sz w:val="19"/>
          <w:szCs w:val="19"/>
          <w:color w:val="auto"/>
        </w:rPr>
        <w:t>” means, at any date of determination, for the period (treated as one accounting period) from the first day of the Fiscal Quarter of the Borrower during which the Closing Date occurs and ending with the last Fiscal Quarter of the Borrower included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most recently ended Test Period, an amount (which amount shall not be less than zero for any Fiscal Quarter) determined on a cumulative basis equal to 50% of Adjusted Consolidated Net Income for each such Fiscal Quarter included in such period (if Adjusted Consolidated Net</w:t>
      </w:r>
    </w:p>
    <w:p>
      <w:pPr>
        <w:spacing w:after="0"/>
        <w:rPr>
          <w:sz w:val="20"/>
          <w:szCs w:val="20"/>
          <w:color w:val="auto"/>
        </w:rPr>
      </w:pPr>
      <w:r>
        <w:rPr>
          <w:rFonts w:ascii="Times New Roman" w:cs="Times New Roman" w:eastAsia="Times New Roman" w:hAnsi="Times New Roman"/>
          <w:sz w:val="20"/>
          <w:szCs w:val="20"/>
          <w:color w:val="auto"/>
        </w:rPr>
        <w:t>Income for such Fiscal Quarter is positive).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any and all property of any Loan Party subject (or purported to be subject) to a Lien under any Collateral Document and any and all other property of any Loan Party, now existing or hereafter acquired, that is or becomes subject (or purported to be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subject) to a Lien pursuant to any Collateral Document to secure the Secured Obligations. For the avoidance of doubt, in no event shall “Collateral” include any Excluded Asset.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at any time, subject to (x) the applicable limitations set forth in this Agreement</w:t>
      </w:r>
    </w:p>
    <w:p>
      <w:pPr>
        <w:spacing w:after="0" w:line="197" w:lineRule="auto"/>
        <w:rPr>
          <w:sz w:val="20"/>
          <w:szCs w:val="20"/>
          <w:color w:val="auto"/>
        </w:rPr>
      </w:pPr>
      <w:r>
        <w:rPr>
          <w:rFonts w:ascii="Times New Roman" w:cs="Times New Roman" w:eastAsia="Times New Roman" w:hAnsi="Times New Roman"/>
          <w:sz w:val="20"/>
          <w:szCs w:val="20"/>
          <w:color w:val="auto"/>
        </w:rPr>
        <w:t>and/or any other Loan Document and the terms of any applicable Intercreditor Agreement and (y) the time periods (and extensions thereof)</w:t>
      </w:r>
    </w:p>
    <w:p>
      <w:pPr>
        <w:spacing w:after="0"/>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as applicable, the requirement that:</w:t>
      </w:r>
    </w:p>
    <w:p>
      <w:pPr>
        <w:spacing w:after="0" w:line="167" w:lineRule="exact"/>
        <w:rPr>
          <w:sz w:val="20"/>
          <w:szCs w:val="20"/>
          <w:color w:val="auto"/>
        </w:rPr>
      </w:pPr>
    </w:p>
    <w:p>
      <w:pPr>
        <w:jc w:val="both"/>
        <w:ind w:left="660" w:firstLine="644"/>
        <w:spacing w:after="0" w:line="215" w:lineRule="auto"/>
        <w:tabs>
          <w:tab w:leader="none" w:pos="194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the Administrative Agent shall have received (A) each Collateral Document and Loan Guaranty listed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 xml:space="preserve">, duly executed by each Loan Party party thereto, (B) a pledge of all of the Capital Stock (together, in the case of Capital Stock that is certificated, with undated stock or similar powers for each such certificate executed in blank by a Responsible Officer of the pledgor thereof) listed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to the Perfection Certificate, (C) each Material Debt Instrument listed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to the Perfection Certificate, endorsed (without recourse) in blank or accompanied by executed transfer form in blank by the pledgor thereof and (D) Uniform Commercial Code financing statements in appropriate form for filing in the jurisdiction of organization of each Loan Party; and</w:t>
      </w:r>
    </w:p>
    <w:p>
      <w:pPr>
        <w:spacing w:after="0" w:line="15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in the case of any Restricted Subsidiary that is required to become (or otherwise becomes) a Loan Party after the Closing Date the Administrative Agent shall have received: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 Joinder Agreement, (B) if the respective Restricted Subsidiary required to comply with the requirements set forth in this definition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owns registrations of or applications for US Patents, Trademarks and/or Copyrights that constitute Collateral, an Intellectual Property Security Agreement, (C) a completed Perfection Certificate, (D) Uniform Commercial Code financing statements in appropriate form for filing in such jurisdictions as the Administrative Agent may reasonably request and (E) an executed joinder to each applicable Intercreditor Agreement in substantially the form attached as an exhibit thereto or such other form to which the Administrative Agent may reasonably agree;</w:t>
      </w:r>
    </w:p>
    <w:p>
      <w:pPr>
        <w:spacing w:after="0" w:line="150" w:lineRule="exact"/>
        <w:rPr>
          <w:rFonts w:ascii="Times New Roman" w:cs="Times New Roman" w:eastAsia="Times New Roman" w:hAnsi="Times New Roman"/>
          <w:sz w:val="20"/>
          <w:szCs w:val="20"/>
          <w:color w:val="auto"/>
        </w:rPr>
      </w:pPr>
    </w:p>
    <w:p>
      <w:pPr>
        <w:jc w:val="both"/>
        <w:ind w:left="1300" w:right="20" w:firstLine="652"/>
        <w:spacing w:after="0" w:line="230" w:lineRule="auto"/>
        <w:tabs>
          <w:tab w:leader="none" w:pos="259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item of Collateral that such Restricted Subsidiary is required to deliver under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of the Security Agreement (which, for the avoidance of doubt, shall be delivered within the time periods set forth in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0" w:name="page131"/>
    <w:bookmarkEnd w:id="130"/>
    <w:p>
      <w:pPr>
        <w:jc w:val="both"/>
        <w:ind w:left="1300" w:firstLine="652"/>
        <w:spacing w:after="0" w:line="222" w:lineRule="auto"/>
        <w:tabs>
          <w:tab w:leader="none" w:pos="25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subsidiary that has been designated as a Discretionary Guarantor (A) with respect to any such subsidiary that is a Domestic Subsidiary, the documents described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above and (B) with respect to any such subsidiary that is a Foreign Subsidiary, (1) a Joinder Agreement and (2) such other documentation relating to such categories of assets (other than Excluded Assets) as the Borrower and Administrative Agent may reasonably agree;</w:t>
      </w:r>
    </w:p>
    <w:p>
      <w:pPr>
        <w:spacing w:after="0" w:line="162"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means, collectively, (a) the Security Agreement (and any supplement thereto delivered to the Administrative Agent), (b) each Intellectual Property Security Agreement, and (c) each of the other instruments and documents pursuant to which any Loan</w:t>
      </w:r>
    </w:p>
    <w:p>
      <w:pPr>
        <w:spacing w:after="0"/>
        <w:rPr>
          <w:sz w:val="20"/>
          <w:szCs w:val="20"/>
          <w:color w:val="auto"/>
        </w:rPr>
      </w:pPr>
      <w:r>
        <w:rPr>
          <w:rFonts w:ascii="Times New Roman" w:cs="Times New Roman" w:eastAsia="Times New Roman" w:hAnsi="Times New Roman"/>
          <w:sz w:val="20"/>
          <w:szCs w:val="20"/>
          <w:color w:val="auto"/>
        </w:rPr>
        <w:t>Party grants (or purports to grant) a Lien on any Collateral as security for payment of the Secured Obligations.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 Letter of Credit</w:t>
      </w:r>
      <w:r>
        <w:rPr>
          <w:rFonts w:ascii="Times New Roman" w:cs="Times New Roman" w:eastAsia="Times New Roman" w:hAnsi="Times New Roman"/>
          <w:sz w:val="19"/>
          <w:szCs w:val="19"/>
          <w:color w:val="auto"/>
        </w:rPr>
        <w:t>” means any letter of credit issued pursuant to this Agreement for the purpose of providing the primary payment mechanism in connection with the purchase of any materials, goods or services by the Borrower or any of its subsidiaries in the</w:t>
      </w:r>
    </w:p>
    <w:p>
      <w:pPr>
        <w:spacing w:after="0"/>
        <w:rPr>
          <w:sz w:val="20"/>
          <w:szCs w:val="20"/>
          <w:color w:val="auto"/>
        </w:rPr>
      </w:pPr>
      <w:r>
        <w:rPr>
          <w:rFonts w:ascii="Times New Roman" w:cs="Times New Roman" w:eastAsia="Times New Roman" w:hAnsi="Times New Roman"/>
          <w:sz w:val="20"/>
          <w:szCs w:val="20"/>
          <w:color w:val="auto"/>
        </w:rPr>
        <w:t>ordinary course of business of such Person.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 Tort Claim</w:t>
      </w:r>
      <w:r>
        <w:rPr>
          <w:rFonts w:ascii="Times New Roman" w:cs="Times New Roman" w:eastAsia="Times New Roman" w:hAnsi="Times New Roman"/>
          <w:sz w:val="20"/>
          <w:szCs w:val="20"/>
          <w:color w:val="auto"/>
        </w:rPr>
        <w:t>” has the meaning set forth in Article 9 of the UCC.</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such Lender’s Initial Term Loan Commitment, Initial Revolving Credit Commitment and any Additional Commitment, as applicable, in effect as of such time.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xml:space="preserve">” means, on any date (a) with respect to the Initial Revolving Credit Commitments, the applicable rate per annum set forth below based upon the Total Rent Adjusted Net Leverage Ratio;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first Adjustment Date following the</w:t>
      </w:r>
    </w:p>
    <w:p>
      <w:pPr>
        <w:spacing w:after="0" w:line="212" w:lineRule="auto"/>
        <w:rPr>
          <w:sz w:val="20"/>
          <w:szCs w:val="20"/>
          <w:color w:val="auto"/>
        </w:rPr>
      </w:pPr>
      <w:r>
        <w:rPr>
          <w:rFonts w:ascii="Times New Roman" w:cs="Times New Roman" w:eastAsia="Times New Roman" w:hAnsi="Times New Roman"/>
          <w:sz w:val="20"/>
          <w:szCs w:val="20"/>
          <w:color w:val="auto"/>
        </w:rPr>
        <w:t>completion of at least one full Fiscal Quarter ending after the Closing Date, “Commitment Fee Rate” shall be the applicable rate per annum</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set forth below in </w:t>
      </w:r>
      <w:r>
        <w:rPr>
          <w:rFonts w:ascii="Times New Roman" w:cs="Times New Roman" w:eastAsia="Times New Roman" w:hAnsi="Times New Roman"/>
          <w:sz w:val="20"/>
          <w:szCs w:val="20"/>
          <w:u w:val="single" w:color="auto"/>
          <w:color w:val="auto"/>
        </w:rPr>
        <w:t>Category 2</w:t>
      </w:r>
      <w:r>
        <w:rPr>
          <w:rFonts w:ascii="Times New Roman" w:cs="Times New Roman" w:eastAsia="Times New Roman" w:hAnsi="Times New Roman"/>
          <w:sz w:val="20"/>
          <w:szCs w:val="20"/>
          <w:color w:val="auto"/>
        </w:rPr>
        <w:t xml:space="preserve"> and (b) with respect to Additional Revolving Credit Commitments of any Class, the rate or rates per annum specified in the applicable Refinancing Amendment, Incremental Facility Amendment or Extension Amendment:</w:t>
      </w:r>
    </w:p>
    <w:p>
      <w:pPr>
        <w:spacing w:after="0" w:line="205" w:lineRule="exact"/>
        <w:rPr>
          <w:sz w:val="20"/>
          <w:szCs w:val="20"/>
          <w:color w:val="auto"/>
        </w:rPr>
      </w:pPr>
    </w:p>
    <w:tbl>
      <w:tblPr>
        <w:tblLayout w:type="fixed"/>
        <w:tblInd w:w="650" w:type="dxa"/>
        <w:tblCellMar>
          <w:top w:w="0" w:type="dxa"/>
          <w:left w:w="0" w:type="dxa"/>
          <w:bottom w:w="0" w:type="dxa"/>
          <w:right w:w="0" w:type="dxa"/>
        </w:tblCellMar>
      </w:tblPr>
      <w:tr>
        <w:trPr>
          <w:trHeight w:val="270"/>
        </w:trPr>
        <w:tc>
          <w:tcPr>
            <w:tcW w:w="80" w:type="dxa"/>
            <w:vAlign w:val="bottom"/>
            <w:tcBorders>
              <w:top w:val="single" w:sz="8" w:color="auto"/>
              <w:left w:val="single" w:sz="8" w:color="auto"/>
              <w:bottom w:val="single" w:sz="8" w:color="auto"/>
            </w:tcBorders>
            <w:shd w:val="clear" w:color="auto" w:fill="D9D9D9"/>
          </w:tcPr>
          <w:p>
            <w:pPr>
              <w:spacing w:after="0"/>
              <w:rPr>
                <w:sz w:val="23"/>
                <w:szCs w:val="23"/>
                <w:color w:val="auto"/>
              </w:rPr>
            </w:pPr>
          </w:p>
        </w:tc>
        <w:tc>
          <w:tcPr>
            <w:tcW w:w="6040" w:type="dxa"/>
            <w:vAlign w:val="bottom"/>
            <w:tcBorders>
              <w:top w:val="single" w:sz="8" w:color="auto"/>
              <w:bottom w:val="single" w:sz="8" w:color="auto"/>
              <w:right w:val="single" w:sz="8" w:color="auto"/>
            </w:tcBorders>
            <w:gridSpan w:val="3"/>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Total Rent Adjusted Net Leverage Ratio</w:t>
            </w:r>
          </w:p>
        </w:tc>
        <w:tc>
          <w:tcPr>
            <w:tcW w:w="540" w:type="dxa"/>
            <w:vAlign w:val="bottom"/>
            <w:tcBorders>
              <w:top w:val="single" w:sz="8" w:color="auto"/>
              <w:bottom w:val="single" w:sz="8" w:color="auto"/>
            </w:tcBorders>
            <w:shd w:val="clear" w:color="auto" w:fill="D9D9D9"/>
          </w:tcPr>
          <w:p>
            <w:pPr>
              <w:spacing w:after="0"/>
              <w:rPr>
                <w:sz w:val="23"/>
                <w:szCs w:val="23"/>
                <w:color w:val="auto"/>
              </w:rPr>
            </w:pPr>
          </w:p>
        </w:tc>
        <w:tc>
          <w:tcPr>
            <w:tcW w:w="236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Commitment Fee Rate</w:t>
            </w: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8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w w:val="97"/>
              </w:rPr>
              <w:t>Category 1</w:t>
            </w:r>
          </w:p>
        </w:tc>
        <w:tc>
          <w:tcPr>
            <w:tcW w:w="5160" w:type="dxa"/>
            <w:vAlign w:val="bottom"/>
            <w:tcBorders>
              <w:right w:val="single" w:sz="8" w:color="auto"/>
            </w:tcBorders>
            <w:gridSpan w:val="2"/>
          </w:tcPr>
          <w:p>
            <w:pPr>
              <w:spacing w:after="0"/>
              <w:rPr>
                <w:sz w:val="17"/>
                <w:szCs w:val="17"/>
                <w:color w:val="auto"/>
              </w:rPr>
            </w:pPr>
          </w:p>
        </w:tc>
        <w:tc>
          <w:tcPr>
            <w:tcW w:w="2340" w:type="dxa"/>
            <w:vAlign w:val="bottom"/>
            <w:gridSpan w:val="2"/>
            <w:vMerge w:val="restart"/>
          </w:tcPr>
          <w:p>
            <w:pPr>
              <w:jc w:val="center"/>
              <w:ind w:left="441"/>
              <w:spacing w:after="0"/>
              <w:rPr>
                <w:sz w:val="20"/>
                <w:szCs w:val="20"/>
                <w:color w:val="auto"/>
              </w:rPr>
            </w:pPr>
            <w:r>
              <w:rPr>
                <w:rFonts w:ascii="Times New Roman" w:cs="Times New Roman" w:eastAsia="Times New Roman" w:hAnsi="Times New Roman"/>
                <w:sz w:val="20"/>
                <w:szCs w:val="20"/>
                <w:color w:val="auto"/>
              </w:rPr>
              <w:t>0.50%</w:t>
            </w: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0" w:type="dxa"/>
            <w:vAlign w:val="bottom"/>
            <w:tcBorders>
              <w:left w:val="single" w:sz="8" w:color="auto"/>
            </w:tcBorders>
          </w:tcPr>
          <w:p>
            <w:pPr>
              <w:spacing w:after="0"/>
              <w:rPr>
                <w:sz w:val="24"/>
                <w:szCs w:val="24"/>
                <w:color w:val="auto"/>
              </w:rPr>
            </w:pPr>
          </w:p>
        </w:tc>
        <w:tc>
          <w:tcPr>
            <w:tcW w:w="604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Greater than 5.00 to 1.00</w:t>
            </w:r>
          </w:p>
        </w:tc>
        <w:tc>
          <w:tcPr>
            <w:tcW w:w="2340" w:type="dxa"/>
            <w:vAlign w:val="bottom"/>
            <w:gridSpan w:val="2"/>
            <w:vMerge w:val="continue"/>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8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w w:val="97"/>
              </w:rPr>
              <w:t>Category 2</w:t>
            </w:r>
          </w:p>
        </w:tc>
        <w:tc>
          <w:tcPr>
            <w:tcW w:w="5160" w:type="dxa"/>
            <w:vAlign w:val="bottom"/>
            <w:tcBorders>
              <w:right w:val="single" w:sz="8" w:color="auto"/>
            </w:tcBorders>
            <w:gridSpan w:val="2"/>
          </w:tcPr>
          <w:p>
            <w:pPr>
              <w:spacing w:after="0"/>
              <w:rPr>
                <w:sz w:val="17"/>
                <w:szCs w:val="17"/>
                <w:color w:val="auto"/>
              </w:rPr>
            </w:pPr>
          </w:p>
        </w:tc>
        <w:tc>
          <w:tcPr>
            <w:tcW w:w="2340" w:type="dxa"/>
            <w:vAlign w:val="bottom"/>
            <w:gridSpan w:val="2"/>
            <w:vMerge w:val="restart"/>
          </w:tcPr>
          <w:p>
            <w:pPr>
              <w:jc w:val="center"/>
              <w:ind w:left="441"/>
              <w:spacing w:after="0"/>
              <w:rPr>
                <w:sz w:val="20"/>
                <w:szCs w:val="20"/>
                <w:color w:val="auto"/>
              </w:rPr>
            </w:pPr>
            <w:r>
              <w:rPr>
                <w:rFonts w:ascii="Times New Roman" w:cs="Times New Roman" w:eastAsia="Times New Roman" w:hAnsi="Times New Roman"/>
                <w:sz w:val="20"/>
                <w:szCs w:val="20"/>
                <w:color w:val="auto"/>
                <w:w w:val="97"/>
              </w:rPr>
              <w:t>0.375%</w:t>
            </w: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0" w:type="dxa"/>
            <w:vAlign w:val="bottom"/>
            <w:tcBorders>
              <w:left w:val="single" w:sz="8" w:color="auto"/>
            </w:tcBorders>
          </w:tcPr>
          <w:p>
            <w:pPr>
              <w:spacing w:after="0"/>
              <w:rPr>
                <w:sz w:val="24"/>
                <w:szCs w:val="24"/>
                <w:color w:val="auto"/>
              </w:rPr>
            </w:pPr>
          </w:p>
        </w:tc>
        <w:tc>
          <w:tcPr>
            <w:tcW w:w="604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Greater than 4.00 to 1.00 but less than or equal to 5.00:1.00</w:t>
            </w:r>
          </w:p>
        </w:tc>
        <w:tc>
          <w:tcPr>
            <w:tcW w:w="2340" w:type="dxa"/>
            <w:vAlign w:val="bottom"/>
            <w:gridSpan w:val="2"/>
            <w:vMerge w:val="continue"/>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8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w w:val="97"/>
              </w:rPr>
              <w:t>Category 3</w:t>
            </w:r>
          </w:p>
        </w:tc>
        <w:tc>
          <w:tcPr>
            <w:tcW w:w="5160" w:type="dxa"/>
            <w:vAlign w:val="bottom"/>
            <w:tcBorders>
              <w:right w:val="single" w:sz="8" w:color="auto"/>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80" w:type="dxa"/>
            <w:vAlign w:val="bottom"/>
            <w:tcBorders>
              <w:left w:val="single" w:sz="8" w:color="auto"/>
              <w:bottom w:val="single" w:sz="8" w:color="auto"/>
            </w:tcBorders>
          </w:tcPr>
          <w:p>
            <w:pPr>
              <w:spacing w:after="0"/>
              <w:rPr>
                <w:sz w:val="24"/>
                <w:szCs w:val="24"/>
                <w:color w:val="auto"/>
              </w:rPr>
            </w:pPr>
          </w:p>
        </w:tc>
        <w:tc>
          <w:tcPr>
            <w:tcW w:w="6040" w:type="dxa"/>
            <w:vAlign w:val="bottom"/>
            <w:tcBorders>
              <w:bottom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Less than or equal to 4.00 to 1.00</w:t>
            </w:r>
          </w:p>
        </w:tc>
        <w:tc>
          <w:tcPr>
            <w:tcW w:w="2340" w:type="dxa"/>
            <w:vAlign w:val="bottom"/>
            <w:tcBorders>
              <w:bottom w:val="single" w:sz="8" w:color="auto"/>
            </w:tcBorders>
            <w:gridSpan w:val="2"/>
          </w:tcPr>
          <w:p>
            <w:pPr>
              <w:jc w:val="center"/>
              <w:ind w:left="441"/>
              <w:spacing w:after="0"/>
              <w:rPr>
                <w:sz w:val="20"/>
                <w:szCs w:val="20"/>
                <w:color w:val="auto"/>
              </w:rPr>
            </w:pPr>
            <w:r>
              <w:rPr>
                <w:rFonts w:ascii="Times New Roman" w:cs="Times New Roman" w:eastAsia="Times New Roman" w:hAnsi="Times New Roman"/>
                <w:sz w:val="20"/>
                <w:szCs w:val="20"/>
                <w:color w:val="auto"/>
              </w:rPr>
              <w:t>0.25%</w:t>
            </w:r>
          </w:p>
        </w:tc>
        <w:tc>
          <w:tcPr>
            <w:tcW w:w="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The Commitment Fee Rate with respect to the Initial Revolving Credit Commitment shall be adjusted quarterly on a prospective basis on each Adjustment Date based upon the Total Rent Adjusted Net Leverage Ratio in accordance with the table set forth above; </w:t>
      </w:r>
      <w:r>
        <w:rPr>
          <w:rFonts w:ascii="Times New Roman" w:cs="Times New Roman" w:eastAsia="Times New Roman" w:hAnsi="Times New Roman"/>
          <w:sz w:val="19"/>
          <w:szCs w:val="19"/>
          <w:u w:val="single" w:color="auto"/>
          <w:color w:val="auto"/>
        </w:rPr>
        <w:t>provided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that if financial statements are not delivered when required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at the election of the Required Revolving Lenders, the Commitment Fee Rate shall be the rate per annum set forth above in </w:t>
      </w:r>
      <w:r>
        <w:rPr>
          <w:rFonts w:ascii="Times New Roman" w:cs="Times New Roman" w:eastAsia="Times New Roman" w:hAnsi="Times New Roman"/>
          <w:sz w:val="20"/>
          <w:szCs w:val="20"/>
          <w:u w:val="single" w:color="auto"/>
          <w:color w:val="auto"/>
        </w:rPr>
        <w:t>Category 1</w:t>
      </w:r>
      <w:r>
        <w:rPr>
          <w:rFonts w:ascii="Times New Roman" w:cs="Times New Roman" w:eastAsia="Times New Roman" w:hAnsi="Times New Roman"/>
          <w:sz w:val="20"/>
          <w:szCs w:val="20"/>
          <w:color w:val="auto"/>
        </w:rPr>
        <w:t xml:space="preserve"> until such financial statements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delivered in compliance with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means the Schedule attached hereto as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Competitor</w:t>
      </w:r>
      <w:r>
        <w:rPr>
          <w:rFonts w:ascii="Times New Roman" w:cs="Times New Roman" w:eastAsia="Times New Roman" w:hAnsi="Times New Roman"/>
          <w:sz w:val="20"/>
          <w:szCs w:val="20"/>
          <w:color w:val="auto"/>
        </w:rPr>
        <w:t>” means any competitor of the Borrower and/or any of its subsidiaries.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 Debt Fund Affiliate</w:t>
      </w:r>
      <w:r>
        <w:rPr>
          <w:rFonts w:ascii="Times New Roman" w:cs="Times New Roman" w:eastAsia="Times New Roman" w:hAnsi="Times New Roman"/>
          <w:sz w:val="20"/>
          <w:szCs w:val="20"/>
          <w:color w:val="auto"/>
        </w:rPr>
        <w:t>” means, with respect to any Company Competitor or any Affiliate thereof, any debt fund, investment vehicle, regulated bank entity or unregulated lending entity (in each case, other than any Disqualified Lending Institution or any</w:t>
      </w:r>
    </w:p>
    <w:p>
      <w:pPr>
        <w:spacing w:after="0" w:line="212" w:lineRule="auto"/>
        <w:rPr>
          <w:sz w:val="20"/>
          <w:szCs w:val="20"/>
          <w:color w:val="auto"/>
        </w:rPr>
      </w:pPr>
      <w:r>
        <w:rPr>
          <w:rFonts w:ascii="Times New Roman" w:cs="Times New Roman" w:eastAsia="Times New Roman" w:hAnsi="Times New Roman"/>
          <w:sz w:val="20"/>
          <w:szCs w:val="20"/>
          <w:color w:val="auto"/>
        </w:rPr>
        <w:t>Excluded Party) that is (a) primarily engaged in making, purchasing, holding or otherwise investing in commercial loans and similar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extensions of credit in the ordinary course of business for financial investment purposes (but not with a view towards (i) owning the borrower or issuer of any such loan or similar extension of credit or (ii) investing in special or opportunistic situations) and (b) managed, sponsored or</w:t>
      </w:r>
    </w:p>
    <w:p>
      <w:pPr>
        <w:spacing w:after="0" w:line="222" w:lineRule="auto"/>
        <w:rPr>
          <w:sz w:val="20"/>
          <w:szCs w:val="20"/>
          <w:color w:val="auto"/>
        </w:rPr>
      </w:pPr>
      <w:r>
        <w:rPr>
          <w:rFonts w:ascii="Times New Roman" w:cs="Times New Roman" w:eastAsia="Times New Roman" w:hAnsi="Times New Roman"/>
          <w:sz w:val="19"/>
          <w:szCs w:val="19"/>
          <w:color w:val="auto"/>
        </w:rPr>
        <w:t>advised by any person that is controlling, controlled by or under common control with the relevant Company Competitor or Affiliate thereof,</w:t>
      </w:r>
    </w:p>
    <w:p>
      <w:pPr>
        <w:ind w:right="20"/>
        <w:spacing w:after="0" w:line="204" w:lineRule="auto"/>
        <w:rPr>
          <w:sz w:val="20"/>
          <w:szCs w:val="20"/>
          <w:color w:val="auto"/>
        </w:rPr>
      </w:pPr>
      <w:r>
        <w:rPr>
          <w:rFonts w:ascii="Times New Roman" w:cs="Times New Roman" w:eastAsia="Times New Roman" w:hAnsi="Times New Roman"/>
          <w:sz w:val="20"/>
          <w:szCs w:val="20"/>
          <w:color w:val="auto"/>
        </w:rPr>
        <w:t>but only to the extent that no personnel involved with the investment in the relevant Company Competitor or its Affiliates, or the management, control or operation thereof, (i) makes (or has the right to make or participate with others in making) investment decisions on</w:t>
      </w:r>
    </w:p>
    <w:p>
      <w:pPr>
        <w:spacing w:after="0" w:line="211" w:lineRule="auto"/>
        <w:rPr>
          <w:sz w:val="20"/>
          <w:szCs w:val="20"/>
          <w:color w:val="auto"/>
        </w:rPr>
      </w:pPr>
      <w:r>
        <w:rPr>
          <w:rFonts w:ascii="Times New Roman" w:cs="Times New Roman" w:eastAsia="Times New Roman" w:hAnsi="Times New Roman"/>
          <w:sz w:val="20"/>
          <w:szCs w:val="20"/>
          <w:color w:val="auto"/>
        </w:rPr>
        <w:t>behalf of, or otherwise cause the direction of the investment policies of, such debt fund, investment vehicle, regulated bank entity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unregulated entity or (ii) has access to any information (other than information that is publicly available) relating to the Borrower and/or any entity that forms part of its business (including any of its subsidiaries).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such other form to which the Borrower and the Administrative Agent may reasonably agree.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u w:val="single" w:color="auto"/>
          <w:color w:val="008000"/>
        </w:rPr>
        <w:t>Conforming Changes” means, with respect to</w:t>
      </w:r>
      <w:r>
        <w:rPr>
          <w:rFonts w:ascii="Times New Roman" w:cs="Times New Roman" w:eastAsia="Times New Roman" w:hAnsi="Times New Roman"/>
          <w:sz w:val="19"/>
          <w:szCs w:val="19"/>
          <w:u w:val="single" w:color="auto"/>
          <w:color w:val="0000FF"/>
        </w:rPr>
        <w:t xml:space="preserve"> either the use or administration of Term SOFR or the use, administration, adoption or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0000FF"/>
        </w:rPr>
        <w:t>implementation of any Benchmark Replacement, any technical, administrative or operational change (including any change to the definitions of “Alternate Base Rate”, “Business Day”, “U.S. Government Securities Business Day”, “Interest Period” or any similar or analogous</w:t>
      </w: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definition (or the addition of a concept of “interest period”)</w:t>
      </w:r>
      <w:r>
        <w:rPr>
          <w:rFonts w:ascii="Times New Roman" w:cs="Times New Roman" w:eastAsia="Times New Roman" w:hAnsi="Times New Roman"/>
          <w:sz w:val="20"/>
          <w:szCs w:val="20"/>
          <w:u w:val="single" w:color="auto"/>
          <w:color w:val="008000"/>
        </w:rPr>
        <w:t>, timing and frequency of determining rates and making payments of interest,</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timing of borrowing requests or prepayment, conversion or continuation notices</w:t>
      </w:r>
      <w:r>
        <w:rPr>
          <w:rFonts w:ascii="Times New Roman" w:cs="Times New Roman" w:eastAsia="Times New Roman" w:hAnsi="Times New Roman"/>
          <w:sz w:val="20"/>
          <w:szCs w:val="20"/>
          <w:u w:val="single" w:color="auto"/>
          <w:color w:val="0000FF"/>
        </w:rPr>
        <w:t>, the applicability</w:t>
      </w:r>
      <w:r>
        <w:rPr>
          <w:rFonts w:ascii="Times New Roman" w:cs="Times New Roman" w:eastAsia="Times New Roman" w:hAnsi="Times New Roman"/>
          <w:sz w:val="20"/>
          <w:szCs w:val="20"/>
          <w:u w:val="single" w:color="auto"/>
          <w:color w:val="008000"/>
        </w:rPr>
        <w:t xml:space="preserve"> and length of lookback periods</w:t>
      </w:r>
      <w:r>
        <w:rPr>
          <w:rFonts w:ascii="Times New Roman" w:cs="Times New Roman" w:eastAsia="Times New Roman" w:hAnsi="Times New Roman"/>
          <w:sz w:val="20"/>
          <w:szCs w:val="20"/>
          <w:u w:val="single" w:color="auto"/>
          <w:color w:val="0000FF"/>
        </w:rPr>
        <w:t>, the</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 xml:space="preserve">applicability of breakage provisions, </w:t>
      </w:r>
      <w:r>
        <w:rPr>
          <w:rFonts w:ascii="Times New Roman" w:cs="Times New Roman" w:eastAsia="Times New Roman" w:hAnsi="Times New Roman"/>
          <w:sz w:val="20"/>
          <w:szCs w:val="20"/>
          <w:u w:val="single" w:color="auto"/>
          <w:color w:val="008000"/>
        </w:rPr>
        <w:t>and other technical, administrative or operational matters</w:t>
      </w:r>
      <w:r>
        <w:rPr>
          <w:rFonts w:ascii="Times New Roman" w:cs="Times New Roman" w:eastAsia="Times New Roman" w:hAnsi="Times New Roman"/>
          <w:sz w:val="20"/>
          <w:szCs w:val="20"/>
          <w:u w:val="single" w:color="auto"/>
          <w:color w:val="0000FF"/>
        </w:rPr>
        <w:t>) that the Administrative Agent decides (</w:t>
      </w:r>
      <w:r>
        <w:rPr>
          <w:rFonts w:ascii="Times New Roman" w:cs="Times New Roman" w:eastAsia="Times New Roman" w:hAnsi="Times New Roman"/>
          <w:sz w:val="20"/>
          <w:szCs w:val="20"/>
          <w:u w:val="single" w:color="auto"/>
          <w:color w:val="008000"/>
        </w:rPr>
        <w:t>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008000"/>
        </w:rPr>
        <w:t>consultation with the Borrower</w:t>
      </w:r>
      <w:r>
        <w:rPr>
          <w:rFonts w:ascii="Times New Roman" w:cs="Times New Roman" w:eastAsia="Times New Roman" w:hAnsi="Times New Roman"/>
          <w:sz w:val="19"/>
          <w:szCs w:val="19"/>
          <w:u w:val="single" w:color="auto"/>
          <w:color w:val="0000FF"/>
        </w:rPr>
        <w:t>) may be appropriate</w:t>
      </w:r>
      <w:r>
        <w:rPr>
          <w:rFonts w:ascii="Times New Roman" w:cs="Times New Roman" w:eastAsia="Times New Roman" w:hAnsi="Times New Roman"/>
          <w:sz w:val="19"/>
          <w:szCs w:val="19"/>
          <w:u w:val="single" w:color="auto"/>
          <w:color w:val="008000"/>
        </w:rPr>
        <w:t xml:space="preserve"> to reflect the adoption and implementation of </w:t>
      </w:r>
      <w:r>
        <w:rPr>
          <w:rFonts w:ascii="Times New Roman" w:cs="Times New Roman" w:eastAsia="Times New Roman" w:hAnsi="Times New Roman"/>
          <w:sz w:val="19"/>
          <w:szCs w:val="19"/>
          <w:u w:val="single" w:color="auto"/>
          <w:color w:val="0000FF"/>
        </w:rPr>
        <w:t>any such rate or to permit the use and</w:t>
      </w:r>
      <w:r>
        <w:rPr>
          <w:rFonts w:ascii="Times New Roman" w:cs="Times New Roman" w:eastAsia="Times New Roman" w:hAnsi="Times New Roman"/>
          <w:sz w:val="19"/>
          <w:szCs w:val="19"/>
          <w:u w:val="single" w:color="auto"/>
          <w:color w:val="008000"/>
        </w:rPr>
        <w:t xml:space="preserve"> administration thereof by the Administrative Agent in a manner substantially consistent with market practice (or, if the Administrative Agent</w:t>
      </w:r>
    </w:p>
    <w:p>
      <w:pPr>
        <w:spacing w:after="0" w:line="222" w:lineRule="auto"/>
        <w:rPr>
          <w:sz w:val="20"/>
          <w:szCs w:val="20"/>
          <w:color w:val="auto"/>
        </w:rPr>
      </w:pPr>
      <w:r>
        <w:rPr>
          <w:rFonts w:ascii="Times New Roman" w:cs="Times New Roman" w:eastAsia="Times New Roman" w:hAnsi="Times New Roman"/>
          <w:sz w:val="19"/>
          <w:szCs w:val="19"/>
          <w:u w:val="single" w:color="auto"/>
          <w:color w:val="0000FF"/>
        </w:rPr>
        <w:t xml:space="preserve">decides that </w:t>
      </w:r>
      <w:r>
        <w:rPr>
          <w:rFonts w:ascii="Times New Roman" w:cs="Times New Roman" w:eastAsia="Times New Roman" w:hAnsi="Times New Roman"/>
          <w:sz w:val="19"/>
          <w:szCs w:val="19"/>
          <w:u w:val="single" w:color="auto"/>
          <w:color w:val="008000"/>
        </w:rPr>
        <w:t>adoption of any portion of such market practice is not administratively feasible or if the Administrative Agent determines that no</w:t>
      </w:r>
    </w:p>
    <w:p>
      <w:pPr>
        <w:spacing w:after="0" w:line="204" w:lineRule="auto"/>
        <w:rPr>
          <w:sz w:val="20"/>
          <w:szCs w:val="20"/>
          <w:color w:val="auto"/>
        </w:rPr>
      </w:pPr>
      <w:r>
        <w:rPr>
          <w:rFonts w:ascii="Times New Roman" w:cs="Times New Roman" w:eastAsia="Times New Roman" w:hAnsi="Times New Roman"/>
          <w:sz w:val="20"/>
          <w:szCs w:val="20"/>
          <w:u w:val="single" w:color="auto"/>
          <w:color w:val="008000"/>
        </w:rPr>
        <w:t xml:space="preserve">market practice for </w:t>
      </w:r>
      <w:r>
        <w:rPr>
          <w:rFonts w:ascii="Times New Roman" w:cs="Times New Roman" w:eastAsia="Times New Roman" w:hAnsi="Times New Roman"/>
          <w:sz w:val="20"/>
          <w:szCs w:val="20"/>
          <w:u w:val="single" w:color="auto"/>
          <w:color w:val="0000FF"/>
        </w:rPr>
        <w:t>the administration of any such rate</w:t>
      </w:r>
      <w:r>
        <w:rPr>
          <w:rFonts w:ascii="Times New Roman" w:cs="Times New Roman" w:eastAsia="Times New Roman" w:hAnsi="Times New Roman"/>
          <w:sz w:val="20"/>
          <w:szCs w:val="20"/>
          <w:u w:val="single" w:color="auto"/>
          <w:color w:val="008000"/>
        </w:rPr>
        <w:t xml:space="preserve"> exists, in such other manner of administration </w:t>
      </w:r>
      <w:r>
        <w:rPr>
          <w:rFonts w:ascii="Times New Roman" w:cs="Times New Roman" w:eastAsia="Times New Roman" w:hAnsi="Times New Roman"/>
          <w:sz w:val="20"/>
          <w:szCs w:val="20"/>
          <w:u w:val="single" w:color="auto"/>
          <w:color w:val="0000FF"/>
        </w:rPr>
        <w:t>as the Administrative Agent decides</w:t>
      </w:r>
      <w:r>
        <w:rPr>
          <w:rFonts w:ascii="Times New Roman" w:cs="Times New Roman" w:eastAsia="Times New Roman" w:hAnsi="Times New Roman"/>
          <w:sz w:val="20"/>
          <w:szCs w:val="20"/>
          <w:u w:val="single" w:color="auto"/>
          <w:color w:val="008000"/>
        </w:rPr>
        <w:t xml:space="preserve"> (in consultation with the Borrower) is reasonably necessary in connection with the administration of this Agreement and </w:t>
      </w:r>
      <w:r>
        <w:rPr>
          <w:rFonts w:ascii="Times New Roman" w:cs="Times New Roman" w:eastAsia="Times New Roman" w:hAnsi="Times New Roman"/>
          <w:sz w:val="20"/>
          <w:szCs w:val="20"/>
          <w:u w:val="single" w:color="auto"/>
          <w:color w:val="0000FF"/>
        </w:rPr>
        <w:t>the other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Documents).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means, with respect to any Person on a consolidated basis for any period, the sum of:</w:t>
      </w:r>
    </w:p>
    <w:p>
      <w:pPr>
        <w:spacing w:after="0" w:line="175" w:lineRule="exact"/>
        <w:rPr>
          <w:sz w:val="20"/>
          <w:szCs w:val="20"/>
          <w:color w:val="auto"/>
        </w:rPr>
      </w:pPr>
    </w:p>
    <w:p>
      <w:pPr>
        <w:ind w:left="1940" w:hanging="636"/>
        <w:spacing w:after="0"/>
        <w:tabs>
          <w:tab w:leader="none" w:pos="19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 the determination of Consolidated Net Income for such period, the amount of any proceeds of any business interruption insurance policy (whether or not then received so long as such Person in good faith expects to receive such proceeds);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those amounts which, in the determination of Consolidated Net Income for such period, have been deducted for:</w:t>
      </w:r>
    </w:p>
    <w:p>
      <w:pPr>
        <w:spacing w:after="0" w:line="14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2" w:name="page133"/>
    <w:bookmarkEnd w:id="132"/>
    <w:p>
      <w:pPr>
        <w:ind w:left="2600" w:hanging="648"/>
        <w:spacing w:after="0"/>
        <w:tabs>
          <w:tab w:leader="none" w:pos="260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paid in respect of, and any provision for, federal, state, local and foreign income Taxes;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0" w:lineRule="auto"/>
        <w:tabs>
          <w:tab w:leader="none" w:pos="258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all depreciation and amortization (including amortization of goodwill, software and other intangible assets), (B) all impairment Charges, including any bad debt expense, and (C) all asset write-offs and/or write-downs, including any amortization or write-off of (1) intangible assets and non-cash organization costs, (2) deferred financing and debt issuance fees, costs and expenses, (3) capitalized expenditures (including capitalized software expenditures), customer acquisition costs and incentive payments, (4) media development costs, conversion costs and contract acquisition costs,</w:t>
      </w:r>
    </w:p>
    <w:p>
      <w:pPr>
        <w:spacing w:after="0" w:line="1" w:lineRule="exact"/>
        <w:rPr>
          <w:rFonts w:ascii="Times New Roman" w:cs="Times New Roman" w:eastAsia="Times New Roman" w:hAnsi="Times New Roman"/>
          <w:sz w:val="20"/>
          <w:szCs w:val="20"/>
          <w:color w:val="auto"/>
        </w:rPr>
      </w:pPr>
    </w:p>
    <w:p>
      <w:pPr>
        <w:ind w:left="1300" w:firstLine="4"/>
        <w:spacing w:after="0" w:line="228" w:lineRule="auto"/>
        <w:tabs>
          <w:tab w:leader="none" w:pos="160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amortization of original issue discount resulting from the issuance or incurrence of Indebtedness at less than par and/or (6) the amortization of favorable or unfavorable lease assets or liabilities; </w:t>
      </w:r>
      <w:r>
        <w:rPr>
          <w:rFonts w:ascii="Times New Roman" w:cs="Times New Roman" w:eastAsia="Times New Roman" w:hAnsi="Times New Roman"/>
          <w:sz w:val="20"/>
          <w:szCs w:val="20"/>
          <w:u w:val="single" w:color="auto"/>
          <w:color w:val="auto"/>
        </w:rPr>
        <w:t>plus</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earn-out and/or contingent consideration obligation (including those accounted for as bonuses, compensation or otherwise) and any adjustment thereof incurred in connection with the Transactions and/or any acquisition and/or other Investment (whether or not consummated) which is paid or accrued during such period and, in each case, adjustments thereof;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 including the excess of GAAP rent expense over actual cash rent paid during such period due to the use of straight line rent for GAAP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in the current period, the cash payment in respect thereof in such future period shall be deducted from Consolidated Adjusted EBITDA to such extent in such future period); </w:t>
      </w:r>
      <w:r>
        <w:rPr>
          <w:rFonts w:ascii="Times New Roman" w:cs="Times New Roman" w:eastAsia="Times New Roman" w:hAnsi="Times New Roman"/>
          <w:sz w:val="20"/>
          <w:szCs w:val="20"/>
          <w:u w:val="single" w:color="auto"/>
          <w:color w:val="auto"/>
        </w:rPr>
        <w:t>plus</w:t>
      </w:r>
    </w:p>
    <w:p>
      <w:pPr>
        <w:spacing w:after="0" w:line="162"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r>
        <w:rPr>
          <w:rFonts w:ascii="Times New Roman" w:cs="Times New Roman" w:eastAsia="Times New Roman" w:hAnsi="Times New Roman"/>
          <w:sz w:val="20"/>
          <w:szCs w:val="20"/>
          <w:u w:val="single" w:color="auto"/>
          <w:color w:val="auto"/>
        </w:rPr>
        <w:t>plus</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Transaction Costs, (B) any non-recurring Charge incurred in connection with any transaction (in each case, whether or not consummated and whether or not permitted under this Agreement), including (1) any issuance and/or incurrence of Indebtedness (including any Charge that would constitute a Public Company Cost), and/or any issuance and/or offering of Capital Stock (including, in each case, by any Parent Company), any acquisition or other Investment,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and/or (2) equipment leases and/or equipment financings, (C) the amount of any non-recurring Charge that is actually reimbursed or reimbursable by any third party pursuant to any indemnification or reimbursement provision or similar agreement (including any purchase price adjustment) or 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respect of any Charge that is added back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relevant Person in good faith expects to receive reimbursement for such Charge and/or (D) non-recurring Public Company Costs; </w:t>
      </w:r>
      <w:r>
        <w:rPr>
          <w:rFonts w:ascii="Times New Roman" w:cs="Times New Roman" w:eastAsia="Times New Roman" w:hAnsi="Times New Roman"/>
          <w:sz w:val="20"/>
          <w:szCs w:val="20"/>
          <w:u w:val="single" w:color="auto"/>
          <w:color w:val="auto"/>
        </w:rPr>
        <w:t>plus</w:t>
      </w:r>
    </w:p>
    <w:p>
      <w:pPr>
        <w:spacing w:after="0" w:line="154"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amount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3" w:name="page134"/>
    <w:bookmarkEnd w:id="133"/>
    <w:p>
      <w:pPr>
        <w:ind w:left="1300"/>
        <w:spacing w:after="0"/>
        <w:rPr>
          <w:sz w:val="20"/>
          <w:szCs w:val="20"/>
          <w:color w:val="auto"/>
        </w:rPr>
      </w:pPr>
      <w:r>
        <w:rPr>
          <w:rFonts w:ascii="Times New Roman" w:cs="Times New Roman" w:eastAsia="Times New Roman" w:hAnsi="Times New Roman"/>
          <w:sz w:val="20"/>
          <w:szCs w:val="20"/>
          <w:color w:val="auto"/>
        </w:rPr>
        <w:t>Charge with respect to any liability or casualty event, business interruption or any product recall, (i) so long as such Person</w:t>
      </w:r>
    </w:p>
    <w:p>
      <w:pPr>
        <w:ind w:left="1300"/>
        <w:spacing w:after="0" w:line="204" w:lineRule="auto"/>
        <w:rPr>
          <w:sz w:val="20"/>
          <w:szCs w:val="20"/>
          <w:color w:val="auto"/>
        </w:rPr>
      </w:pPr>
      <w:r>
        <w:rPr>
          <w:rFonts w:ascii="Times New Roman" w:cs="Times New Roman" w:eastAsia="Times New Roman" w:hAnsi="Times New Roman"/>
          <w:sz w:val="20"/>
          <w:szCs w:val="20"/>
          <w:color w:val="auto"/>
        </w:rPr>
        <w:t>has submitted in good faith, and reasonably expects to receive payment in connection with, a claim for reimbursement of such amounts under its relevant insurance policy or (ii) without duplication of any amount included in a prior period 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above, to the extent such Charge is covered by insurance proceeds received in cash during such period; </w:t>
      </w:r>
      <w:r>
        <w:rPr>
          <w:rFonts w:ascii="Times New Roman" w:cs="Times New Roman" w:eastAsia="Times New Roman" w:hAnsi="Times New Roman"/>
          <w:sz w:val="20"/>
          <w:szCs w:val="20"/>
          <w:u w:val="single" w:color="auto"/>
          <w:color w:val="auto"/>
        </w:rPr>
        <w:t>plus</w:t>
      </w:r>
    </w:p>
    <w:p>
      <w:pPr>
        <w:spacing w:after="0" w:line="167" w:lineRule="exact"/>
        <w:rPr>
          <w:sz w:val="20"/>
          <w:szCs w:val="20"/>
          <w:color w:val="auto"/>
        </w:rPr>
      </w:pPr>
    </w:p>
    <w:p>
      <w:pPr>
        <w:jc w:val="both"/>
        <w:ind w:left="1300" w:firstLine="652"/>
        <w:spacing w:after="0" w:line="216" w:lineRule="auto"/>
        <w:tabs>
          <w:tab w:leader="none" w:pos="258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amount of payments to outside directors of the Borrower, Holdings or any other Parent Company actually paid by or on behalf of, or accrued by, such Person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such payment is permitted under this Agreement and (B) to the extent the relevant payment is permitted hereunder, the amount of any payment to any holder of any option in respect of the Capital Stock of the Borrower, Holdings and/or any other Parent Company in lieu of a Restricted Payment, which payment is made to compensate such optionholder as if it was an equity holder at the time of the relevant Restricted Payment; </w:t>
      </w:r>
      <w:r>
        <w:rPr>
          <w:rFonts w:ascii="Times New Roman" w:cs="Times New Roman" w:eastAsia="Times New Roman" w:hAnsi="Times New Roman"/>
          <w:sz w:val="20"/>
          <w:szCs w:val="20"/>
          <w:u w:val="single" w:color="auto"/>
          <w:color w:val="auto"/>
        </w:rPr>
        <w:t>plus</w:t>
      </w:r>
    </w:p>
    <w:p>
      <w:pPr>
        <w:spacing w:after="0" w:line="162" w:lineRule="exact"/>
        <w:rPr>
          <w:rFonts w:ascii="Times New Roman" w:cs="Times New Roman" w:eastAsia="Times New Roman" w:hAnsi="Times New Roman"/>
          <w:sz w:val="20"/>
          <w:szCs w:val="20"/>
          <w:color w:val="auto"/>
        </w:rPr>
      </w:pPr>
    </w:p>
    <w:p>
      <w:pPr>
        <w:jc w:val="both"/>
        <w:ind w:left="1300" w:firstLine="652"/>
        <w:spacing w:after="0" w:line="227" w:lineRule="auto"/>
        <w:tabs>
          <w:tab w:leader="none" w:pos="258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Charge attributable to the undertaking and/or implementation of new initiatives, business optimization activities, cost savings initiatives, cost rationalization programs, operating improvements and/or expense reductions and/or synergies and/or similar initiatives and/or programs (including, in connection with any integration, operational improvement, restructuring or transition, any reconstruction, decommissioning, recommissioning or reconfiguration of fixed assets for alternative uses, including unused warehouse restaurant, store or Unit Locations), any inventory optimization program and/or any curtailment, any business optimization Charge, any Charge relating to the destruction of equipment, any restructuring Charge and/or integration Charge (including any Charge relating to any tax restructuring), any Charge relating to the closure, consolidation or relocation of any facility, restaurant, store or Unit Location (including but not limited to rent termination costs, moving costs and legal costs), any systems implementation Charge, any severance Charge, any Charge relating to entry into any new market, any Charge relating to any strategic initiative, any signing Charge, any Charge relating to any retention or completion bonus, any expansion and/or relocation Charge, any Charge associated with any modification to any pension and post-retirement employee benefit plan, any Charge associated with system design, update and/or establishment, any upgrade Charge, any platform optimization Charge, any new system implementation Charge, any startup and/or expansion Charge (including administrative, overhead, staffing and related costs and expenses), any Charge in connection with new and/or expanded operations, any Charge in connection with unused warehouse space, any Charge relating to a new contract, any consulting Charge, or any corporate development Charge, any Charge incurred in connection with software, product and/or intellectual property development, any Charge relating to any distribution network and/or sales channel, any Charge in connection with any exit from, wind down or termination of any line of business, any Charge related to any customer dispute, any Charge in connection with the implementation, replacement, development or upgrade of any operational, reporting and/or information technology system and/or technology initiative, in each case, other than any such Charge incurred in the ordinary course of business (as determined by the Borrower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included in Consolidated Adjusted EBITDA in any four Fiscal Quarter period in reliance on this </w:t>
      </w:r>
      <w:r>
        <w:rPr>
          <w:rFonts w:ascii="Times New Roman" w:cs="Times New Roman" w:eastAsia="Times New Roman" w:hAnsi="Times New Roman"/>
          <w:sz w:val="19"/>
          <w:szCs w:val="19"/>
          <w:u w:val="single" w:color="auto"/>
          <w:color w:val="auto"/>
        </w:rPr>
        <w:t>clause (c)(xii)</w:t>
      </w:r>
      <w:r>
        <w:rPr>
          <w:rFonts w:ascii="Times New Roman" w:cs="Times New Roman" w:eastAsia="Times New Roman" w:hAnsi="Times New Roman"/>
          <w:sz w:val="19"/>
          <w:szCs w:val="19"/>
          <w:color w:val="auto"/>
        </w:rPr>
        <w:t xml:space="preserve">, together with the amount included in Consolidated Adjusted EBITDA or excluded from Consolidated Net Income, as applicable, in reliance on the other Specified 25% Adjustments, shall not exceed 25%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 (2) any pro forma adjustment consistent with Regulation S-X under the Securities Act);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34" w:name="page135"/>
    <w:bookmarkEnd w:id="134"/>
    <w:p>
      <w:pPr>
        <w:jc w:val="both"/>
        <w:ind w:left="1300" w:firstLine="652"/>
        <w:spacing w:after="0" w:line="211" w:lineRule="auto"/>
        <w:tabs>
          <w:tab w:leader="none" w:pos="258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 incurred or accrued in connection with any single or one-time event, including any such Charges incurred or accrued in connection with (A) acquisitions or similar investments, (B) the consolidation or reconfiguration of any facility, (C) litigation or other legal matter (including actual or prospective legal settlements, fines, judgments or orders) and/or (D) Charges arising from insurance claims and settlements;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included in Consolidated Adjusted EBITDA in any four Fiscal Quarter period in reliance on this </w:t>
      </w:r>
      <w:r>
        <w:rPr>
          <w:rFonts w:ascii="Times New Roman" w:cs="Times New Roman" w:eastAsia="Times New Roman" w:hAnsi="Times New Roman"/>
          <w:sz w:val="20"/>
          <w:szCs w:val="20"/>
          <w:u w:val="single" w:color="auto"/>
          <w:color w:val="auto"/>
        </w:rPr>
        <w:t>clause (c)(xiii)</w:t>
      </w:r>
      <w:r>
        <w:rPr>
          <w:rFonts w:ascii="Times New Roman" w:cs="Times New Roman" w:eastAsia="Times New Roman" w:hAnsi="Times New Roman"/>
          <w:sz w:val="20"/>
          <w:szCs w:val="20"/>
          <w:color w:val="auto"/>
        </w:rPr>
        <w:t xml:space="preserve"> (other than such Charges of the type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and/or any other one-time Disposition or issuance of debt or equity), together with the amount included in Consolidated Adjusted EBITDA or excluded from Consolidated Net Income, as applicable, in reliance on the other Specified 15% Adjustments, shall not exceed 15%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 (2) any pro forma adjustment consistent with Regulation S-X under the Securities Act); </w:t>
      </w:r>
      <w:r>
        <w:rPr>
          <w:rFonts w:ascii="Times New Roman" w:cs="Times New Roman" w:eastAsia="Times New Roman" w:hAnsi="Times New Roman"/>
          <w:sz w:val="20"/>
          <w:szCs w:val="20"/>
          <w:u w:val="single" w:color="auto"/>
          <w:color w:val="auto"/>
        </w:rPr>
        <w:t>plus</w:t>
      </w:r>
    </w:p>
    <w:p>
      <w:pPr>
        <w:spacing w:after="0" w:line="16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8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add-back, adjustment and/or exclusion reflected in (A) the Financial Model and/or (B) any quality of earnings report prepared by any independent registered public accountant of recognized national standing or any other accounting firm reasonably acceptable to the Administrative Agent (a “</w:t>
      </w:r>
      <w:r>
        <w:rPr>
          <w:rFonts w:ascii="Times New Roman" w:cs="Times New Roman" w:eastAsia="Times New Roman" w:hAnsi="Times New Roman"/>
          <w:sz w:val="20"/>
          <w:szCs w:val="20"/>
          <w:u w:val="single" w:color="auto"/>
          <w:color w:val="auto"/>
        </w:rPr>
        <w:t>Quality of Earnings Report</w:t>
      </w:r>
      <w:r>
        <w:rPr>
          <w:rFonts w:ascii="Times New Roman" w:cs="Times New Roman" w:eastAsia="Times New Roman" w:hAnsi="Times New Roman"/>
          <w:sz w:val="20"/>
          <w:szCs w:val="20"/>
          <w:color w:val="auto"/>
        </w:rPr>
        <w:t xml:space="preserve">”), in each case, delivered to the Administrative Agent (including, for the avoidance of doubt, in connection with any acquisition or similar investment prior to or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included in Consolidated Adjusted EBITDA in any four Fiscal Quarter period in reliance on this </w:t>
      </w:r>
      <w:r>
        <w:rPr>
          <w:rFonts w:ascii="Times New Roman" w:cs="Times New Roman" w:eastAsia="Times New Roman" w:hAnsi="Times New Roman"/>
          <w:sz w:val="20"/>
          <w:szCs w:val="20"/>
          <w:u w:val="single" w:color="auto"/>
          <w:color w:val="auto"/>
        </w:rPr>
        <w:t>clause (c)(xvi)(B)</w:t>
      </w:r>
      <w:r>
        <w:rPr>
          <w:rFonts w:ascii="Times New Roman" w:cs="Times New Roman" w:eastAsia="Times New Roman" w:hAnsi="Times New Roman"/>
          <w:sz w:val="20"/>
          <w:szCs w:val="20"/>
          <w:color w:val="auto"/>
        </w:rPr>
        <w:t xml:space="preserve">, together with the amount included in Consolidated Adjusted EBITDA or excluded from Consolidated Net Income, as applicable, in reliance on the other Specified 25% Adjustments, shall not exceed 25%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 (2) any pro forma adjustment consistent with Regulation S-X under the Securities Act); </w:t>
      </w:r>
      <w:r>
        <w:rPr>
          <w:rFonts w:ascii="Times New Roman" w:cs="Times New Roman" w:eastAsia="Times New Roman" w:hAnsi="Times New Roman"/>
          <w:sz w:val="20"/>
          <w:szCs w:val="20"/>
          <w:u w:val="single" w:color="auto"/>
          <w:color w:val="auto"/>
        </w:rPr>
        <w:t>plus</w:t>
      </w:r>
    </w:p>
    <w:p>
      <w:pPr>
        <w:spacing w:after="0" w:line="15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9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 of operating income that is attributable to any facility, restaurant, store or Unit Location that is temporarily closed for a period not to exceed (or reasonably expected not to exceed) 12 months for remodeling, construction, refurbishment and/or rebuilds;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losses shall be determined based on the store level profits and losses based on the average of six consecutive four-week reporting periods immediately preceding such closure;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amount included in Consolidated Adjusted EBITDA in any four Fiscal Quarter period in reliance on this </w:t>
      </w:r>
      <w:r>
        <w:rPr>
          <w:rFonts w:ascii="Times New Roman" w:cs="Times New Roman" w:eastAsia="Times New Roman" w:hAnsi="Times New Roman"/>
          <w:sz w:val="20"/>
          <w:szCs w:val="20"/>
          <w:u w:val="single" w:color="auto"/>
          <w:color w:val="auto"/>
        </w:rPr>
        <w:t>clause (c)(xviii)</w:t>
      </w:r>
      <w:r>
        <w:rPr>
          <w:rFonts w:ascii="Times New Roman" w:cs="Times New Roman" w:eastAsia="Times New Roman" w:hAnsi="Times New Roman"/>
          <w:sz w:val="20"/>
          <w:szCs w:val="20"/>
          <w:color w:val="auto"/>
        </w:rPr>
        <w:t xml:space="preserve"> shall not exceed 5% of Consolidated Adjusted EBITDA (calculated after giving effect to the adjustments set forth in this </w:t>
      </w:r>
      <w:r>
        <w:rPr>
          <w:rFonts w:ascii="Times New Roman" w:cs="Times New Roman" w:eastAsia="Times New Roman" w:hAnsi="Times New Roman"/>
          <w:sz w:val="20"/>
          <w:szCs w:val="20"/>
          <w:u w:val="single" w:color="auto"/>
          <w:color w:val="auto"/>
        </w:rPr>
        <w:t>clause (c)(xviii)</w:t>
      </w:r>
      <w:r>
        <w:rPr>
          <w:rFonts w:ascii="Times New Roman" w:cs="Times New Roman" w:eastAsia="Times New Roman" w:hAnsi="Times New Roman"/>
          <w:sz w:val="20"/>
          <w:szCs w:val="20"/>
          <w:color w:val="auto"/>
        </w:rPr>
        <w: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5" w:name="page136"/>
    <w:bookmarkEnd w:id="135"/>
    <w:p>
      <w:pPr>
        <w:ind w:left="1300"/>
        <w:spacing w:after="0"/>
        <w:rPr>
          <w:sz w:val="20"/>
          <w:szCs w:val="20"/>
          <w:color w:val="auto"/>
        </w:rPr>
      </w:pPr>
      <w:r>
        <w:rPr>
          <w:rFonts w:ascii="Times New Roman" w:cs="Times New Roman" w:eastAsia="Times New Roman" w:hAnsi="Times New Roman"/>
          <w:sz w:val="20"/>
          <w:szCs w:val="20"/>
          <w:color w:val="auto"/>
        </w:rPr>
        <w:t xml:space="preserve">(without regard to the amounts or time periods therein) or (2) any pro forma adjustment consistent with Regulation S-X under the Securities Act); </w:t>
      </w:r>
      <w:r>
        <w:rPr>
          <w:rFonts w:ascii="Times New Roman" w:cs="Times New Roman" w:eastAsia="Times New Roman" w:hAnsi="Times New Roman"/>
          <w:sz w:val="20"/>
          <w:szCs w:val="20"/>
          <w:u w:val="single" w:color="auto"/>
          <w:color w:val="auto"/>
        </w:rPr>
        <w:t>plus</w:t>
      </w:r>
    </w:p>
    <w:p>
      <w:pPr>
        <w:spacing w:after="0" w:line="148" w:lineRule="exact"/>
        <w:rPr>
          <w:sz w:val="20"/>
          <w:szCs w:val="20"/>
          <w:color w:val="auto"/>
        </w:rPr>
      </w:pPr>
    </w:p>
    <w:p>
      <w:pPr>
        <w:jc w:val="both"/>
        <w:ind w:left="660" w:firstLine="644"/>
        <w:spacing w:after="0" w:line="222"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pursuant to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below for any previous period and not added back;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09" w:lineRule="auto"/>
        <w:tabs>
          <w:tab w:leader="none" w:pos="19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pro forma “run rate” expected cost savings, operating expense reductions, operational improvements, business optimization, restructurings, and/or cost synergies (collectively, “</w:t>
      </w:r>
      <w:r>
        <w:rPr>
          <w:rFonts w:ascii="Times New Roman" w:cs="Times New Roman" w:eastAsia="Times New Roman" w:hAnsi="Times New Roman"/>
          <w:sz w:val="20"/>
          <w:szCs w:val="20"/>
          <w:u w:val="single" w:color="auto"/>
          <w:color w:val="auto"/>
        </w:rPr>
        <w:t>Run-Rate Synergies</w:t>
      </w:r>
      <w:r>
        <w:rPr>
          <w:rFonts w:ascii="Times New Roman" w:cs="Times New Roman" w:eastAsia="Times New Roman" w:hAnsi="Times New Roman"/>
          <w:sz w:val="20"/>
          <w:szCs w:val="20"/>
          <w:color w:val="auto"/>
        </w:rPr>
        <w:t>”) (net of actual amounts realized) that are reasonably identifiable (in the good faith determination of such Person) related to (i) the Transactions, (ii) any asset sale, merger or other business combination, Investment, Disposition, operating improvement, expense reduction, restructuring, cost savings initiative, and/or any initiative similar to any of the foregoing (including the entry into or renegotiation of, or in respect of which binding commitments have been entered for, any contract and/or other arrangement) and/or specified transaction (each, a “</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Optimization Initiative</w:t>
      </w:r>
      <w:r>
        <w:rPr>
          <w:rFonts w:ascii="Times New Roman" w:cs="Times New Roman" w:eastAsia="Times New Roman" w:hAnsi="Times New Roman"/>
          <w:sz w:val="20"/>
          <w:szCs w:val="20"/>
          <w:color w:val="auto"/>
        </w:rPr>
        <w:t xml:space="preserve">”), in each case, consummated or implemented prior to or on the Closing Date and (iii) any Business Optimization Initiative consummated or implemented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the relevant Business Optimization Initiative resulting in (or substantial steps toward the relevant Business Optimization Initiative that would result in) such Run-Rate Synergies (x) must either be taken or expected to be taken within 18 months following the applicable date of determination and (y) the amounts added back in any four Fiscal Quarter period in reliance on this </w:t>
      </w:r>
      <w:r>
        <w:rPr>
          <w:rFonts w:ascii="Times New Roman" w:cs="Times New Roman" w:eastAsia="Times New Roman" w:hAnsi="Times New Roman"/>
          <w:sz w:val="20"/>
          <w:szCs w:val="20"/>
          <w:u w:val="single" w:color="auto"/>
          <w:color w:val="auto"/>
        </w:rPr>
        <w:t>clause (e)(iii)</w:t>
      </w:r>
      <w:r>
        <w:rPr>
          <w:rFonts w:ascii="Times New Roman" w:cs="Times New Roman" w:eastAsia="Times New Roman" w:hAnsi="Times New Roman"/>
          <w:sz w:val="20"/>
          <w:szCs w:val="20"/>
          <w:color w:val="auto"/>
        </w:rPr>
        <w:t xml:space="preserve">, together with the amount included in Consolidated Adjusted EBITDA or excluded from Consolidated Net Income, as applicable, in reliance on the other Specified 25% Adjustments, shall not exceed 25%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 (2) any pro forma adjustment consistent with Regulation S-X under the Securities Act);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Restaurant Pre-Opening Costs;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 calculating Consolidated Net Income, the amount of any distribution received by such Person from any Unrestricted Subsidiary; </w:t>
      </w:r>
      <w:r>
        <w:rPr>
          <w:rFonts w:ascii="Times New Roman" w:cs="Times New Roman" w:eastAsia="Times New Roman" w:hAnsi="Times New Roman"/>
          <w:sz w:val="20"/>
          <w:szCs w:val="20"/>
          <w:u w:val="single" w:color="auto"/>
          <w:color w:val="auto"/>
        </w:rPr>
        <w:t>plus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minus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which, in the determination of Consolidated Net Income for such period, has been added for any non-cash income or non-cash gain (including the excess of actual cash rent paid over GAAP rent expense during such period to the use of straight line rent for GAAP purposes), all as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cs="Times New Roman" w:eastAsia="Times New Roman" w:hAnsi="Times New Roman"/>
          <w:sz w:val="20"/>
          <w:szCs w:val="20"/>
          <w:u w:val="single" w:color="auto"/>
          <w:color w:val="auto"/>
        </w:rPr>
        <w:t>minus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cash payment made during such period in respect of any non-cash accrual, reserve or other non-cash Charge that (A) is accounted for in a prior period, (B) was added to Consolidated Net Income to determine Consolidated Adjusted EBITDA for such prior period and (C) does not otherwise reduce Consolidated Net Income for the current period; </w:t>
      </w:r>
      <w:r>
        <w:rPr>
          <w:rFonts w:ascii="Times New Roman" w:cs="Times New Roman" w:eastAsia="Times New Roman" w:hAnsi="Times New Roman"/>
          <w:sz w:val="20"/>
          <w:szCs w:val="20"/>
          <w:u w:val="single" w:color="auto"/>
          <w:color w:val="auto"/>
        </w:rPr>
        <w:t>minus</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benefit received during such period in respect of any federal, state, local and foreign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herein, it is agreed that for the purpose of calculating the First Lien Rent Adjusted Net</w:t>
      </w:r>
    </w:p>
    <w:p>
      <w:pPr>
        <w:jc w:val="both"/>
        <w:spacing w:after="0" w:line="215" w:lineRule="auto"/>
        <w:rPr>
          <w:sz w:val="20"/>
          <w:szCs w:val="20"/>
          <w:color w:val="auto"/>
        </w:rPr>
      </w:pPr>
      <w:r>
        <w:rPr>
          <w:rFonts w:ascii="Times New Roman" w:cs="Times New Roman" w:eastAsia="Times New Roman" w:hAnsi="Times New Roman"/>
          <w:sz w:val="19"/>
          <w:szCs w:val="19"/>
          <w:color w:val="auto"/>
        </w:rPr>
        <w:t>Leverage Ratio, the Secured Rent Adjusted Net Leverage Ratio, the Total Rent Adjusted Net Leverage Ratio and/or the amount of any basket based on a percentage of Consolidated Adjusted EBITDA for any period that includes any Fiscal Quarter listed in the table set forth below,</w:t>
      </w:r>
    </w:p>
    <w:p>
      <w:pPr>
        <w:spacing w:after="0" w:line="211" w:lineRule="auto"/>
        <w:rPr>
          <w:sz w:val="20"/>
          <w:szCs w:val="20"/>
          <w:color w:val="auto"/>
        </w:rPr>
      </w:pPr>
      <w:r>
        <w:rPr>
          <w:rFonts w:ascii="Times New Roman" w:cs="Times New Roman" w:eastAsia="Times New Roman" w:hAnsi="Times New Roman"/>
          <w:sz w:val="20"/>
          <w:szCs w:val="20"/>
          <w:color w:val="auto"/>
        </w:rPr>
        <w:t>Consolidated Adjusted EBITDA for any Fiscal Quarter referenced in the table set forth below shall be the amount set forth opposite such</w:t>
      </w:r>
    </w:p>
    <w:p>
      <w:pPr>
        <w:spacing w:after="0" w:line="215" w:lineRule="auto"/>
        <w:rPr>
          <w:sz w:val="20"/>
          <w:szCs w:val="20"/>
          <w:color w:val="auto"/>
        </w:rPr>
      </w:pPr>
      <w:r>
        <w:rPr>
          <w:rFonts w:ascii="Times New Roman" w:cs="Times New Roman" w:eastAsia="Times New Roman" w:hAnsi="Times New Roman"/>
          <w:sz w:val="19"/>
          <w:szCs w:val="19"/>
          <w:color w:val="auto"/>
        </w:rPr>
        <w:t>Fiscal Quarter in the table set forth below, in each case as such amount may be adjusted on a Pro Forma Basis. It is understood and agreed for the avoidance of doubt that the “deemed” Consolidated Adjusted EBITDA numbers set forth below shall not reduce the amount available</w:t>
      </w:r>
    </w:p>
    <w:p>
      <w:pPr>
        <w:spacing w:after="0"/>
        <w:rPr>
          <w:sz w:val="20"/>
          <w:szCs w:val="20"/>
          <w:color w:val="auto"/>
        </w:rPr>
      </w:pPr>
      <w:r>
        <w:rPr>
          <w:rFonts w:ascii="Times New Roman" w:cs="Times New Roman" w:eastAsia="Times New Roman" w:hAnsi="Times New Roman"/>
          <w:sz w:val="20"/>
          <w:szCs w:val="20"/>
          <w:color w:val="auto"/>
        </w:rPr>
        <w:t>under any cap set forth in this definition of “Consolidated Adjusted EBITDA”.</w:t>
      </w:r>
    </w:p>
    <w:p>
      <w:pPr>
        <w:spacing w:after="0" w:line="210" w:lineRule="exact"/>
        <w:rPr>
          <w:sz w:val="20"/>
          <w:szCs w:val="20"/>
          <w:color w:val="auto"/>
        </w:rPr>
      </w:pPr>
    </w:p>
    <w:tbl>
      <w:tblPr>
        <w:tblLayout w:type="fixed"/>
        <w:tblInd w:w="650" w:type="dxa"/>
        <w:tblCellMar>
          <w:top w:w="0" w:type="dxa"/>
          <w:left w:w="0" w:type="dxa"/>
          <w:bottom w:w="0" w:type="dxa"/>
          <w:right w:w="0" w:type="dxa"/>
        </w:tblCellMar>
      </w:tblPr>
      <w:tr>
        <w:trPr>
          <w:trHeight w:val="270"/>
        </w:trPr>
        <w:tc>
          <w:tcPr>
            <w:tcW w:w="80" w:type="dxa"/>
            <w:vAlign w:val="bottom"/>
            <w:tcBorders>
              <w:top w:val="single" w:sz="8" w:color="auto"/>
              <w:left w:val="single" w:sz="8" w:color="auto"/>
              <w:bottom w:val="single" w:sz="8" w:color="auto"/>
            </w:tcBorders>
            <w:shd w:val="clear" w:color="auto" w:fill="D9D9D9"/>
          </w:tcPr>
          <w:p>
            <w:pPr>
              <w:spacing w:after="0"/>
              <w:rPr>
                <w:sz w:val="23"/>
                <w:szCs w:val="23"/>
                <w:color w:val="auto"/>
              </w:rPr>
            </w:pPr>
          </w:p>
        </w:tc>
        <w:tc>
          <w:tcPr>
            <w:tcW w:w="444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Fiscal Quarter Ended</w:t>
            </w:r>
          </w:p>
        </w:tc>
        <w:tc>
          <w:tcPr>
            <w:tcW w:w="940" w:type="dxa"/>
            <w:vAlign w:val="bottom"/>
            <w:tcBorders>
              <w:top w:val="single" w:sz="8" w:color="auto"/>
              <w:bottom w:val="single" w:sz="8" w:color="auto"/>
            </w:tcBorders>
            <w:shd w:val="clear" w:color="auto" w:fill="D9D9D9"/>
          </w:tcPr>
          <w:p>
            <w:pPr>
              <w:spacing w:after="0"/>
              <w:rPr>
                <w:sz w:val="23"/>
                <w:szCs w:val="23"/>
                <w:color w:val="auto"/>
              </w:rPr>
            </w:pPr>
          </w:p>
        </w:tc>
        <w:tc>
          <w:tcPr>
            <w:tcW w:w="356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Consolidated Adjusted EBITDA</w:t>
            </w: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September 27, 2020</w:t>
            </w:r>
          </w:p>
        </w:tc>
        <w:tc>
          <w:tcPr>
            <w:tcW w:w="3520" w:type="dxa"/>
            <w:vAlign w:val="bottom"/>
            <w:tcBorders>
              <w:bottom w:val="single" w:sz="8" w:color="auto"/>
            </w:tcBorders>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9"/>
              </w:rPr>
              <w:t>$5,000,000</w:t>
            </w:r>
          </w:p>
        </w:tc>
        <w:tc>
          <w:tcPr>
            <w:tcW w:w="980" w:type="dxa"/>
            <w:vAlign w:val="bottom"/>
            <w:tcBorders>
              <w:bottom w:val="single" w:sz="8" w:color="auto"/>
              <w:right w:val="single" w:sz="8" w:color="auto"/>
            </w:tcBorders>
          </w:tcPr>
          <w:p>
            <w:pPr>
              <w:spacing w:after="0"/>
              <w:rPr>
                <w:sz w:val="21"/>
                <w:szCs w:val="2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December 27, 2020</w:t>
            </w:r>
          </w:p>
        </w:tc>
        <w:tc>
          <w:tcPr>
            <w:tcW w:w="3520" w:type="dxa"/>
            <w:vAlign w:val="bottom"/>
            <w:tcBorders>
              <w:bottom w:val="single" w:sz="8" w:color="auto"/>
            </w:tcBorders>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9"/>
              </w:rPr>
              <w:t>$4,400,000</w:t>
            </w:r>
          </w:p>
        </w:tc>
        <w:tc>
          <w:tcPr>
            <w:tcW w:w="980" w:type="dxa"/>
            <w:vAlign w:val="bottom"/>
            <w:tcBorders>
              <w:bottom w:val="single" w:sz="8" w:color="auto"/>
              <w:right w:val="single" w:sz="8" w:color="auto"/>
            </w:tcBorders>
          </w:tcPr>
          <w:p>
            <w:pPr>
              <w:spacing w:after="0"/>
              <w:rPr>
                <w:sz w:val="21"/>
                <w:szCs w:val="2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March 28, 2021</w:t>
            </w:r>
          </w:p>
        </w:tc>
        <w:tc>
          <w:tcPr>
            <w:tcW w:w="3520" w:type="dxa"/>
            <w:vAlign w:val="bottom"/>
            <w:tcBorders>
              <w:bottom w:val="single" w:sz="8" w:color="auto"/>
            </w:tcBorders>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7"/>
              </w:rPr>
              <w:t>$13,200,000</w:t>
            </w:r>
          </w:p>
        </w:tc>
        <w:tc>
          <w:tcPr>
            <w:tcW w:w="980" w:type="dxa"/>
            <w:vAlign w:val="bottom"/>
            <w:tcBorders>
              <w:bottom w:val="single" w:sz="8" w:color="auto"/>
              <w:right w:val="single" w:sz="8" w:color="auto"/>
            </w:tcBorders>
          </w:tcPr>
          <w:p>
            <w:pPr>
              <w:spacing w:after="0"/>
              <w:rPr>
                <w:sz w:val="21"/>
                <w:szCs w:val="2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June 27, 2021</w:t>
            </w:r>
          </w:p>
        </w:tc>
        <w:tc>
          <w:tcPr>
            <w:tcW w:w="3520" w:type="dxa"/>
            <w:vAlign w:val="bottom"/>
            <w:tcBorders>
              <w:bottom w:val="single" w:sz="8" w:color="auto"/>
            </w:tcBorders>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7"/>
              </w:rPr>
              <w:t>$22,400,000</w:t>
            </w:r>
          </w:p>
        </w:tc>
        <w:tc>
          <w:tcPr>
            <w:tcW w:w="9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EBITDAR</w:t>
      </w:r>
      <w:r>
        <w:rPr>
          <w:rFonts w:ascii="Times New Roman" w:cs="Times New Roman" w:eastAsia="Times New Roman" w:hAnsi="Times New Roman"/>
          <w:sz w:val="20"/>
          <w:szCs w:val="20"/>
          <w:color w:val="auto"/>
        </w:rPr>
        <w:t xml:space="preserve">” means, as of any date of determination, an amount equal to (without duplication) (a) Consolidated Adjusted EBITDA for such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Consolidated Cash Rental Expense for such Test Period.</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Cash Rental Expense</w:t>
      </w:r>
      <w:r>
        <w:rPr>
          <w:rFonts w:ascii="Times New Roman" w:cs="Times New Roman" w:eastAsia="Times New Roman" w:hAnsi="Times New Roman"/>
          <w:sz w:val="19"/>
          <w:szCs w:val="19"/>
          <w:color w:val="auto"/>
        </w:rPr>
        <w:t>” means, as of any date of determination, (a) all rental expense of the Borrower and its Restricted Subsidiaries paid or payable in cash during such Test Period, determined on a consolidated basis in accordance with GAAP, incurred under</w:t>
      </w:r>
    </w:p>
    <w:p>
      <w:pPr>
        <w:spacing w:after="0" w:line="211" w:lineRule="auto"/>
        <w:rPr>
          <w:sz w:val="20"/>
          <w:szCs w:val="20"/>
          <w:color w:val="auto"/>
        </w:rPr>
      </w:pPr>
      <w:r>
        <w:rPr>
          <w:rFonts w:ascii="Times New Roman" w:cs="Times New Roman" w:eastAsia="Times New Roman" w:hAnsi="Times New Roman"/>
          <w:sz w:val="20"/>
          <w:szCs w:val="20"/>
          <w:color w:val="auto"/>
        </w:rPr>
        <w:t>any rental agreement or lease with respect to real property, other than (i) obligations in respect of any Capital Leases, (ii) in the case of Unit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Locations that are part of a multi-tenant retail complex, common maintenance charges, property taxes and insurance costs and similar amounts passed through to the tenant on a proportional basis and (iii) any insurance costs that would otherwise be included in cash rental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expense,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any rental income received during such Test Period under any rental agreement (including in respect of subleases) or license agreements with respect to real property.</w:t>
      </w:r>
    </w:p>
    <w:p>
      <w:pPr>
        <w:spacing w:after="0" w:line="1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First Lien Debt</w:t>
      </w:r>
      <w:r>
        <w:rPr>
          <w:rFonts w:ascii="Times New Roman" w:cs="Times New Roman" w:eastAsia="Times New Roman" w:hAnsi="Times New Roman"/>
          <w:sz w:val="19"/>
          <w:szCs w:val="19"/>
          <w:color w:val="auto"/>
        </w:rPr>
        <w:t>” means, as to any Person at any date of determination, the aggregate principal amount of Consolidated Total Debt outstanding on such date that is secured by a Lien on substantially all of the Collateral and that constitutes First Lien Debt.</w:t>
      </w:r>
    </w:p>
    <w:p>
      <w:pPr>
        <w:spacing w:after="0" w:line="12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Charges</w:t>
      </w:r>
      <w:r>
        <w:rPr>
          <w:rFonts w:ascii="Times New Roman" w:cs="Times New Roman" w:eastAsia="Times New Roman" w:hAnsi="Times New Roman"/>
          <w:sz w:val="20"/>
          <w:szCs w:val="20"/>
          <w:color w:val="auto"/>
        </w:rPr>
        <w:t>” means, as of any date of determination, the sum of the following determined on a consolidated basis for such period, without duplication, for the Borrower and its Restricted Subsidiaries in accordance with GAAP: (a)(i) consolidated cash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expense relating to Consolidated Total Debt (excluding, among other things, (A) amortization of deferred financing fees, (B) any expense arising from any financing fee (including agency and commitment fees), (C) any expense arising from the discounting of</w:t>
      </w:r>
    </w:p>
    <w:p>
      <w:pPr>
        <w:spacing w:after="0" w:line="211" w:lineRule="auto"/>
        <w:rPr>
          <w:sz w:val="20"/>
          <w:szCs w:val="20"/>
          <w:color w:val="auto"/>
        </w:rPr>
      </w:pPr>
      <w:r>
        <w:rPr>
          <w:rFonts w:ascii="Times New Roman" w:cs="Times New Roman" w:eastAsia="Times New Roman" w:hAnsi="Times New Roman"/>
          <w:sz w:val="20"/>
          <w:szCs w:val="20"/>
          <w:color w:val="auto"/>
        </w:rPr>
        <w:t>indebtedness in connection with the application of recapitalization and/or acquisition accounting, (D) any penalty and/or interest relating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tax and (E) any non-cash interest expense attributable to any movement in the mark-to-market valuation of any hedging or other derivative obligation and/or any payment obligation arising under any hedge agreement or other derivative instrument (other than any interest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rate hedge agreement or other derivative instrument)) (this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Cash Interest Expense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cash interest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income,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Consolidated Cash Rental Expense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regularly scheduled cash payments of principal of any outstanding Indebtedness for borrowed money (with respect to any Test Period containing any period ended prior to the Closing Date, calculated excluding principal</w:t>
      </w:r>
    </w:p>
    <w:p>
      <w:pPr>
        <w:spacing w:after="0" w:line="222" w:lineRule="auto"/>
        <w:rPr>
          <w:sz w:val="20"/>
          <w:szCs w:val="20"/>
          <w:color w:val="auto"/>
        </w:rPr>
      </w:pPr>
      <w:r>
        <w:rPr>
          <w:rFonts w:ascii="Times New Roman" w:cs="Times New Roman" w:eastAsia="Times New Roman" w:hAnsi="Times New Roman"/>
          <w:sz w:val="19"/>
          <w:szCs w:val="19"/>
          <w:color w:val="auto"/>
        </w:rPr>
        <w:t>payments in respect of the Existing Credit Agreement, including the Closing Date Refinancing), other than any such payments financed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proceeds of or refinanced through the incurrence of any additional Indebtedness permitted hereunder (other than any Revolving Loans)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Scheduled Cash Principal Payments Amount</w:t>
      </w:r>
      <w:r>
        <w:rPr>
          <w:rFonts w:ascii="Times New Roman" w:cs="Times New Roman" w:eastAsia="Times New Roman" w:hAnsi="Times New Roman"/>
          <w:sz w:val="20"/>
          <w:szCs w:val="20"/>
          <w:color w:val="auto"/>
        </w:rPr>
        <w:t>” and, together with the Cash Interest Expense Amount, collectively,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Specified Fixed Charges Components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the foregoing, each Specified Fixed Charges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shall be determined by annualizing such Specified Fixed Charges Component for each of the first three full Fiscal Quarters ending after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Closing Date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(1) each Specified Fixed Charges Component for the first full Fiscal Quarter ending after the Closing Date shall equal the applicable Specified Fixed Charges Component for such Fiscal Quarter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xml:space="preserve"> four, (2) each Specified Fixed Charges Component for</w:t>
      </w:r>
    </w:p>
    <w:p>
      <w:pPr>
        <w:spacing w:after="0" w:line="211" w:lineRule="auto"/>
        <w:rPr>
          <w:sz w:val="20"/>
          <w:szCs w:val="20"/>
          <w:color w:val="auto"/>
        </w:rPr>
      </w:pPr>
      <w:r>
        <w:rPr>
          <w:rFonts w:ascii="Times New Roman" w:cs="Times New Roman" w:eastAsia="Times New Roman" w:hAnsi="Times New Roman"/>
          <w:sz w:val="20"/>
          <w:szCs w:val="20"/>
          <w:color w:val="auto"/>
        </w:rPr>
        <w:t>the second full Fiscal Quarter ending after the Closing Date shall equal the applicable Specified Fixed Charges Component for the first full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Fiscal Quarter ending after the Closing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Specified Fixed Charges Component for the second full Fiscal Quarter ending after the Closing Date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two, and (3) each Specified Fixed Charges Component for the third full Fiscal Quarter ending</w:t>
      </w:r>
    </w:p>
    <w:p>
      <w:pPr>
        <w:spacing w:after="0" w:line="223" w:lineRule="auto"/>
        <w:rPr>
          <w:sz w:val="20"/>
          <w:szCs w:val="20"/>
          <w:color w:val="auto"/>
        </w:rPr>
      </w:pPr>
      <w:r>
        <w:rPr>
          <w:rFonts w:ascii="Times New Roman" w:cs="Times New Roman" w:eastAsia="Times New Roman" w:hAnsi="Times New Roman"/>
          <w:sz w:val="19"/>
          <w:szCs w:val="19"/>
          <w:color w:val="auto"/>
        </w:rPr>
        <w:t>after the Closing Date shall equal the applicable Specified Fixed Charges Component for the first full Fiscal Quarter ending after the Closing</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Specified Fixed Charges Component for the second full Fiscal Quarter ending after the Closing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Specified Fixed Charges Component for the third full Fiscal Quarter ending after the Closing Date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4/3)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thereafter shall be calculated based on the actual applicable Specified Fixed Charges Component for each Fiscal Quarter comprising the applicable Test Period.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respect to any Person for any period, the sum of (a) consolidated total interest expense of such Person and its Restricted Subsidiaries for such period, whether paid or accrued and whether or not capitalized, (including, without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duplication, amortization of any debt issuance cost, original issue discount, any premium paid to obtain payment, financial assurance or similar bonds, any interest capitalized during construction, any non-cash interest payment, the interest component of any deferred payment</w:t>
      </w:r>
    </w:p>
    <w:p>
      <w:pPr>
        <w:spacing w:after="0" w:line="211" w:lineRule="auto"/>
        <w:rPr>
          <w:sz w:val="20"/>
          <w:szCs w:val="20"/>
          <w:color w:val="auto"/>
        </w:rPr>
      </w:pPr>
      <w:r>
        <w:rPr>
          <w:rFonts w:ascii="Times New Roman" w:cs="Times New Roman" w:eastAsia="Times New Roman" w:hAnsi="Times New Roman"/>
          <w:sz w:val="20"/>
          <w:szCs w:val="20"/>
          <w:color w:val="auto"/>
        </w:rPr>
        <w:t>obligation, the interest component of any payment under any Capital Lease (regardless of whether accounted for as interest expense under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GAAP), any commission, discount and/or other fee or charge owed with respect to any letter of credit and/or bankers’ acceptance, any fee and/or expense paid to the Administrative Agent in connection with its services hereunder, any other bank, administrative agency (or trustee)</w:t>
      </w:r>
    </w:p>
    <w:p>
      <w:pPr>
        <w:spacing w:after="0" w:line="215" w:lineRule="auto"/>
        <w:rPr>
          <w:sz w:val="20"/>
          <w:szCs w:val="20"/>
          <w:color w:val="auto"/>
        </w:rPr>
      </w:pPr>
      <w:r>
        <w:rPr>
          <w:rFonts w:ascii="Times New Roman" w:cs="Times New Roman" w:eastAsia="Times New Roman" w:hAnsi="Times New Roman"/>
          <w:sz w:val="19"/>
          <w:szCs w:val="19"/>
          <w:color w:val="auto"/>
        </w:rPr>
        <w:t>and/or financing fee, to the extent not otherwise included in consolidated total interest expense, customary commissions, discounts, yield and other fees and charges (including interest expense) relating to any cost associated with any surety bond in connection with financing activities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(whether amortized or immediately expensed))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any cash dividend paid or payable in respect of Disqualified Capital Stock during</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period other than to such Person or any Restricted Subsidiary,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any net losses or obligations arising from any Hedge Agreement and/or other derivative financial instrument issued by such Person for the benefit of such Person or its subsidiaries, in each case, determined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in respect of any period and as determined for any Person (the “</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on a consolidated basis, an amount equal to the sum of net income, determined in accordance with GAAP, but excluding:</w:t>
      </w:r>
    </w:p>
    <w:p>
      <w:pPr>
        <w:spacing w:after="0" w:line="161" w:lineRule="exact"/>
        <w:rPr>
          <w:sz w:val="20"/>
          <w:szCs w:val="20"/>
          <w:color w:val="auto"/>
        </w:rPr>
      </w:pPr>
    </w:p>
    <w:p>
      <w:pPr>
        <w:jc w:val="both"/>
        <w:ind w:left="660" w:firstLine="644"/>
        <w:spacing w:after="0" w:line="213" w:lineRule="auto"/>
        <w:tabs>
          <w:tab w:leader="none" w:pos="194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income of any Person (other than the Subject Person or a Restricted Subsidiary of the Subject Person) in which any other Person (other than the Subject Person or any Restricted Subsidiary of the Subject Person) has a joint interest, except to the extent of the amount of dividends, distributions or other payments (including any ordinary course dividend, distribution or other payment) paid in cash (or to the extent converted into cash) to the Subject Person or any of its Restricted Subsidiaries by such Person during such period and (ii) the loss of any Person (other than the Subject Person or a Restricted Subsidiary of the Subject Person (or a Person who, if a subsidiary of the Subject Person, would be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Charge attributable to any asset Dispositions (including asset retirement costs and including any abandonment of assets) or of returned surplus assets outside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38" w:name="page139"/>
    <w:bookmarkEnd w:id="138"/>
    <w:p>
      <w:pPr>
        <w:jc w:val="both"/>
        <w:ind w:left="660" w:firstLine="644"/>
        <w:spacing w:after="0" w:line="220" w:lineRule="auto"/>
        <w:tabs>
          <w:tab w:leader="none" w:pos="194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Charge from (A) any extraordinary item (as determined in good faith by such Person) and/or (B) any unusual, non-recurring, infrequent and/or exceptional item (as determined in good faith by such Person) and/or (ii) any Charge attributable to and/or payment of any actual or prospective legal settlement, fine, judgment or order;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Charges excluded from Consolidated Net Income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together with the amount included in Consolidated Adjusted EBITDA or excluded from Consolidated Net Income, as applicable, in reliance on the other Specified 15% Adjustments, shall not exceed 15%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w:t>
      </w:r>
    </w:p>
    <w:p>
      <w:pPr>
        <w:spacing w:after="0" w:line="1"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 forma adjustment consistent with Regulation S-X under the Securities Act);</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net gain or Charge with respect to, or in connection with, (i) any disposed, abandoned, divested and/or discontinued asset, property or operation (other than, at the option of such Person, any gain or Charge relating to any asset, property or operation held for sale or pending the divestiture and/or termination thereof), (ii) any disposal, abandonment, divestiture and/or discontinuation of any asset, property or operation outside the ordinary course of business (including any asset retirement cost) (other than, at the option of such Person, any gain or Charge relating to assets or properties held for sale or pending the divestiture or termination thereof) and/or (iii) any facility that has been closed during such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Charges excluded from Consolidated Net Income pursuant to this </w:t>
      </w:r>
      <w:r>
        <w:rPr>
          <w:rFonts w:ascii="Times New Roman" w:cs="Times New Roman" w:eastAsia="Times New Roman" w:hAnsi="Times New Roman"/>
          <w:sz w:val="19"/>
          <w:szCs w:val="19"/>
          <w:u w:val="single" w:color="auto"/>
          <w:color w:val="auto"/>
        </w:rPr>
        <w:t>clause (d)(iii),</w:t>
      </w:r>
      <w:r>
        <w:rPr>
          <w:rFonts w:ascii="Times New Roman" w:cs="Times New Roman" w:eastAsia="Times New Roman" w:hAnsi="Times New Roman"/>
          <w:sz w:val="19"/>
          <w:szCs w:val="19"/>
          <w:color w:val="auto"/>
        </w:rPr>
        <w:t xml:space="preserve"> together with the amount included in Consolidated Adjusted EBITDA or excluded from Consolidated Net Income, as applicable, in reliance on the other Specified 25% Adjustments, shall not exceed 25% of Consolidated Adjusted EBITDA (calculated after giving full effect to the Specified 5% Adjustment, the Specified 15% Adjustments and the Specified 25% Adjustments and all other permitted pro forma adjustments) (it being understood that such cap will not apply to (A) except as provided in this proviso, any other provision of the definition of “Consolidated Adjusted EBITDA” or (B) any amount relating to (1) any adjustment identified in the Financial Model (without regard to the amounts or time periods therein) or</w:t>
      </w:r>
    </w:p>
    <w:p>
      <w:pPr>
        <w:spacing w:after="0" w:line="3"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 forma adjustment consistent with Regulation S-X under the Securities Act);</w:t>
      </w:r>
    </w:p>
    <w:p>
      <w:pPr>
        <w:spacing w:after="0" w:line="166"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write-off or amortization made of any deferred financing cost and/or premium paid and (ii) any Charge attributable to the early extinguishment of Indebtedness (and the termination of any associated Hedge Agreement);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51"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non-recurring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to the extent that any such Charge is a cash charge, such Charge shall only be excluded to the extent the same is funded with net cash proceeds contributed to relevant Person as a capital contribution or as a result of the sale or issuance of Qualified Capital Stock;</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(other than recurring Public Company Costs) that is established, adjusted and/or incurred, as applicable,</w:t>
      </w:r>
    </w:p>
    <w:p>
      <w:pPr>
        <w:jc w:val="both"/>
        <w:ind w:left="660"/>
        <w:spacing w:after="0" w:line="2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 (iii) as a result of any change in, or the adoption or modification of, accounting principles and/or policies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39" w:name="page140"/>
    <w:bookmarkEnd w:id="139"/>
    <w:p>
      <w:pPr>
        <w:jc w:val="both"/>
        <w:ind w:left="660" w:firstLine="644"/>
        <w:spacing w:after="0" w:line="212" w:lineRule="auto"/>
        <w:tabs>
          <w:tab w:leader="none" w:pos="195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assets,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Investment or the amortization or write-off of any amount thereof, and (ii) the cumulative effect of changes (effected through cumulative effect adjustment or retroactive application) in, and/or any change resulting from the adoption or modification of, accounting principles or policies made in such period in accordance with GAAP which affect Consolidated Net Income (except that, if such Person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spacing w:after="0" w:line="15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4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realized or unrealized gain and/or loss in the fair market value of (A) any obligation under any Hedge Agreement as determined in accordance with GAAP and/or (B) any other derivative instrument pursuant to, in the case of this </w:t>
      </w:r>
      <w:r>
        <w:rPr>
          <w:rFonts w:ascii="Times New Roman" w:cs="Times New Roman" w:eastAsia="Times New Roman" w:hAnsi="Times New Roman"/>
          <w:sz w:val="19"/>
          <w:szCs w:val="19"/>
          <w:u w:val="single" w:color="auto"/>
          <w:color w:val="auto"/>
        </w:rPr>
        <w:t>clause</w:t>
      </w:r>
    </w:p>
    <w:p>
      <w:pPr>
        <w:jc w:val="both"/>
        <w:ind w:left="660"/>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Financial Accounting Standards Board’s Accounting Standards Codification No. 815-Derivatives and Hedging, and/or (ii) any realized or unrealized foreign currency translation or transaction gain or loss (including any currency re-measurement of Indebtedness, any net gain or loss resulting from Hedge Agreements for currency exchange risk associated with the foregoing or any other currency related risk and any gain or loss resulting from any intercompany Indebtedness, any foreign currency translation or transaction or any other currency-related risk);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herein, any realized gain or loss in respect of any Designated Operational FX Hedge shall be included in the calculation of Consolidated Net Income;</w:t>
      </w:r>
    </w:p>
    <w:p>
      <w:pPr>
        <w:spacing w:after="0" w:line="163" w:lineRule="exact"/>
        <w:rPr>
          <w:rFonts w:ascii="Times New Roman" w:cs="Times New Roman" w:eastAsia="Times New Roman" w:hAnsi="Times New Roman"/>
          <w:sz w:val="19"/>
          <w:szCs w:val="19"/>
          <w:color w:val="auto"/>
        </w:rPr>
      </w:pPr>
    </w:p>
    <w:p>
      <w:pPr>
        <w:ind w:left="660" w:firstLine="644"/>
        <w:spacing w:after="0"/>
        <w:tabs>
          <w:tab w:leader="none" w:pos="194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deferred Tax expense associated with any tax deduction or net operating loss arising as a result of the Transactions, or the release of any valuation allowance related to any such item;</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non-recurring non-cash (and, with respect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cash) Charge (including any implementation Charge) (other than any write-down of current assets) (including non-cash compensation expense and any amount representing any non-cash adjustment) required by the application of (i) FASB Statement No. 144, (ii) FASB Statement No. 141R, (iii) FASB Statement No. 142 and (iv) Accounting Standards Update No. 2014-09,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4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non-recurring cash Charge required by the application of FASB Statement No. 141R to be expensed by such Person and/or any Restricted Subsidiary during the applicable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Charges excluded from Consolidated Net Income pursuant to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together with the amount included in Consolidated Adjusted EBITDA or excluded from Consolidated Net Income, as applicable, in reliance on the other Specified 15% Adjustments, shall not exceed 15% of Consolidated Adjusted EBITDA (calculated after giving full effect to the Specified 5% Adjustment, the Specified 15% Adjustments and the Specified 25% Adjustments and all other permitted pro forma adjustments) (it being understood that such cap will not apply to</w:t>
      </w:r>
    </w:p>
    <w:p>
      <w:pPr>
        <w:spacing w:after="0" w:line="2" w:lineRule="exact"/>
        <w:rPr>
          <w:rFonts w:ascii="Times New Roman" w:cs="Times New Roman" w:eastAsia="Times New Roman" w:hAnsi="Times New Roman"/>
          <w:sz w:val="20"/>
          <w:szCs w:val="20"/>
          <w:color w:val="auto"/>
        </w:rPr>
      </w:pPr>
    </w:p>
    <w:p>
      <w:pPr>
        <w:jc w:val="both"/>
        <w:ind w:left="660" w:hanging="4"/>
        <w:spacing w:after="0" w:line="218" w:lineRule="auto"/>
        <w:tabs>
          <w:tab w:leader="none" w:pos="9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this proviso, any other provision of the definition of “Consolidated Adjusted EBITDA” or (B) any amount relating to (1) any adjustment identified in the Financial Model (without regard to the amounts or time periods therein) or (2) any pro forma adjustment consistent with Regulation S-X under the Securities Act); and</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one-time cumulative effect adjustment resulting from any change in accounting for revenue required by Accounting Standards Codification 606 or its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20"/>
          <w:szCs w:val="20"/>
          <w:color w:val="auto"/>
        </w:rPr>
        <w:t>and/or (ii) any non-recurring Charge incurred in connection with the implementation of Accounting Standards Codification 606.</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Restaurant Pre-Opening Costs</w:t>
      </w:r>
      <w:r>
        <w:rPr>
          <w:rFonts w:ascii="Times New Roman" w:cs="Times New Roman" w:eastAsia="Times New Roman" w:hAnsi="Times New Roman"/>
          <w:sz w:val="20"/>
          <w:szCs w:val="20"/>
          <w:color w:val="auto"/>
        </w:rPr>
        <w:t>” means “Start-up Costs” (as such term is defined in SOP 98-5 published by the American Institute of Certified Public Accountants) and other Charges related to the acquisition, opening, conversion and/or organizing of</w:t>
      </w:r>
    </w:p>
    <w:p>
      <w:pPr>
        <w:spacing w:after="0" w:line="212" w:lineRule="auto"/>
        <w:rPr>
          <w:sz w:val="20"/>
          <w:szCs w:val="20"/>
          <w:color w:val="auto"/>
        </w:rPr>
      </w:pPr>
      <w:r>
        <w:rPr>
          <w:rFonts w:ascii="Times New Roman" w:cs="Times New Roman" w:eastAsia="Times New Roman" w:hAnsi="Times New Roman"/>
          <w:sz w:val="20"/>
          <w:szCs w:val="20"/>
          <w:color w:val="auto"/>
        </w:rPr>
        <w:t>new facilities, stores, restaurants and/or other Unit Locations, including the cost of feasibility studies, opening marketing, branding and rent</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expenses, staff training and recruiting and travel costs for employees engaged in such start-up activities, in each case, to the extent such costs and/or Charges are classified as “pre-opening” or “Start-up Costs” in accordance with GAAP.</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Debt</w:t>
      </w:r>
      <w:r>
        <w:rPr>
          <w:rFonts w:ascii="Times New Roman" w:cs="Times New Roman" w:eastAsia="Times New Roman" w:hAnsi="Times New Roman"/>
          <w:sz w:val="20"/>
          <w:szCs w:val="20"/>
          <w:color w:val="auto"/>
        </w:rPr>
        <w:t>” means, as to any Person at any date of determination, the aggregate principal amount of Consolidated Total Debt outstanding on such date that is secured by a Lien on substantially all of the Collateral.</w:t>
      </w:r>
    </w:p>
    <w:p>
      <w:pPr>
        <w:spacing w:after="0" w:line="14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all amounts that would, in conformity with GAAP, be set forth opposite the caption “total assets” (or any like caption) on a consolidated balance sheet of the applicable Person at such date.</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means, as to any Person at any date of determination, (x) the aggregate outstanding principal amount of all third party debt for borrowed money (including LC Disbursements that have not been reimbursed within three Business Days and</w:t>
      </w:r>
    </w:p>
    <w:p>
      <w:pPr>
        <w:spacing w:after="0" w:line="212" w:lineRule="auto"/>
        <w:rPr>
          <w:sz w:val="20"/>
          <w:szCs w:val="20"/>
          <w:color w:val="auto"/>
        </w:rPr>
      </w:pPr>
      <w:r>
        <w:rPr>
          <w:rFonts w:ascii="Times New Roman" w:cs="Times New Roman" w:eastAsia="Times New Roman" w:hAnsi="Times New Roman"/>
          <w:sz w:val="20"/>
          <w:szCs w:val="20"/>
          <w:color w:val="auto"/>
        </w:rPr>
        <w:t>excluding, for the avoidance of doubt, undrawn letters of credit), (y) to extent constituting Indebtedness, obligations in respect of Capital</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Leases and (z) the aggregate outstanding principal amount of all purchase money Indebtedness, in each case, as such amount may be adjusted to reflect the effect (as determined by the Borrower in good faith) of any Debt FX Hedge, calculated on a mark-to-market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11" w:lineRule="auto"/>
        <w:rPr>
          <w:sz w:val="20"/>
          <w:szCs w:val="20"/>
          <w:color w:val="auto"/>
        </w:rPr>
      </w:pPr>
      <w:r>
        <w:rPr>
          <w:rFonts w:ascii="Times New Roman" w:cs="Times New Roman" w:eastAsia="Times New Roman" w:hAnsi="Times New Roman"/>
          <w:sz w:val="20"/>
          <w:szCs w:val="20"/>
          <w:color w:val="auto"/>
        </w:rPr>
        <w:t>“Consolidated Total Debt” shall be calculated (a) net of the Unrestricted Cash Amount (solely to the extent that the Unrestricted Cash</w:t>
      </w:r>
    </w:p>
    <w:p>
      <w:pPr>
        <w:jc w:val="both"/>
        <w:spacing w:after="0" w:line="204" w:lineRule="auto"/>
        <w:rPr>
          <w:sz w:val="20"/>
          <w:szCs w:val="20"/>
          <w:color w:val="auto"/>
        </w:rPr>
      </w:pPr>
      <w:r>
        <w:rPr>
          <w:rFonts w:ascii="Times New Roman" w:cs="Times New Roman" w:eastAsia="Times New Roman" w:hAnsi="Times New Roman"/>
          <w:sz w:val="20"/>
          <w:szCs w:val="20"/>
          <w:color w:val="auto"/>
        </w:rPr>
        <w:t>Amount is in excess of $5,000,000 and the maximum amount of the Unrestricted Cash Amount permitted to be so deducted shall not exceed $75,000,000) and (b) excluding (i) any obligation, liability or indebtedness of such Person if, upon or prior to the maturity thereof,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Person has irrevocably deposited with the proper Person in trust or escrow the necessary funds (or evidences of indebtedness) for the payment, redemption or satisfaction of such obligation, liability or indebtedness, and thereafter such funds and evidences of such obligation,</w:t>
      </w:r>
    </w:p>
    <w:p>
      <w:pPr>
        <w:spacing w:after="0" w:line="211" w:lineRule="auto"/>
        <w:rPr>
          <w:sz w:val="20"/>
          <w:szCs w:val="20"/>
          <w:color w:val="auto"/>
        </w:rPr>
      </w:pPr>
      <w:r>
        <w:rPr>
          <w:rFonts w:ascii="Times New Roman" w:cs="Times New Roman" w:eastAsia="Times New Roman" w:hAnsi="Times New Roman"/>
          <w:sz w:val="20"/>
          <w:szCs w:val="20"/>
          <w:color w:val="auto"/>
        </w:rPr>
        <w:t>liability or indebtedness or other security so deposited are not included in the calculation of the Unrestricted Cash Amount, (ii) any debt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proceeds of which are held in Escrow and (iii) for the avoidance of doubt, any amount owing under, or in respect of, any earn-out obligation and/or any purchase price adjustment.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w:t>
      </w:r>
    </w:p>
    <w:p>
      <w:pPr>
        <w:jc w:val="both"/>
        <w:spacing w:after="0" w:line="221" w:lineRule="auto"/>
        <w:rPr>
          <w:sz w:val="20"/>
          <w:szCs w:val="20"/>
          <w:color w:val="auto"/>
        </w:rPr>
      </w:pPr>
      <w:r>
        <w:rPr>
          <w:rFonts w:ascii="Times New Roman" w:cs="Times New Roman" w:eastAsia="Times New Roman" w:hAnsi="Times New Roman"/>
          <w:sz w:val="20"/>
          <w:szCs w:val="20"/>
          <w:color w:val="auto"/>
        </w:rPr>
        <w:t>mortgage, deed of trust, contract, undertaking, agreement or other instrument to which that Person is a party or by which it or any of its properties is bound or to which it or any of its properties is subject.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Convertible Indebtedness</w:t>
      </w:r>
      <w:r>
        <w:rPr>
          <w:rFonts w:ascii="Times New Roman" w:cs="Times New Roman" w:eastAsia="Times New Roman" w:hAnsi="Times New Roman"/>
          <w:sz w:val="19"/>
          <w:szCs w:val="19"/>
          <w:color w:val="auto"/>
        </w:rPr>
        <w:t>” means Indebtedness of the Parent (which may be guaranteed by any Loan Party) that is (a) not prohibited</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by the terms of this Agreement from being incurred and (b) either (i) convertible into common equity of the Parent (and cash in lieu of fractional shares) and/or cash (in an amount determined by reference to the price of such common equity) or (ii) sold as a unit with any call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option, warrant and/or right to purchase (or any substantially equivalent derivative transaction) that is exercisable for common equity of the Parent and/or cash (in an amount determined by reference to the price of such common equity).</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w:t>
      </w:r>
      <w:r>
        <w:rPr>
          <w:rFonts w:ascii="Times New Roman" w:cs="Times New Roman" w:eastAsia="Times New Roman" w:hAnsi="Times New Roman"/>
          <w:sz w:val="20"/>
          <w:szCs w:val="20"/>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damages or payments for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1" w:name="page142"/>
    <w:bookmarkEnd w:id="141"/>
    <w:p>
      <w:pPr>
        <w:ind w:right="20"/>
        <w:spacing w:after="0"/>
        <w:rPr>
          <w:sz w:val="20"/>
          <w:szCs w:val="20"/>
          <w:color w:val="auto"/>
        </w:rPr>
      </w:pPr>
      <w:r>
        <w:rPr>
          <w:rFonts w:ascii="Times New Roman" w:cs="Times New Roman" w:eastAsia="Times New Roman" w:hAnsi="Times New Roman"/>
          <w:sz w:val="20"/>
          <w:szCs w:val="20"/>
          <w:color w:val="auto"/>
        </w:rPr>
        <w:t>or future infringements for any of the foregoing; (d) the right to sue for past, present, and future infringements of any of the foregoing; and (e) all rights corresponding to any of the foregoing.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Acquisition Increase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Acquisition Increase Period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(a) the making of a Revolving Loan or Swingline Loan (other than any Letter of Credit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Reimbursement Loan or any Revolving Loan resulting from the application of </w:t>
      </w:r>
      <w:r>
        <w:rPr>
          <w:rFonts w:ascii="Times New Roman" w:cs="Times New Roman" w:eastAsia="Times New Roman" w:hAnsi="Times New Roman"/>
          <w:sz w:val="19"/>
          <w:szCs w:val="19"/>
          <w:u w:val="single" w:color="auto"/>
          <w:color w:val="auto"/>
        </w:rPr>
        <w:t>Section 2.04(b)</w:t>
      </w:r>
      <w:r>
        <w:rPr>
          <w:rFonts w:ascii="Times New Roman" w:cs="Times New Roman" w:eastAsia="Times New Roman" w:hAnsi="Times New Roman"/>
          <w:sz w:val="19"/>
          <w:szCs w:val="19"/>
          <w:color w:val="auto"/>
        </w:rPr>
        <w:t>) or (b) the issuance, amendment, modification, renewal or extension of any Letter of Credit (other than any such amendment, modification, renewal or extension that does not increase the</w:t>
      </w:r>
    </w:p>
    <w:p>
      <w:pPr>
        <w:spacing w:after="0"/>
        <w:rPr>
          <w:sz w:val="20"/>
          <w:szCs w:val="20"/>
          <w:color w:val="auto"/>
        </w:rPr>
      </w:pPr>
      <w:r>
        <w:rPr>
          <w:rFonts w:ascii="Times New Roman" w:cs="Times New Roman" w:eastAsia="Times New Roman" w:hAnsi="Times New Roman"/>
          <w:sz w:val="20"/>
          <w:szCs w:val="20"/>
          <w:color w:val="auto"/>
        </w:rPr>
        <w:t>Stated Amount of the relevant Letter of Credit).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Facilities</w:t>
      </w:r>
      <w:r>
        <w:rPr>
          <w:rFonts w:ascii="Times New Roman" w:cs="Times New Roman" w:eastAsia="Times New Roman" w:hAnsi="Times New Roman"/>
          <w:sz w:val="20"/>
          <w:szCs w:val="20"/>
          <w:color w:val="auto"/>
        </w:rPr>
        <w:t>” means the Revolving Facility and the Term Facility.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Customary Bridge Loans</w:t>
      </w:r>
      <w:r>
        <w:rPr>
          <w:rFonts w:ascii="Times New Roman" w:cs="Times New Roman" w:eastAsia="Times New Roman" w:hAnsi="Times New Roman"/>
          <w:sz w:val="20"/>
          <w:szCs w:val="20"/>
          <w:color w:val="auto"/>
        </w:rPr>
        <w:t xml:space="preserve">” means bridge loans with a maturity date of not longer than one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Weighted Average Life to Maturity of any loan, note, security or other Indebtedness which is exchanged for or otherwise replaces (or is to be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exchanged for or otherwise replace) such bridge loans is not shorter than the Weighted Average Life to Maturity of any Class of then-existing Term Loans and (b) the final maturity date of any loan, note, security or other Indebtedness which is exchanged for or otherwise replaces (or</w:t>
      </w:r>
    </w:p>
    <w:p>
      <w:pPr>
        <w:spacing w:after="0" w:line="221" w:lineRule="auto"/>
        <w:rPr>
          <w:sz w:val="20"/>
          <w:szCs w:val="20"/>
          <w:color w:val="auto"/>
        </w:rPr>
      </w:pPr>
      <w:r>
        <w:rPr>
          <w:rFonts w:ascii="Times New Roman" w:cs="Times New Roman" w:eastAsia="Times New Roman" w:hAnsi="Times New Roman"/>
          <w:sz w:val="20"/>
          <w:szCs w:val="20"/>
          <w:color w:val="auto"/>
        </w:rPr>
        <w:t>is to be exchanged for or otherwise replace) such bridge loans is not earlier than the Latest Term Loan Maturity Date on the date of the issuance or incurrence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“Daily Simple SOFR” means, for any day (as used in this definition, a “SOFR Day”), a rate per annum equal to SOFR for the day</w:t>
      </w:r>
    </w:p>
    <w:p>
      <w:pPr>
        <w:ind w:right="20"/>
        <w:spacing w:after="0" w:line="204" w:lineRule="auto"/>
        <w:rPr>
          <w:sz w:val="20"/>
          <w:szCs w:val="20"/>
          <w:color w:val="auto"/>
        </w:rPr>
      </w:pPr>
      <w:r>
        <w:rPr>
          <w:rFonts w:ascii="Times New Roman" w:cs="Times New Roman" w:eastAsia="Times New Roman" w:hAnsi="Times New Roman"/>
          <w:sz w:val="20"/>
          <w:szCs w:val="20"/>
          <w:u w:val="single" w:color="auto"/>
          <w:color w:val="0000FF"/>
        </w:rPr>
        <w:t>that is five U.S. Government Securities Business Days prior to (a) if such SOFR Day is a U.S. Government Securities Business Day, such SOFR Day or (b) if such SOFR Day is not a U.S. Government Securities Business Day, the U.S. Government Securities Business Day</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immediately preceding such SOFR Day, in each case, as SOFR is published by the SOFR Administrator on the SOFR Administrator’s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Website. Any change in Daily Simple SOFR due to a change in SOFR shall be effective from and including the effective date of such change in SOFR without notice to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“Daily Simple SOFR Adjustment” means a percentage equal to 0.10% per annum.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 Minimis Proceeds Threshold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Fund Affiliate</w:t>
      </w:r>
      <w:r>
        <w:rPr>
          <w:rFonts w:ascii="Times New Roman" w:cs="Times New Roman" w:eastAsia="Times New Roman" w:hAnsi="Times New Roman"/>
          <w:sz w:val="20"/>
          <w:szCs w:val="20"/>
          <w:color w:val="auto"/>
        </w:rPr>
        <w:t>” means any Affiliate of a Sponsor (other than a natural person (or any holding company, investment vehicle or trust for, or owned and operated by, or for the primary benefit of, one or more natural persons)) that is a bona fide debt fund or other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investment vehicle (in each case with one or more bona fide investors to whom its managers owe fiduciary duties independent of their fiduciary duties to such Sponsor) that is primarily engaged in, or advises funds or other investment vehicles that are engaged in, making,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purchasing, holding or otherwise investing in commercial loans, bonds and similar extensions of credit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2" w:name="page143"/>
    <w:bookmarkEnd w:id="142"/>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FX Hedge</w:t>
      </w:r>
      <w:r>
        <w:rPr>
          <w:rFonts w:ascii="Times New Roman" w:cs="Times New Roman" w:eastAsia="Times New Roman" w:hAnsi="Times New Roman"/>
          <w:sz w:val="20"/>
          <w:szCs w:val="20"/>
          <w:color w:val="auto"/>
        </w:rPr>
        <w:t>” means any Hedge Agreement entered into for the purpose of hedging currency related risks in respect of any Indebtedness of the type described in the definition of “Consolidated Total Debt”.</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upon notice, lapse of time or both would become an Event of Default.</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Person that has (a) defaulted in (or is otherwise unable to perform) its obligations under this Agreement, including its obligations, (x) to make a Loan within two Business Days of the date required to be made by it hereunder or (y) to</w:t>
      </w:r>
    </w:p>
    <w:p>
      <w:pPr>
        <w:spacing w:after="0" w:line="224" w:lineRule="auto"/>
        <w:rPr>
          <w:sz w:val="20"/>
          <w:szCs w:val="20"/>
          <w:color w:val="auto"/>
        </w:rPr>
      </w:pPr>
      <w:r>
        <w:rPr>
          <w:rFonts w:ascii="Times New Roman" w:cs="Times New Roman" w:eastAsia="Times New Roman" w:hAnsi="Times New Roman"/>
          <w:sz w:val="19"/>
          <w:szCs w:val="19"/>
          <w:color w:val="auto"/>
        </w:rPr>
        <w:t>fund its participation in a Letter of Credit or Swingline Loan required to be funded by it hereunder within two Business Days of the date such</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obligation arose or such Loan or Letter of Credit or Swingline Loan was required to be made or funded, unless, in the case of </w:t>
      </w:r>
      <w:r>
        <w:rPr>
          <w:rFonts w:ascii="Times New Roman" w:cs="Times New Roman" w:eastAsia="Times New Roman" w:hAnsi="Times New Roman"/>
          <w:sz w:val="19"/>
          <w:szCs w:val="19"/>
          <w:u w:val="single" w:color="auto"/>
          <w:color w:val="auto"/>
        </w:rPr>
        <w:t>subclause (x)</w:t>
      </w:r>
      <w:r>
        <w:rPr>
          <w:rFonts w:ascii="Times New Roman" w:cs="Times New Roman" w:eastAsia="Times New Roman" w:hAnsi="Times New Roman"/>
          <w:sz w:val="19"/>
          <w:szCs w:val="19"/>
          <w:color w:val="auto"/>
        </w:rPr>
        <w:t xml:space="preserve"> above, such Person notifies the Administrative Agent in writing that such failure is the result of such Person’s good faith determination that a</w:t>
      </w:r>
    </w:p>
    <w:p>
      <w:pPr>
        <w:spacing w:after="0" w:line="211" w:lineRule="auto"/>
        <w:rPr>
          <w:sz w:val="20"/>
          <w:szCs w:val="20"/>
          <w:color w:val="auto"/>
        </w:rPr>
      </w:pPr>
      <w:r>
        <w:rPr>
          <w:rFonts w:ascii="Times New Roman" w:cs="Times New Roman" w:eastAsia="Times New Roman" w:hAnsi="Times New Roman"/>
          <w:sz w:val="20"/>
          <w:szCs w:val="20"/>
          <w:color w:val="auto"/>
        </w:rPr>
        <w:t>condition precedent to funding (specifically identified and including the particular default, if any) has not been satisfied, (b) notified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any Issuing Bank or the Swingline Lender or the Borrower in writing that it does not intend to satisfy or perform any such obligation or has made a public statement to the effect that it does not intend to comply with its funding or other obligations under this</w:t>
      </w:r>
    </w:p>
    <w:p>
      <w:pPr>
        <w:spacing w:after="0" w:line="211" w:lineRule="auto"/>
        <w:rPr>
          <w:sz w:val="20"/>
          <w:szCs w:val="20"/>
          <w:color w:val="auto"/>
        </w:rPr>
      </w:pPr>
      <w:r>
        <w:rPr>
          <w:rFonts w:ascii="Times New Roman" w:cs="Times New Roman" w:eastAsia="Times New Roman" w:hAnsi="Times New Roman"/>
          <w:sz w:val="20"/>
          <w:szCs w:val="20"/>
          <w:color w:val="auto"/>
        </w:rPr>
        <w:t>Agreement or under agreements in which it commits to extend credit generally (unless such writing indicates that such position is based 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Person’s good faith determination that a condition precedent (specifically identified and including the particular default, if any) to funding a Loan cannot be satisfied), (c) failed, within two Business Days after the request of the Administrative Agent or the Borrower,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confirm in writing that it will comply with the terms of this Agreement relating to its obligations to fund any prospective Loan and/or any participation in any then outstanding Letter of Credit or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Person shall cease to be a Defaulting Lender</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(d) become (or any parent company thereof</w:t>
      </w:r>
    </w:p>
    <w:p>
      <w:pPr>
        <w:jc w:val="both"/>
        <w:spacing w:after="0" w:line="204" w:lineRule="auto"/>
        <w:rPr>
          <w:sz w:val="20"/>
          <w:szCs w:val="20"/>
          <w:color w:val="auto"/>
        </w:rPr>
      </w:pPr>
      <w:r>
        <w:rPr>
          <w:rFonts w:ascii="Times New Roman" w:cs="Times New Roman" w:eastAsia="Times New Roman" w:hAnsi="Times New Roman"/>
          <w:sz w:val="20"/>
          <w:szCs w:val="20"/>
          <w:color w:val="auto"/>
        </w:rPr>
        <w:t>has become) insolvent or been determined by any Governmental Authority having regulatory authority over such Person or its assets, to be insolvent, or the assets or management of which has been taken over by any Governmental Authority or (e)(i) become (or any parent</w:t>
      </w:r>
    </w:p>
    <w:p>
      <w:pPr>
        <w:spacing w:after="0" w:line="223" w:lineRule="auto"/>
        <w:rPr>
          <w:sz w:val="20"/>
          <w:szCs w:val="20"/>
          <w:color w:val="auto"/>
        </w:rPr>
      </w:pPr>
      <w:r>
        <w:rPr>
          <w:rFonts w:ascii="Times New Roman" w:cs="Times New Roman" w:eastAsia="Times New Roman" w:hAnsi="Times New Roman"/>
          <w:sz w:val="19"/>
          <w:szCs w:val="19"/>
          <w:color w:val="auto"/>
        </w:rPr>
        <w:t>company thereof has become) either the subject of (A) a bankruptcy or insolvency proceeding or (B) a Bail-In Action, (ii) has had a receiver,</w:t>
      </w:r>
    </w:p>
    <w:p>
      <w:pPr>
        <w:jc w:val="both"/>
        <w:spacing w:after="0" w:line="215" w:lineRule="auto"/>
        <w:rPr>
          <w:sz w:val="20"/>
          <w:szCs w:val="20"/>
          <w:color w:val="auto"/>
        </w:rPr>
      </w:pPr>
      <w:r>
        <w:rPr>
          <w:rFonts w:ascii="Times New Roman" w:cs="Times New Roman" w:eastAsia="Times New Roman" w:hAnsi="Times New Roman"/>
          <w:sz w:val="19"/>
          <w:szCs w:val="19"/>
          <w:color w:val="auto"/>
        </w:rPr>
        <w:t>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in, any such proceeding or appointment, unless in the case of any Person subject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the Borrower and the Administrative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Agent have each determined that such Person intends, and has all approvals required to enable it (in form and substance satisfactory to the Borrower and the Administrative Agent), to continue to perform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Person shall be deemed to be a</w:t>
      </w:r>
    </w:p>
    <w:p>
      <w:pPr>
        <w:spacing w:after="0" w:line="211" w:lineRule="auto"/>
        <w:rPr>
          <w:sz w:val="20"/>
          <w:szCs w:val="20"/>
          <w:color w:val="auto"/>
        </w:rPr>
      </w:pPr>
      <w:r>
        <w:rPr>
          <w:rFonts w:ascii="Times New Roman" w:cs="Times New Roman" w:eastAsia="Times New Roman" w:hAnsi="Times New Roman"/>
          <w:sz w:val="20"/>
          <w:szCs w:val="20"/>
          <w:color w:val="auto"/>
        </w:rPr>
        <w:t>Defaulting Lender solely by virtue of the ownership or acquisition of any Capital Stock in such Person or its parent by any Governmental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action does not result in or provide such Person with immunity from the jurisdiction of courts within the US or from the enforcement of judgments or writs of attachment on its assets or permit such Person (or such Governmental Authority) to reject,</w:t>
      </w:r>
    </w:p>
    <w:p>
      <w:pPr>
        <w:spacing w:after="0" w:line="211" w:lineRule="auto"/>
        <w:rPr>
          <w:sz w:val="20"/>
          <w:szCs w:val="20"/>
          <w:color w:val="auto"/>
        </w:rPr>
      </w:pPr>
      <w:r>
        <w:rPr>
          <w:rFonts w:ascii="Times New Roman" w:cs="Times New Roman" w:eastAsia="Times New Roman" w:hAnsi="Times New Roman"/>
          <w:sz w:val="20"/>
          <w:szCs w:val="20"/>
          <w:color w:val="auto"/>
        </w:rPr>
        <w:t>repudiate, disavow or disaffirm any contract or agreement to which such Person is a party. In the event that the Administrative Agent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determines that any Person is a Defaulting Lender pursuant to the foregoing, such determination shall be conclusive and binding absent manifest error, and such Person shall be deemed to be a Defaulting Lender (subject to </w:t>
      </w:r>
      <w:r>
        <w:rPr>
          <w:rFonts w:ascii="Times New Roman" w:cs="Times New Roman" w:eastAsia="Times New Roman" w:hAnsi="Times New Roman"/>
          <w:sz w:val="20"/>
          <w:szCs w:val="20"/>
          <w:u w:val="single" w:color="auto"/>
          <w:color w:val="auto"/>
        </w:rPr>
        <w:t>Section 2.21(e</w:t>
      </w:r>
      <w:r>
        <w:rPr>
          <w:rFonts w:ascii="Times New Roman" w:cs="Times New Roman" w:eastAsia="Times New Roman" w:hAnsi="Times New Roman"/>
          <w:sz w:val="20"/>
          <w:szCs w:val="20"/>
          <w:color w:val="auto"/>
        </w:rPr>
        <w:t>)) as of the date established therefor by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the Administrative Agent in a written notice of such determination, which shall be delivered by the Administrative Agent to the Borrower, each Issuing Bank, the Swingline Lender and each Lender promptly following such determination.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Divided LLC</w:t>
      </w:r>
      <w:r>
        <w:rPr>
          <w:rFonts w:ascii="Times New Roman" w:cs="Times New Roman" w:eastAsia="Times New Roman" w:hAnsi="Times New Roman"/>
          <w:sz w:val="20"/>
          <w:szCs w:val="20"/>
          <w:color w:val="auto"/>
        </w:rPr>
        <w:t>” means any Delaware LLC which has been formed upon the consummation of a Delaware LLC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16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Transaction</w:t>
      </w:r>
      <w:r>
        <w:rPr>
          <w:rFonts w:ascii="Times New Roman" w:cs="Times New Roman" w:eastAsia="Times New Roman" w:hAnsi="Times New Roman"/>
          <w:sz w:val="20"/>
          <w:szCs w:val="20"/>
          <w:color w:val="auto"/>
        </w:rPr>
        <w:t>” means (a) any interest-rate transaction, including any interest-rate swap, basis swap, forward rate agreement, interest rate option (including a cap, collar or floor), and any other instrument linked to interest rates that gives rise to similar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credit risks (including when-issued securities and forward deposits accepted), (b) any exchange-rate transaction, including any cross-currency interest-rate swap, any forward foreign-exchange contract, any currency option, and any other instrument linked to exchange rates that gives</w:t>
      </w:r>
    </w:p>
    <w:p>
      <w:pPr>
        <w:spacing w:after="0" w:line="211" w:lineRule="auto"/>
        <w:rPr>
          <w:sz w:val="20"/>
          <w:szCs w:val="20"/>
          <w:color w:val="auto"/>
        </w:rPr>
      </w:pPr>
      <w:r>
        <w:rPr>
          <w:rFonts w:ascii="Times New Roman" w:cs="Times New Roman" w:eastAsia="Times New Roman" w:hAnsi="Times New Roman"/>
          <w:sz w:val="20"/>
          <w:szCs w:val="20"/>
          <w:color w:val="auto"/>
        </w:rPr>
        <w:t>rise to similar credit risks, (c) any equity derivative transaction, including any equity-linked swap, any equity-linked option, any forward</w:t>
      </w:r>
    </w:p>
    <w:p>
      <w:pPr>
        <w:spacing w:after="0" w:line="215" w:lineRule="auto"/>
        <w:rPr>
          <w:sz w:val="20"/>
          <w:szCs w:val="20"/>
          <w:color w:val="auto"/>
        </w:rPr>
      </w:pPr>
      <w:r>
        <w:rPr>
          <w:rFonts w:ascii="Times New Roman" w:cs="Times New Roman" w:eastAsia="Times New Roman" w:hAnsi="Times New Roman"/>
          <w:sz w:val="19"/>
          <w:szCs w:val="19"/>
          <w:color w:val="auto"/>
        </w:rPr>
        <w:t>equity-linked contract, and any other instrument linked to equities that gives rise to similar credit risk and (d) any commodity (including precious metal) derivative transaction, including any commodity-linked swap, any commodity-linked option, any forward commodity-linked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contract, and any other instrument linked to commodities that gives rise to similar credit risks;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providing for payments only on account of services provided by current or former directors, officers, employees, members of management, managers or consultants of the Borrower or its subsidiaries shall be a Derivative Transaction.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(as determined by the Borrower in good faith) of non-Cash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consideration received by the Borrower or any Restricted Subsidiary in connection with any Disposition pursuant to </w:t>
      </w:r>
      <w:r>
        <w:rPr>
          <w:rFonts w:ascii="Times New Roman" w:cs="Times New Roman" w:eastAsia="Times New Roman" w:hAnsi="Times New Roman"/>
          <w:sz w:val="19"/>
          <w:szCs w:val="19"/>
          <w:u w:val="single" w:color="auto"/>
          <w:color w:val="auto"/>
        </w:rPr>
        <w:t>Section 6.07(h)</w:t>
      </w:r>
      <w:r>
        <w:rPr>
          <w:rFonts w:ascii="Times New Roman" w:cs="Times New Roman" w:eastAsia="Times New Roman" w:hAnsi="Times New Roman"/>
          <w:sz w:val="19"/>
          <w:szCs w:val="19"/>
          <w:color w:val="auto"/>
        </w:rPr>
        <w:t xml:space="preserve"> that is designated as Designated Non-Cash Consideration pursuant to a certificate of a Responsible Officer of the Borrower, setting forth the basis of</w:t>
      </w:r>
    </w:p>
    <w:p>
      <w:pPr>
        <w:spacing w:after="0" w:line="221" w:lineRule="auto"/>
        <w:rPr>
          <w:sz w:val="20"/>
          <w:szCs w:val="20"/>
          <w:color w:val="auto"/>
        </w:rPr>
      </w:pPr>
      <w:r>
        <w:rPr>
          <w:rFonts w:ascii="Times New Roman" w:cs="Times New Roman" w:eastAsia="Times New Roman" w:hAnsi="Times New Roman"/>
          <w:sz w:val="20"/>
          <w:szCs w:val="20"/>
          <w:color w:val="auto"/>
        </w:rPr>
        <w:t>such valuation (which amount will be reduced by the amount of Cash or Cash Equivalents received in connection with a subsequent sale or conversion of such Designated Non-Cash Consideration to Cash or Cash Equivalents).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Operational FX Hedge</w:t>
      </w:r>
      <w:r>
        <w:rPr>
          <w:rFonts w:ascii="Times New Roman" w:cs="Times New Roman" w:eastAsia="Times New Roman" w:hAnsi="Times New Roman"/>
          <w:sz w:val="19"/>
          <w:szCs w:val="19"/>
          <w:color w:val="auto"/>
        </w:rPr>
        <w:t>” means any Hedge Agreement (a) entered into for the purpose of hedging currency-related risks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respect of the revenues, cash flows or other balance sheet items of the Borrower and/or any of its subsidiaries and (b) designated at the time entered into (or on or prior to the Closing Date, with respect to any Hedge Agreement entered into on or prior to the Closing Date)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 Operational FX Hedge by the Borrower in a writing delivered to the Administrative Agent.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Discretionary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5.12(c)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lease, sublease, or other disposition of any property of any Person, including any disposition of property to a Delaware Divided LLC pursuant to a Delaware LLC Division.</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Capital Stock</w:t>
      </w:r>
      <w:r>
        <w:rPr>
          <w:rFonts w:ascii="Times New Roman" w:cs="Times New Roman" w:eastAsia="Times New Roman" w:hAnsi="Times New Roman"/>
          <w:sz w:val="19"/>
          <w:szCs w:val="19"/>
          <w:color w:val="auto"/>
        </w:rPr>
        <w:t>” means any Capital Stock which, by its terms (or by the terms of any security into which it is convertible or for which it is exchangeable), or upon the happening of any event, (a) matures (excluding any maturity as the result of an optional</w:t>
      </w:r>
    </w:p>
    <w:p>
      <w:pPr>
        <w:spacing w:after="0" w:line="222" w:lineRule="auto"/>
        <w:rPr>
          <w:sz w:val="20"/>
          <w:szCs w:val="20"/>
          <w:color w:val="auto"/>
        </w:rPr>
      </w:pPr>
      <w:r>
        <w:rPr>
          <w:rFonts w:ascii="Times New Roman" w:cs="Times New Roman" w:eastAsia="Times New Roman" w:hAnsi="Times New Roman"/>
          <w:sz w:val="19"/>
          <w:szCs w:val="19"/>
          <w:color w:val="auto"/>
        </w:rPr>
        <w:t>redemption by the issuer thereof) or is mandatorily redeemable (other than for Qualified Capital Stock), pursuant to a sinking fund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otherwise, or is redeemable at the option of the holder thereof (other than for Qualified Capital Stock), in whole or in part, on or prior to the date that is 91 days following the Latest Maturity Date at the time such Capital Stock is issued (it being understood that if any such</w:t>
      </w:r>
    </w:p>
    <w:p>
      <w:pPr>
        <w:spacing w:after="0" w:line="211" w:lineRule="auto"/>
        <w:rPr>
          <w:sz w:val="20"/>
          <w:szCs w:val="20"/>
          <w:color w:val="auto"/>
        </w:rPr>
      </w:pPr>
      <w:r>
        <w:rPr>
          <w:rFonts w:ascii="Times New Roman" w:cs="Times New Roman" w:eastAsia="Times New Roman" w:hAnsi="Times New Roman"/>
          <w:sz w:val="20"/>
          <w:szCs w:val="20"/>
          <w:color w:val="auto"/>
        </w:rPr>
        <w:t>redemption is in part, only such part coming into effect prior to the date that is 91 days following the Latest Maturity Date shall constitute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Disqualified Capital Stock), (b) is or becomes convertible into or exchangeable (unless at the sole option of the issuer thereof) for (i) debt securities or (ii) any Capital Stock that would constitute Disqualified Capital Stock, in each case at any time on or prior to the date that is 91</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days following the Latest Maturity Date at the time such Capital Stock is issued or (c) contains any mandatory repurchase obligation (other than for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Capital Stock), in whole or in part, which may come into effect prior to the date that is 91 days following the Latest Maturity Date at the time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Capital Stock is issued (it being understood that if any such repurchase obligation is in part, only such part coming into effect prior to the date that is 91 days following the Latest Maturity Date shall constitute Disqualified Capital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(x) Capital Stock</w:t>
      </w:r>
    </w:p>
    <w:p>
      <w:pPr>
        <w:spacing w:after="0" w:line="211" w:lineRule="auto"/>
        <w:rPr>
          <w:sz w:val="20"/>
          <w:szCs w:val="20"/>
          <w:color w:val="auto"/>
        </w:rPr>
      </w:pPr>
      <w:r>
        <w:rPr>
          <w:rFonts w:ascii="Times New Roman" w:cs="Times New Roman" w:eastAsia="Times New Roman" w:hAnsi="Times New Roman"/>
          <w:sz w:val="20"/>
          <w:szCs w:val="20"/>
          <w:color w:val="auto"/>
        </w:rPr>
        <w:t>that would not constitute Disqualified Capital Stock but for provisions thereof giving holders thereof (or the holders of any security into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which such Capital Stock is convertible, exchangeable or exercisable) the right to require the issuer thereof to redeem such Capital Stock upon the occurrence of any change of control or any other liquidity event or any Disposition occurring prior to the date that is 91 days</w:t>
      </w:r>
    </w:p>
    <w:p>
      <w:pPr>
        <w:spacing w:after="0" w:line="211" w:lineRule="auto"/>
        <w:rPr>
          <w:sz w:val="20"/>
          <w:szCs w:val="20"/>
          <w:color w:val="auto"/>
        </w:rPr>
      </w:pPr>
      <w:r>
        <w:rPr>
          <w:rFonts w:ascii="Times New Roman" w:cs="Times New Roman" w:eastAsia="Times New Roman" w:hAnsi="Times New Roman"/>
          <w:sz w:val="20"/>
          <w:szCs w:val="20"/>
          <w:color w:val="auto"/>
        </w:rPr>
        <w:t>following the Latest Maturity Date at the time such Capital Stock is issued shall not constitute Disqualified Capital Stock if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documentation governing such Capital Stock provides that the issuer thereof will not redeem any such Capital Stock pursuant to such provisions unless either (1) the relevant redemption is permitted by the terms of this Agreement or (2) the Termination Date has occurred and</w:t>
      </w:r>
    </w:p>
    <w:p>
      <w:pPr>
        <w:jc w:val="both"/>
        <w:ind w:firstLine="8"/>
        <w:spacing w:after="0" w:line="218" w:lineRule="auto"/>
        <w:tabs>
          <w:tab w:leader="none" w:pos="29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the preceding sentence, (A) if such Capital Stock is issued pursuant to any plan for the benefit of directors, officers,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employees, members of management, managers or consultants or by any such plan to such directors, officers, employees, members of management, managers or consultants, in each case in the ordinary course of business of the Borrower or any Restricted Subsidiary and/or</w:t>
      </w:r>
    </w:p>
    <w:p>
      <w:pPr>
        <w:spacing w:after="0" w:line="211" w:lineRule="auto"/>
        <w:rPr>
          <w:sz w:val="20"/>
          <w:szCs w:val="20"/>
          <w:color w:val="auto"/>
        </w:rPr>
      </w:pPr>
      <w:r>
        <w:rPr>
          <w:rFonts w:ascii="Times New Roman" w:cs="Times New Roman" w:eastAsia="Times New Roman" w:hAnsi="Times New Roman"/>
          <w:sz w:val="20"/>
          <w:szCs w:val="20"/>
          <w:color w:val="auto"/>
        </w:rPr>
        <w:t>any Parent Company, such Capital Stock shall not constitute Disqualified Capital Stock solely because it may be required to be repurchased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the issuer thereof in order to satisfy applicable statutory or regulatory obligations and (B) no Capital Stock held by any future, present or former employee, director, officer, manager, member of management or consultant (or their respective Affiliates or Immediate Family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Members) of the Borrower (or any Parent Company or any subsidiary) shall be considered Disqualified Capital Stock because such stock is redeemable or subject to repurchase pursuant to any management equity subscription agreement, stock option, stock appreciation right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stock award agreement, stock ownership plan, put agreement, stockholder agreement or similar agreement that may be in effect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jc w:val="both"/>
        <w:ind w:left="660" w:firstLine="644"/>
        <w:spacing w:after="0" w:line="216" w:lineRule="auto"/>
        <w:tabs>
          <w:tab w:leader="none" w:pos="195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Person identified in writing to the Arrangers on or prior to the Closing Date, (ii) any Person that is identified in writing to the Administrative Agent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Person so identified after the Closing Date must be reasonably acceptable to the Administrative Agent), (iii) any Affiliate of any Person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that is reasonably identifiable on the basis of such Person’s name as an Affiliate of such Person, and (iv) any other Affiliate of any Person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that is identified in a written notice to the Administrative Agent (each such person, a “</w:t>
      </w:r>
      <w:r>
        <w:rPr>
          <w:rFonts w:ascii="Times New Roman" w:cs="Times New Roman" w:eastAsia="Times New Roman" w:hAnsi="Times New Roman"/>
          <w:sz w:val="20"/>
          <w:szCs w:val="20"/>
          <w:u w:val="single" w:color="auto"/>
          <w:color w:val="auto"/>
        </w:rPr>
        <w:t>Disqualified Lending Institution</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(i) any Person that is or becomes a Company Competitor and/or any Affiliate of any Company Competitor (other</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than a Competitor Debt Fund Affiliate), in each case, that is identified in writing to the Administrative Agent, (ii) any Affiliate of any Person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(other than any Competitor Debt Fund Affiliate) that is reasonably identifiable on the basis of</w:t>
      </w:r>
    </w:p>
    <w:p>
      <w:pPr>
        <w:ind w:left="660"/>
        <w:spacing w:after="0" w:line="222" w:lineRule="auto"/>
        <w:rPr>
          <w:sz w:val="20"/>
          <w:szCs w:val="20"/>
          <w:color w:val="auto"/>
        </w:rPr>
      </w:pPr>
      <w:r>
        <w:rPr>
          <w:rFonts w:ascii="Times New Roman" w:cs="Times New Roman" w:eastAsia="Times New Roman" w:hAnsi="Times New Roman"/>
          <w:sz w:val="19"/>
          <w:szCs w:val="19"/>
          <w:color w:val="auto"/>
        </w:rPr>
        <w:t xml:space="preserve">such Person’s name as an Affiliate of such Person and (iii) any other Affiliate of any Person described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that</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 xml:space="preserve">is identified in a written notice to the Administrative Agent; it being understood and agreed that no Competitor Debt Fund Affiliate of any Company Competitor may be designated as a Disqualified Institution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and</w:t>
      </w:r>
    </w:p>
    <w:p>
      <w:pPr>
        <w:spacing w:after="0" w:line="162" w:lineRule="exact"/>
        <w:rPr>
          <w:sz w:val="20"/>
          <w:szCs w:val="20"/>
          <w:color w:val="auto"/>
        </w:rPr>
      </w:pPr>
    </w:p>
    <w:p>
      <w:pPr>
        <w:ind w:left="660" w:right="20" w:firstLine="648"/>
        <w:spacing w:after="0"/>
        <w:rPr>
          <w:sz w:val="20"/>
          <w:szCs w:val="20"/>
          <w:color w:val="auto"/>
        </w:rPr>
      </w:pPr>
      <w:r>
        <w:rPr>
          <w:rFonts w:ascii="Times New Roman" w:cs="Times New Roman" w:eastAsia="Times New Roman" w:hAnsi="Times New Roman"/>
          <w:sz w:val="20"/>
          <w:szCs w:val="20"/>
          <w:color w:val="auto"/>
        </w:rPr>
        <w:t xml:space="preserve">(ac) any Affiliate or Representative of any Arranger and/or any Initial Lender that is engaged as a principal primarily in private equity, mezzanine financing or venture capital (any Person described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Excluded Party</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written notice delivered pursuant to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above shall apply retroactively to disqualify any person that has acquired or agreed to acquire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delivery of such notice (i) an assignment of an interest in the Loans pursuant to a fully executed Assignment and Assumption (including any</w:t>
      </w:r>
    </w:p>
    <w:p>
      <w:pPr>
        <w:spacing w:after="0" w:line="221" w:lineRule="auto"/>
        <w:rPr>
          <w:sz w:val="20"/>
          <w:szCs w:val="20"/>
          <w:color w:val="auto"/>
        </w:rPr>
      </w:pPr>
      <w:r>
        <w:rPr>
          <w:rFonts w:ascii="Times New Roman" w:cs="Times New Roman" w:eastAsia="Times New Roman" w:hAnsi="Times New Roman"/>
          <w:sz w:val="20"/>
          <w:szCs w:val="20"/>
          <w:color w:val="auto"/>
        </w:rPr>
        <w:t>consents thereto required hereby) or (ii) a participation interest in the Loans pursuant to a fully executed participation agreement that provides for “participation” only (including any consents thereto required hereby).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Borrower shall be permitted to remove any Person from the list of Disqualified Institutions;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after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removal of such Person, the Borrower shall be permitted to re-designate such Person as a Disqualified Institution without the consent of the Administrative Agent or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Lending Institution</w:t>
      </w:r>
      <w:r>
        <w:rPr>
          <w:rFonts w:ascii="Times New Roman" w:cs="Times New Roman" w:eastAsia="Times New Roman" w:hAnsi="Times New Roman"/>
          <w:sz w:val="20"/>
          <w:szCs w:val="20"/>
          <w:color w:val="auto"/>
        </w:rPr>
        <w:t>” has the meaning assigned to such term in the definition of “Disqualified Institution”.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9.05(f)(ii)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Borrower incorporated or organized under the laws of the US, any state thereof or the District of Columbia.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xml:space="preserve">” has the meaning assigned to such term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(or, to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extent that the United Kingdom is not an EEA Member Country, the United Kingdom), which is subject to the supervision of a Resolution Authority, (b) any entity established in an EEA Member Country (or, to the extent that the United Kingdom is not an EEA Member Country,</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the United Kingdom), which is a parent of an institution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definition, or (c) any financial institution established in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an EEA Member Country (or, to the extent that the United Kingdom is not an EEA Member Country, the United Kingdom),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any Lender, (b) any commercial bank, insurance company, or finance company, financial institution,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fund that invests in loans or any other “accredited investor” (as defined in Regulation D of the Securities Act), (c) any Affiliate of any Lender, (d) any Approved Fund of any Lender and (e) to the extent permitted under </w:t>
      </w:r>
      <w:r>
        <w:rPr>
          <w:rFonts w:ascii="Times New Roman" w:cs="Times New Roman" w:eastAsia="Times New Roman" w:hAnsi="Times New Roman"/>
          <w:sz w:val="19"/>
          <w:szCs w:val="19"/>
          <w:u w:val="single" w:color="auto"/>
          <w:color w:val="auto"/>
        </w:rPr>
        <w:t>Section 9.05(g)</w:t>
      </w:r>
      <w:r>
        <w:rPr>
          <w:rFonts w:ascii="Times New Roman" w:cs="Times New Roman" w:eastAsia="Times New Roman" w:hAnsi="Times New Roman"/>
          <w:sz w:val="19"/>
          <w:szCs w:val="19"/>
          <w:color w:val="auto"/>
        </w:rPr>
        <w:t>, any Affiliated Lender or any Debt Fund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“Eligible Assignee” shall not include (i) any natural person (or any holding company, investment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vehicle or trust for, or owned and operated by, or for the primary benefit of, one or more natural persons), (ii) any Disqualified Institution or (iii) except as permitted under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the Borrower or any of its Affiliates.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 means the Engagement Letter, dated as of September 15, 2021, by and among the Borrower and BofA Securities, Inc. (and/or certain of their respective Affiliates).</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land surface and subsurface strata &amp; natural resources such as wetlands, flora and fauna.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Claim</w:t>
      </w:r>
      <w:r>
        <w:rPr>
          <w:rFonts w:ascii="Times New Roman" w:cs="Times New Roman" w:eastAsia="Times New Roman" w:hAnsi="Times New Roman"/>
          <w:sz w:val="19"/>
          <w:szCs w:val="19"/>
          <w:color w:val="auto"/>
        </w:rPr>
        <w:t>” means any investigation, notice, notice of violation, claim, action, suit, proceeding, demand, abatement order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other order or directive (conditional or otherwise), by any Governmental Authority or any other Person, arising (a) pursuant to or in connection with any actual or alleged violation of any Environmental Law; (b) in connection with any Hazardous Material or any actual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alleged Hazardous Materials Activity; or (c) in connection with any actual or alleged damage, injury, threat or harm to the Environment.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any applicable Requirements of Law relating to (a) environmental matters, including those relating to any Hazardous Materials Activity; or (b) the generation, use, storage, transportation or disposal of or exposure to Hazardous Materials, in any</w:t>
      </w:r>
    </w:p>
    <w:p>
      <w:pPr>
        <w:spacing w:after="0"/>
        <w:rPr>
          <w:sz w:val="20"/>
          <w:szCs w:val="20"/>
          <w:color w:val="auto"/>
        </w:rPr>
      </w:pPr>
      <w:r>
        <w:rPr>
          <w:rFonts w:ascii="Times New Roman" w:cs="Times New Roman" w:eastAsia="Times New Roman" w:hAnsi="Times New Roman"/>
          <w:sz w:val="20"/>
          <w:szCs w:val="20"/>
          <w:color w:val="auto"/>
        </w:rPr>
        <w:t>manner applicable to Holdings, the Borrower or any of its Restricted Subsidiaries or any Facility.</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directly or indirectly resulting from or based upon (a) any actual or alleged violation of any</w:t>
      </w:r>
    </w:p>
    <w:p>
      <w:pPr>
        <w:spacing w:after="0" w:line="224" w:lineRule="auto"/>
        <w:rPr>
          <w:sz w:val="20"/>
          <w:szCs w:val="20"/>
          <w:color w:val="auto"/>
        </w:rPr>
      </w:pPr>
      <w:r>
        <w:rPr>
          <w:rFonts w:ascii="Times New Roman" w:cs="Times New Roman" w:eastAsia="Times New Roman" w:hAnsi="Times New Roman"/>
          <w:sz w:val="19"/>
          <w:szCs w:val="19"/>
          <w:color w:val="auto"/>
        </w:rPr>
        <w:t>Environmental Law, (b) the generation, use, handling, transportation, storage, treatment or disposal of any Hazardous Materials, (c) exposure</w:t>
      </w:r>
    </w:p>
    <w:p>
      <w:pPr>
        <w:spacing w:after="0" w:line="221" w:lineRule="auto"/>
        <w:rPr>
          <w:sz w:val="20"/>
          <w:szCs w:val="20"/>
          <w:color w:val="auto"/>
        </w:rPr>
      </w:pPr>
      <w:r>
        <w:rPr>
          <w:rFonts w:ascii="Times New Roman" w:cs="Times New Roman" w:eastAsia="Times New Roman" w:hAnsi="Times New Roman"/>
          <w:sz w:val="20"/>
          <w:szCs w:val="20"/>
          <w:color w:val="auto"/>
        </w:rPr>
        <w:t>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is under common control with Holdings, the Borrower or any Restricted Subsidiary and is treated as a single employer within the meaning of Section 414 of the Code or Section 4001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a withdrawal by Holdings, the Borrower or any Restricted Subsidiary or any ERISA Affiliate from a Pension Plan subject to Section 4063 of ERISA during a plan year in which it was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substantial employer (as defined in Section 4001(a)(2) of ERISA) or a cessation of operations at any facility of Holdings, the Borrower or any Restricted Subsidiary or any ERISA Affiliate as described in Section 4062(e) of ERISA, in each case, resulting in liability pursuant to</w:t>
      </w:r>
    </w:p>
    <w:p>
      <w:pPr>
        <w:spacing w:after="0" w:line="223" w:lineRule="auto"/>
        <w:rPr>
          <w:sz w:val="20"/>
          <w:szCs w:val="20"/>
          <w:color w:val="auto"/>
        </w:rPr>
      </w:pPr>
      <w:r>
        <w:rPr>
          <w:rFonts w:ascii="Times New Roman" w:cs="Times New Roman" w:eastAsia="Times New Roman" w:hAnsi="Times New Roman"/>
          <w:sz w:val="19"/>
          <w:szCs w:val="19"/>
          <w:color w:val="auto"/>
        </w:rPr>
        <w:t>Section 4063 of ERISA; (c) a complete or partial withdrawal by Holdings, the Borrower or any Restricted Subsidiary or any ERISA Affiliate</w:t>
      </w:r>
    </w:p>
    <w:p>
      <w:pPr>
        <w:spacing w:after="0" w:line="215" w:lineRule="auto"/>
        <w:rPr>
          <w:sz w:val="20"/>
          <w:szCs w:val="20"/>
          <w:color w:val="auto"/>
        </w:rPr>
      </w:pPr>
      <w:r>
        <w:rPr>
          <w:rFonts w:ascii="Times New Roman" w:cs="Times New Roman" w:eastAsia="Times New Roman" w:hAnsi="Times New Roman"/>
          <w:sz w:val="19"/>
          <w:szCs w:val="19"/>
          <w:color w:val="auto"/>
        </w:rPr>
        <w:t>from a Multiemployer Plan resulting in the imposition of Withdrawal Liability on Holdings, the Borrower or any Restricted Subsidiary or any ERISA Affiliate, notification of Holdings, the Borrower or any Restricted Subsidiary or any ERISA Affiliate concerning the imposition of</w:t>
      </w:r>
    </w:p>
    <w:p>
      <w:pPr>
        <w:spacing w:after="0" w:line="222" w:lineRule="auto"/>
        <w:rPr>
          <w:sz w:val="20"/>
          <w:szCs w:val="20"/>
          <w:color w:val="auto"/>
        </w:rPr>
      </w:pPr>
      <w:r>
        <w:rPr>
          <w:rFonts w:ascii="Times New Roman" w:cs="Times New Roman" w:eastAsia="Times New Roman" w:hAnsi="Times New Roman"/>
          <w:sz w:val="19"/>
          <w:szCs w:val="19"/>
          <w:color w:val="auto"/>
        </w:rPr>
        <w:t>Withdrawal Liability or notification that a Multiemployer Plan is “insolvent” within the meaning of Section 4245 of ERISA; (d) the filing of</w:t>
      </w:r>
    </w:p>
    <w:p>
      <w:pPr>
        <w:spacing w:after="0" w:line="215" w:lineRule="auto"/>
        <w:rPr>
          <w:sz w:val="20"/>
          <w:szCs w:val="20"/>
          <w:color w:val="auto"/>
        </w:rPr>
      </w:pPr>
      <w:r>
        <w:rPr>
          <w:rFonts w:ascii="Times New Roman" w:cs="Times New Roman" w:eastAsia="Times New Roman" w:hAnsi="Times New Roman"/>
          <w:sz w:val="19"/>
          <w:szCs w:val="19"/>
          <w:color w:val="auto"/>
        </w:rPr>
        <w:t>a notice of intent to terminate a Pension Plan under Section 4041(c) of ERISA, the treatment of a Pension Plan amendment as a termination under Section 4041(c) of ERISA, the commencement of proceedings by the PBGC to terminate a Pension Plan or the receipt by Holdings, the</w:t>
      </w:r>
    </w:p>
    <w:p>
      <w:pPr>
        <w:spacing w:after="0" w:line="211" w:lineRule="auto"/>
        <w:rPr>
          <w:sz w:val="20"/>
          <w:szCs w:val="20"/>
          <w:color w:val="auto"/>
        </w:rPr>
      </w:pPr>
      <w:r>
        <w:rPr>
          <w:rFonts w:ascii="Times New Roman" w:cs="Times New Roman" w:eastAsia="Times New Roman" w:hAnsi="Times New Roman"/>
          <w:sz w:val="20"/>
          <w:szCs w:val="20"/>
          <w:color w:val="auto"/>
        </w:rPr>
        <w:t>Borrower or any Restricted Subsidiary or any ERISA Affiliate of notice of the treatment of a Multiemployer Plan amendment as a</w:t>
      </w:r>
    </w:p>
    <w:p>
      <w:pPr>
        <w:spacing w:after="0" w:line="204" w:lineRule="auto"/>
        <w:rPr>
          <w:sz w:val="20"/>
          <w:szCs w:val="20"/>
          <w:color w:val="auto"/>
        </w:rPr>
      </w:pPr>
      <w:r>
        <w:rPr>
          <w:rFonts w:ascii="Times New Roman" w:cs="Times New Roman" w:eastAsia="Times New Roman" w:hAnsi="Times New Roman"/>
          <w:sz w:val="20"/>
          <w:szCs w:val="20"/>
          <w:color w:val="auto"/>
        </w:rPr>
        <w:t>termination under Section 4041A of ERISA or of notice of the commencement of proceedings by the PBGC to terminate a Multiemployer Plan; (e) the occurrence of an event or condition which constitutes grounds under Section 4042 of ERISA for the termination of, or the</w:t>
      </w:r>
    </w:p>
    <w:p>
      <w:pPr>
        <w:spacing w:after="0" w:line="211" w:lineRule="auto"/>
        <w:rPr>
          <w:sz w:val="20"/>
          <w:szCs w:val="20"/>
          <w:color w:val="auto"/>
        </w:rPr>
      </w:pPr>
      <w:r>
        <w:rPr>
          <w:rFonts w:ascii="Times New Roman" w:cs="Times New Roman" w:eastAsia="Times New Roman" w:hAnsi="Times New Roman"/>
          <w:sz w:val="20"/>
          <w:szCs w:val="20"/>
          <w:color w:val="auto"/>
        </w:rPr>
        <w:t>appointment of a trustee to administer, any Pension Plan or Multiemployer Plan; (f) the imposition of any liability under Title IV of ERISA,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than for PBGC premiums due but not delinquent under Section 4007 of ERISA, upon Holdings, the Borrower or any Restricted Subsidiary or any ERISA Affiliate, with respect to the termination of any Pension Plan; or (g) the conditions for imposition of a Lien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303(k) of ERISA have been met with respect to any Pension Plan.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8.14(c)</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has the meaning set forth in the definition of “Indebtedness”.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and the rules and regulations of the SEC promulgated thereunder.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each of the following:</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(ad)</w:t>
      </w:r>
      <w:r>
        <w:rPr>
          <w:sz w:val="20"/>
          <w:szCs w:val="20"/>
          <w:color w:val="auto"/>
        </w:rPr>
        <w:tab/>
      </w:r>
      <w:r>
        <w:rPr>
          <w:rFonts w:ascii="Times New Roman" w:cs="Times New Roman" w:eastAsia="Times New Roman" w:hAnsi="Times New Roman"/>
          <w:sz w:val="20"/>
          <w:szCs w:val="20"/>
          <w:color w:val="auto"/>
        </w:rPr>
        <w:t>any asset the grant or perfection of a security interest in which would (i) be prohibited by enforceable anti-</w:t>
      </w:r>
    </w:p>
    <w:p>
      <w:pPr>
        <w:ind w:left="660"/>
        <w:spacing w:after="0" w:line="204" w:lineRule="auto"/>
        <w:rPr>
          <w:sz w:val="20"/>
          <w:szCs w:val="20"/>
          <w:color w:val="auto"/>
        </w:rPr>
      </w:pPr>
      <w:r>
        <w:rPr>
          <w:rFonts w:ascii="Times New Roman" w:cs="Times New Roman" w:eastAsia="Times New Roman" w:hAnsi="Times New Roman"/>
          <w:sz w:val="20"/>
          <w:szCs w:val="20"/>
          <w:color w:val="auto"/>
        </w:rPr>
        <w:t>assignment provisions set forth in any contract that is permitted or otherwise not prohibited by the terms of this Agreement and is binding on such asset at the time of its acquisition and not incurred in contemplation thereof (other than assets subject to Capital</w:t>
      </w:r>
    </w:p>
    <w:p>
      <w:pPr>
        <w:ind w:left="660"/>
        <w:spacing w:after="0" w:line="223" w:lineRule="auto"/>
        <w:rPr>
          <w:sz w:val="20"/>
          <w:szCs w:val="20"/>
          <w:color w:val="auto"/>
        </w:rPr>
      </w:pPr>
      <w:r>
        <w:rPr>
          <w:rFonts w:ascii="Times New Roman" w:cs="Times New Roman" w:eastAsia="Times New Roman" w:hAnsi="Times New Roman"/>
          <w:sz w:val="19"/>
          <w:szCs w:val="19"/>
          <w:color w:val="auto"/>
        </w:rPr>
        <w:t>Leases and purchase money financings), (ii) violate (after giving effect to applicable anti-assignment provisions of the UCC or other</w:t>
      </w:r>
    </w:p>
    <w:p>
      <w:pPr>
        <w:ind w:left="660"/>
        <w:spacing w:after="0" w:line="204" w:lineRule="auto"/>
        <w:rPr>
          <w:sz w:val="20"/>
          <w:szCs w:val="20"/>
          <w:color w:val="auto"/>
        </w:rPr>
      </w:pPr>
      <w:r>
        <w:rPr>
          <w:rFonts w:ascii="Times New Roman" w:cs="Times New Roman" w:eastAsia="Times New Roman" w:hAnsi="Times New Roman"/>
          <w:sz w:val="20"/>
          <w:szCs w:val="20"/>
          <w:color w:val="auto"/>
        </w:rPr>
        <w:t>applicable Requirements of Law) the terms of any contract relating to such asset that is permitted or otherwise not prohibited by the terms of this Agreement and is binding on such asset at the time of its acquisition and not incurred in contemplation thereof (other</w:t>
      </w:r>
    </w:p>
    <w:p>
      <w:pPr>
        <w:ind w:left="660"/>
        <w:spacing w:after="0" w:line="211" w:lineRule="auto"/>
        <w:rPr>
          <w:sz w:val="20"/>
          <w:szCs w:val="20"/>
          <w:color w:val="auto"/>
        </w:rPr>
      </w:pPr>
      <w:r>
        <w:rPr>
          <w:rFonts w:ascii="Times New Roman" w:cs="Times New Roman" w:eastAsia="Times New Roman" w:hAnsi="Times New Roman"/>
          <w:sz w:val="20"/>
          <w:szCs w:val="20"/>
          <w:color w:val="auto"/>
        </w:rPr>
        <w:t>than in the case of Capital Leases and purchase money financings), or (iii) trigger termination of any contract relating to such asset</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that is permitted or otherwise not prohibited by the terms of this Agreement pursuant to any “change of control” or similar provision (to the extent such contract is binding on such asset at the time of its acquisition and not incurred in contemplation thereof); it being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understood that the term “Excluded Asset” shall not include proceeds or receivables arising out of any contract described in this</w:t>
      </w:r>
    </w:p>
    <w:p>
      <w:pPr>
        <w:ind w:left="660"/>
        <w:spacing w:after="0" w:line="221" w:lineRule="auto"/>
        <w:rPr>
          <w:sz w:val="20"/>
          <w:szCs w:val="20"/>
          <w:color w:val="auto"/>
        </w:rPr>
      </w:pP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ectPr>
          <w:pgSz w:w="11900" w:h="16838" w:orient="portrait"/>
          <w:cols w:equalWidth="0" w:num="1">
            <w:col w:w="11240"/>
          </w:cols>
          <w:pgMar w:left="320" w:top="1399"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Capital Stock of any (i) Captive Insurance Subsidiary, (ii) Unrestricted Subsidiary, (iii) not-for-profit subsidiary</w:t>
      </w:r>
    </w:p>
    <w:p>
      <w:pPr>
        <w:spacing w:after="0" w:line="12"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and/or (iv) Immaterial Subsidiary (other than an Immaterial Subsidiary that is a Loan Party);</w:t>
      </w:r>
    </w:p>
    <w:p>
      <w:pPr>
        <w:sectPr>
          <w:pgSz w:w="11900" w:h="16838" w:orient="portrait"/>
          <w:cols w:equalWidth="0" w:num="1">
            <w:col w:w="11240"/>
          </w:cols>
          <w:pgMar w:left="320" w:top="1399" w:right="339" w:bottom="1440" w:gutter="0" w:footer="0" w:header="0"/>
          <w:type w:val="continuous"/>
        </w:sectPr>
      </w:pP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(af)</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intent-to-use (or similar) Trademark application prior to the filing and acceptance by the U.S. Patent and</w:t>
      </w:r>
    </w:p>
    <w:p>
      <w:pPr>
        <w:spacing w:after="0" w:line="28" w:lineRule="exact"/>
        <w:rPr>
          <w:sz w:val="20"/>
          <w:szCs w:val="20"/>
          <w:color w:val="auto"/>
        </w:rPr>
      </w:pPr>
    </w:p>
    <w:p>
      <w:pPr>
        <w:sectPr>
          <w:pgSz w:w="11900" w:h="16838" w:orient="portrait"/>
          <w:cols w:equalWidth="0" w:num="2">
            <w:col w:w="1580" w:space="360"/>
            <w:col w:w="9300"/>
          </w:cols>
          <w:pgMar w:left="320" w:top="1399" w:right="339" w:bottom="1440" w:gutter="0" w:footer="0" w:header="0"/>
          <w:type w:val="continuous"/>
        </w:sectPr>
      </w:pPr>
    </w:p>
    <w:p>
      <w:pPr>
        <w:ind w:left="660"/>
        <w:spacing w:after="0" w:line="196" w:lineRule="auto"/>
        <w:rPr>
          <w:sz w:val="20"/>
          <w:szCs w:val="20"/>
          <w:color w:val="auto"/>
        </w:rPr>
      </w:pPr>
      <w:r>
        <w:rPr>
          <w:rFonts w:ascii="Times New Roman" w:cs="Times New Roman" w:eastAsia="Times New Roman" w:hAnsi="Times New Roman"/>
          <w:sz w:val="19"/>
          <w:szCs w:val="19"/>
          <w:color w:val="auto"/>
        </w:rPr>
        <w:t>Trademark Office (or similar Governmental Authority) of a “Statement of Use”, “Declaration of Use”, “Amendment to Allege Use” or similar filing with respect thereto, only to the extent, if any, that, and solely during the period if any, in which, the grant of a</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security interest therein may impair the validity or enforceability of such intent-to-use (or similar) Trademark application or any registration issuing therefrom under applicable Requirements of Law;</w:t>
      </w:r>
    </w:p>
    <w:p>
      <w:pPr>
        <w:spacing w:after="0" w:line="149" w:lineRule="exact"/>
        <w:rPr>
          <w:sz w:val="20"/>
          <w:szCs w:val="20"/>
          <w:color w:val="auto"/>
        </w:rPr>
      </w:pPr>
    </w:p>
    <w:p>
      <w:pPr>
        <w:ind w:left="660" w:firstLine="648"/>
        <w:spacing w:after="0" w:line="222" w:lineRule="auto"/>
        <w:rPr>
          <w:sz w:val="20"/>
          <w:szCs w:val="20"/>
          <w:color w:val="auto"/>
        </w:rPr>
      </w:pPr>
      <w:r>
        <w:rPr>
          <w:rFonts w:ascii="Times New Roman" w:cs="Times New Roman" w:eastAsia="Times New Roman" w:hAnsi="Times New Roman"/>
          <w:sz w:val="20"/>
          <w:szCs w:val="20"/>
          <w:color w:val="auto"/>
        </w:rPr>
        <w:t>(ag) any asset (including Capital Stock), the grant or perfection of a security interest in which (i) would be prohibited under applicable Requirements of Law (including any rule and/or regulation of any Governmental Authority) (after giving effect to</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applicable anti-assignment provisions of the UCC or other applicable Requirements of Law), (ii) would require any governmental or regulatory consent, approval, license or authorization, in each case, to the extent such consent, approval, license or authorization has</w:t>
      </w:r>
    </w:p>
    <w:p>
      <w:pPr>
        <w:ind w:left="660"/>
        <w:spacing w:after="0" w:line="211" w:lineRule="auto"/>
        <w:rPr>
          <w:sz w:val="20"/>
          <w:szCs w:val="20"/>
          <w:color w:val="auto"/>
        </w:rPr>
      </w:pPr>
      <w:r>
        <w:rPr>
          <w:rFonts w:ascii="Times New Roman" w:cs="Times New Roman" w:eastAsia="Times New Roman" w:hAnsi="Times New Roman"/>
          <w:sz w:val="20"/>
          <w:szCs w:val="20"/>
          <w:color w:val="auto"/>
        </w:rPr>
        <w:t>not been obtained (it being understood and agreed that no Loan Party shall have any obligation to procure any such consent,</w:t>
      </w:r>
    </w:p>
    <w:p>
      <w:pPr>
        <w:ind w:left="660"/>
        <w:spacing w:after="0" w:line="204" w:lineRule="auto"/>
        <w:rPr>
          <w:sz w:val="20"/>
          <w:szCs w:val="20"/>
          <w:color w:val="auto"/>
        </w:rPr>
      </w:pPr>
      <w:r>
        <w:rPr>
          <w:rFonts w:ascii="Times New Roman" w:cs="Times New Roman" w:eastAsia="Times New Roman" w:hAnsi="Times New Roman"/>
          <w:sz w:val="20"/>
          <w:szCs w:val="20"/>
          <w:color w:val="auto"/>
        </w:rPr>
        <w:t>approval, license or authorization) (after giving effect to applicable anti-assignment provisions of the UCC or other applicable Requirements of Law); it being understood that the term “Excluded Asset” shall not include proceeds or receivables arising out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any asset described in </w:t>
      </w:r>
      <w:r>
        <w:rPr>
          <w:rFonts w:ascii="Times New Roman" w:cs="Times New Roman" w:eastAsia="Times New Roman" w:hAnsi="Times New Roman"/>
          <w:sz w:val="20"/>
          <w:szCs w:val="20"/>
          <w:u w:val="single" w:color="auto"/>
          <w:color w:val="auto"/>
        </w:rPr>
        <w:t>clauses (d)(i)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(d)(ii)</w:t>
      </w:r>
      <w:r>
        <w:rPr>
          <w:rFonts w:ascii="Times New Roman" w:cs="Times New Roman" w:eastAsia="Times New Roman" w:hAnsi="Times New Roman"/>
          <w:sz w:val="20"/>
          <w:szCs w:val="20"/>
          <w:color w:val="auto"/>
        </w:rPr>
        <w:t xml:space="preserve"> to the extent that the assignment of such proceeds or receivables is effective under the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UCC or other applicable Requirements of Law notwithstanding the relevant requirement or prohibition or (iii) could be reasonably likely to result in material adverse tax consequences (including as a result of the application of Section 956 of the Code or any</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similar Requirement of Law) to Holdings, the Borrower, any Parent Company and/or any of their respective subsidiaries as determined by the Borrower in good faith;</w:t>
      </w:r>
    </w:p>
    <w:p>
      <w:pPr>
        <w:spacing w:after="0" w:line="149" w:lineRule="exact"/>
        <w:rPr>
          <w:sz w:val="20"/>
          <w:szCs w:val="20"/>
          <w:color w:val="auto"/>
        </w:rPr>
      </w:pPr>
    </w:p>
    <w:p>
      <w:pPr>
        <w:ind w:left="660" w:right="20" w:firstLine="648"/>
        <w:spacing w:after="0"/>
        <w:rPr>
          <w:sz w:val="20"/>
          <w:szCs w:val="20"/>
          <w:color w:val="auto"/>
        </w:rPr>
      </w:pPr>
      <w:r>
        <w:rPr>
          <w:rFonts w:ascii="Times New Roman" w:cs="Times New Roman" w:eastAsia="Times New Roman" w:hAnsi="Times New Roman"/>
          <w:sz w:val="20"/>
          <w:szCs w:val="20"/>
          <w:color w:val="auto"/>
        </w:rPr>
        <w:t>(ah) (i) any leasehold Real Estate Asset, (ii) except to the extent a security interest therein can be perfected by the filing of a UCC-1 financing statement, any other leasehold interest, and (iii) any owned Real Estate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type w:val="continuous"/>
        </w:sectPr>
      </w:pPr>
    </w:p>
    <w:bookmarkStart w:id="148" w:name="page149"/>
    <w:bookmarkEnd w:id="148"/>
    <w:p>
      <w:pPr>
        <w:ind w:left="660" w:firstLine="648"/>
        <w:spacing w:after="0"/>
        <w:rPr>
          <w:sz w:val="20"/>
          <w:szCs w:val="20"/>
          <w:color w:val="auto"/>
        </w:rPr>
      </w:pPr>
      <w:r>
        <w:rPr>
          <w:rFonts w:ascii="Times New Roman" w:cs="Times New Roman" w:eastAsia="Times New Roman" w:hAnsi="Times New Roman"/>
          <w:sz w:val="20"/>
          <w:szCs w:val="20"/>
          <w:color w:val="auto"/>
        </w:rPr>
        <w:t>(ai) the Capital Stock of (i) any Person that is not the Borrower or a Wholly-Owned Subsidiary of the Borrower and/or (ii) any subsidiary of any non-Wholly Owned Subsidiary of the Borrower;</w:t>
      </w:r>
    </w:p>
    <w:p>
      <w:pPr>
        <w:sectPr>
          <w:pgSz w:w="11900" w:h="16838" w:orient="portrait"/>
          <w:cols w:equalWidth="0" w:num="1">
            <w:col w:w="11240"/>
          </w:cols>
          <w:pgMar w:left="320" w:top="1399" w:right="339" w:bottom="1440" w:gutter="0" w:footer="0" w:header="0"/>
        </w:sectPr>
      </w:pP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(aj)</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Margin Stock;</w:t>
      </w:r>
    </w:p>
    <w:p>
      <w:pPr>
        <w:spacing w:after="0" w:line="200" w:lineRule="exact"/>
        <w:rPr>
          <w:sz w:val="20"/>
          <w:szCs w:val="20"/>
          <w:color w:val="auto"/>
        </w:rPr>
      </w:pPr>
    </w:p>
    <w:p>
      <w:pPr>
        <w:sectPr>
          <w:pgSz w:w="11900" w:h="16838" w:orient="portrait"/>
          <w:cols w:equalWidth="0" w:num="2">
            <w:col w:w="1580" w:space="360"/>
            <w:col w:w="9300"/>
          </w:cols>
          <w:pgMar w:left="320" w:top="1399"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(ak)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the Capital Stock of (i) any Foreign Subsidiary and (ii) any FSHCO, in each case, (A) in excess of 65% of the issued</w:t>
      </w:r>
    </w:p>
    <w:p>
      <w:pPr>
        <w:spacing w:after="0" w:line="40"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and outstanding voting Capital Stock and 100% of the issued and outstanding non-voting Capital Stock of any such Foreign Subsidiary and/or FSHCO or (B) to the extent such Foreign Subsidiary or FSHCO is not a first-tier Subsidiary of any Loan Party;</w:t>
      </w:r>
    </w:p>
    <w:p>
      <w:pPr>
        <w:sectPr>
          <w:pgSz w:w="11900" w:h="16838" w:orient="portrait"/>
          <w:cols w:equalWidth="0" w:num="1">
            <w:col w:w="11240"/>
          </w:cols>
          <w:pgMar w:left="320" w:top="1399" w:right="339" w:bottom="1440" w:gutter="0" w:footer="0" w:header="0"/>
          <w:type w:val="continuous"/>
        </w:sectPr>
      </w:pP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Commercial Tort Claim;</w:t>
      </w:r>
    </w:p>
    <w:p>
      <w:pPr>
        <w:spacing w:after="0" w:line="200" w:lineRule="exact"/>
        <w:rPr>
          <w:sz w:val="20"/>
          <w:szCs w:val="20"/>
          <w:color w:val="auto"/>
        </w:rPr>
      </w:pPr>
    </w:p>
    <w:p>
      <w:pPr>
        <w:sectPr>
          <w:pgSz w:w="11900" w:h="16838" w:orient="portrait"/>
          <w:cols w:equalWidth="0" w:num="2">
            <w:col w:w="1580" w:space="360"/>
            <w:col w:w="9300"/>
          </w:cols>
          <w:pgMar w:left="320" w:top="1399" w:right="339" w:bottom="1440" w:gutter="0" w:footer="0" w:header="0"/>
          <w:type w:val="continuous"/>
        </w:sect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(am)</w:t>
        <w:tab/>
        <w:t>any Deposit Account, securities account and/or similar account (including any securities entitlement), escrow,</w:t>
      </w:r>
    </w:p>
    <w:p>
      <w:pPr>
        <w:sectPr>
          <w:pgSz w:w="11900" w:h="16838" w:orient="portrait"/>
          <w:cols w:equalWidth="0" w:num="1">
            <w:col w:w="11240"/>
          </w:cols>
          <w:pgMar w:left="320" w:top="1399" w:right="339" w:bottom="1440" w:gutter="0" w:footer="0" w:header="0"/>
          <w:type w:val="continuous"/>
        </w:sectPr>
      </w:pPr>
    </w:p>
    <w:p>
      <w:pPr>
        <w:spacing w:after="0" w:line="28" w:lineRule="exact"/>
        <w:rPr>
          <w:sz w:val="20"/>
          <w:szCs w:val="20"/>
          <w:color w:val="auto"/>
        </w:rPr>
      </w:pPr>
    </w:p>
    <w:p>
      <w:pPr>
        <w:ind w:left="660"/>
        <w:spacing w:after="0" w:line="186" w:lineRule="auto"/>
        <w:rPr>
          <w:sz w:val="20"/>
          <w:szCs w:val="20"/>
          <w:color w:val="auto"/>
        </w:rPr>
      </w:pPr>
      <w:r>
        <w:rPr>
          <w:rFonts w:ascii="Times New Roman" w:cs="Times New Roman" w:eastAsia="Times New Roman" w:hAnsi="Times New Roman"/>
          <w:sz w:val="20"/>
          <w:szCs w:val="20"/>
          <w:color w:val="auto"/>
        </w:rPr>
        <w:t>fiduciary and/or trust account, payroll and other employee wage and benefit accounts, tax accounts (including, sales tax accounts), any cash collateral account, any Cash and Cash Equivalents and any funds and other property held or maintained in any such</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accounts (other than, in each case, proceeds of other Collateral as to which perfection may be accomplished by filing a UCC-1 financing statement or automatically in accordance with the UCC);</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(an)</w:t>
      </w:r>
      <w:r>
        <w:rPr>
          <w:sz w:val="20"/>
          <w:szCs w:val="20"/>
          <w:color w:val="auto"/>
        </w:rPr>
        <w:tab/>
      </w:r>
      <w:r>
        <w:rPr>
          <w:rFonts w:ascii="Times New Roman" w:cs="Times New Roman" w:eastAsia="Times New Roman" w:hAnsi="Times New Roman"/>
          <w:sz w:val="20"/>
          <w:szCs w:val="20"/>
          <w:color w:val="auto"/>
        </w:rPr>
        <w:t>assets subject to any purchase money security interest, Capital Lease obligation, sale-leaseback obligation or similar</w:t>
      </w:r>
    </w:p>
    <w:p>
      <w:pPr>
        <w:ind w:left="660"/>
        <w:spacing w:after="0" w:line="204" w:lineRule="auto"/>
        <w:rPr>
          <w:sz w:val="20"/>
          <w:szCs w:val="20"/>
          <w:color w:val="auto"/>
        </w:rPr>
      </w:pPr>
      <w:r>
        <w:rPr>
          <w:rFonts w:ascii="Times New Roman" w:cs="Times New Roman" w:eastAsia="Times New Roman" w:hAnsi="Times New Roman"/>
          <w:sz w:val="20"/>
          <w:szCs w:val="20"/>
          <w:color w:val="auto"/>
        </w:rPr>
        <w:t>arrangement, in each case, that is permitted or otherwise not prohibited by the terms of this Agreement and to the extent the grant of a security interest therein would violate or invalidate such lease, license or agreement or purchase money or similar arrangement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create a right of termination in favor of any other party thereto (other than Holdings or any subsidiary of Holdings); it being</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understood that the term “Excluded Asset” shall not include proceeds or receivables arising out of any asset described in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to the extent that the assignment of such proceeds or receivables is expressly deemed to be effective under the UCC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applicable Requirements of Law notwithstanding the relevant violation or invalidation;</w:t>
      </w:r>
    </w:p>
    <w:p>
      <w:pPr>
        <w:sectPr>
          <w:pgSz w:w="11900" w:h="16838" w:orient="portrait"/>
          <w:cols w:equalWidth="0" w:num="1">
            <w:col w:w="11240"/>
          </w:cols>
          <w:pgMar w:left="320" w:top="1399" w:right="339" w:bottom="1440" w:gutter="0" w:footer="0" w:header="0"/>
          <w:type w:val="continuous"/>
        </w:sectPr>
      </w:pP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Letter-of-Credit Right that does not constitute a supporting obligation, except to the extent the security interest</w:t>
      </w:r>
    </w:p>
    <w:p>
      <w:pPr>
        <w:spacing w:after="0" w:line="1"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0"/>
          <w:szCs w:val="20"/>
          <w:color w:val="auto"/>
        </w:rPr>
        <w:t>therein may be perfected by filing of a financing statement under the UCC of any applicable jurisdiction;</w:t>
      </w:r>
    </w:p>
    <w:p>
      <w:pPr>
        <w:spacing w:after="0" w:line="160" w:lineRule="exact"/>
        <w:rPr>
          <w:sz w:val="20"/>
          <w:szCs w:val="20"/>
          <w:color w:val="auto"/>
        </w:rPr>
      </w:pPr>
    </w:p>
    <w:p>
      <w:pPr>
        <w:ind w:left="660" w:right="20" w:firstLine="648"/>
        <w:spacing w:after="0" w:line="233" w:lineRule="auto"/>
        <w:rPr>
          <w:sz w:val="20"/>
          <w:szCs w:val="20"/>
          <w:color w:val="auto"/>
        </w:rPr>
      </w:pPr>
      <w:r>
        <w:rPr>
          <w:rFonts w:ascii="Times New Roman" w:cs="Times New Roman" w:eastAsia="Times New Roman" w:hAnsi="Times New Roman"/>
          <w:sz w:val="20"/>
          <w:szCs w:val="20"/>
          <w:color w:val="auto"/>
        </w:rPr>
        <w:t>(ap) motor vehicles and other assets subject to certificates of title, except to the extent the security interest therein may be perfected by filing of a financing statement under the UCC of any applicable jurisdiction;</w:t>
      </w:r>
    </w:p>
    <w:p>
      <w:pPr>
        <w:sectPr>
          <w:pgSz w:w="11900" w:h="16838" w:orient="portrait"/>
          <w:cols w:equalWidth="0" w:num="1">
            <w:col w:w="11240"/>
          </w:cols>
          <w:pgMar w:left="320" w:top="1399" w:right="339" w:bottom="1440" w:gutter="0" w:footer="0" w:header="0"/>
          <w:type w:val="continuous"/>
        </w:sectPr>
      </w:pP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(aq)</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asset of a Person acquired by Holdings, the Borrower or any other Restricted Subsidiary that, at the time of the</w:t>
      </w:r>
    </w:p>
    <w:p>
      <w:pPr>
        <w:spacing w:after="0" w:line="28"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ind w:left="660"/>
        <w:spacing w:after="0" w:line="186" w:lineRule="auto"/>
        <w:rPr>
          <w:sz w:val="20"/>
          <w:szCs w:val="20"/>
          <w:color w:val="auto"/>
        </w:rPr>
      </w:pPr>
      <w:r>
        <w:rPr>
          <w:rFonts w:ascii="Times New Roman" w:cs="Times New Roman" w:eastAsia="Times New Roman" w:hAnsi="Times New Roman"/>
          <w:sz w:val="20"/>
          <w:szCs w:val="20"/>
          <w:color w:val="auto"/>
        </w:rPr>
        <w:t>relevant acquisition, is encumbered to secure assumed Indebtedness permitted by this Agreement to the extent (and for so long as) the documentation governing the applicable assumed Indebtedness prohibits such asset from being pledged to secure the Secured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Obligations and the relevant prohibition was not implemented in contemplation of the applicable acquisition;</w:t>
      </w:r>
    </w:p>
    <w:p>
      <w:pPr>
        <w:spacing w:after="0" w:line="167" w:lineRule="exact"/>
        <w:rPr>
          <w:sz w:val="20"/>
          <w:szCs w:val="20"/>
          <w:color w:val="auto"/>
        </w:rPr>
      </w:pPr>
    </w:p>
    <w:p>
      <w:pPr>
        <w:ind w:left="660" w:firstLine="648"/>
        <w:spacing w:after="0" w:line="215" w:lineRule="auto"/>
        <w:rPr>
          <w:sz w:val="20"/>
          <w:szCs w:val="20"/>
          <w:color w:val="auto"/>
        </w:rPr>
      </w:pPr>
      <w:r>
        <w:rPr>
          <w:rFonts w:ascii="Times New Roman" w:cs="Times New Roman" w:eastAsia="Times New Roman" w:hAnsi="Times New Roman"/>
          <w:sz w:val="20"/>
          <w:szCs w:val="20"/>
          <w:color w:val="auto"/>
        </w:rPr>
        <w:t>(ar) any asset with respect to which the Borrower has in good faith determined that the cost, burden, difficulty or consequence (including (i) any effect on the ability of the relevant Loan Party to conduct its operations and business in the ordinary</w:t>
      </w:r>
    </w:p>
    <w:p>
      <w:pPr>
        <w:ind w:left="660"/>
        <w:spacing w:after="0" w:line="212" w:lineRule="auto"/>
        <w:rPr>
          <w:sz w:val="20"/>
          <w:szCs w:val="20"/>
          <w:color w:val="auto"/>
        </w:rPr>
      </w:pPr>
      <w:r>
        <w:rPr>
          <w:rFonts w:ascii="Times New Roman" w:cs="Times New Roman" w:eastAsia="Times New Roman" w:hAnsi="Times New Roman"/>
          <w:sz w:val="20"/>
          <w:szCs w:val="20"/>
          <w:color w:val="auto"/>
        </w:rPr>
        <w:t>course of business and (ii) the cost of mortgage, stamp, intangible or other taxes or expenses) of obtaining or perfecting a security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interest therein outweighs, or is excessive in light of, the practical benefit of a security interest to the relevant Secured Parties afforded thereby (and the Lenders acknowledge that the Collateral that may be provided by any Loan Party may be limited to</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minimize stamp duty, notarization, registration or other applicable fees, taxes and duties where the benefit to the Secured Parties of increasing the secured amount is disproportionate to the level of such fees, taxes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type w:val="continuous"/>
        </w:sectPr>
      </w:pPr>
    </w:p>
    <w:bookmarkStart w:id="149" w:name="page150"/>
    <w:bookmarkEnd w:id="149"/>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(as)</w:t>
      </w:r>
      <w:r>
        <w:rPr>
          <w:sz w:val="20"/>
          <w:szCs w:val="20"/>
          <w:color w:val="auto"/>
        </w:rPr>
        <w:tab/>
      </w:r>
      <w:r>
        <w:rPr>
          <w:rFonts w:ascii="Times New Roman" w:cs="Times New Roman" w:eastAsia="Times New Roman" w:hAnsi="Times New Roman"/>
          <w:sz w:val="20"/>
          <w:szCs w:val="20"/>
          <w:color w:val="auto"/>
        </w:rPr>
        <w:t>any governmental license or state or local franchise, charter or authorization, to the extent a security interest in any</w:t>
      </w:r>
    </w:p>
    <w:p>
      <w:pPr>
        <w:ind w:left="660"/>
        <w:spacing w:after="0" w:line="215" w:lineRule="auto"/>
        <w:rPr>
          <w:sz w:val="20"/>
          <w:szCs w:val="20"/>
          <w:color w:val="auto"/>
        </w:rPr>
      </w:pPr>
      <w:r>
        <w:rPr>
          <w:rFonts w:ascii="Times New Roman" w:cs="Times New Roman" w:eastAsia="Times New Roman" w:hAnsi="Times New Roman"/>
          <w:sz w:val="19"/>
          <w:szCs w:val="19"/>
          <w:color w:val="auto"/>
        </w:rPr>
        <w:t>such license, franchise, charter or authorization would be prohibited or restricted thereby, after giving effect to the anti-assignment provisions of the UCC of any applicable jurisdiction, other than any proceeds or receivable thereof to the extent the assignment of the</w:t>
      </w:r>
    </w:p>
    <w:p>
      <w:pPr>
        <w:ind w:left="660"/>
        <w:spacing w:after="0"/>
        <w:rPr>
          <w:sz w:val="20"/>
          <w:szCs w:val="20"/>
          <w:color w:val="auto"/>
        </w:rPr>
      </w:pPr>
      <w:r>
        <w:rPr>
          <w:rFonts w:ascii="Times New Roman" w:cs="Times New Roman" w:eastAsia="Times New Roman" w:hAnsi="Times New Roman"/>
          <w:sz w:val="20"/>
          <w:szCs w:val="20"/>
          <w:color w:val="auto"/>
        </w:rPr>
        <w:t>same is effective under the UCC of any applicable jurisdiction notwithstanding such consent or restriction;</w:t>
      </w:r>
    </w:p>
    <w:p>
      <w:pPr>
        <w:sectPr>
          <w:pgSz w:w="11900" w:h="16838" w:orient="portrait"/>
          <w:cols w:equalWidth="0" w:num="1">
            <w:col w:w="11240"/>
          </w:cols>
          <w:pgMar w:left="320" w:top="1394" w:right="339" w:bottom="1440" w:gutter="0" w:footer="0" w:header="0"/>
        </w:sectPr>
      </w:pP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 and</w:t>
      </w:r>
    </w:p>
    <w:p>
      <w:pPr>
        <w:spacing w:after="0" w:line="186" w:lineRule="exact"/>
        <w:rPr>
          <w:sz w:val="20"/>
          <w:szCs w:val="20"/>
          <w:color w:val="auto"/>
        </w:rPr>
      </w:pPr>
    </w:p>
    <w:p>
      <w:pPr>
        <w:sectPr>
          <w:pgSz w:w="11900" w:h="16838" w:orient="portrait"/>
          <w:cols w:equalWidth="0" w:num="2">
            <w:col w:w="1580" w:space="36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aircraft, airframes, aircraft engines, helicopters and equipment and/or other assets that are affixed to, or otherwise</w:t>
      </w:r>
    </w:p>
    <w:p>
      <w:pPr>
        <w:spacing w:after="0" w:line="1"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0"/>
          <w:szCs w:val="20"/>
          <w:color w:val="auto"/>
        </w:rPr>
        <w:t>constitute, such aircraft, airframes, aircraft engines and/or helicopters.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Party</w:t>
      </w:r>
      <w:r>
        <w:rPr>
          <w:rFonts w:ascii="Times New Roman" w:cs="Times New Roman" w:eastAsia="Times New Roman" w:hAnsi="Times New Roman"/>
          <w:sz w:val="19"/>
          <w:szCs w:val="19"/>
          <w:color w:val="auto"/>
        </w:rPr>
        <w:t>” has the meaning assigned to such term in the definition of “Disqualified Institution”.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w:t>
      </w:r>
    </w:p>
    <w:p>
      <w:pPr>
        <w:sectPr>
          <w:pgSz w:w="11900" w:h="16838" w:orient="portrait"/>
          <w:cols w:equalWidth="0" w:num="1">
            <w:col w:w="11240"/>
          </w:cols>
          <w:pgMar w:left="320" w:top="1394" w:right="339" w:bottom="1440" w:gutter="0" w:footer="0" w:header="0"/>
          <w:type w:val="continuous"/>
        </w:sectPr>
      </w:pP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(av)</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Restricted Subsidiary that is not a Wholly-Owned Subsidiary of the Borrower;</w:t>
      </w:r>
    </w:p>
    <w:p>
      <w:pPr>
        <w:spacing w:after="0" w:line="200"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any Immaterial Subsidiary;</w:t>
      </w:r>
    </w:p>
    <w:p>
      <w:pPr>
        <w:spacing w:after="0" w:line="187" w:lineRule="exact"/>
        <w:rPr>
          <w:sz w:val="20"/>
          <w:szCs w:val="20"/>
          <w:color w:val="auto"/>
        </w:rPr>
      </w:pPr>
    </w:p>
    <w:p>
      <w:pPr>
        <w:sectPr>
          <w:pgSz w:w="11900" w:h="16838" w:orient="portrait"/>
          <w:cols w:equalWidth="0" w:num="2">
            <w:col w:w="1660" w:space="28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any Restricted Subsidiary that (i) is prohibited or restricted from providing a Loan Guaranty by (A) any Requirement</w:t>
      </w:r>
    </w:p>
    <w:p>
      <w:pPr>
        <w:spacing w:after="0" w:line="1"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660"/>
        <w:spacing w:after="0" w:line="217" w:lineRule="auto"/>
        <w:rPr>
          <w:sz w:val="20"/>
          <w:szCs w:val="20"/>
          <w:color w:val="auto"/>
        </w:rPr>
      </w:pPr>
      <w:r>
        <w:rPr>
          <w:rFonts w:ascii="Times New Roman" w:cs="Times New Roman" w:eastAsia="Times New Roman" w:hAnsi="Times New Roman"/>
          <w:sz w:val="20"/>
          <w:szCs w:val="20"/>
          <w:color w:val="auto"/>
        </w:rPr>
        <w:t>of Law or (B) any Contractual Obligation that exists on the Closing Date or at the time such Restricted Subsidiary becomes a</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subsidiary (which Contractual Obligation was not entered into in contemplation of the acquisition of such Restricted Subsidiary (including pursuant to assumed Indebtedness)), (ii) would require a governmental (including regulatory) or third party consent,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approval, license or authorization (including any regulatory consent, approval, license or authorization) to provide a Loan Guaranty</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(including under any financial assistance, corporate benefit, thin capitalization, capital maintenance, liquidity maintenance or similar legal principles), unless such consent, approval, license or authorization has been obtained (it being understood and agreed that none</w:t>
      </w:r>
    </w:p>
    <w:p>
      <w:pPr>
        <w:ind w:left="660"/>
        <w:spacing w:after="0" w:line="204" w:lineRule="auto"/>
        <w:rPr>
          <w:sz w:val="20"/>
          <w:szCs w:val="20"/>
          <w:color w:val="auto"/>
        </w:rPr>
      </w:pPr>
      <w:r>
        <w:rPr>
          <w:rFonts w:ascii="Times New Roman" w:cs="Times New Roman" w:eastAsia="Times New Roman" w:hAnsi="Times New Roman"/>
          <w:sz w:val="20"/>
          <w:szCs w:val="20"/>
          <w:color w:val="auto"/>
        </w:rPr>
        <w:t>of Holdings, the Borrower and/or any of their respective subsidiaries shall have any obligation to obtain (or seek to obtain) any such consent, approval, license or authorization) or (iii) with respect to which the provision of a Loan Guaranty could reasonably be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expected to result in material and adverse tax consequences to Holdings, the Borrower, any Parent Company and/or any of their respective subsidiaries as determined by the Borrower in good faith;</w:t>
      </w:r>
    </w:p>
    <w:p>
      <w:pPr>
        <w:sectPr>
          <w:pgSz w:w="11900" w:h="16838" w:orient="portrait"/>
          <w:cols w:equalWidth="0" w:num="1">
            <w:col w:w="11240"/>
          </w:cols>
          <w:pgMar w:left="320" w:top="1394" w:right="339" w:bottom="1440" w:gutter="0" w:footer="0" w:header="0"/>
          <w:type w:val="continuous"/>
        </w:sectPr>
      </w:pP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not-for-profit subsidiary;</w:t>
      </w:r>
    </w:p>
    <w:p>
      <w:pPr>
        <w:spacing w:after="0" w:line="200"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0"/>
          <w:szCs w:val="20"/>
          <w:color w:val="auto"/>
        </w:rPr>
        <w:t>(az)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any Captive Insurance Subsidiary;</w:t>
      </w:r>
    </w:p>
    <w:p>
      <w:pPr>
        <w:spacing w:after="0" w:line="200"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[reserved];</w:t>
      </w:r>
    </w:p>
    <w:p>
      <w:pPr>
        <w:spacing w:after="0" w:line="187"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1940" w:hanging="636"/>
        <w:spacing w:after="0"/>
        <w:tabs>
          <w:tab w:leader="none" w:pos="19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Subsidiary;</w:t>
      </w:r>
    </w:p>
    <w:p>
      <w:pPr>
        <w:sectPr>
          <w:pgSz w:w="11900" w:h="16838" w:orient="portrait"/>
          <w:cols w:equalWidth="0" w:num="1">
            <w:col w:w="11240"/>
          </w:cols>
          <w:pgMar w:left="320" w:top="1394" w:right="339" w:bottom="1440" w:gutter="0" w:footer="0" w:header="0"/>
          <w:type w:val="continuous"/>
        </w:sectPr>
      </w:pP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(bc)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Domestic Subsidiary that (i) is a FSHCO or (ii) is a direct or indirect subsidiary of any Foreign Subsidiary or</w:t>
      </w:r>
    </w:p>
    <w:p>
      <w:pPr>
        <w:spacing w:after="0" w:line="12"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FSHCO;</w:t>
      </w:r>
    </w:p>
    <w:p>
      <w:pPr>
        <w:sectPr>
          <w:pgSz w:w="11900" w:h="16838" w:orient="portrait"/>
          <w:cols w:equalWidth="0" w:num="1">
            <w:col w:w="11240"/>
          </w:cols>
          <w:pgMar w:left="320" w:top="1394" w:right="339" w:bottom="1440" w:gutter="0" w:footer="0" w:header="0"/>
          <w:type w:val="continuous"/>
        </w:sectPr>
      </w:pP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Unrestricted Subsidiary;</w:t>
      </w:r>
    </w:p>
    <w:p>
      <w:pPr>
        <w:spacing w:after="0" w:line="200" w:lineRule="exact"/>
        <w:rPr>
          <w:sz w:val="20"/>
          <w:szCs w:val="20"/>
          <w:color w:val="auto"/>
        </w:rPr>
      </w:pPr>
    </w:p>
    <w:p>
      <w:pPr>
        <w:sectPr>
          <w:pgSz w:w="11900" w:h="16838" w:orient="portrait"/>
          <w:cols w:equalWidth="0" w:num="2">
            <w:col w:w="1640" w:space="300"/>
            <w:col w:w="9300"/>
          </w:cols>
          <w:pgMar w:left="320" w:top="139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9"/>
          <w:szCs w:val="19"/>
          <w:color w:val="auto"/>
        </w:rPr>
        <w:t>(be)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any Restricted Subsidiary acquired by the Borrower or any Restricted Subsidiary that, at the time of the relevant</w:t>
      </w:r>
    </w:p>
    <w:p>
      <w:pPr>
        <w:spacing w:after="0" w:line="28" w:lineRule="exact"/>
        <w:rPr>
          <w:sz w:val="20"/>
          <w:szCs w:val="20"/>
          <w:color w:val="auto"/>
        </w:rPr>
      </w:pPr>
    </w:p>
    <w:p>
      <w:pPr>
        <w:sectPr>
          <w:pgSz w:w="11900" w:h="16838" w:orient="portrait"/>
          <w:cols w:equalWidth="0" w:num="2">
            <w:col w:w="1620" w:space="320"/>
            <w:col w:w="9300"/>
          </w:cols>
          <w:pgMar w:left="320" w:top="1394" w:right="339" w:bottom="1440" w:gutter="0" w:footer="0" w:header="0"/>
          <w:type w:val="continuous"/>
        </w:sect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acquisition, is an obligor in respect of assumed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to the extent (and for so long as) the documentation governing the applicable assumed Indebtedness prohibits such subsidiary from providing a Loan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type w:val="continuous"/>
        </w:sectPr>
      </w:pPr>
    </w:p>
    <w:bookmarkStart w:id="150" w:name="page151"/>
    <w:bookmarkEnd w:id="150"/>
    <w:p>
      <w:pPr>
        <w:jc w:val="both"/>
        <w:ind w:left="660"/>
        <w:spacing w:after="0"/>
        <w:rPr>
          <w:sz w:val="20"/>
          <w:szCs w:val="20"/>
          <w:color w:val="auto"/>
        </w:rPr>
      </w:pPr>
      <w:r>
        <w:rPr>
          <w:rFonts w:ascii="Times New Roman" w:cs="Times New Roman" w:eastAsia="Times New Roman" w:hAnsi="Times New Roman"/>
          <w:sz w:val="20"/>
          <w:szCs w:val="20"/>
          <w:color w:val="auto"/>
        </w:rPr>
        <w:t>(which prohibition was not implemented in contemplation of such Restricted Subsidiary becoming a subsidiary in order to avoid the requirement of providing a Loan Guaranty);</w:t>
      </w:r>
    </w:p>
    <w:p>
      <w:pPr>
        <w:spacing w:after="0" w:line="148" w:lineRule="exact"/>
        <w:rPr>
          <w:sz w:val="20"/>
          <w:szCs w:val="20"/>
          <w:color w:val="auto"/>
        </w:rPr>
      </w:pPr>
    </w:p>
    <w:p>
      <w:pPr>
        <w:jc w:val="both"/>
        <w:ind w:left="660" w:firstLine="648"/>
        <w:spacing w:after="0" w:line="230" w:lineRule="auto"/>
        <w:rPr>
          <w:sz w:val="20"/>
          <w:szCs w:val="20"/>
          <w:color w:val="auto"/>
        </w:rPr>
      </w:pPr>
      <w:r>
        <w:rPr>
          <w:rFonts w:ascii="Times New Roman" w:cs="Times New Roman" w:eastAsia="Times New Roman" w:hAnsi="Times New Roman"/>
          <w:sz w:val="20"/>
          <w:szCs w:val="20"/>
          <w:color w:val="auto"/>
        </w:rPr>
        <w:t>(bf) any other Restricted Subsidiary with respect to which the burden or cost of providing a Loan Guaranty outweighs, or would be excessive in light of, the practical benefits afforded thereby as determined by the Borrower in good faith in consultation with the Administrative Agent;</w:t>
      </w:r>
    </w:p>
    <w:p>
      <w:pPr>
        <w:spacing w:after="0" w:line="149" w:lineRule="exact"/>
        <w:rPr>
          <w:sz w:val="20"/>
          <w:szCs w:val="20"/>
          <w:color w:val="auto"/>
        </w:rPr>
      </w:pPr>
    </w:p>
    <w:p>
      <w:pPr>
        <w:jc w:val="both"/>
        <w:ind w:left="660" w:firstLine="648"/>
        <w:spacing w:after="0" w:line="222" w:lineRule="auto"/>
        <w:rPr>
          <w:sz w:val="20"/>
          <w:szCs w:val="20"/>
          <w:color w:val="auto"/>
        </w:rPr>
      </w:pPr>
      <w:r>
        <w:rPr>
          <w:rFonts w:ascii="Times New Roman" w:cs="Times New Roman" w:eastAsia="Times New Roman" w:hAnsi="Times New Roman"/>
          <w:sz w:val="20"/>
          <w:szCs w:val="20"/>
          <w:color w:val="auto"/>
        </w:rPr>
        <w:t>(bg) solely in the case of any Swap Obligation that constitutes a “swap” within the meaning of section 1(a)(47) of the Commodity Exchange Act (which for the avoidance of doubt shall be determined after giving effect to any “keepwell, support or</w:t>
      </w:r>
    </w:p>
    <w:p>
      <w:pPr>
        <w:spacing w:after="0" w:line="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other agreement” (as such terms are used under the Commodity Exchange Act)), any Domestic Subsidiary that is not an “eligible contract participant” as defined under the Commodity Exchange Act and the regulations thereunder;</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(bh)</w:t>
        <w:tab/>
        <w:t>any subsidiary where the provision by such subsidiary of a Loan Guaranty could reasonably be expected to conflict</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with the fiduciary duties of such subsidiary’s directors or result in, or could reasonably be expected to result in, a material risk of personal or criminal liability for such subsidiary or any of its officers or directors or to the extent it is not within the legal capacity of</w:t>
      </w: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such subsidiary to provide a Loan Guaranty (whether as a result of financial assistance, corporate benefit, thin capitalization, capital maintenance, liquidity maintenance or similar rules or otherwise);</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58"/>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(bi)</w:t>
            </w:r>
          </w:p>
        </w:tc>
        <w:tc>
          <w:tcPr>
            <w:tcW w:w="64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any broker-dealer subsidiary; and</w:t>
            </w:r>
          </w:p>
        </w:tc>
      </w:tr>
      <w:tr>
        <w:trPr>
          <w:trHeight w:val="372"/>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(bj)</w:t>
            </w:r>
          </w:p>
        </w:tc>
        <w:tc>
          <w:tcPr>
            <w:tcW w:w="64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any subsidiary of any Person described in the foregoing clauses (a) through (n).</w:t>
            </w:r>
          </w:p>
        </w:tc>
      </w:tr>
      <w:tr>
        <w:trPr>
          <w:trHeight w:val="20"/>
        </w:trPr>
        <w:tc>
          <w:tcPr>
            <w:tcW w:w="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Guarantor, any Swap Obligation if, and to the extent that, all or a portion of the Loan Guaranty of such Loan Guarantor of, or the grant by such Loan Guarantor of a security interest to secure, such Swap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 (or any Loan Guaranty thereof) is or becomes illegal under the Commodity Exchange Act or any rule, regulation or order of the Commodity Futures Trading Commission (or the application or official interpretation of any thereof, or any Governmental Authority</w:t>
      </w:r>
    </w:p>
    <w:p>
      <w:pPr>
        <w:spacing w:after="0" w:line="211" w:lineRule="auto"/>
        <w:rPr>
          <w:sz w:val="20"/>
          <w:szCs w:val="20"/>
          <w:color w:val="auto"/>
        </w:rPr>
      </w:pPr>
      <w:r>
        <w:rPr>
          <w:rFonts w:ascii="Times New Roman" w:cs="Times New Roman" w:eastAsia="Times New Roman" w:hAnsi="Times New Roman"/>
          <w:sz w:val="20"/>
          <w:szCs w:val="20"/>
          <w:color w:val="auto"/>
        </w:rPr>
        <w:t>succeeding to any or all of its functions) (a) by virtue of such Loan Guarantor’s failure for any reason to constitute an “eligible contract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participant” as defined in the Commodity Exchange Act and the regulations thereunder (determined after giving effect to </w:t>
      </w:r>
      <w:r>
        <w:rPr>
          <w:rFonts w:ascii="Times New Roman" w:cs="Times New Roman" w:eastAsia="Times New Roman" w:hAnsi="Times New Roman"/>
          <w:sz w:val="20"/>
          <w:szCs w:val="20"/>
          <w:u w:val="single" w:color="auto"/>
          <w:color w:val="auto"/>
        </w:rPr>
        <w:t>Section 3.20</w:t>
      </w:r>
      <w:r>
        <w:rPr>
          <w:rFonts w:ascii="Times New Roman" w:cs="Times New Roman" w:eastAsia="Times New Roman" w:hAnsi="Times New Roman"/>
          <w:sz w:val="20"/>
          <w:szCs w:val="20"/>
          <w:color w:val="auto"/>
        </w:rPr>
        <w:t xml:space="preserve"> of the Loan Guaranty and any other “keepwell”, support or other agreement for the benefit of such Loan Guarantor) at the time the Loan Guaranty</w:t>
      </w:r>
    </w:p>
    <w:p>
      <w:pPr>
        <w:spacing w:after="0" w:line="223" w:lineRule="auto"/>
        <w:rPr>
          <w:sz w:val="20"/>
          <w:szCs w:val="20"/>
          <w:color w:val="auto"/>
        </w:rPr>
      </w:pPr>
      <w:r>
        <w:rPr>
          <w:rFonts w:ascii="Times New Roman" w:cs="Times New Roman" w:eastAsia="Times New Roman" w:hAnsi="Times New Roman"/>
          <w:sz w:val="19"/>
          <w:szCs w:val="19"/>
          <w:color w:val="auto"/>
        </w:rPr>
        <w:t>of such Loan Guarantor or the grant of such security interest becomes effective with respect to such Swap Obligation or (b) in the case of any</w:t>
      </w:r>
    </w:p>
    <w:p>
      <w:pPr>
        <w:spacing w:after="0" w:line="215" w:lineRule="auto"/>
        <w:rPr>
          <w:sz w:val="20"/>
          <w:szCs w:val="20"/>
          <w:color w:val="auto"/>
        </w:rPr>
      </w:pPr>
      <w:r>
        <w:rPr>
          <w:rFonts w:ascii="Times New Roman" w:cs="Times New Roman" w:eastAsia="Times New Roman" w:hAnsi="Times New Roman"/>
          <w:sz w:val="19"/>
          <w:szCs w:val="19"/>
          <w:color w:val="auto"/>
        </w:rPr>
        <w:t>Swap Obligation that is subject to a clearing requirement pursuant to section 2(h) of the Commodity Exchange Act, because such Loan Guarantor is a “financial entity,” as defined in section 2(h)(7)(C) of the Commodity Exchange Act, at the time the guarantee provided by (or</w:t>
      </w:r>
    </w:p>
    <w:p>
      <w:pPr>
        <w:spacing w:after="0" w:line="211" w:lineRule="auto"/>
        <w:rPr>
          <w:sz w:val="20"/>
          <w:szCs w:val="20"/>
          <w:color w:val="auto"/>
        </w:rPr>
      </w:pPr>
      <w:r>
        <w:rPr>
          <w:rFonts w:ascii="Times New Roman" w:cs="Times New Roman" w:eastAsia="Times New Roman" w:hAnsi="Times New Roman"/>
          <w:sz w:val="20"/>
          <w:szCs w:val="20"/>
          <w:color w:val="auto"/>
        </w:rPr>
        <w:t>grant of such security interest by, as applicable) such Loan Guarantor becomes or would become effective with respect to such Swap</w:t>
      </w:r>
    </w:p>
    <w:p>
      <w:pPr>
        <w:ind w:right="20"/>
        <w:spacing w:after="0" w:line="221" w:lineRule="auto"/>
        <w:rPr>
          <w:sz w:val="20"/>
          <w:szCs w:val="20"/>
          <w:color w:val="auto"/>
        </w:rPr>
      </w:pPr>
      <w:r>
        <w:rPr>
          <w:rFonts w:ascii="Times New Roman" w:cs="Times New Roman" w:eastAsia="Times New Roman" w:hAnsi="Times New Roman"/>
          <w:sz w:val="20"/>
          <w:szCs w:val="20"/>
          <w:color w:val="auto"/>
        </w:rPr>
        <w:t>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the Administrative Agent, any Lender or Issuing Bank, or any other recipient of any</w:t>
      </w:r>
    </w:p>
    <w:p>
      <w:pPr>
        <w:spacing w:after="0" w:line="215" w:lineRule="auto"/>
        <w:rPr>
          <w:sz w:val="20"/>
          <w:szCs w:val="20"/>
          <w:color w:val="auto"/>
        </w:rPr>
      </w:pPr>
      <w:r>
        <w:rPr>
          <w:rFonts w:ascii="Times New Roman" w:cs="Times New Roman" w:eastAsia="Times New Roman" w:hAnsi="Times New Roman"/>
          <w:sz w:val="19"/>
          <w:szCs w:val="19"/>
          <w:color w:val="auto"/>
        </w:rPr>
        <w:t>payment to be made by or on account of any obligation of any Loan Party under any Loan Document, (a) any Taxes imposed on (or measured by) such recipient’s net income (however denominated) or franchise Taxes, (i) imposed as a result of such recipient being organized or</w:t>
      </w:r>
    </w:p>
    <w:p>
      <w:pPr>
        <w:spacing w:after="0" w:line="222" w:lineRule="auto"/>
        <w:rPr>
          <w:sz w:val="20"/>
          <w:szCs w:val="20"/>
          <w:color w:val="auto"/>
        </w:rPr>
      </w:pPr>
      <w:r>
        <w:rPr>
          <w:rFonts w:ascii="Times New Roman" w:cs="Times New Roman" w:eastAsia="Times New Roman" w:hAnsi="Times New Roman"/>
          <w:sz w:val="19"/>
          <w:szCs w:val="19"/>
          <w:color w:val="auto"/>
        </w:rPr>
        <w:t>having its principal office located in or, in the case of any Lender, having its applicable lending office located in, the taxing jurisdiction or (ii)</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that are Other Connection Taxes, (b) any branch profits Taxes imposed under Section 884(a) of the Code, or any similar Tax, imposed by any jurisdiction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(c) any US federal withholding Tax that is imposed on amounts payable to or for the account of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Lender (other than a Lender that became a Lender pursuant to an assignment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with respect to an applicable interest in a</w:t>
      </w:r>
    </w:p>
    <w:p>
      <w:pPr>
        <w:spacing w:after="0" w:line="221" w:lineRule="auto"/>
        <w:rPr>
          <w:sz w:val="20"/>
          <w:szCs w:val="20"/>
          <w:color w:val="auto"/>
        </w:rPr>
      </w:pPr>
      <w:r>
        <w:rPr>
          <w:rFonts w:ascii="Times New Roman" w:cs="Times New Roman" w:eastAsia="Times New Roman" w:hAnsi="Times New Roman"/>
          <w:sz w:val="20"/>
          <w:szCs w:val="20"/>
          <w:color w:val="auto"/>
        </w:rPr>
        <w:t>Loan or Commitment pursuant to a Requirement of Law in effect on the date on which such Lender (i) acquires such interest in the applicable Commitment or, if such Lender did not fund the applicable Loan pursuant to a prior Commitment, on the date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 xml:space="preserve">acquires its interest in such Loan or (ii) designates a new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5" w:lineRule="auto"/>
        <w:rPr>
          <w:sz w:val="20"/>
          <w:szCs w:val="20"/>
          <w:color w:val="auto"/>
        </w:rPr>
      </w:pPr>
      <w:r>
        <w:rPr>
          <w:rFonts w:ascii="Times New Roman" w:cs="Times New Roman" w:eastAsia="Times New Roman" w:hAnsi="Times New Roman"/>
          <w:sz w:val="19"/>
          <w:szCs w:val="19"/>
          <w:color w:val="auto"/>
        </w:rPr>
        <w:t>amounts with respect to such Tax were payable either to such Lender’s assignor immediately before such Lender acquired the applicable interest in a Loan or Commitment or to such Lender immediately before it designated a new lending office, (d) any Tax imposed as a result of</w:t>
      </w:r>
    </w:p>
    <w:p>
      <w:pPr>
        <w:spacing w:after="0"/>
        <w:rPr>
          <w:sz w:val="20"/>
          <w:szCs w:val="20"/>
          <w:color w:val="auto"/>
        </w:rPr>
      </w:pPr>
      <w:r>
        <w:rPr>
          <w:rFonts w:ascii="Times New Roman" w:cs="Times New Roman" w:eastAsia="Times New Roman" w:hAnsi="Times New Roman"/>
          <w:sz w:val="20"/>
          <w:szCs w:val="20"/>
          <w:color w:val="auto"/>
        </w:rPr>
        <w:t xml:space="preserve">a failure by such recipient to comply with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and (e) any Tax imposed under FATCA.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to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means an amendment to this Agreement that is reasonably satisfactory to the Administrative Agent (to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extent required by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the Borrower executed by (a) the Borrower and the Subsidiary Guarantors, (b) the Administrative Agent and (c) each Lender that has accepted the applicable Extension Offer pursuant hereto and in accordance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19"/>
          <w:szCs w:val="19"/>
          <w:u w:val="single" w:color="auto"/>
          <w:color w:val="auto"/>
        </w:rPr>
        <w:t>Articles 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w:t>
      </w:r>
      <w:r>
        <w:rPr>
          <w:rFonts w:ascii="Times New Roman" w:cs="Times New Roman" w:eastAsia="Times New Roman" w:hAnsi="Times New Roman"/>
          <w:sz w:val="19"/>
          <w:szCs w:val="19"/>
          <w:color w:val="auto"/>
        </w:rPr>
        <w:t>, previously owned, leased, operated or used by Holdings, the Borrower or any of its Restricted Subsidiaries</w:t>
      </w:r>
    </w:p>
    <w:p>
      <w:pPr>
        <w:spacing w:after="0"/>
        <w:rPr>
          <w:sz w:val="20"/>
          <w:szCs w:val="20"/>
          <w:color w:val="auto"/>
        </w:rPr>
      </w:pPr>
      <w:r>
        <w:rPr>
          <w:rFonts w:ascii="Times New Roman" w:cs="Times New Roman" w:eastAsia="Times New Roman" w:hAnsi="Times New Roman"/>
          <w:sz w:val="20"/>
          <w:szCs w:val="20"/>
          <w:color w:val="auto"/>
        </w:rPr>
        <w:t>or any of their respective predecessors or Affiliates.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204" w:lineRule="auto"/>
        <w:rPr>
          <w:sz w:val="20"/>
          <w:szCs w:val="20"/>
          <w:color w:val="auto"/>
        </w:rPr>
      </w:pPr>
      <w:r>
        <w:rPr>
          <w:rFonts w:ascii="Times New Roman" w:cs="Times New Roman" w:eastAsia="Times New Roman" w:hAnsi="Times New Roman"/>
          <w:sz w:val="20"/>
          <w:szCs w:val="20"/>
          <w:color w:val="auto"/>
        </w:rPr>
        <w:t>thereof, any agreements entered into pursuant to Section 1471(b)(1) of the Code and any fiscal or regulatory legislation, rules or practices adopted pursuant to any intergovernmental agreement, treaty or convention among Governmental Authorities and implementing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Sections of the Code.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3.17(c)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Federal Funds Rate as so determined would be less than zero, such rate shall</w:t>
      </w:r>
    </w:p>
    <w:p>
      <w:pPr>
        <w:spacing w:after="0"/>
        <w:rPr>
          <w:sz w:val="20"/>
          <w:szCs w:val="20"/>
          <w:color w:val="auto"/>
        </w:rPr>
      </w:pPr>
      <w:r>
        <w:rPr>
          <w:rFonts w:ascii="Times New Roman" w:cs="Times New Roman" w:eastAsia="Times New Roman" w:hAnsi="Times New Roman"/>
          <w:sz w:val="20"/>
          <w:szCs w:val="20"/>
          <w:color w:val="auto"/>
        </w:rPr>
        <w:t>be deemed to be zero for purposes of this Agreement.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means the website of the Federal Reserve Bank of New York at http://www.newyorkfed.org, or any successor source.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Agent Fee Letter, dated September 15, 2021, among the Borrower, Bank of America and BofA Securities,</w:t>
      </w:r>
    </w:p>
    <w:p>
      <w:pPr>
        <w:spacing w:after="0"/>
        <w:rPr>
          <w:sz w:val="20"/>
          <w:szCs w:val="20"/>
          <w:color w:val="auto"/>
        </w:rPr>
      </w:pPr>
      <w:r>
        <w:rPr>
          <w:rFonts w:ascii="Times New Roman" w:cs="Times New Roman" w:eastAsia="Times New Roman" w:hAnsi="Times New Roman"/>
          <w:sz w:val="20"/>
          <w:szCs w:val="20"/>
          <w:color w:val="auto"/>
        </w:rPr>
        <w:t>Inc.</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Model</w:t>
      </w:r>
      <w:r>
        <w:rPr>
          <w:rFonts w:ascii="Times New Roman" w:cs="Times New Roman" w:eastAsia="Times New Roman" w:hAnsi="Times New Roman"/>
          <w:sz w:val="19"/>
          <w:szCs w:val="19"/>
          <w:color w:val="auto"/>
        </w:rPr>
        <w:t>” means the final financial model made available by the Borrower to the Administrative Agent prior to the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Debt</w:t>
      </w:r>
      <w:r>
        <w:rPr>
          <w:rFonts w:ascii="Times New Roman" w:cs="Times New Roman" w:eastAsia="Times New Roman" w:hAnsi="Times New Roman"/>
          <w:sz w:val="20"/>
          <w:szCs w:val="20"/>
          <w:color w:val="auto"/>
        </w:rPr>
        <w:t>” means (a) the Initial Term Loans and the Initial Revolving Loans and (b) any other Indebtedness (other than any such Indebtedness among Holdings, the Borrower and/or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52" w:name="page153"/>
    <w:bookmarkEnd w:id="152"/>
    <w:p>
      <w:pPr>
        <w:spacing w:after="0" w:line="245" w:lineRule="auto"/>
        <w:rPr>
          <w:sz w:val="20"/>
          <w:szCs w:val="20"/>
          <w:color w:val="auto"/>
        </w:rPr>
      </w:pPr>
      <w:r>
        <w:rPr>
          <w:rFonts w:ascii="Times New Roman" w:cs="Times New Roman" w:eastAsia="Times New Roman" w:hAnsi="Times New Roman"/>
          <w:sz w:val="20"/>
          <w:szCs w:val="20"/>
          <w:color w:val="auto"/>
        </w:rPr>
        <w:t xml:space="preserve">respective subsidiaries) that is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 securing the Initial Term Loans and the Initial Revolving Loans.</w:t>
      </w:r>
    </w:p>
    <w:p>
      <w:pPr>
        <w:spacing w:after="0" w:line="14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Rent Adjusted Net Leverage Ratio</w:t>
      </w:r>
      <w:r>
        <w:rPr>
          <w:rFonts w:ascii="Times New Roman" w:cs="Times New Roman" w:eastAsia="Times New Roman" w:hAnsi="Times New Roman"/>
          <w:sz w:val="20"/>
          <w:szCs w:val="20"/>
          <w:color w:val="auto"/>
        </w:rPr>
        <w:t xml:space="preserve">” means the ratio, as of any date of determination, of (a)(i) Consolidated First Lien Debt as of the last day of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product of (A) Consolidated Cash Rental Expense for such Test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Period and (B) eight to (b) Consolidated Adjusted EBITDAR for such Test Period, in each case, of the Borrower and its Restricted Subsidiaries on a consolidated basis.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 of the Borrower ending on a date set forth in the table below, which table</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may be amended by the Borrower and the Administrative Agent as permitted under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in the event of a change in the Fiscal Year of the Borrower:</w:t>
      </w:r>
    </w:p>
    <w:p>
      <w:pPr>
        <w:spacing w:after="0" w:line="20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4140" w:type="dxa"/>
            <w:vAlign w:val="bottom"/>
            <w:tcBorders>
              <w:top w:val="single" w:sz="8" w:color="auto"/>
              <w:left w:val="single" w:sz="8" w:color="auto"/>
              <w:bottom w:val="single" w:sz="8" w:color="auto"/>
              <w:right w:val="single" w:sz="8" w:color="auto"/>
            </w:tcBorders>
            <w:gridSpan w:val="3"/>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color w:val="auto"/>
              </w:rPr>
              <w:t>Quarter</w:t>
            </w:r>
          </w:p>
        </w:tc>
        <w:tc>
          <w:tcPr>
            <w:tcW w:w="1720" w:type="dxa"/>
            <w:vAlign w:val="bottom"/>
            <w:tcBorders>
              <w:top w:val="single" w:sz="8" w:color="auto"/>
              <w:bottom w:val="single" w:sz="8" w:color="auto"/>
            </w:tcBorders>
            <w:shd w:val="clear" w:color="auto" w:fill="D9D9D9"/>
          </w:tcPr>
          <w:p>
            <w:pPr>
              <w:spacing w:after="0"/>
              <w:rPr>
                <w:sz w:val="23"/>
                <w:szCs w:val="23"/>
                <w:color w:val="auto"/>
              </w:rPr>
            </w:pPr>
          </w:p>
        </w:tc>
        <w:tc>
          <w:tcPr>
            <w:tcW w:w="2460" w:type="dxa"/>
            <w:vAlign w:val="bottom"/>
            <w:tcBorders>
              <w:top w:val="single" w:sz="8" w:color="auto"/>
              <w:bottom w:val="single" w:sz="8" w:color="auto"/>
              <w:right w:val="single" w:sz="8" w:color="auto"/>
            </w:tcBorders>
            <w:gridSpan w:val="2"/>
            <w:shd w:val="clear" w:color="auto" w:fill="D9D9D9"/>
          </w:tcPr>
          <w:p>
            <w:pPr>
              <w:jc w:val="center"/>
              <w:ind w:right="1720"/>
              <w:spacing w:after="0" w:line="216" w:lineRule="exact"/>
              <w:rPr>
                <w:sz w:val="20"/>
                <w:szCs w:val="20"/>
                <w:color w:val="auto"/>
              </w:rPr>
            </w:pPr>
            <w:r>
              <w:rPr>
                <w:rFonts w:ascii="Times New Roman" w:cs="Times New Roman" w:eastAsia="Times New Roman" w:hAnsi="Times New Roman"/>
                <w:sz w:val="20"/>
                <w:szCs w:val="20"/>
                <w:color w:val="auto"/>
                <w:w w:val="98"/>
              </w:rPr>
              <w:t>End Date</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Q4 2021</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December 26, 2021</w:t>
            </w:r>
          </w:p>
        </w:tc>
      </w:tr>
      <w:tr>
        <w:trPr>
          <w:trHeight w:val="256"/>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Q1 2022</w:t>
            </w:r>
          </w:p>
        </w:tc>
        <w:tc>
          <w:tcPr>
            <w:tcW w:w="4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March 27, 2022</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Q2 2022</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June 26, 2022</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Q3 2022</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September 25, 2022</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Q4 2022</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December 25, 2022</w:t>
            </w:r>
          </w:p>
        </w:tc>
      </w:tr>
      <w:tr>
        <w:trPr>
          <w:trHeight w:val="256"/>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Q1 2023</w:t>
            </w:r>
          </w:p>
        </w:tc>
        <w:tc>
          <w:tcPr>
            <w:tcW w:w="4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March 26, 2023</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Q2 2023</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June 25, 2023</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Q3 2023</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September 24, 2023</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Q4 2023</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December 31, 2023</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Q1 2024</w:t>
            </w:r>
          </w:p>
        </w:tc>
        <w:tc>
          <w:tcPr>
            <w:tcW w:w="4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March 31, 2024</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Q2 2024</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June 30, 2024</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Q3 2024</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September 29, 2024</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Q4 2024</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December 29, 2024</w:t>
            </w:r>
          </w:p>
        </w:tc>
      </w:tr>
      <w:tr>
        <w:trPr>
          <w:trHeight w:val="256"/>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Q1 2025</w:t>
            </w:r>
          </w:p>
        </w:tc>
        <w:tc>
          <w:tcPr>
            <w:tcW w:w="4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March 30, 2025</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Q2 2025</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June 29, 2025</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Q3 2025</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September 28, 2025</w:t>
            </w:r>
          </w:p>
        </w:tc>
      </w:tr>
      <w:tr>
        <w:trPr>
          <w:trHeight w:val="257"/>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Q4 2025</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December 28, 2025</w:t>
            </w:r>
          </w:p>
        </w:tc>
      </w:tr>
      <w:tr>
        <w:trPr>
          <w:trHeight w:val="256"/>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Q1 2026</w:t>
            </w:r>
          </w:p>
        </w:tc>
        <w:tc>
          <w:tcPr>
            <w:tcW w:w="4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March 29, 2026</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Q2 2026</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June 28, 2026</w:t>
            </w:r>
          </w:p>
        </w:tc>
      </w:tr>
      <w:tr>
        <w:trPr>
          <w:trHeight w:val="250"/>
        </w:trPr>
        <w:tc>
          <w:tcPr>
            <w:tcW w:w="41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Q3 2026</w:t>
            </w:r>
          </w:p>
        </w:tc>
        <w:tc>
          <w:tcPr>
            <w:tcW w:w="41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September 27, 2026</w:t>
            </w: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each fiscal year of the Borrower ending on or about December 31 of each calendar year.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xml:space="preserve">” means, as of any date of determination, the ratio of (a)(i) Consolidated Adjusted EBITDAR for the relevant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Maintenance Capital Expenditures for such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to the extent added back in the calculation</w:t>
      </w:r>
    </w:p>
    <w:p>
      <w:pPr>
        <w:spacing w:after="0" w:line="212" w:lineRule="auto"/>
        <w:rPr>
          <w:sz w:val="20"/>
          <w:szCs w:val="20"/>
          <w:color w:val="auto"/>
        </w:rPr>
      </w:pPr>
      <w:r>
        <w:rPr>
          <w:rFonts w:ascii="Times New Roman" w:cs="Times New Roman" w:eastAsia="Times New Roman" w:hAnsi="Times New Roman"/>
          <w:sz w:val="20"/>
          <w:szCs w:val="20"/>
          <w:color w:val="auto"/>
        </w:rPr>
        <w:t>of “Consolidated Adjusted EBITDA” for such Test Period, the aggregate amount of federal, state, local and foreign income taxes paid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payable in cash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(iv) the aggregate amount of Restricted Payments made in Cash in the relevant Test Period (other than Restricted Payments made pursuant to </w:t>
      </w:r>
      <w:r>
        <w:rPr>
          <w:rFonts w:ascii="Times New Roman" w:cs="Times New Roman" w:eastAsia="Times New Roman" w:hAnsi="Times New Roman"/>
          <w:sz w:val="20"/>
          <w:szCs w:val="20"/>
          <w:u w:val="single" w:color="auto"/>
          <w:color w:val="auto"/>
        </w:rPr>
        <w:t>Section 6.04(a)(i)(F)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6.04(a)(iii)(A)</w:t>
      </w:r>
      <w:r>
        <w:rPr>
          <w:rFonts w:ascii="Times New Roman" w:cs="Times New Roman" w:eastAsia="Times New Roman" w:hAnsi="Times New Roman"/>
          <w:sz w:val="20"/>
          <w:szCs w:val="20"/>
          <w:color w:val="auto"/>
        </w:rPr>
        <w:t xml:space="preserve"> (except to the extent made in reliance on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definition of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5" w:right="339" w:bottom="1440" w:gutter="0" w:footer="0" w:header="0"/>
        </w:sectPr>
      </w:pPr>
    </w:p>
    <w:p>
      <w:pPr>
        <w:spacing w:after="0"/>
        <w:rPr>
          <w:sz w:val="20"/>
          <w:szCs w:val="20"/>
          <w:color w:val="auto"/>
        </w:rPr>
      </w:pPr>
      <w:r>
        <w:rPr>
          <w:rFonts w:ascii="Arial" w:cs="Arial" w:eastAsia="Arial" w:hAnsi="Arial"/>
          <w:sz w:val="12"/>
          <w:szCs w:val="12"/>
          <w:color w:val="FF0000"/>
          <w:strike w:val="1"/>
        </w:rPr>
        <w:t xml:space="preserve">WEIL:\98124242\16\45453.0004 </w:t>
      </w:r>
      <w:r>
        <w:rPr>
          <w:rFonts w:ascii="Arial" w:cs="Arial" w:eastAsia="Arial" w:hAnsi="Arial"/>
          <w:sz w:val="12"/>
          <w:szCs w:val="12"/>
          <w:u w:val="single" w:color="auto"/>
          <w:color w:val="0000FF"/>
          <w:strike w:val="1"/>
        </w:rPr>
        <w:t>WEIL:\98997375\7\45453.0004</w:t>
      </w:r>
    </w:p>
    <w:p>
      <w:pPr>
        <w:sectPr>
          <w:pgSz w:w="11900" w:h="16838" w:orient="portrait"/>
          <w:cols w:equalWidth="0" w:num="1">
            <w:col w:w="11240"/>
          </w:cols>
          <w:pgMar w:left="320" w:top="1395" w:right="339" w:bottom="1440" w:gutter="0" w:footer="0" w:header="0"/>
          <w:type w:val="continuous"/>
        </w:sectPr>
      </w:pPr>
    </w:p>
    <w:bookmarkStart w:id="153" w:name="page154"/>
    <w:bookmarkEnd w:id="153"/>
    <w:p>
      <w:pPr>
        <w:ind w:right="20"/>
        <w:spacing w:after="0"/>
        <w:rPr>
          <w:sz w:val="20"/>
          <w:szCs w:val="20"/>
          <w:color w:val="auto"/>
        </w:rPr>
      </w:pPr>
      <w:r>
        <w:rPr>
          <w:rFonts w:ascii="Times New Roman" w:cs="Times New Roman" w:eastAsia="Times New Roman" w:hAnsi="Times New Roman"/>
          <w:sz w:val="20"/>
          <w:szCs w:val="20"/>
          <w:color w:val="auto"/>
        </w:rPr>
        <w:t xml:space="preserve">Amount”), </w:t>
      </w:r>
      <w:r>
        <w:rPr>
          <w:rFonts w:ascii="Times New Roman" w:cs="Times New Roman" w:eastAsia="Times New Roman" w:hAnsi="Times New Roman"/>
          <w:sz w:val="20"/>
          <w:szCs w:val="20"/>
          <w:u w:val="single" w:color="auto"/>
          <w:color w:val="auto"/>
        </w:rPr>
        <w:t>6.04(a)(iii)(B)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6.04(a)(ix)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6.04(a)(xii)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6.04(a)(xiii)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6.04(a)(xiv)</w:t>
      </w:r>
      <w:r>
        <w:rPr>
          <w:rFonts w:ascii="Times New Roman" w:cs="Times New Roman" w:eastAsia="Times New Roman" w:hAnsi="Times New Roman"/>
          <w:sz w:val="20"/>
          <w:szCs w:val="20"/>
          <w:color w:val="auto"/>
        </w:rPr>
        <w:t>) to (b) Consolidated Fixed Charges for such Test Period.</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Incremental Amount</w:t>
      </w:r>
      <w:r>
        <w:rPr>
          <w:rFonts w:ascii="Times New Roman" w:cs="Times New Roman" w:eastAsia="Times New Roman" w:hAnsi="Times New Roman"/>
          <w:sz w:val="20"/>
          <w:szCs w:val="20"/>
          <w:color w:val="auto"/>
        </w:rPr>
        <w:t>” means the greater of $30,000,000 and 50% of Consolidated Adjusted EBITDA as of the last day of the most recently ended Test Period.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“Floor” means a rate of interest equal to 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or Issuing Bank that is not a US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the Borrower that is not a Domestic Subsidiary.</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FSHCO</w:t>
      </w:r>
      <w:r>
        <w:rPr>
          <w:rFonts w:ascii="Times New Roman" w:cs="Times New Roman" w:eastAsia="Times New Roman" w:hAnsi="Times New Roman"/>
          <w:sz w:val="19"/>
          <w:szCs w:val="19"/>
          <w:color w:val="auto"/>
        </w:rPr>
        <w:t>” means (a) any direct or indirect Domestic Subsidiary that has no material assets other than the Capital Stock and/or Indebtedness of one or more Foreign Subsidiaries and (b) any direct or indirect Domestic Subsidiary that has no material assets other than the</w:t>
      </w:r>
    </w:p>
    <w:p>
      <w:pPr>
        <w:spacing w:after="0"/>
        <w:rPr>
          <w:sz w:val="20"/>
          <w:szCs w:val="20"/>
          <w:color w:val="auto"/>
        </w:rPr>
      </w:pPr>
      <w:r>
        <w:rPr>
          <w:rFonts w:ascii="Times New Roman" w:cs="Times New Roman" w:eastAsia="Times New Roman" w:hAnsi="Times New Roman"/>
          <w:sz w:val="20"/>
          <w:szCs w:val="20"/>
          <w:color w:val="auto"/>
        </w:rPr>
        <w:t xml:space="preserve">Capital Stock and/or Indebtedness of one or more Persons of the type described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US in effect and applicable to the accounting period in respect of which reference to GAAP is made.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or  other  government,  governmental  department,</w:t>
      </w:r>
    </w:p>
    <w:p>
      <w:pPr>
        <w:spacing w:after="0" w:line="204" w:lineRule="auto"/>
        <w:rPr>
          <w:sz w:val="20"/>
          <w:szCs w:val="20"/>
          <w:color w:val="auto"/>
        </w:rPr>
      </w:pPr>
      <w:r>
        <w:rPr>
          <w:rFonts w:ascii="Times New Roman" w:cs="Times New Roman" w:eastAsia="Times New Roman" w:hAnsi="Times New Roman"/>
          <w:sz w:val="20"/>
          <w:szCs w:val="20"/>
          <w:color w:val="auto"/>
        </w:rPr>
        <w:t>commission, board, bureau, court, agency or instrumentality or political subdivision thereof or any entity or officer exercising executive, legislative, judicial, taxing, regulatory or administrative functions of or pertaining to any government or any court, in each case whether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associated with the US, a foreign government or any political subdivision thereof, including any applicable supranational body (such as the European Union or the European Central Bank).</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approval, plan, directive, consent order or consent decree of or from any Governmental Authority.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w:t>
      </w:r>
    </w:p>
    <w:p>
      <w:pPr>
        <w:jc w:val="both"/>
        <w:spacing w:after="0" w:line="215" w:lineRule="auto"/>
        <w:rPr>
          <w:sz w:val="20"/>
          <w:szCs w:val="20"/>
          <w:color w:val="auto"/>
        </w:rPr>
      </w:pPr>
      <w:r>
        <w:rPr>
          <w:rFonts w:ascii="Times New Roman" w:cs="Times New Roman" w:eastAsia="Times New Roman" w:hAnsi="Times New Roman"/>
          <w:sz w:val="19"/>
          <w:szCs w:val="19"/>
          <w:color w:val="auto"/>
        </w:rPr>
        <w:t>having the economic effect of guaranteeing any Indebtedness or other monetary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and including any obligation of the Guarantor (a) to purchase or pay (or advance or supply funds for the purchase or payment of)</w:t>
      </w:r>
    </w:p>
    <w:p>
      <w:pPr>
        <w:spacing w:after="0" w:line="211" w:lineRule="auto"/>
        <w:rPr>
          <w:sz w:val="20"/>
          <w:szCs w:val="20"/>
          <w:color w:val="auto"/>
        </w:rPr>
      </w:pPr>
      <w:r>
        <w:rPr>
          <w:rFonts w:ascii="Times New Roman" w:cs="Times New Roman" w:eastAsia="Times New Roman" w:hAnsi="Times New Roman"/>
          <w:sz w:val="20"/>
          <w:szCs w:val="20"/>
          <w:color w:val="auto"/>
        </w:rPr>
        <w:t>such Indebtedness or other monetary obligation or to purchase (or to advance or supply funds for the purchase of) any security for the</w:t>
      </w:r>
    </w:p>
    <w:p>
      <w:pPr>
        <w:spacing w:after="0" w:line="204" w:lineRule="auto"/>
        <w:rPr>
          <w:sz w:val="20"/>
          <w:szCs w:val="20"/>
          <w:color w:val="auto"/>
        </w:rPr>
      </w:pPr>
      <w:r>
        <w:rPr>
          <w:rFonts w:ascii="Times New Roman" w:cs="Times New Roman" w:eastAsia="Times New Roman" w:hAnsi="Times New Roman"/>
          <w:sz w:val="20"/>
          <w:szCs w:val="20"/>
          <w:color w:val="auto"/>
        </w:rPr>
        <w:t>payment thereof, (b) to purchase or lease property, securities or services for the purpose of assuring the owner of such Indebtedness or other monetary obligation of the payment thereof, (c) to maintain working capital, equity capital or any other financial statement condition or</w:t>
      </w:r>
    </w:p>
    <w:p>
      <w:pPr>
        <w:spacing w:after="0" w:line="223" w:lineRule="auto"/>
        <w:rPr>
          <w:sz w:val="20"/>
          <w:szCs w:val="20"/>
          <w:color w:val="auto"/>
        </w:rPr>
      </w:pPr>
      <w:r>
        <w:rPr>
          <w:rFonts w:ascii="Times New Roman" w:cs="Times New Roman" w:eastAsia="Times New Roman" w:hAnsi="Times New Roman"/>
          <w:sz w:val="19"/>
          <w:szCs w:val="19"/>
          <w:color w:val="auto"/>
        </w:rPr>
        <w:t>liquidity of the Primary Obligor so as to enable the Primary Obligor to pay such Indebtedness or other monetary obligation, (d) as an account</w:t>
      </w:r>
    </w:p>
    <w:p>
      <w:pPr>
        <w:spacing w:after="0" w:line="204" w:lineRule="auto"/>
        <w:rPr>
          <w:sz w:val="20"/>
          <w:szCs w:val="20"/>
          <w:color w:val="auto"/>
        </w:rPr>
      </w:pPr>
      <w:r>
        <w:rPr>
          <w:rFonts w:ascii="Times New Roman" w:cs="Times New Roman" w:eastAsia="Times New Roman" w:hAnsi="Times New Roman"/>
          <w:sz w:val="20"/>
          <w:szCs w:val="20"/>
          <w:color w:val="auto"/>
        </w:rPr>
        <w:t>party in respect of any letter of credit or letter of guaranty issued to support such Indebtedness or monetary obligation, (e) entered into for the purpose of assuring in any other manner the obligee in respect of such Indebtedness or other monetary obligation of the payment or</w:t>
      </w:r>
    </w:p>
    <w:p>
      <w:pPr>
        <w:spacing w:after="0" w:line="223" w:lineRule="auto"/>
        <w:rPr>
          <w:sz w:val="20"/>
          <w:szCs w:val="20"/>
          <w:color w:val="auto"/>
        </w:rPr>
      </w:pPr>
      <w:r>
        <w:rPr>
          <w:rFonts w:ascii="Times New Roman" w:cs="Times New Roman" w:eastAsia="Times New Roman" w:hAnsi="Times New Roman"/>
          <w:sz w:val="19"/>
          <w:szCs w:val="19"/>
          <w:color w:val="auto"/>
        </w:rPr>
        <w:t>performance thereof or to protect such obligee against loss in respect thereof (in whole or in part) or (f) secured by any Lien on any assets of</w:t>
      </w:r>
    </w:p>
    <w:p>
      <w:pPr>
        <w:spacing w:after="0" w:line="204" w:lineRule="auto"/>
        <w:rPr>
          <w:sz w:val="20"/>
          <w:szCs w:val="20"/>
          <w:color w:val="auto"/>
        </w:rPr>
      </w:pPr>
      <w:r>
        <w:rPr>
          <w:rFonts w:ascii="Times New Roman" w:cs="Times New Roman" w:eastAsia="Times New Roman" w:hAnsi="Times New Roman"/>
          <w:sz w:val="20"/>
          <w:szCs w:val="20"/>
          <w:color w:val="auto"/>
        </w:rPr>
        <w:t>such Guarantor securing any Indebtedness or other monetary obligation of any other Person, whether or not such Indebtedness or monetary other obligation is assumed by such Guarantor (or any right, contingent or otherwise, of any holder of such Indebtedness or other monetary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 to obtain any such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ordinary course of business, or customary and reasonable indemnity obligations in effect on the Closing Date or entered into in connection with any acquisition, Disposition or other transaction permitted under this Agreement (other than such obligations with respect to</w:t>
      </w:r>
    </w:p>
    <w:p>
      <w:pPr>
        <w:spacing w:after="0" w:line="211" w:lineRule="auto"/>
        <w:rPr>
          <w:sz w:val="20"/>
          <w:szCs w:val="20"/>
          <w:color w:val="auto"/>
        </w:rPr>
      </w:pPr>
      <w:r>
        <w:rPr>
          <w:rFonts w:ascii="Times New Roman" w:cs="Times New Roman" w:eastAsia="Times New Roman" w:hAnsi="Times New Roman"/>
          <w:sz w:val="20"/>
          <w:szCs w:val="20"/>
          <w:color w:val="auto"/>
        </w:rPr>
        <w:t>Indebtedness). The amount of any Guarantee shall be deemed to be an amount equal to the stated or determinable amount of the related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primary obligation, or portion thereof, in respect of which such Guarantee is made or, if not stated or determinable, the maximum reasonably anticipated liability in respect thereof as determined by the guaranteeing Person in good faith.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has the meaning assigned to such term in the definition of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any chemical, material, substance or waste, or any constituent thereof, which is prohibited, limited or</w:t>
      </w:r>
    </w:p>
    <w:p>
      <w:pPr>
        <w:jc w:val="both"/>
        <w:spacing w:after="0" w:line="204" w:lineRule="auto"/>
        <w:rPr>
          <w:sz w:val="20"/>
          <w:szCs w:val="20"/>
          <w:color w:val="auto"/>
        </w:rPr>
      </w:pPr>
      <w:r>
        <w:rPr>
          <w:rFonts w:ascii="Times New Roman" w:cs="Times New Roman" w:eastAsia="Times New Roman" w:hAnsi="Times New Roman"/>
          <w:sz w:val="20"/>
          <w:szCs w:val="20"/>
          <w:color w:val="auto"/>
        </w:rPr>
        <w:t>regulated under any Environmental Law or by any Governmental Authority or which poses a hazard to the Environment or to human health and safety, including without limitation, petroleum and petroleum by-products, asbestos and asbestos-containing materials, polychlorinated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biphenyls, medical waste and pharmaceutical waste.</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 Activity</w:t>
      </w:r>
      <w:r>
        <w:rPr>
          <w:rFonts w:ascii="Times New Roman" w:cs="Times New Roman" w:eastAsia="Times New Roman" w:hAnsi="Times New Roman"/>
          <w:sz w:val="19"/>
          <w:szCs w:val="19"/>
          <w:color w:val="auto"/>
        </w:rPr>
        <w:t>” means any past, current, proposed or threatened activity, event or occurrence involving any Hazardous Material, including the use, manufacture, possession, storage, holding, presence, existence, location, Release, threatened Release,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agreement with respect to any Derivative Transaction (or any master agreement which is intended to govern multiple Derivative Transactions) between any Loan Party or any Restricted Subsidiary and any other Person.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 any Hedge Agreement.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preamble to this Agreement and shall, for the avoidance of doubt, include any Successor Holdings.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IBA</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means, as of any date, any subsidiary of the Borrower the contribution to (a) Consolidated Adjusted EBITDA of which, when taken together with the contribution to Consolidated Adjusted EBITDA of all other subsidiaries that are Immaterial Subsidiaries, does not exceed 5.0% of Consolidated Adjusted EBITDA as of the last day of the most recently ended Test Period and</w:t>
      </w:r>
    </w:p>
    <w:p>
      <w:pPr>
        <w:spacing w:after="0" w:line="2" w:lineRule="exact"/>
        <w:rPr>
          <w:sz w:val="20"/>
          <w:szCs w:val="20"/>
          <w:color w:val="auto"/>
        </w:rPr>
      </w:pPr>
    </w:p>
    <w:p>
      <w:pPr>
        <w:jc w:val="both"/>
        <w:ind w:firstLine="8"/>
        <w:spacing w:after="0" w:line="216" w:lineRule="auto"/>
        <w:tabs>
          <w:tab w:leader="none" w:pos="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Total Assets of which, when taken together with the contribution to Consolidated Total Assets of all other subsidiaries that are Immaterial Subsidiaries, does not exceed 5.0% of Consolidated Total Assets as of the last day of the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all times prior to the first delivery of financial statements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this definition shall be applied based on the pro forma consolidated financial statements delivered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Immediate Family Member</w:t>
      </w:r>
      <w:r>
        <w:rPr>
          <w:rFonts w:ascii="Times New Roman" w:cs="Times New Roman" w:eastAsia="Times New Roman" w:hAnsi="Times New Roman"/>
          <w:sz w:val="19"/>
          <w:szCs w:val="19"/>
          <w:color w:val="auto"/>
        </w:rPr>
        <w:t>” means, with respect to any individual, such individual’s child, stepchild, grandchild or more remote descendant, parent, stepparent, grandparent, spouse, former spouse, domestic partner, former domestic partner, sibling, mother-in-law, father-</w:t>
      </w:r>
    </w:p>
    <w:p>
      <w:pPr>
        <w:spacing w:after="0" w:line="211" w:lineRule="auto"/>
        <w:rPr>
          <w:sz w:val="20"/>
          <w:szCs w:val="20"/>
          <w:color w:val="auto"/>
        </w:rPr>
      </w:pPr>
      <w:r>
        <w:rPr>
          <w:rFonts w:ascii="Times New Roman" w:cs="Times New Roman" w:eastAsia="Times New Roman" w:hAnsi="Times New Roman"/>
          <w:sz w:val="20"/>
          <w:szCs w:val="20"/>
          <w:color w:val="auto"/>
        </w:rPr>
        <w:t>in-law, son-in-law and/or daughter-in-law (including any adoptive relationship), any trust, partnership or other bona fide estate-planning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 of which any such individual is the donor.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Impacted Loans</w:t>
      </w:r>
      <w:r>
        <w:rPr>
          <w:rFonts w:ascii="Times New Roman" w:cs="Times New Roman" w:eastAsia="Times New Roman" w:hAnsi="Times New Roman"/>
          <w:sz w:val="20"/>
          <w:szCs w:val="20"/>
          <w:color w:val="FF0000"/>
          <w:strike w:val="1"/>
        </w:rPr>
        <w:t xml:space="preserve">” has the meaning assigned to such term in </w:t>
      </w:r>
      <w:r>
        <w:rPr>
          <w:rFonts w:ascii="Times New Roman" w:cs="Times New Roman" w:eastAsia="Times New Roman" w:hAnsi="Times New Roman"/>
          <w:sz w:val="20"/>
          <w:szCs w:val="20"/>
          <w:u w:val="single" w:color="auto"/>
          <w:color w:val="FF0000"/>
          <w:strike w:val="1"/>
        </w:rPr>
        <w:t>Section 2.14(a)</w:t>
      </w:r>
      <w:r>
        <w:rPr>
          <w:rFonts w:ascii="Times New Roman" w:cs="Times New Roman" w:eastAsia="Times New Roman" w:hAnsi="Times New Roman"/>
          <w:sz w:val="20"/>
          <w:szCs w:val="20"/>
          <w:color w:val="FF0000"/>
          <w:strike w:val="1"/>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means:</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(bk)</w:t>
        <w:tab/>
        <w:t xml:space="preserve">the Fixed Incremental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(A) the aggregate outstanding principal amount of any Incremental Facility</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and/or Incremental Equivalent Debt previously incurred or issued in reliance on the Fixed Incremental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outstanding principal amount of any Ratio Debt issued and/or incurred in reliance on the Fixed Incremental Amount</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after giving effect to (1) any reclassification of any Incremental</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Facility and/or Incremental Equivalent Debt as having been issued or incurred in reliance on the Incremental Incurrence-Based Component and/or (2) any reclassification of any Ratio Debt as having been incurred in reliance on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55" w:name="page156"/>
    <w:bookmarkEnd w:id="155"/>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(bl)</w:t>
      </w:r>
      <w:r>
        <w:rPr>
          <w:sz w:val="20"/>
          <w:szCs w:val="20"/>
          <w:color w:val="auto"/>
        </w:rPr>
        <w:tab/>
      </w:r>
      <w:r>
        <w:rPr>
          <w:rFonts w:ascii="Times New Roman" w:cs="Times New Roman" w:eastAsia="Times New Roman" w:hAnsi="Times New Roman"/>
          <w:sz w:val="20"/>
          <w:szCs w:val="20"/>
          <w:color w:val="auto"/>
        </w:rPr>
        <w:t>in the case of any Incremental Facility or Incremental Equivalent Debt that effectively extends (i) the Maturity Date</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with respect to any Class of Loans and/or Commitments hereunder and/or (ii) the maturity date with respect to (A) any other First Lien Debt and/or (B) any Junior Lien Debt (it being understood that,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relevant Incremental Facility</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Incremental Equivalent Debt incurred in reliance hereon will, at the option of the Borrower, either constitute Junior Lien Debt or</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 xml:space="preserve">be unsecured), an amount equal to the portion of the relevant Class of Loans or Commitments or such other First Lien Debt or such Junior Lien Debt, as applicable, that will be replaced by such Incremental Facility or Incremental Equivalent Debt; </w:t>
      </w:r>
      <w:r>
        <w:rPr>
          <w:rFonts w:ascii="Times New Roman" w:cs="Times New Roman" w:eastAsia="Times New Roman" w:hAnsi="Times New Roman"/>
          <w:sz w:val="20"/>
          <w:szCs w:val="20"/>
          <w:u w:val="single" w:color="auto"/>
          <w:color w:val="auto"/>
        </w:rPr>
        <w:t>plus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9"/>
          <w:szCs w:val="19"/>
          <w:color w:val="auto"/>
        </w:rPr>
        <w:t>(bm)</w:t>
        <w:tab/>
        <w:t>in the case of any Incremental Facility or Incremental Equivalent Debt that effectively replaces any Revolving Credit</w:t>
      </w:r>
    </w:p>
    <w:p>
      <w:pPr>
        <w:spacing w:after="0" w:line="6"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 xml:space="preserve">Commitment terminated in accordance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 amount equal to the relevant terminated Revolving Credit Commitment; </w:t>
      </w:r>
      <w:r>
        <w:rPr>
          <w:rFonts w:ascii="Times New Roman" w:cs="Times New Roman" w:eastAsia="Times New Roman" w:hAnsi="Times New Roman"/>
          <w:sz w:val="20"/>
          <w:szCs w:val="20"/>
          <w:u w:val="single" w:color="auto"/>
          <w:color w:val="auto"/>
        </w:rPr>
        <w:t>plus</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(bn)</w:t>
        <w:tab/>
        <w:t xml:space="preserve">without duplication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(x) (i) the amount of any voluntary prepayment, redemption,</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repurchase or other retirement of (A)(1) any Term Loan and/or any other First Lien Debt and/or (2) any Junior Lien Debt (it being understood that, in the case of this </w:t>
      </w:r>
      <w:r>
        <w:rPr>
          <w:rFonts w:ascii="Times New Roman" w:cs="Times New Roman" w:eastAsia="Times New Roman" w:hAnsi="Times New Roman"/>
          <w:sz w:val="19"/>
          <w:szCs w:val="19"/>
          <w:u w:val="single" w:color="auto"/>
          <w:color w:val="auto"/>
        </w:rPr>
        <w:t>clause (x)(i)(A)(2)</w:t>
      </w:r>
      <w:r>
        <w:rPr>
          <w:rFonts w:ascii="Times New Roman" w:cs="Times New Roman" w:eastAsia="Times New Roman" w:hAnsi="Times New Roman"/>
          <w:sz w:val="19"/>
          <w:szCs w:val="19"/>
          <w:color w:val="auto"/>
        </w:rPr>
        <w:t>, such amount may only be relied on to incur an Incremental Facility that either</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constitutes Junior Lien Debt or is unsecured) and/or (B) the amount of any permanent reduction of (1) any Revolving Credit</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Commitment and/or any revolving commitment in respect of any First Lien Debt and/or (2) any revolving commitment in respect of any Junior Lien Debt (it being understood that, in the case of this </w:t>
      </w:r>
      <w:r>
        <w:rPr>
          <w:rFonts w:ascii="Times New Roman" w:cs="Times New Roman" w:eastAsia="Times New Roman" w:hAnsi="Times New Roman"/>
          <w:sz w:val="19"/>
          <w:szCs w:val="19"/>
          <w:u w:val="single" w:color="auto"/>
          <w:color w:val="auto"/>
        </w:rPr>
        <w:t>clause (x)(i)(B)(2)</w:t>
      </w:r>
      <w:r>
        <w:rPr>
          <w:rFonts w:ascii="Times New Roman" w:cs="Times New Roman" w:eastAsia="Times New Roman" w:hAnsi="Times New Roman"/>
          <w:sz w:val="19"/>
          <w:szCs w:val="19"/>
          <w:color w:val="auto"/>
        </w:rPr>
        <w:t>, such amount may only be relied on to incur an</w:t>
      </w:r>
    </w:p>
    <w:p>
      <w:pPr>
        <w:ind w:left="660"/>
        <w:spacing w:after="0" w:line="211" w:lineRule="auto"/>
        <w:rPr>
          <w:sz w:val="20"/>
          <w:szCs w:val="20"/>
          <w:color w:val="auto"/>
        </w:rPr>
      </w:pPr>
      <w:r>
        <w:rPr>
          <w:rFonts w:ascii="Times New Roman" w:cs="Times New Roman" w:eastAsia="Times New Roman" w:hAnsi="Times New Roman"/>
          <w:sz w:val="20"/>
          <w:szCs w:val="20"/>
          <w:color w:val="auto"/>
        </w:rPr>
        <w:t>Incremental Facility that either constitutes Junior Lien Debt or is unsecured) and (ii) the amount of any reduction in the outstanding</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principal amount of (A) any Term Loan and/or any other First Lien Debt and/or any (B) any Junior Lien Debt (it being understood that, in the case of this </w:t>
      </w:r>
      <w:r>
        <w:rPr>
          <w:rFonts w:ascii="Times New Roman" w:cs="Times New Roman" w:eastAsia="Times New Roman" w:hAnsi="Times New Roman"/>
          <w:sz w:val="20"/>
          <w:szCs w:val="20"/>
          <w:u w:val="single" w:color="auto"/>
          <w:color w:val="auto"/>
        </w:rPr>
        <w:t>clause (x)(ii)(B)</w:t>
      </w:r>
      <w:r>
        <w:rPr>
          <w:rFonts w:ascii="Times New Roman" w:cs="Times New Roman" w:eastAsia="Times New Roman" w:hAnsi="Times New Roman"/>
          <w:sz w:val="20"/>
          <w:szCs w:val="20"/>
          <w:color w:val="auto"/>
        </w:rPr>
        <w:t>, such amount may only be relied on to incur an Incremental Facility that either constitutes</w:t>
      </w:r>
    </w:p>
    <w:p>
      <w:pPr>
        <w:spacing w:after="0" w:line="1"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 xml:space="preserve">Junior Lien Debt or is unsecured) resulting from any assignment of such Term Loan, First Lien Debt and/or Junior Lien Debt to (and/or any purchase of such Term Loan, First Lien Debt or Junior Lien Debt by) the Borrower and/or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in the case of each of </w:t>
      </w:r>
      <w:r>
        <w:rPr>
          <w:rFonts w:ascii="Times New Roman" w:cs="Times New Roman" w:eastAsia="Times New Roman" w:hAnsi="Times New Roman"/>
          <w:sz w:val="20"/>
          <w:szCs w:val="20"/>
          <w:u w:val="single" w:color="auto"/>
          <w:color w:val="auto"/>
        </w:rPr>
        <w:t>clauses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the relevant prepayment, redemption, purchase, assignment, redemption or other</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retirement was not funded with the proceeds of any long-term Indebtedness (other than revolving Indebtedness)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Incremental Prepayment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outstanding principal amount of any Indebtedness incurred in reliance on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Incremental Prepayment Amount pursuant to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67"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0"/>
          <w:szCs w:val="20"/>
          <w:color w:val="auto"/>
        </w:rPr>
        <w:t xml:space="preserve">(bo) an unlimited amount so long as, in the case 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after giving effect to the relevant Incremental Facility and/or Incremental Equivalent Debt; as applicable:</w:t>
      </w:r>
    </w:p>
    <w:p>
      <w:pPr>
        <w:spacing w:after="0" w:line="161" w:lineRule="exact"/>
        <w:rPr>
          <w:sz w:val="20"/>
          <w:szCs w:val="20"/>
          <w:color w:val="auto"/>
        </w:rPr>
      </w:pPr>
    </w:p>
    <w:p>
      <w:pPr>
        <w:ind w:left="1300" w:firstLine="652"/>
        <w:spacing w:after="0"/>
        <w:tabs>
          <w:tab w:leader="none" w:pos="259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constitutes First Lien Debt, the First Lien Rent Adjusted Net Leverage Ratio does not exceed 4.50:1.00;</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constitutes Junior Lien Debt, the Secured Rent Adjusted Net Leverage Ratio does not exceed 5.00:1.00; or</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9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is unsecured, the Total Rent Adjusted Net Leverage Ratio does not exceed 5.25:1.00;</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in each case described in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calculated on a Pro Forma Basis, including the application of the proceeds thereof</w:t>
      </w: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(in the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without “netting” the cash proceeds of the applicable Incremental Facility or Incremental Equivalent Debt on the consolidated balance sheet of the Borrower), and in the case of any Incremental Facility</w:t>
      </w:r>
    </w:p>
    <w:p>
      <w:pPr>
        <w:ind w:left="1300"/>
        <w:spacing w:after="0" w:line="211" w:lineRule="auto"/>
        <w:rPr>
          <w:sz w:val="20"/>
          <w:szCs w:val="20"/>
          <w:color w:val="auto"/>
        </w:rPr>
      </w:pPr>
      <w:r>
        <w:rPr>
          <w:rFonts w:ascii="Times New Roman" w:cs="Times New Roman" w:eastAsia="Times New Roman" w:hAnsi="Times New Roman"/>
          <w:sz w:val="20"/>
          <w:szCs w:val="20"/>
          <w:color w:val="auto"/>
        </w:rPr>
        <w:t>or Incremental Equivalent Debt consisting of a revolving facility or a delayed draw term loan facility then being incurred or</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 xml:space="preserve">established, assuming a full drawing of such revolving facility or such delayed draw term loan facility on the date of the implementation thereof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Incremental Incurrence-Based Component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Incremental Facility and/or Incremental Equivalent Debt may be incurred under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6" w:lineRule="exact"/>
        <w:rPr>
          <w:sz w:val="20"/>
          <w:szCs w:val="20"/>
          <w:color w:val="auto"/>
        </w:rPr>
      </w:pPr>
    </w:p>
    <w:p>
      <w:pPr>
        <w:jc w:val="both"/>
        <w:ind w:firstLine="8"/>
        <w:spacing w:after="0" w:line="216" w:lineRule="auto"/>
        <w:tabs>
          <w:tab w:leader="none" w:pos="276" w:val="left"/>
        </w:tabs>
        <w:numPr>
          <w:ilvl w:val="0"/>
          <w:numId w:val="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definition as selected by the Borrower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unless the Borrower elects otherwise, any such Incremental Facility and/or Incremental Equivalent Debt will be deemed to have been incurred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under the Incremental Incurrence-Based Component, to the maximum extent permitted thereunder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under the Incremental Prepayment Amount, to the maximum extent permitted thereunder.</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means any commitment made by a lender to provide all or any portion of any Incremental Facility or Incremental Loan.</w:t>
      </w:r>
    </w:p>
    <w:p>
      <w:pPr>
        <w:spacing w:after="0" w:line="15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means Indebtedness in the form of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senior secured or unsecured notes or loans and/or junior secured or unsecured notes or loans and/or, in each case commitments in respect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1" w:lineRule="exact"/>
        <w:rPr>
          <w:sz w:val="20"/>
          <w:szCs w:val="20"/>
          <w:color w:val="auto"/>
        </w:rPr>
      </w:pPr>
    </w:p>
    <w:p>
      <w:pPr>
        <w:jc w:val="both"/>
        <w:ind w:left="660" w:firstLine="644"/>
        <w:spacing w:after="0" w:line="216" w:lineRule="auto"/>
        <w:tabs>
          <w:tab w:leader="none" w:pos="19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principal amount (or committed amount, if applicable under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thereof shall not exceed the sum of (i) Incremental Cap (as in effect at the time of determination, including giving effect to any reclassification on or prior to such date of determination) and (ii) at the election of the Borrower, any additional amount of Indebtedness otherwise permitted to be incurred under this Agreement (and if such additional Indebtedness that is reallocated to Incremental Equivalent Debt is secured, the relevant Liens securing such additional Indebtedness are Permitted Liens other than by virtue of such additional Indebtedness being incurred as Incremental Equivalent Debt);</w:t>
      </w:r>
    </w:p>
    <w:p>
      <w:pPr>
        <w:spacing w:after="0" w:line="162"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applicable to such notes or loans (other than Customary Bridge Loans and/or revolving Indebtedness) is no shorter than the Weighted Average Life to Maturity of the then existing Term Loans;</w:t>
      </w:r>
    </w:p>
    <w:p>
      <w:pPr>
        <w:spacing w:after="0" w:line="147" w:lineRule="exact"/>
        <w:rPr>
          <w:rFonts w:ascii="Times New Roman" w:cs="Times New Roman" w:eastAsia="Times New Roman" w:hAnsi="Times New Roman"/>
          <w:sz w:val="20"/>
          <w:szCs w:val="20"/>
          <w:color w:val="auto"/>
        </w:rPr>
      </w:pPr>
    </w:p>
    <w:p>
      <w:pPr>
        <w:ind w:left="660" w:right="20" w:firstLine="644"/>
        <w:spacing w:after="0" w:line="266" w:lineRule="auto"/>
        <w:tabs>
          <w:tab w:leader="none" w:pos="194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final maturity date with respect to such notes or loans (other than Customary Bridge Loans and/or revolving Indebtedness) is no earlier than the Latest Term Loan Maturity Date on the date of the issuance or incurrence, as applicable, thereof;</w:t>
      </w:r>
    </w:p>
    <w:p>
      <w:pPr>
        <w:spacing w:after="0" w:line="123" w:lineRule="exact"/>
        <w:rPr>
          <w:rFonts w:ascii="Times New Roman" w:cs="Times New Roman" w:eastAsia="Times New Roman" w:hAnsi="Times New Roman"/>
          <w:sz w:val="19"/>
          <w:szCs w:val="19"/>
          <w:color w:val="auto"/>
        </w:rPr>
      </w:pPr>
    </w:p>
    <w:p>
      <w:pPr>
        <w:ind w:left="660" w:firstLine="644"/>
        <w:spacing w:after="0"/>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such Indebtedness may otherwise have an amortization schedule as determined by the Borrower and the lenders providing such Incremental Equivalent Debt;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7" w:lineRule="auto"/>
        <w:tabs>
          <w:tab w:leader="none" w:pos="194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currency, pricing (including any “MFN” or other pricing terms), interest rate margins, rate floors, fees, premiums (including prepayment premiums), funding discounts and the maturity and amortization schedule applicable to any Incremental Equivalent Debt shall be determined by the Borrower and the lender or lenders providing such Incremental Equivalent Debt;</w:t>
      </w:r>
    </w:p>
    <w:p>
      <w:pPr>
        <w:spacing w:after="0" w:line="162" w:lineRule="exact"/>
        <w:rPr>
          <w:rFonts w:ascii="Times New Roman" w:cs="Times New Roman" w:eastAsia="Times New Roman" w:hAnsi="Times New Roman"/>
          <w:sz w:val="19"/>
          <w:szCs w:val="19"/>
          <w:color w:val="auto"/>
        </w:rPr>
      </w:pPr>
    </w:p>
    <w:p>
      <w:pPr>
        <w:ind w:left="660" w:firstLine="644"/>
        <w:spacing w:after="0" w:line="233" w:lineRule="auto"/>
        <w:tabs>
          <w:tab w:leader="none" w:pos="195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Incremental Equivalent Debt will be documented pursuant to separate documentation from the credit agreement governing the Credit Facilities;</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23"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Indebtedness is (i)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Secured Obligations that constitute First Lien Debt, (ii) secured by the Collateral on a junior basis as compared to the Secured Obligations that constitute First Lien Debt or (iii) subordinated to the Obligations in right of payment, then the holders of such Indebtedness (or a representative thereof) shall be party to an Intercreditor Agreement;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Indebtedness may be (A) issued or guaranteed by any subsidiary of the Borrower which is not a Loan Party (it being understood and agreed that the obligations of any Person with respect to any Escrow arrangement into which the proceeds of such Indebtedness are deposited shall not constitute a guarantee by any subsidiary that is not a Loan Party) or (B) secured by any asset that does not constitute Collateral; it being understood that any such Indebtedness that is funded into Escrow pursuant to customary (in the good faith determination of the Borrower) escrow arrangements may be secured by the applicable funds and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0"/>
          <w:szCs w:val="20"/>
          <w:color w:val="auto"/>
        </w:rPr>
        <w:t>held in Escrow (and the proceeds thereof) until the date on which such funds are released from Escrow.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and the Borrower executed by each of (a) Holdings and the Borrower, (b)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and (c) each Lender that agrees to provide all or any portion of the Incremental Facility being incurred pursuant thereto and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Incurrence-Based Component</w:t>
      </w:r>
      <w:r>
        <w:rPr>
          <w:rFonts w:ascii="Times New Roman" w:cs="Times New Roman" w:eastAsia="Times New Roman" w:hAnsi="Times New Roman"/>
          <w:sz w:val="20"/>
          <w:szCs w:val="20"/>
          <w:color w:val="auto"/>
        </w:rPr>
        <w:t>” has the meaning assigned to such term in the definition of “Incremental Cap”.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Prepayment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“Incremental Cap.”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 Lender</w:t>
      </w:r>
      <w:r>
        <w:rPr>
          <w:rFonts w:ascii="Times New Roman" w:cs="Times New Roman" w:eastAsia="Times New Roman" w:hAnsi="Times New Roman"/>
          <w:sz w:val="20"/>
          <w:szCs w:val="20"/>
          <w:color w:val="auto"/>
        </w:rPr>
        <w:t>” means, with respect to any Incremental Revolving Facility, each Revolving Lender providing any portion of such Incremental Revolving Facility.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as applied to any Person means, without duplication:</w:t>
      </w:r>
    </w:p>
    <w:p>
      <w:pPr>
        <w:spacing w:after="0" w:line="189" w:lineRule="exact"/>
        <w:rPr>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for borrowed money;</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portion of obligations with respect to Capital Leases to the extent recorded as a liability on a balance sheet (excluding the footnotes thereto) of such Person prepared in accordance with GAAP;</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such Person owed for all or any part of the deferred purchase price of property or services (excluding (i) any earn-out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 incurred under ERISA, (iii) accrued expenses and trade accounts payable in the ordinary course of business (including on an inter-company basis) and (iv) liabilities associated with customer prepayments and deposits), which purchase price is (A) due more than six months from the date of the incurrence of the obligation in respect thereof or (B) evidenced by a note or similar written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58" w:name="page159"/>
    <w:bookmarkEnd w:id="158"/>
    <w:p>
      <w:pPr>
        <w:jc w:val="both"/>
        <w:ind w:left="660" w:firstLine="644"/>
        <w:spacing w:after="0" w:line="226" w:lineRule="auto"/>
        <w:tabs>
          <w:tab w:leader="none" w:pos="19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monetary obligation of any other Person secured by any Lien on any asset owned or held by such Person regardless of whether the Indebtedness secured thereby has been assumed by such Person or is non-recourse to the credit of such Person;</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amount of any letter of credit issued for the account of such Person or as to which such Person is otherwise liable for reimbursement of drawings;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by such Person of the Indebtedness of another;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any Disqualified Capital Stock; and</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obligations of such Person in respect of any Derivative Transaction, including any Hedge Agreement, whether or not entered into for hedging or speculative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no event shall any obligation under any Derivative Transaction be deemed to constitute “Indebtedness” for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calculation of the First Lien Rent Adjusted Net Leverage Ratio, the Secured Rent Adjusted Net Leverage Ratio, the Total Rent Adjusted Net Leverage Ratio, or any other financial ratio under this Agreement, (ii) the amount of Indebtedness of any Person for purposes of </w:t>
      </w:r>
      <w:r>
        <w:rPr>
          <w:rFonts w:ascii="Times New Roman" w:cs="Times New Roman" w:eastAsia="Times New Roman" w:hAnsi="Times New Roman"/>
          <w:sz w:val="19"/>
          <w:szCs w:val="19"/>
          <w:u w:val="single" w:color="auto"/>
          <w:color w:val="auto"/>
        </w:rPr>
        <w:t>clause (e)</w:t>
      </w:r>
    </w:p>
    <w:p>
      <w:pPr>
        <w:spacing w:after="0" w:line="204" w:lineRule="auto"/>
        <w:rPr>
          <w:sz w:val="20"/>
          <w:szCs w:val="20"/>
          <w:color w:val="auto"/>
        </w:rPr>
      </w:pPr>
      <w:r>
        <w:rPr>
          <w:rFonts w:ascii="Times New Roman" w:cs="Times New Roman" w:eastAsia="Times New Roman" w:hAnsi="Times New Roman"/>
          <w:sz w:val="20"/>
          <w:szCs w:val="20"/>
          <w:color w:val="auto"/>
        </w:rPr>
        <w:t>shall be deemed to be equal to the lesser of (A) the aggregate unpaid principal amount of such Indebtedness and (B) the fair market value of the property encumbered thereby as determined by such Person in good faith and (iii) the term “Indebtedness” shall exclude</w:t>
      </w:r>
    </w:p>
    <w:p>
      <w:pPr>
        <w:spacing w:after="0" w:line="1" w:lineRule="exact"/>
        <w:rPr>
          <w:sz w:val="20"/>
          <w:szCs w:val="20"/>
          <w:color w:val="auto"/>
        </w:rPr>
      </w:pPr>
    </w:p>
    <w:p>
      <w:pPr>
        <w:ind w:firstLine="8"/>
        <w:spacing w:after="0" w:line="228" w:lineRule="auto"/>
        <w:tabs>
          <w:tab w:leader="none" w:pos="33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loans and/or advances arising from cash management, tax and accounting operations and (B) intercompany loans and/or advances made in the ordinary course of business that have a term that does not exceed 364 days.</w:t>
      </w:r>
    </w:p>
    <w:p>
      <w:pPr>
        <w:spacing w:after="0" w:line="54"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 include the Indebtedness of any third person (including any partnership in which such Person is a general partner and any unincorporated joint venture in which such Person is a joint venture) to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extent such Person would be liable therefor under applicable Requirements of Law or any agreement or instrument by virtue of such Person’s ownership interest in such Person, (A) except to the extent the terms of such Indebtedness provide that such Person is not liable therefor and</w:t>
      </w:r>
    </w:p>
    <w:p>
      <w:pPr>
        <w:jc w:val="both"/>
        <w:ind w:firstLine="8"/>
        <w:spacing w:after="0" w:line="206" w:lineRule="auto"/>
        <w:tabs>
          <w:tab w:leader="none" w:pos="3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only to the extent the relevant Indebtedness is of the type that would be included in the calculation of Consolidated Total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the term “Indebtedness” shall not include, and shall be calculated without giving effect to, (1)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(2)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and (ii) exclude (A) obligations incurred in connection with the consummation of any transaction solely to the extent the proceeds thereof are and continue to be held in an escrow, trust, collateral or similar account or arrangement (collectively, an “</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and are not otherwise made available to such Person,</w:t>
      </w:r>
    </w:p>
    <w:p>
      <w:pPr>
        <w:spacing w:after="0" w:line="7" w:lineRule="exact"/>
        <w:rPr>
          <w:rFonts w:ascii="Times New Roman" w:cs="Times New Roman" w:eastAsia="Times New Roman" w:hAnsi="Times New Roman"/>
          <w:sz w:val="20"/>
          <w:szCs w:val="20"/>
          <w:color w:val="auto"/>
        </w:rPr>
      </w:pPr>
    </w:p>
    <w:p>
      <w:pPr>
        <w:ind w:firstLine="8"/>
        <w:spacing w:after="0" w:line="228" w:lineRule="auto"/>
        <w:tabs>
          <w:tab w:leader="none" w:pos="32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prepaid or deferred revenue and (C) obligations that constitute “Indebtedness” solely by virtue of a pledge of an Investment (without an accompanying guaranty) in any Unrestricted Subsidiary.</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amount of any Indebtedness that is issued at a discount to its initial principal amount shall be calculated based on the initial stated principal amount thereof without giving effect to any such discount.</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all Taxes, other than Excluded Taxes or Other Taxes, imposed on or with respect to any payment made by or on account of any obligation of any Loan Party under any Loan Document.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Lenders</w:t>
      </w:r>
      <w:r>
        <w:rPr>
          <w:rFonts w:ascii="Times New Roman" w:cs="Times New Roman" w:eastAsia="Times New Roman" w:hAnsi="Times New Roman"/>
          <w:sz w:val="20"/>
          <w:szCs w:val="20"/>
          <w:color w:val="auto"/>
        </w:rPr>
        <w:t>” means the Initial Revolving Lenders and Initial Term Lenders who are party to this Agreement as Lenders on the Closing Date.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Revolving Credit Commitment</w:t>
      </w:r>
      <w:r>
        <w:rPr>
          <w:rFonts w:ascii="Times New Roman" w:cs="Times New Roman" w:eastAsia="Times New Roman" w:hAnsi="Times New Roman"/>
          <w:sz w:val="19"/>
          <w:szCs w:val="19"/>
          <w:color w:val="auto"/>
        </w:rPr>
        <w:t>” means, with respect to any Person, the commitment of such Person to make Initial Revolving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Loans (and acquire participations in Letters of Credit and Swingline Loans) hereunder as set forth on the Commitment Schedule, or in the Assignment Agreement pursuant to which such Person assumed its Initial Revolving Credit Commitment, as applicable, as the same may be</w:t>
      </w:r>
    </w:p>
    <w:p>
      <w:pPr>
        <w:spacing w:after="0" w:line="1" w:lineRule="exact"/>
        <w:rPr>
          <w:sz w:val="20"/>
          <w:szCs w:val="20"/>
          <w:color w:val="auto"/>
        </w:rPr>
      </w:pPr>
    </w:p>
    <w:p>
      <w:pPr>
        <w:jc w:val="both"/>
        <w:ind w:firstLine="8"/>
        <w:spacing w:after="0" w:line="218" w:lineRule="auto"/>
        <w:tabs>
          <w:tab w:leader="none" w:pos="27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(b)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or (c) increased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The aggregate amount of the Initial Revolving Credit Commitments as of the Closing Date is $75,000,000.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Exposure</w:t>
      </w:r>
      <w:r>
        <w:rPr>
          <w:rFonts w:ascii="Times New Roman" w:cs="Times New Roman" w:eastAsia="Times New Roman" w:hAnsi="Times New Roman"/>
          <w:sz w:val="20"/>
          <w:szCs w:val="20"/>
          <w:color w:val="auto"/>
        </w:rPr>
        <w:t>” means, with respect to any Lender at any time, the aggregate Outstanding Amount at such time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of all Initial Revolving Loans of such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at such time of such Lender’s LC Exposure and Swingline Exposure, in each case, attributable to its Initial Revolving Credit Commitment.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Maturity Date</w:t>
      </w:r>
      <w:r>
        <w:rPr>
          <w:rFonts w:ascii="Times New Roman" w:cs="Times New Roman" w:eastAsia="Times New Roman" w:hAnsi="Times New Roman"/>
          <w:sz w:val="20"/>
          <w:szCs w:val="20"/>
          <w:color w:val="auto"/>
        </w:rPr>
        <w:t>” means the date that is five years after the Closing Date.</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Facility</w:t>
      </w:r>
      <w:r>
        <w:rPr>
          <w:rFonts w:ascii="Times New Roman" w:cs="Times New Roman" w:eastAsia="Times New Roman" w:hAnsi="Times New Roman"/>
          <w:sz w:val="20"/>
          <w:szCs w:val="20"/>
          <w:color w:val="auto"/>
        </w:rPr>
        <w:t>” means the Initial Revolving Credit Commitments and the Initial Revolving Loans and other extensions of credit thereunder.</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Lender</w:t>
      </w:r>
      <w:r>
        <w:rPr>
          <w:rFonts w:ascii="Times New Roman" w:cs="Times New Roman" w:eastAsia="Times New Roman" w:hAnsi="Times New Roman"/>
          <w:sz w:val="20"/>
          <w:szCs w:val="20"/>
          <w:color w:val="auto"/>
        </w:rPr>
        <w:t>” means any Lender with an Initial Revolving Credit Commitment or any Initial Revolving Credit Exposure.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Lender</w:t>
      </w:r>
      <w:r>
        <w:rPr>
          <w:rFonts w:ascii="Times New Roman" w:cs="Times New Roman" w:eastAsia="Times New Roman" w:hAnsi="Times New Roman"/>
          <w:sz w:val="20"/>
          <w:szCs w:val="20"/>
          <w:color w:val="auto"/>
        </w:rPr>
        <w:t>” means any Lender with an Initial Term Loan Commitment or an outstanding Initial Term Loan.</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Term Loan Commitment</w:t>
      </w:r>
      <w:r>
        <w:rPr>
          <w:rFonts w:ascii="Times New Roman" w:cs="Times New Roman" w:eastAsia="Times New Roman" w:hAnsi="Times New Roman"/>
          <w:sz w:val="19"/>
          <w:szCs w:val="19"/>
          <w:color w:val="auto"/>
        </w:rPr>
        <w:t>” means, with respect to any Person, the commitment of such Person to make Initial Term Loans hereunder in an aggregate amount not to exceed the amount set forth opposite such Person’s name on the Commitment Schedule, as the same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may be (a)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(b) reduced or increased from time to time pursuant to assignments made by or to such Term Lender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or (c) increased from time to time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The aggregate amount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Lenders’ Initial Term Loan Commitments on the Closing Date is $100,000,000.</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Maturity Date</w:t>
      </w:r>
      <w:r>
        <w:rPr>
          <w:rFonts w:ascii="Times New Roman" w:cs="Times New Roman" w:eastAsia="Times New Roman" w:hAnsi="Times New Roman"/>
          <w:sz w:val="20"/>
          <w:szCs w:val="20"/>
          <w:color w:val="auto"/>
        </w:rPr>
        <w:t>” means the date that is five years after the Closing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2.01(a)(i)</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w:t>
      </w:r>
      <w:r>
        <w:rPr>
          <w:rFonts w:ascii="Times New Roman" w:cs="Times New Roman" w:eastAsia="Times New Roman" w:hAnsi="Times New Roman"/>
          <w:sz w:val="20"/>
          <w:szCs w:val="20"/>
          <w:color w:val="auto"/>
        </w:rPr>
        <w:t>” means any agreement, or a supplement thereto, executed on or after the Closing Date</w:t>
      </w:r>
    </w:p>
    <w:p>
      <w:pPr>
        <w:spacing w:after="0" w:line="204" w:lineRule="auto"/>
        <w:rPr>
          <w:sz w:val="20"/>
          <w:szCs w:val="20"/>
          <w:color w:val="auto"/>
        </w:rPr>
      </w:pPr>
      <w:r>
        <w:rPr>
          <w:rFonts w:ascii="Times New Roman" w:cs="Times New Roman" w:eastAsia="Times New Roman" w:hAnsi="Times New Roman"/>
          <w:sz w:val="20"/>
          <w:szCs w:val="20"/>
          <w:color w:val="auto"/>
        </w:rPr>
        <w:t>confirming or effecting the grant of any Lien on IP Rights owned by any Loan Party to the Administrative Agent, for the benefit of the Secured Parties, required in accordance with this Agreement and the Security Agreement, including an Intellectual Property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such other form to which the Borrower and the Administrative Agent may reasonably agree.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that constitutes First Lien Debt, a Pari Passu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0" w:name="page161"/>
    <w:bookmarkEnd w:id="160"/>
    <w:p>
      <w:pPr>
        <w:ind w:left="1940" w:hanging="636"/>
        <w:spacing w:after="0"/>
        <w:tabs>
          <w:tab w:leader="none" w:pos="19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that constitutes Junior Lien Debt, a Junior Lien Intercreditor Agreement; and/or</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or another form reasonably acceptable to the Administrative Agent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u w:val="single" w:color="auto"/>
          <w:color w:val="0000FF"/>
        </w:rPr>
        <w:t>:</w:t>
      </w:r>
    </w:p>
    <w:p>
      <w:pPr>
        <w:spacing w:after="0" w:line="170" w:lineRule="exact"/>
        <w:rPr>
          <w:sz w:val="20"/>
          <w:szCs w:val="20"/>
          <w:color w:val="auto"/>
        </w:rPr>
      </w:pPr>
    </w:p>
    <w:p>
      <w:pPr>
        <w:ind w:left="1940" w:hanging="636"/>
        <w:spacing w:after="0"/>
        <w:tabs>
          <w:tab w:leader="none" w:pos="1940" w:val="left"/>
        </w:tabs>
        <w:numPr>
          <w:ilvl w:val="0"/>
          <w:numId w:val="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with respect to any ABR Loan, each Scheduled Payment Date and the maturity date applicable to such ABR</w:t>
      </w:r>
    </w:p>
    <w:p>
      <w:pPr>
        <w:ind w:left="660"/>
        <w:spacing w:after="0"/>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Loan</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and</w:t>
      </w:r>
    </w:p>
    <w:p>
      <w:pPr>
        <w:spacing w:after="0" w:line="166" w:lineRule="exact"/>
        <w:rPr>
          <w:rFonts w:ascii="Times New Roman" w:cs="Times New Roman" w:eastAsia="Times New Roman" w:hAnsi="Times New Roman"/>
          <w:sz w:val="20"/>
          <w:szCs w:val="20"/>
          <w:u w:val="single" w:color="auto"/>
          <w:color w:val="0000FF"/>
        </w:rPr>
      </w:pPr>
    </w:p>
    <w:p>
      <w:pPr>
        <w:jc w:val="both"/>
        <w:ind w:left="660" w:firstLine="644"/>
        <w:spacing w:after="0" w:line="222" w:lineRule="auto"/>
        <w:tabs>
          <w:tab w:leader="none" w:pos="1944" w:val="left"/>
        </w:tabs>
        <w:numPr>
          <w:ilvl w:val="0"/>
          <w:numId w:val="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with respect to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the last day of the Interest Period applicable to the Borrowing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of which such Loan is a part and, 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with an Interest Period of more than three months’ duration, each day that would have been an Interest Payment Date had successive Interest Periods of three months’ duration been applicable to such Borrowing.</w:t>
      </w:r>
    </w:p>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with respect to any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the period commencing on the date of such Borrowing and ending on the numerically corresponding day in the calendar month that is one, three or six months (or, to the extent </w:t>
      </w:r>
      <w:r>
        <w:rPr>
          <w:rFonts w:ascii="Times New Roman" w:cs="Times New Roman" w:eastAsia="Times New Roman" w:hAnsi="Times New Roman"/>
          <w:sz w:val="19"/>
          <w:szCs w:val="19"/>
          <w:color w:val="FF0000"/>
          <w:strike w:val="1"/>
        </w:rPr>
        <w:t>available</w:t>
      </w:r>
    </w:p>
    <w:p>
      <w:pPr>
        <w:spacing w:after="0" w:line="204" w:lineRule="auto"/>
        <w:rPr>
          <w:sz w:val="20"/>
          <w:szCs w:val="20"/>
          <w:color w:val="auto"/>
        </w:rPr>
      </w:pPr>
      <w:r>
        <w:rPr>
          <w:rFonts w:ascii="Times New Roman" w:cs="Times New Roman" w:eastAsia="Times New Roman" w:hAnsi="Times New Roman"/>
          <w:sz w:val="20"/>
          <w:szCs w:val="20"/>
          <w:color w:val="FF0000"/>
          <w:strike w:val="1"/>
        </w:rPr>
        <w:t>to</w:t>
      </w:r>
      <w:r>
        <w:rPr>
          <w:rFonts w:ascii="Times New Roman" w:cs="Times New Roman" w:eastAsia="Times New Roman" w:hAnsi="Times New Roman"/>
          <w:sz w:val="20"/>
          <w:szCs w:val="20"/>
          <w:u w:val="single" w:color="auto"/>
          <w:color w:val="0000FF"/>
        </w:rPr>
        <w:t>agreed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all relevant affected 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12 months or any period shorter than 12 months</w:t>
      </w:r>
      <w:r>
        <w:rPr>
          <w:rFonts w:ascii="Times New Roman" w:cs="Times New Roman" w:eastAsia="Times New Roman" w:hAnsi="Times New Roman"/>
          <w:sz w:val="20"/>
          <w:szCs w:val="20"/>
          <w:u w:val="single" w:color="auto"/>
          <w:color w:val="0000FF"/>
        </w:rPr>
        <w:t>any other Interest Period other than one, three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six months in duration</w:t>
      </w:r>
      <w:r>
        <w:rPr>
          <w:rFonts w:ascii="Times New Roman" w:cs="Times New Roman" w:eastAsia="Times New Roman" w:hAnsi="Times New Roman"/>
          <w:sz w:val="20"/>
          <w:szCs w:val="20"/>
          <w:color w:val="000000"/>
        </w:rPr>
        <w:t>) thereafter, as the Borrower may elect</w:t>
      </w:r>
      <w:r>
        <w:rPr>
          <w:rFonts w:ascii="Times New Roman" w:cs="Times New Roman" w:eastAsia="Times New Roman" w:hAnsi="Times New Roman"/>
          <w:sz w:val="20"/>
          <w:szCs w:val="20"/>
          <w:color w:val="0000FF"/>
        </w:rPr>
        <w:t xml:space="preserve"> (in the case of each requested Interest Period, subject to availability)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-6985</wp:posOffset>
            </wp:positionV>
            <wp:extent cx="35191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3519170"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that (a) if any Interest Period would end on a day other than a Business Day, such Interest Period shall be extended to the next succeeding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Business Day unless such next succeeding Business Day would fall in the next calendar month, in which case such Interest Period shall end on the next preceding Business Day and (b) any Interest Period that commences on the last Business Day of a calendar month (or on a day for</w:t>
      </w:r>
    </w:p>
    <w:p>
      <w:pPr>
        <w:spacing w:after="0" w:line="222" w:lineRule="auto"/>
        <w:rPr>
          <w:sz w:val="20"/>
          <w:szCs w:val="20"/>
          <w:color w:val="auto"/>
        </w:rPr>
      </w:pPr>
      <w:r>
        <w:rPr>
          <w:rFonts w:ascii="Times New Roman" w:cs="Times New Roman" w:eastAsia="Times New Roman" w:hAnsi="Times New Roman"/>
          <w:sz w:val="19"/>
          <w:szCs w:val="19"/>
          <w:color w:val="auto"/>
        </w:rPr>
        <w:t>which there is no numerically corresponding day in the last calendar month of such Interest Period) shall end on the last Business Day of the</w:t>
      </w:r>
    </w:p>
    <w:p>
      <w:pPr>
        <w:spacing w:after="0" w:line="215" w:lineRule="auto"/>
        <w:rPr>
          <w:sz w:val="20"/>
          <w:szCs w:val="20"/>
          <w:color w:val="auto"/>
        </w:rPr>
      </w:pPr>
      <w:r>
        <w:rPr>
          <w:rFonts w:ascii="Times New Roman" w:cs="Times New Roman" w:eastAsia="Times New Roman" w:hAnsi="Times New Roman"/>
          <w:sz w:val="19"/>
          <w:szCs w:val="19"/>
          <w:color w:val="auto"/>
        </w:rPr>
        <w:t>last calendar month of such Interest Period. For purposes hereof, the date of a Borrowing initially shall be the date on which such Borrowing is made and thereafter shall be the effective date of the most recent conversion or continuation of such Borrowing. Notwithstanding the</w:t>
      </w:r>
    </w:p>
    <w:p>
      <w:pPr>
        <w:spacing w:after="0" w:line="211" w:lineRule="auto"/>
        <w:rPr>
          <w:sz w:val="20"/>
          <w:szCs w:val="20"/>
          <w:color w:val="auto"/>
        </w:rPr>
      </w:pPr>
      <w:r>
        <w:rPr>
          <w:rFonts w:ascii="Times New Roman" w:cs="Times New Roman" w:eastAsia="Times New Roman" w:hAnsi="Times New Roman"/>
          <w:sz w:val="20"/>
          <w:szCs w:val="20"/>
          <w:color w:val="auto"/>
        </w:rPr>
        <w:t>foregoing (but subject to the proviso in the first sentence of this definition), the Interest Period for (i) any Borrowing made on the Closing</w:t>
      </w:r>
    </w:p>
    <w:p>
      <w:pPr>
        <w:spacing w:after="0" w:line="221" w:lineRule="auto"/>
        <w:rPr>
          <w:sz w:val="20"/>
          <w:szCs w:val="20"/>
          <w:color w:val="auto"/>
        </w:rPr>
      </w:pPr>
      <w:r>
        <w:rPr>
          <w:rFonts w:ascii="Times New Roman" w:cs="Times New Roman" w:eastAsia="Times New Roman" w:hAnsi="Times New Roman"/>
          <w:sz w:val="20"/>
          <w:szCs w:val="20"/>
          <w:color w:val="auto"/>
        </w:rPr>
        <w:t>Date and/or (ii) any Borrowing of Revolving Loans made after the Closing Date and prior to December 24, 2021 (which Interest Period shall commence on the date of such Borrowing), in each case, may, at the option of the Borrower, end on December 24, 2021.</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 any purchase or other acquisition for consideration by the Borrower or any of its Restricted Subsidiaries of</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of the Capital Stock of any other Person (other than any Loan Party (other than Holdings)), (b) the acquisition for consideration by the Borrower or any of its Restricted Subsidiaries by purchase or otherwise (other than any purchase or other acquisition of inventory, materials,</w:t>
      </w:r>
    </w:p>
    <w:p>
      <w:pPr>
        <w:spacing w:after="0" w:line="211" w:lineRule="auto"/>
        <w:rPr>
          <w:sz w:val="20"/>
          <w:szCs w:val="20"/>
          <w:color w:val="auto"/>
        </w:rPr>
      </w:pPr>
      <w:r>
        <w:rPr>
          <w:rFonts w:ascii="Times New Roman" w:cs="Times New Roman" w:eastAsia="Times New Roman" w:hAnsi="Times New Roman"/>
          <w:sz w:val="20"/>
          <w:szCs w:val="20"/>
          <w:color w:val="auto"/>
        </w:rPr>
        <w:t>supplies and/or equipment in the ordinary course of business) of all or a substantial portion of the business, property or fixed assets of any</w:t>
      </w:r>
    </w:p>
    <w:p>
      <w:pPr>
        <w:spacing w:after="0" w:line="215" w:lineRule="auto"/>
        <w:rPr>
          <w:sz w:val="20"/>
          <w:szCs w:val="20"/>
          <w:color w:val="auto"/>
        </w:rPr>
      </w:pPr>
      <w:r>
        <w:rPr>
          <w:rFonts w:ascii="Times New Roman" w:cs="Times New Roman" w:eastAsia="Times New Roman" w:hAnsi="Times New Roman"/>
          <w:sz w:val="19"/>
          <w:szCs w:val="19"/>
          <w:color w:val="auto"/>
        </w:rPr>
        <w:t>other Person constituting an operating division or operating line of business or other operating business unit of such other Person and (c) any loan, advance (other than any advance to any current or former employee, officer, director, member of management, manager, consultant or</w:t>
      </w:r>
    </w:p>
    <w:p>
      <w:pPr>
        <w:spacing w:after="0" w:line="211" w:lineRule="auto"/>
        <w:rPr>
          <w:sz w:val="20"/>
          <w:szCs w:val="20"/>
          <w:color w:val="auto"/>
        </w:rPr>
      </w:pPr>
      <w:r>
        <w:rPr>
          <w:rFonts w:ascii="Times New Roman" w:cs="Times New Roman" w:eastAsia="Times New Roman" w:hAnsi="Times New Roman"/>
          <w:sz w:val="20"/>
          <w:szCs w:val="20"/>
          <w:color w:val="auto"/>
        </w:rPr>
        <w:t>independent contractor of the Borrower, any Restricted Subsidiary, or any Parent Company for moving, entertainment and travel expenses,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drawing accounts and similar expenditures in the ordinary course of business) or capital contribution in exchange for consideration by the Borrower or any of its Restricted Subsidiaries to any other Person. Subject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the amount of any Investment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9"/>
          <w:szCs w:val="19"/>
          <w:color w:val="auto"/>
        </w:rPr>
        <w:t>be the original cost of such Investment, plus the cost of any addition thereto that otherwise constitutes an Investment, without any adjustment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 any increase or decrease in value, or any write-up, write-down or write-off with respect thereto, but giving effect to (i) any repayment of principal and/or interest in the case of any Investment in the form of a loan or other debt instrument and (ii) any return of capital or return on</w:t>
      </w:r>
    </w:p>
    <w:p>
      <w:pPr>
        <w:spacing w:after="0" w:line="211" w:lineRule="auto"/>
        <w:rPr>
          <w:sz w:val="20"/>
          <w:szCs w:val="20"/>
          <w:color w:val="auto"/>
        </w:rPr>
      </w:pPr>
      <w:r>
        <w:rPr>
          <w:rFonts w:ascii="Times New Roman" w:cs="Times New Roman" w:eastAsia="Times New Roman" w:hAnsi="Times New Roman"/>
          <w:sz w:val="20"/>
          <w:szCs w:val="20"/>
          <w:color w:val="auto"/>
        </w:rPr>
        <w:t>Investment in the case of any equity Investment (whether as a distribution, dividend, redemption or sale but not in excess of the amount of</w:t>
      </w:r>
    </w:p>
    <w:p>
      <w:pPr>
        <w:spacing w:after="0" w:line="215" w:lineRule="auto"/>
        <w:rPr>
          <w:sz w:val="20"/>
          <w:szCs w:val="20"/>
          <w:color w:val="auto"/>
        </w:rPr>
      </w:pPr>
      <w:r>
        <w:rPr>
          <w:rFonts w:ascii="Times New Roman" w:cs="Times New Roman" w:eastAsia="Times New Roman" w:hAnsi="Times New Roman"/>
          <w:sz w:val="19"/>
          <w:szCs w:val="19"/>
          <w:color w:val="auto"/>
        </w:rPr>
        <w:t>the relevant initial Investment). It is understood and agreed that the term “Investment” shall exclude (A) intercompany advances arising from cash management, tax and accounting operations and (B) intercompany loans, advances or Indebtedness made in the ordinary course of</w:t>
      </w:r>
    </w:p>
    <w:p>
      <w:pPr>
        <w:spacing w:after="0"/>
        <w:rPr>
          <w:sz w:val="20"/>
          <w:szCs w:val="20"/>
          <w:color w:val="auto"/>
        </w:rPr>
      </w:pPr>
      <w:r>
        <w:rPr>
          <w:rFonts w:ascii="Times New Roman" w:cs="Times New Roman" w:eastAsia="Times New Roman" w:hAnsi="Times New Roman"/>
          <w:sz w:val="20"/>
          <w:szCs w:val="20"/>
          <w:color w:val="auto"/>
        </w:rPr>
        <w:t>business that have a term that does not exceed 364 days.</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Investors</w:t>
      </w:r>
      <w:r>
        <w:rPr>
          <w:rFonts w:ascii="Times New Roman" w:cs="Times New Roman" w:eastAsia="Times New Roman" w:hAnsi="Times New Roman"/>
          <w:sz w:val="19"/>
          <w:szCs w:val="19"/>
          <w:color w:val="auto"/>
        </w:rPr>
        <w:t>” means (a) the Sponsors, (b) the Management Investors, and (c) other investors that, directly or indirectly, beneficially own Capital Stock in Holdings on the IPO Closing Date immediately prior to the consummation of the IPO, which may include one or more</w:t>
      </w:r>
    </w:p>
    <w:p>
      <w:pPr>
        <w:spacing w:after="0"/>
        <w:rPr>
          <w:sz w:val="20"/>
          <w:szCs w:val="20"/>
          <w:color w:val="auto"/>
        </w:rPr>
      </w:pPr>
      <w:r>
        <w:rPr>
          <w:rFonts w:ascii="Times New Roman" w:cs="Times New Roman" w:eastAsia="Times New Roman" w:hAnsi="Times New Roman"/>
          <w:sz w:val="20"/>
          <w:szCs w:val="20"/>
          <w:color w:val="auto"/>
        </w:rPr>
        <w:t>of the limited partners of any Sponsor.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3.05(c)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Separation Transaction</w:t>
      </w:r>
      <w:r>
        <w:rPr>
          <w:rFonts w:ascii="Times New Roman" w:cs="Times New Roman" w:eastAsia="Times New Roman" w:hAnsi="Times New Roman"/>
          <w:sz w:val="20"/>
          <w:szCs w:val="20"/>
          <w:color w:val="auto"/>
        </w:rPr>
        <w:t>” means (a) any Disposition by the Borrower or any Restricted Subsidiary of any Material Intellectual Property to any Unrestricted Subsidiary (other than any bona fide operational joint venture established for legitimate business purposes)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and/or (b) any Investment by the Borrower or any Restricted Subsidiary in the form of a contribution of Material Intellectual Property to any Unrestricted Subsidiary (other than any bona fide operational joint venture established for legitimate business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has the meaning assigned to such term in the preamble to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 Closing Date</w:t>
      </w:r>
      <w:r>
        <w:rPr>
          <w:rFonts w:ascii="Times New Roman" w:cs="Times New Roman" w:eastAsia="Times New Roman" w:hAnsi="Times New Roman"/>
          <w:sz w:val="20"/>
          <w:szCs w:val="20"/>
          <w:color w:val="auto"/>
        </w:rPr>
        <w:t>” means October 5, 2021, the date on which the IPO was consummated.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US Internal Revenue Service.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as the context may require, (a) each of Bank of America, Barclays Bank PLC, Citibank, N.A., Jefferies Finance LLC, MUFG Bank Ltd., PNC Bank, National Association and Synovus Bank and (b) each other Person that is or becomes a</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Revolving Lender, that,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agrees to act as an Issuing Bank hereunder pursuant to </w:t>
      </w:r>
      <w:r>
        <w:rPr>
          <w:rFonts w:ascii="Times New Roman" w:cs="Times New Roman" w:eastAsia="Times New Roman" w:hAnsi="Times New Roman"/>
          <w:sz w:val="20"/>
          <w:szCs w:val="20"/>
          <w:u w:val="single" w:color="auto"/>
          <w:color w:val="auto"/>
        </w:rPr>
        <w:t>Section 2.05(h)(ii)</w:t>
      </w:r>
      <w:r>
        <w:rPr>
          <w:rFonts w:ascii="Times New Roman" w:cs="Times New Roman" w:eastAsia="Times New Roman" w:hAnsi="Times New Roman"/>
          <w:sz w:val="20"/>
          <w:szCs w:val="20"/>
          <w:color w:val="auto"/>
        </w:rPr>
        <w:t xml:space="preserve">, and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each such Person in its capacity as an issuer of Letters of Credit hereunder. Each Issuing Bank may, in its</w:t>
      </w:r>
    </w:p>
    <w:p>
      <w:pPr>
        <w:spacing w:after="0" w:line="211" w:lineRule="auto"/>
        <w:rPr>
          <w:sz w:val="20"/>
          <w:szCs w:val="20"/>
          <w:color w:val="auto"/>
        </w:rPr>
      </w:pPr>
      <w:r>
        <w:rPr>
          <w:rFonts w:ascii="Times New Roman" w:cs="Times New Roman" w:eastAsia="Times New Roman" w:hAnsi="Times New Roman"/>
          <w:sz w:val="20"/>
          <w:szCs w:val="20"/>
          <w:color w:val="auto"/>
        </w:rPr>
        <w:t>discretion, arrange for one or more Letters of Credit to be issued by any branch or Affiliate of such Issuing Bank, in which case the term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“Issuing Bank” shall include any such branch or Affiliate with respect to Letters of Credit issued by such branch or Affiliate. Jefferies Finance LLC will cause Letters of Credit to be issued by unaffiliated financial institutions and such Letters of Credit shall be treated as issued</w:t>
      </w:r>
    </w:p>
    <w:p>
      <w:pPr>
        <w:spacing w:after="0"/>
        <w:rPr>
          <w:sz w:val="20"/>
          <w:szCs w:val="20"/>
          <w:color w:val="auto"/>
        </w:rPr>
      </w:pPr>
      <w:r>
        <w:rPr>
          <w:rFonts w:ascii="Times New Roman" w:cs="Times New Roman" w:eastAsia="Times New Roman" w:hAnsi="Times New Roman"/>
          <w:sz w:val="20"/>
          <w:szCs w:val="20"/>
          <w:color w:val="auto"/>
        </w:rPr>
        <w:t>by Jefferies Finance LLC for all purposes under the Loan Documents.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or such other form that is reasonably satisfactory to the Administrative Agent and the Borrower; it being understood and agreed that any Joinder Agreement executed by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Foreign Subsidiary may include such modifications as may be necessary to reflect the fact that such Foreign Subsidiary may not become party to the Security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9.25</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Debt</w:t>
      </w:r>
      <w:r>
        <w:rPr>
          <w:rFonts w:ascii="Times New Roman" w:cs="Times New Roman" w:eastAsia="Times New Roman" w:hAnsi="Times New Roman"/>
          <w:sz w:val="20"/>
          <w:szCs w:val="20"/>
          <w:color w:val="auto"/>
        </w:rPr>
        <w:t>” means any Indebtedness (other than Indebtedness among Holdings, the Borrower and/or any of their respective</w:t>
      </w:r>
    </w:p>
    <w:p>
      <w:pPr>
        <w:spacing w:after="0" w:line="221" w:lineRule="auto"/>
        <w:rPr>
          <w:sz w:val="20"/>
          <w:szCs w:val="20"/>
          <w:color w:val="auto"/>
        </w:rPr>
      </w:pPr>
      <w:r>
        <w:rPr>
          <w:rFonts w:ascii="Times New Roman" w:cs="Times New Roman" w:eastAsia="Times New Roman" w:hAnsi="Times New Roman"/>
          <w:sz w:val="20"/>
          <w:szCs w:val="20"/>
          <w:color w:val="auto"/>
        </w:rPr>
        <w:t>subsidiaries) that is secured by a Lien on the Collateral that is expressly junior or subordinated to the Lien on the Collateral securing the Initial Term Loans and the Initial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2" w:name="page163"/>
    <w:bookmarkEnd w:id="162"/>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Intercreditor Agreement</w:t>
      </w:r>
      <w:r>
        <w:rPr>
          <w:rFonts w:ascii="Times New Roman" w:cs="Times New Roman" w:eastAsia="Times New Roman" w:hAnsi="Times New Roman"/>
          <w:sz w:val="20"/>
          <w:szCs w:val="20"/>
          <w:color w:val="auto"/>
        </w:rPr>
        <w:t xml:space="preserve">” means an intercreditor agreement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with any changes thereto (whether material or immaterial) as the Borrower and the Administrative Agent may agree in their respective reasonable discretion.</w:t>
      </w:r>
    </w:p>
    <w:p>
      <w:pPr>
        <w:spacing w:after="0" w:line="148"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Revolving Credit Maturity Date</w:t>
      </w:r>
      <w:r>
        <w:rPr>
          <w:rFonts w:ascii="Times New Roman" w:cs="Times New Roman" w:eastAsia="Times New Roman" w:hAnsi="Times New Roman"/>
          <w:sz w:val="20"/>
          <w:szCs w:val="20"/>
          <w:color w:val="auto"/>
        </w:rPr>
        <w:t>” means, as of any date of determination, the latest maturity or expiration date applicable to any Revolving Loan or Revolving Credit Commitment hereunder at such time.</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Term Loan Maturity Date</w:t>
      </w:r>
      <w:r>
        <w:rPr>
          <w:rFonts w:ascii="Times New Roman" w:cs="Times New Roman" w:eastAsia="Times New Roman" w:hAnsi="Times New Roman"/>
          <w:sz w:val="20"/>
          <w:szCs w:val="20"/>
          <w:color w:val="auto"/>
        </w:rPr>
        <w:t>” means, as of any date of determination, the latest maturity or expiration date applicable to any Term Loan hereunder at such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or disbursement made by an Issuing Bank pursuant to a Letter of Credit.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amount of all outstanding Letters of Credit (other than any Letter of Credit that is subject to Letter of Credit Support at such time) at such time and (b) the aggregate principal amount of all</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LC Disbursements that have not yet been reimbursed at such time. The LC Exposure of any Revolving Lender at any time shall equal its Applicable Revolving Credit Percentage of the aggregate LC Exposure at such time.</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 the application of the relevant Debtor Relief Laws, general principles of equity and/or principles of good faith and fair dealing.</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the Term Lenders, the Revolving Lenders and any other Person that becomes a party hereto pursuant to an Assignment Agreement, other than any such Person that ceases to be a party hereto pursuant to an Assignment Agreement.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 (which, for the avoidance of doubt, shall exclude any Commercial Letter of Credit).</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means with respect to each Issuing Bank, the commitment of such Issuing Bank to issue Letters of Credit in an aggregate amount to not exceed the amount set forth opposite such Person’s name on the Commitment Schedule.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Reimbursement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2.05(d)(i)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Request</w:t>
      </w:r>
      <w:r>
        <w:rPr>
          <w:rFonts w:ascii="Times New Roman" w:cs="Times New Roman" w:eastAsia="Times New Roman" w:hAnsi="Times New Roman"/>
          <w:sz w:val="20"/>
          <w:szCs w:val="20"/>
          <w:color w:val="auto"/>
        </w:rPr>
        <w:t xml:space="preserve">” means a request by the Borrower for a new Letter of Credit or an amendment to any existing Letter of Credit in accordance with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substantially in the form of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 xml:space="preserve"> or such other form that is reasonably satisfactory to the relevant Issuing Bank and the Borrower.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Letter-of-Credit Right</w:t>
      </w:r>
      <w:r>
        <w:rPr>
          <w:rFonts w:ascii="Times New Roman" w:cs="Times New Roman" w:eastAsia="Times New Roman" w:hAnsi="Times New Roman"/>
          <w:sz w:val="20"/>
          <w:szCs w:val="20"/>
          <w:color w:val="auto"/>
        </w:rPr>
        <w:t>” has the meaning set forth in Article 9 of the UCC.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means $15,000,000, subject to increase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Support</w:t>
      </w:r>
      <w:r>
        <w:rPr>
          <w:rFonts w:ascii="Times New Roman" w:cs="Times New Roman" w:eastAsia="Times New Roman" w:hAnsi="Times New Roman"/>
          <w:sz w:val="20"/>
          <w:szCs w:val="20"/>
          <w:color w:val="auto"/>
        </w:rPr>
        <w:t>” means, with respect to any Letter of Credit, that (a) such Letter of Credit has been Cash collateralized in</w:t>
      </w:r>
    </w:p>
    <w:p>
      <w:pPr>
        <w:spacing w:after="0" w:line="204" w:lineRule="auto"/>
        <w:rPr>
          <w:sz w:val="20"/>
          <w:szCs w:val="20"/>
          <w:color w:val="auto"/>
        </w:rPr>
      </w:pPr>
      <w:r>
        <w:rPr>
          <w:rFonts w:ascii="Times New Roman" w:cs="Times New Roman" w:eastAsia="Times New Roman" w:hAnsi="Times New Roman"/>
          <w:sz w:val="20"/>
          <w:szCs w:val="20"/>
          <w:color w:val="auto"/>
        </w:rPr>
        <w:t>an amount equal to 100% of the face amount of such Letter of Credit, (b) a separate letter of credit has been issued in favor of the Issuing Bank (or its designee) with respect to such Letter of Credit pursuant to arrangements reasonably satisfactory to such Issuing Bank and in an</w:t>
      </w:r>
    </w:p>
    <w:p>
      <w:pPr>
        <w:spacing w:after="0" w:line="211" w:lineRule="auto"/>
        <w:rPr>
          <w:sz w:val="20"/>
          <w:szCs w:val="20"/>
          <w:color w:val="auto"/>
        </w:rPr>
      </w:pPr>
      <w:r>
        <w:rPr>
          <w:rFonts w:ascii="Times New Roman" w:cs="Times New Roman" w:eastAsia="Times New Roman" w:hAnsi="Times New Roman"/>
          <w:sz w:val="20"/>
          <w:szCs w:val="20"/>
          <w:color w:val="auto"/>
        </w:rPr>
        <w:t>amount equal to 100% of the face amount of the applicable Letter of Credit issued hereunder, (c) such Letter of Credit has been deemed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reissued under another agreement in a manner reasonably acceptable to the applicable Issuing Bank or (d) other arrangements reasonably acceptable to the relevant Issuing Bank with respect to such Letter of Credit.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LIBO Rate</w:t>
      </w:r>
      <w:r>
        <w:rPr>
          <w:rFonts w:ascii="Times New Roman" w:cs="Times New Roman" w:eastAsia="Times New Roman" w:hAnsi="Times New Roman"/>
          <w:sz w:val="20"/>
          <w:szCs w:val="20"/>
          <w:color w:val="FF0000"/>
          <w:strike w:val="1"/>
        </w:rPr>
        <w:t>” means, the Published LIBO Rate, as adjusted to reflect applicable reserves prescribed by Governmental Authorities;</w:t>
      </w:r>
    </w:p>
    <w:p>
      <w:pPr>
        <w:ind w:right="20"/>
        <w:spacing w:after="0" w:line="221" w:lineRule="auto"/>
        <w:rPr>
          <w:sz w:val="20"/>
          <w:szCs w:val="20"/>
          <w:color w:val="auto"/>
        </w:rPr>
      </w:pPr>
      <w:r>
        <w:rPr>
          <w:rFonts w:ascii="Times New Roman" w:cs="Times New Roman" w:eastAsia="Times New Roman" w:hAnsi="Times New Roman"/>
          <w:sz w:val="20"/>
          <w:szCs w:val="20"/>
          <w:u w:val="single" w:color="auto"/>
          <w:color w:val="FF0000"/>
          <w:strike w:val="1"/>
        </w:rPr>
        <w:t xml:space="preserve">provided </w:t>
      </w:r>
      <w:r>
        <w:rPr>
          <w:rFonts w:ascii="Times New Roman" w:cs="Times New Roman" w:eastAsia="Times New Roman" w:hAnsi="Times New Roman"/>
          <w:sz w:val="20"/>
          <w:szCs w:val="20"/>
          <w:color w:val="FF0000"/>
          <w:strike w:val="1"/>
        </w:rPr>
        <w:t>that, solely with respect to the Initial Term Loans and the Initial Revolving Loans, in no event shall the LIBO Rate be less than</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0.00% per annum.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mortgage, pledge, hypothecation, assignment, deposit arrangement, encumbrance, lien (statutory or other), charge,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preference, priority or other security interest or preferential arrangement of any kind or nature whatsoever (including any conditional sale or other title retention agreement, any easement, right of way or other encumbrance on title to real property, and any Capital Lease having</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substantially the same economic effect as any of the foregoing), in each case, in the nature of security;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 operating lease in and of itself be deemed to constitute a Lien.</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xml:space="preserve">” means this Agreement, </w:t>
      </w:r>
      <w:r>
        <w:rPr>
          <w:rFonts w:ascii="Times New Roman" w:cs="Times New Roman" w:eastAsia="Times New Roman" w:hAnsi="Times New Roman"/>
          <w:sz w:val="19"/>
          <w:szCs w:val="19"/>
          <w:u w:val="single" w:color="auto"/>
          <w:color w:val="0000FF"/>
        </w:rPr>
        <w:t>Amendment No. 1,</w:t>
      </w:r>
      <w:r>
        <w:rPr>
          <w:rFonts w:ascii="Times New Roman" w:cs="Times New Roman" w:eastAsia="Times New Roman" w:hAnsi="Times New Roman"/>
          <w:sz w:val="19"/>
          <w:szCs w:val="19"/>
          <w:color w:val="auto"/>
        </w:rPr>
        <w:t xml:space="preserve"> any Promissory Note, each Loan Guaranty, the Collateral Documents, any Intercreditor Agreement (if any) to which the Borrower is a party, any Perfection Certificate, each Refinancing Amendment,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Incremental Facility Amendment, each Extension Amendment and any other document or instrument designated by the Borrower and the Administrative Agent as a “Loan Document”. Any reference in this Agreement or any other Loan Document to a Loan Document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 all appendices, exhibits or schedules thereto.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(a) Holdings and (b) any Subsidiary Guarantor.</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the Loan Guaranty,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executed by each Loan Party thereto and the Administrative Agent for the benefit of the Secured Parties, as supplemented in accordance with the terms of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Installment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 and each Loan Guarantor.</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any Initial Term Loan, any Additional Term Loan, any Revolving Loan, any Swingline Loan or any Additional Revolving Loan.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Maintenance Capital Expenditures</w:t>
      </w:r>
      <w:r>
        <w:rPr>
          <w:rFonts w:ascii="Times New Roman" w:cs="Times New Roman" w:eastAsia="Times New Roman" w:hAnsi="Times New Roman"/>
          <w:sz w:val="19"/>
          <w:szCs w:val="19"/>
          <w:color w:val="auto"/>
        </w:rPr>
        <w:t>” means Capital Expenditures incurred for repair or replacement at, or otherwise to maintain, the</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Borrower’s Unit Locations, offices and related properties, whether in existence on or after the Closing Date, that are necessary to maintain a status quo level of operating performance as of or after the Closing Date, in each case other than capitalized software expenditures.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Investors</w:t>
      </w:r>
      <w:r>
        <w:rPr>
          <w:rFonts w:ascii="Times New Roman" w:cs="Times New Roman" w:eastAsia="Times New Roman" w:hAnsi="Times New Roman"/>
          <w:sz w:val="20"/>
          <w:szCs w:val="20"/>
          <w:color w:val="auto"/>
        </w:rPr>
        <w:t>” means the current and former officers, directors, managers, employees and members of management of the Borrower, any Parent Company and/or any subsidiary of the Borrower.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xml:space="preserve">” means a Permitted Acquisition (other than any Permitted Acquisition entered into in reliance on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definition thereof) with total consideration, including earn-out payments and other contingent payment obligations, in an amount not less than $30,000,000.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(i) the business, assets or financial condition, in each case, of the</w:t>
      </w:r>
    </w:p>
    <w:p>
      <w:pPr>
        <w:spacing w:after="0" w:line="204" w:lineRule="auto"/>
        <w:rPr>
          <w:sz w:val="20"/>
          <w:szCs w:val="20"/>
          <w:color w:val="auto"/>
        </w:rPr>
      </w:pPr>
      <w:r>
        <w:rPr>
          <w:rFonts w:ascii="Times New Roman" w:cs="Times New Roman" w:eastAsia="Times New Roman" w:hAnsi="Times New Roman"/>
          <w:sz w:val="20"/>
          <w:szCs w:val="20"/>
          <w:color w:val="auto"/>
        </w:rPr>
        <w:t>Borrower and its Restricted Subsidiaries, taken as a whole, (ii) the rights and remedies (taken as a whole) of the Administrative Agent under the applicable Loan Documents or (iii) the ability of the Loan Parties (taken as a whole) to perform their payment obligations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Loan Documents.</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Debt Instrument</w:t>
      </w:r>
      <w:r>
        <w:rPr>
          <w:rFonts w:ascii="Times New Roman" w:cs="Times New Roman" w:eastAsia="Times New Roman" w:hAnsi="Times New Roman"/>
          <w:sz w:val="20"/>
          <w:szCs w:val="20"/>
          <w:color w:val="auto"/>
        </w:rPr>
        <w:t>” means any physical instrument evidencing any Indebtedness for borrowed money owing from any Person other than any Loan Party which is required to be pledged and delivered to the Administrative Agent (or its bailee) pursuant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Agreement.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any intellectual property owned by any Loan Party that is, in the good faith determination of the Borrower, material to the operation of the business of the Borrower and its Restricted Subsidiaries, taken as a whole.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(a) with respect to the Initial Revolving Facility, the Initial Revolving Credit Maturity Date, (b) with respect</w:t>
      </w:r>
    </w:p>
    <w:p>
      <w:pPr>
        <w:spacing w:after="0" w:line="204" w:lineRule="auto"/>
        <w:rPr>
          <w:sz w:val="20"/>
          <w:szCs w:val="20"/>
          <w:color w:val="auto"/>
        </w:rPr>
      </w:pPr>
      <w:r>
        <w:rPr>
          <w:rFonts w:ascii="Times New Roman" w:cs="Times New Roman" w:eastAsia="Times New Roman" w:hAnsi="Times New Roman"/>
          <w:sz w:val="20"/>
          <w:szCs w:val="20"/>
          <w:color w:val="auto"/>
        </w:rPr>
        <w:t>to the Initial Term Loans, the Initial Term Loan Maturity Date, (c) with respect to any Replacement Term Loan or Revolver Replacement Facility, the final maturity date for such Replacement Term Loan or Revolver Replacement Facility, as the case may be, as set forth in the</w:t>
      </w:r>
    </w:p>
    <w:p>
      <w:pPr>
        <w:spacing w:after="0" w:line="211" w:lineRule="auto"/>
        <w:rPr>
          <w:sz w:val="20"/>
          <w:szCs w:val="20"/>
          <w:color w:val="auto"/>
        </w:rPr>
      </w:pPr>
      <w:r>
        <w:rPr>
          <w:rFonts w:ascii="Times New Roman" w:cs="Times New Roman" w:eastAsia="Times New Roman" w:hAnsi="Times New Roman"/>
          <w:sz w:val="20"/>
          <w:szCs w:val="20"/>
          <w:color w:val="auto"/>
        </w:rPr>
        <w:t>applicable Refinancing Amendment, (d) with respect to any Incremental Facility, the final maturity date set forth in the applicable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Incremental Facility Amendment, and (e) with respect to any Extended Revolving Credit Commitment or Extended Term Loans, the final maturity date set forth in the applicable Extension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any employee benefit plan which is a “multiemployer plan” as defined in Section 3(37) of ERISA that is subject to the provisions of Title IV of ERISA, and in respect of which Holdings, the Borrower or any of its Restricted Subsidiaries, or any</w:t>
      </w:r>
    </w:p>
    <w:p>
      <w:pPr>
        <w:ind w:right="20"/>
        <w:spacing w:after="0" w:line="228" w:lineRule="auto"/>
        <w:rPr>
          <w:sz w:val="20"/>
          <w:szCs w:val="20"/>
          <w:color w:val="auto"/>
        </w:rPr>
      </w:pPr>
      <w:r>
        <w:rPr>
          <w:rFonts w:ascii="Times New Roman" w:cs="Times New Roman" w:eastAsia="Times New Roman" w:hAnsi="Times New Roman"/>
          <w:sz w:val="20"/>
          <w:szCs w:val="20"/>
          <w:color w:val="auto"/>
        </w:rPr>
        <w:t>of their respective ERISA Affiliates, makes or is obligated to make contributions or with respect to which any of them has any ongoing obligation or liability, contingent or otherwise.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Insurance/Condemnation Proceeds</w:t>
      </w:r>
      <w:r>
        <w:rPr>
          <w:rFonts w:ascii="Times New Roman" w:cs="Times New Roman" w:eastAsia="Times New Roman" w:hAnsi="Times New Roman"/>
          <w:sz w:val="20"/>
          <w:szCs w:val="20"/>
          <w:color w:val="auto"/>
        </w:rPr>
        <w:t>” means an amount equal to:</w:t>
      </w:r>
    </w:p>
    <w:p>
      <w:pPr>
        <w:spacing w:after="0" w:line="189" w:lineRule="exact"/>
        <w:rPr>
          <w:sz w:val="20"/>
          <w:szCs w:val="20"/>
          <w:color w:val="auto"/>
        </w:rPr>
      </w:pPr>
    </w:p>
    <w:p>
      <w:pPr>
        <w:jc w:val="both"/>
        <w:ind w:left="660" w:firstLine="644"/>
        <w:spacing w:after="0" w:line="216" w:lineRule="auto"/>
        <w:tabs>
          <w:tab w:leader="none" w:pos="194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Cash payment or proceeds (including Cash Equivalents) received by the Borrower or any of its Restricted Subsidiaries (i) under any casualty insurance policy in respect of a covered loss thereunder of any asset of the Borrower or any of its Restricted Subsidiaries or (ii) as a result of the taking of any asset of the Borrower or any of its Restricted Subsidiaries by any Person pursuant to the power of eminent domain, condemnation or otherwise, or pursuant to a sale of any such assets to a purchaser with such power under threat of such a taking, in each case other than any amount that is attributable to business interruption and/or lost profit; </w:t>
      </w:r>
      <w:r>
        <w:rPr>
          <w:rFonts w:ascii="Times New Roman" w:cs="Times New Roman" w:eastAsia="Times New Roman" w:hAnsi="Times New Roman"/>
          <w:sz w:val="20"/>
          <w:szCs w:val="20"/>
          <w:u w:val="single" w:color="auto"/>
          <w:color w:val="auto"/>
        </w:rPr>
        <w:t>minus</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out-of-pocket cost and/or expense incurred by the Borrower or any of its Restricted Subsidiaries in connection with the adjustment, settlement or collection of any claims of the Borrower or the relevant Restricted Subsidiary in respect thereof;</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outstanding principal amount of, premium or penalty, if any, and interest and other amounts on any Indebtedness (other than the Loans and/or any after First Lien Debt and/or Junior Lien Debt) that is secured by a Lien on the assets in question and that is required to be repaid or otherwise comes due or would be in default under the terms thereof as a result of such loss, taking 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65" w:name="page166"/>
    <w:bookmarkEnd w:id="165"/>
    <w:p>
      <w:pPr>
        <w:ind w:left="2600" w:hanging="648"/>
        <w:spacing w:after="0"/>
        <w:tabs>
          <w:tab w:leader="none" w:pos="26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 out-of-pocket costs of putting any affected property in a safe and secure position;</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8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Borrower’s good faith estimate of income Taxes paid or payable (including pursuant to Tax sharing arrangements or any intercompany distribution)) in connection with any sale or taking of such assets as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it being understood that the reduction of any net operating loss resulting from such Disposition shall be deemed to constitute an income Tax “paid or payable” for purposes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and at the time any such amount is released from such reserve, such amounts shall constitute Net Insurance/Condemnation Proceeds); and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covered loss or taking from any non-Wholly-Owned Subsidiary, the pro rata portion thereof (calculated without regard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attributable to minority interests and not available for distribution to or for the account of the Borrower or a Wholly-Owned Subsidiary as a result thereof.</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660" w:firstLine="644"/>
        <w:spacing w:after="0" w:line="226" w:lineRule="auto"/>
        <w:tabs>
          <w:tab w:leader="none" w:pos="19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Disposition (including any Prepayment Asset Sale), the Cash proceeds (including Cash Equivalents and Cash proceeds subsequently received (as and when received) in respect of non-cash consideration initially received), net of:</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4"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it being understood that the reduction in the amount of any net operating loss resulting from such Disposition shall be deemed to constitute an income Tax “paid or payable” for purposes of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left="1300" w:firstLine="652"/>
        <w:spacing w:after="0" w:line="226" w:lineRule="auto"/>
        <w:tabs>
          <w:tab w:leader="none" w:pos="259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provided as a reserve in accordance with GAAP against any liabilities under any indemnification obligation or purchase price adjustment associated with such Disposition (provided that to the extent and at the time any such amount is released from such reserve, such amounts shall constitute Net Proceeds);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premium or penalty, if any, interest and other amounts on any Indebtedness (other than the Loans and any other Indebtedness that constitutes First Lien Debt or Junior Lien Debt) which is secured by the asset sold in such Disposition and which is required to be repaid or otherwise comes due or would be in default and is repaid (other than any such Indebtedness that is assumed by the purchaser of such asset);</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escrow (until released from escrow to the Borrower or any of its Restricted Subsidiaries) from the sale price for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6" w:name="page167"/>
    <w:bookmarkEnd w:id="166"/>
    <w:p>
      <w:pPr>
        <w:jc w:val="both"/>
        <w:ind w:left="1300" w:firstLine="652"/>
        <w:spacing w:after="0" w:line="226" w:lineRule="auto"/>
        <w:tabs>
          <w:tab w:leader="none" w:pos="25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Disposition by any non-Wholly-Owned Subsidiary, the pro rata portion of the Net Proceeds thereof (calculated without regard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that is attributable to any minority interest and not available for distribution to or for the account of the Borrower or a Wholly-Owned Subsidiary as a result thereof; and</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used to repay or return any customer deposit required to be repaid or returned as a result of such Disposition;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issuance or incurrence of Indebtedness, issuance of Capital Stock and/or any contribution in respect of any Capital Stock, the Cash proceeds thereof, net of all Taxes and customary fees, commissions, costs, underwriting discounts and other fees and expenses incurred in connection therewith, including any cost associated with the unwinding of any Hedge Agreement in connection with such Indebtedness.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Non-Debt Fund Affiliate</w:t>
      </w:r>
      <w:r>
        <w:rPr>
          <w:rFonts w:ascii="Times New Roman" w:cs="Times New Roman" w:eastAsia="Times New Roman" w:hAnsi="Times New Roman"/>
          <w:sz w:val="20"/>
          <w:szCs w:val="20"/>
          <w:color w:val="auto"/>
        </w:rPr>
        <w:t>” means any Investor (which is an Affiliate of Holdings) and any Affiliate of any such Investor, other than any Debt Fund Affiliate.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Revolving Lenders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2.21(d)(i)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 Otherwise Applied</w:t>
      </w:r>
      <w:r>
        <w:rPr>
          <w:rFonts w:ascii="Times New Roman" w:cs="Times New Roman" w:eastAsia="Times New Roman" w:hAnsi="Times New Roman"/>
          <w:sz w:val="19"/>
          <w:szCs w:val="19"/>
          <w:color w:val="auto"/>
        </w:rPr>
        <w:t>” means, with respect to the proceeds of the issuance of Qualified Capital Stock or contribution with respect to Qualified Capital Stock, that as of any date of determination such proceeds have not previously been applied to permit a transaction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reliance on </w:t>
      </w:r>
      <w:r>
        <w:rPr>
          <w:rFonts w:ascii="Times New Roman" w:cs="Times New Roman" w:eastAsia="Times New Roman" w:hAnsi="Times New Roman"/>
          <w:sz w:val="20"/>
          <w:szCs w:val="20"/>
          <w:u w:val="single" w:color="auto"/>
          <w:color w:val="auto"/>
        </w:rPr>
        <w:t>Sections 6.04(a)(ii)(B)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(a)(iii)(A)</w:t>
      </w:r>
      <w:r>
        <w:rPr>
          <w:rFonts w:ascii="Times New Roman" w:cs="Times New Roman" w:eastAsia="Times New Roman" w:hAnsi="Times New Roman"/>
          <w:sz w:val="20"/>
          <w:szCs w:val="20"/>
          <w:color w:val="auto"/>
        </w:rPr>
        <w:t xml:space="preserve"> (to the extent a Restricted Payment is made in 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definition of “Available Amount”), </w:t>
      </w:r>
      <w:r>
        <w:rPr>
          <w:rFonts w:ascii="Times New Roman" w:cs="Times New Roman" w:eastAsia="Times New Roman" w:hAnsi="Times New Roman"/>
          <w:sz w:val="20"/>
          <w:szCs w:val="20"/>
          <w:u w:val="single" w:color="auto"/>
          <w:color w:val="auto"/>
        </w:rPr>
        <w:t>6.04(a)(iii)(B) 6.04(a)(viii)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6.04(b)(v)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(b)(vi)(A)</w:t>
      </w:r>
      <w:r>
        <w:rPr>
          <w:rFonts w:ascii="Times New Roman" w:cs="Times New Roman" w:eastAsia="Times New Roman" w:hAnsi="Times New Roman"/>
          <w:sz w:val="20"/>
          <w:szCs w:val="20"/>
          <w:color w:val="auto"/>
        </w:rPr>
        <w:t xml:space="preserve"> (to the extent a Restricted Debt Payment is made in 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 definition of “Available Amount”), </w:t>
      </w:r>
      <w:r>
        <w:rPr>
          <w:rFonts w:ascii="Times New Roman" w:cs="Times New Roman" w:eastAsia="Times New Roman" w:hAnsi="Times New Roman"/>
          <w:sz w:val="20"/>
          <w:szCs w:val="20"/>
          <w:u w:val="single" w:color="auto"/>
          <w:color w:val="auto"/>
        </w:rPr>
        <w:t>6.06(n)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6.06(r)(i)</w:t>
      </w:r>
      <w:r>
        <w:rPr>
          <w:rFonts w:ascii="Times New Roman" w:cs="Times New Roman" w:eastAsia="Times New Roman" w:hAnsi="Times New Roman"/>
          <w:sz w:val="20"/>
          <w:szCs w:val="20"/>
          <w:color w:val="auto"/>
        </w:rPr>
        <w:t xml:space="preserve"> (to the extent an Investment is made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 definition of “Available Amount”) and/or </w:t>
      </w:r>
      <w:r>
        <w:rPr>
          <w:rFonts w:ascii="Times New Roman" w:cs="Times New Roman" w:eastAsia="Times New Roman" w:hAnsi="Times New Roman"/>
          <w:sz w:val="20"/>
          <w:szCs w:val="20"/>
          <w:u w:val="single" w:color="auto"/>
          <w:color w:val="auto"/>
        </w:rPr>
        <w:t>6.06(r)(ii)</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Q</w:t>
      </w:r>
      <w:r>
        <w:rPr>
          <w:rFonts w:ascii="Times New Roman" w:cs="Times New Roman" w:eastAsia="Times New Roman" w:hAnsi="Times New Roman"/>
          <w:sz w:val="20"/>
          <w:szCs w:val="20"/>
          <w:color w:val="auto"/>
        </w:rPr>
        <w:t xml:space="preserve"> or such other form as may be approved by the Administrative Agent and the Borrower (including any form on an electronic</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platform or electronic transmission system as shall be approved by the Administrative Agent and the Borrower), appropriately completed and signed by a Responsible Officer.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(including interest accruing during the pendency of any</w:t>
      </w:r>
    </w:p>
    <w:p>
      <w:pPr>
        <w:spacing w:after="0" w:line="204" w:lineRule="auto"/>
        <w:rPr>
          <w:sz w:val="20"/>
          <w:szCs w:val="20"/>
          <w:color w:val="auto"/>
        </w:rPr>
      </w:pPr>
      <w:r>
        <w:rPr>
          <w:rFonts w:ascii="Times New Roman" w:cs="Times New Roman" w:eastAsia="Times New Roman" w:hAnsi="Times New Roman"/>
          <w:sz w:val="20"/>
          <w:szCs w:val="20"/>
          <w:color w:val="auto"/>
        </w:rPr>
        <w:t>bankruptcy, insolvency, receivership or other similar proceeding, regardless of whether allowed or allowable in such proceeding) on the Loans, all LC Exposure, all accrued and unpaid fees and all expenses (including fees and expenses accruing during the pendency of any</w:t>
      </w:r>
    </w:p>
    <w:p>
      <w:pPr>
        <w:spacing w:after="0" w:line="211" w:lineRule="auto"/>
        <w:rPr>
          <w:sz w:val="20"/>
          <w:szCs w:val="20"/>
          <w:color w:val="auto"/>
        </w:rPr>
      </w:pPr>
      <w:r>
        <w:rPr>
          <w:rFonts w:ascii="Times New Roman" w:cs="Times New Roman" w:eastAsia="Times New Roman" w:hAnsi="Times New Roman"/>
          <w:sz w:val="20"/>
          <w:szCs w:val="20"/>
          <w:color w:val="auto"/>
        </w:rPr>
        <w:t>bankruptcy, insolvency, receivership or other similar proceeding, regardless of whether allowed or allowable in such proceeding),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reimbursements, indemnities and all other advances to, debts, liabilities and obligations of any Loan Party to the Lenders or to any Lender, the Administrative Agent, any Issuing Bank or any indemnified party arising under the Loan Documents in respect of any Loan or Letter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Credit, whether direct or indirect (including those acquired by assumption), absolute, contingent, due or to become due, now existing or hereafter arising.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 Derivative Instrument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9.05(d)(ii)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 Control of the U.S. Treasury Department.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Organizational Documents</w:t>
      </w:r>
      <w:r>
        <w:rPr>
          <w:rFonts w:ascii="Times New Roman" w:cs="Times New Roman" w:eastAsia="Times New Roman" w:hAnsi="Times New Roman"/>
          <w:sz w:val="19"/>
          <w:szCs w:val="19"/>
          <w:color w:val="auto"/>
        </w:rPr>
        <w:t>” means (a) with respect to any corporation, its certificate or articles of incorporation or organization and its by-laws, (b) with respect to any limited partnership, its certificate of limited partnership and its partnership agreement, (c) with respect to</w:t>
      </w:r>
    </w:p>
    <w:p>
      <w:pPr>
        <w:spacing w:after="0" w:line="211" w:lineRule="auto"/>
        <w:rPr>
          <w:sz w:val="20"/>
          <w:szCs w:val="20"/>
          <w:color w:val="auto"/>
        </w:rPr>
      </w:pPr>
      <w:r>
        <w:rPr>
          <w:rFonts w:ascii="Times New Roman" w:cs="Times New Roman" w:eastAsia="Times New Roman" w:hAnsi="Times New Roman"/>
          <w:sz w:val="20"/>
          <w:szCs w:val="20"/>
          <w:color w:val="auto"/>
        </w:rPr>
        <w:t>any general partnership, its partnership agreement, (d) with respect to any limited liability company, its articles of organization or certificate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formation, and its operating agreement, and (e) with respect to any other form of entity, such other organizational documents required by local Requirements of Law or customary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color w:val="auto"/>
        </w:rPr>
        <w:t>jurisdiction to document the formation and governance principles of such type of entity. In the event that any term or condition of this</w:t>
      </w:r>
    </w:p>
    <w:p>
      <w:pPr>
        <w:spacing w:after="0" w:line="215" w:lineRule="auto"/>
        <w:rPr>
          <w:sz w:val="20"/>
          <w:szCs w:val="20"/>
          <w:color w:val="auto"/>
        </w:rPr>
      </w:pPr>
      <w:r>
        <w:rPr>
          <w:rFonts w:ascii="Times New Roman" w:cs="Times New Roman" w:eastAsia="Times New Roman" w:hAnsi="Times New Roman"/>
          <w:sz w:val="19"/>
          <w:szCs w:val="19"/>
          <w:color w:val="auto"/>
        </w:rPr>
        <w:t>Agreement or any other Loan Document requires any Organizational Document to be certified by a secretary of state or similar governmental official, the reference to any such “Organizational Document” shall only be to a document of a type customarily certified by such</w:t>
      </w:r>
    </w:p>
    <w:p>
      <w:pPr>
        <w:spacing w:after="0"/>
        <w:rPr>
          <w:sz w:val="20"/>
          <w:szCs w:val="20"/>
          <w:color w:val="auto"/>
        </w:rPr>
      </w:pPr>
      <w:r>
        <w:rPr>
          <w:rFonts w:ascii="Times New Roman" w:cs="Times New Roman" w:eastAsia="Times New Roman" w:hAnsi="Times New Roman"/>
          <w:sz w:val="20"/>
          <w:szCs w:val="20"/>
          <w:color w:val="auto"/>
        </w:rPr>
        <w:t>governmental official.</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Lender, any Issuing Bank or the Administrative Agent Taxes imposed as a result of a present or former connection between such recipient and the jurisdiction imposing such Tax (other than connections arising solely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from such recipient having executed, delivered, become a party to, performed its obligations under, received payments under, received or perfected a security interest under, or engaged in any other transaction pursuant to or enforced any Loan Document, or sold or assigned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any Loan or Loan Document).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Taxes or any intangible, recording, filing or other similar Taxes arising from any payment made under any Loan Document or from the execution, delivery or enforcement or registration, from the</w:t>
      </w:r>
    </w:p>
    <w:p>
      <w:pPr>
        <w:spacing w:after="0" w:line="224" w:lineRule="auto"/>
        <w:rPr>
          <w:sz w:val="20"/>
          <w:szCs w:val="20"/>
          <w:color w:val="auto"/>
        </w:rPr>
      </w:pPr>
      <w:r>
        <w:rPr>
          <w:rFonts w:ascii="Times New Roman" w:cs="Times New Roman" w:eastAsia="Times New Roman" w:hAnsi="Times New Roman"/>
          <w:sz w:val="19"/>
          <w:szCs w:val="19"/>
          <w:color w:val="auto"/>
        </w:rPr>
        <w:t>receipt or perfection of a security interest under, or otherwise with respect to, any Loan Document, but excluding (i) any Excluded Taxes and</w:t>
      </w:r>
    </w:p>
    <w:p>
      <w:pPr>
        <w:ind w:right="20" w:firstLine="8"/>
        <w:spacing w:after="0" w:line="221" w:lineRule="auto"/>
        <w:tabs>
          <w:tab w:leader="none" w:pos="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Taxes that are Other Connection Taxes imposed with respect to an assignment or participation (other than an assignment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Outstanding Amount</w:t>
      </w:r>
      <w:r>
        <w:rPr>
          <w:rFonts w:ascii="Times New Roman" w:cs="Times New Roman" w:eastAsia="Times New Roman" w:hAnsi="Times New Roman"/>
          <w:sz w:val="19"/>
          <w:szCs w:val="19"/>
          <w:color w:val="auto"/>
        </w:rPr>
        <w:t>” means (a) with respect to any Term Loan, Revolving Loan and/or Swingline Loan on any date, the aggregate</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outstanding principal amount thereof after giving effect to any borrowing and/or prepayment or repayment of such Term Loan, Revolving Loan and/or Swingline Loans, as the case may be, occurring on such date, (b) with respect to any Letter of Credit, the aggregate amount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available to be drawn under such Letter of Credit after giving effect to any change in the aggregate amount available to be drawn under such Letter of Credit or the issuance or expiry of such Letter of Credit, including as a result of any LC Disbursement and (c) with respect to any</w:t>
      </w:r>
    </w:p>
    <w:p>
      <w:pPr>
        <w:spacing w:after="0" w:line="211" w:lineRule="auto"/>
        <w:rPr>
          <w:sz w:val="20"/>
          <w:szCs w:val="20"/>
          <w:color w:val="auto"/>
        </w:rPr>
      </w:pPr>
      <w:r>
        <w:rPr>
          <w:rFonts w:ascii="Times New Roman" w:cs="Times New Roman" w:eastAsia="Times New Roman" w:hAnsi="Times New Roman"/>
          <w:sz w:val="20"/>
          <w:szCs w:val="20"/>
          <w:color w:val="auto"/>
        </w:rPr>
        <w:t>LC Disbursement on any date, the amount of the aggregate outstanding amount of such LC Disbursement on such date after giving effect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any disbursement with respect to any Letter of Credit occurring on such date and any other change in the aggregate amount of such LC Disbursement as of such date, including as a result of any reimbursement by the Borrower of such unreimbursed LC Disbursement.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has the meaning assigned to such term in the preamble to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Company</w:t>
      </w:r>
      <w:r>
        <w:rPr>
          <w:rFonts w:ascii="Times New Roman" w:cs="Times New Roman" w:eastAsia="Times New Roman" w:hAnsi="Times New Roman"/>
          <w:sz w:val="19"/>
          <w:szCs w:val="19"/>
          <w:color w:val="auto"/>
        </w:rPr>
        <w:t>” means (a) the Parent and (b) any Person of which the Borrower is a direct or indirect Wholly-Owned Subsidiary.</w:t>
      </w:r>
    </w:p>
    <w:p>
      <w:pPr>
        <w:spacing w:after="0" w:line="18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Passu Intercreditor Agreement</w:t>
      </w:r>
      <w:r>
        <w:rPr>
          <w:rFonts w:ascii="Times New Roman" w:cs="Times New Roman" w:eastAsia="Times New Roman" w:hAnsi="Times New Roman"/>
          <w:sz w:val="20"/>
          <w:szCs w:val="20"/>
          <w:color w:val="auto"/>
        </w:rPr>
        <w:t xml:space="preserve">” means an intercreditor agreement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with any changes thereto (whether material or immaterial) as the Borrower and the Administrative Agent may agree in their respective reasonable discretion.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9.05(c)(i)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Participant/SPC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w:t>
      </w:r>
      <w:r>
        <w:rPr>
          <w:rFonts w:ascii="Times New Roman" w:cs="Times New Roman" w:eastAsia="Times New Roman" w:hAnsi="Times New Roman"/>
          <w:sz w:val="19"/>
          <w:szCs w:val="19"/>
          <w:color w:val="auto"/>
        </w:rPr>
        <w:t>” means the following: (a) any and all patents and patent applications; (b) all inventions described and claimed therein; (c) all</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reissues, divisions, continuations, renewals, extensions and continuations in part thereof; (d) all income, royalties, damages, claims, and payments now or hereafter due or payable under and with respect thereto, including damages and payments for past and future infringements</w:t>
      </w:r>
    </w:p>
    <w:p>
      <w:pPr>
        <w:spacing w:after="0"/>
        <w:rPr>
          <w:sz w:val="20"/>
          <w:szCs w:val="20"/>
          <w:color w:val="auto"/>
        </w:rPr>
      </w:pPr>
      <w:r>
        <w:rPr>
          <w:rFonts w:ascii="Times New Roman" w:cs="Times New Roman" w:eastAsia="Times New Roman" w:hAnsi="Times New Roman"/>
          <w:sz w:val="20"/>
          <w:szCs w:val="20"/>
          <w:color w:val="auto"/>
        </w:rPr>
        <w:t>thereof; (e) all rights to sue for past, present, and future infringements thereof; and (f) all rights corresponding to any of the foregoing.</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defined in Section 3(2) of ERISA (other than a Multiemployer Plan),</w:t>
      </w:r>
    </w:p>
    <w:p>
      <w:pPr>
        <w:spacing w:after="0" w:line="215" w:lineRule="auto"/>
        <w:rPr>
          <w:sz w:val="20"/>
          <w:szCs w:val="20"/>
          <w:color w:val="auto"/>
        </w:rPr>
      </w:pPr>
      <w:r>
        <w:rPr>
          <w:rFonts w:ascii="Times New Roman" w:cs="Times New Roman" w:eastAsia="Times New Roman" w:hAnsi="Times New Roman"/>
          <w:sz w:val="19"/>
          <w:szCs w:val="19"/>
          <w:color w:val="auto"/>
        </w:rPr>
        <w:t>that is subject to the provisions of Title IV of ERISA or Section 412 of the Code or Section 302 of ERISA, which Holdings, the Borrower or any of its Restricted Subsidiaries, or any of their respective ERISA Affiliates, maintains or contributes to or has an obligation to contribute</w:t>
      </w:r>
    </w:p>
    <w:p>
      <w:pPr>
        <w:spacing w:after="0"/>
        <w:rPr>
          <w:sz w:val="20"/>
          <w:szCs w:val="20"/>
          <w:color w:val="auto"/>
        </w:rPr>
      </w:pPr>
      <w:r>
        <w:rPr>
          <w:rFonts w:ascii="Times New Roman" w:cs="Times New Roman" w:eastAsia="Times New Roman" w:hAnsi="Times New Roman"/>
          <w:sz w:val="20"/>
          <w:szCs w:val="20"/>
          <w:color w:val="auto"/>
        </w:rPr>
        <w:t>to, or otherwise has any liability, contingent or otherwise.</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that is reasonably acceptable to the Administrative Agent and the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Requirements</w:t>
      </w:r>
      <w:r>
        <w:rPr>
          <w:rFonts w:ascii="Times New Roman" w:cs="Times New Roman" w:eastAsia="Times New Roman" w:hAnsi="Times New Roman"/>
          <w:sz w:val="20"/>
          <w:szCs w:val="20"/>
          <w:color w:val="auto"/>
        </w:rPr>
        <w:t>” means (a) with respect to any Loan Party (other than any Discretionary Guarantor that is a Foreign</w:t>
      </w:r>
    </w:p>
    <w:p>
      <w:pPr>
        <w:spacing w:after="0" w:line="204" w:lineRule="auto"/>
        <w:rPr>
          <w:sz w:val="20"/>
          <w:szCs w:val="20"/>
          <w:color w:val="auto"/>
        </w:rPr>
      </w:pPr>
      <w:r>
        <w:rPr>
          <w:rFonts w:ascii="Times New Roman" w:cs="Times New Roman" w:eastAsia="Times New Roman" w:hAnsi="Times New Roman"/>
          <w:sz w:val="20"/>
          <w:szCs w:val="20"/>
          <w:color w:val="auto"/>
        </w:rPr>
        <w:t>Subsidiary), the filing of appropriate financing statements with the office of the Secretary of State or other appropriate office of the state of organization of each Loan Party, the filing of Intellectual Property Security Agreements or other appropriate instruments or notices with the</w:t>
      </w:r>
    </w:p>
    <w:p>
      <w:pPr>
        <w:spacing w:after="0" w:line="223" w:lineRule="auto"/>
        <w:rPr>
          <w:sz w:val="20"/>
          <w:szCs w:val="20"/>
          <w:color w:val="auto"/>
        </w:rPr>
      </w:pPr>
      <w:r>
        <w:rPr>
          <w:rFonts w:ascii="Times New Roman" w:cs="Times New Roman" w:eastAsia="Times New Roman" w:hAnsi="Times New Roman"/>
          <w:sz w:val="19"/>
          <w:szCs w:val="19"/>
          <w:color w:val="auto"/>
        </w:rPr>
        <w:t>US Patent and Trademark Office and the US Copyright Office (solely as required under applicable Requirements of Law), and the delivery to</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Administrative Agent of, solely to the extent the same constitutes Collateral, any stock certificate or promissory note, together with instruments of transfer executed in blank and (b) with respect to any Discretionary Guarantor that is a Foreign Subsidiary, any recording,</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filing, registration, notification or other action required to be taken in the applicable jurisdiction,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to the extent required by the applicable Loan Documents.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“Periodic Term SOFR Determination Day” has the meaning set forth in the definition of “Term SOFR”.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made by the Borrower or any of its Restricted Subsidiaries, whether by purchase,</w:t>
      </w:r>
    </w:p>
    <w:p>
      <w:pPr>
        <w:spacing w:after="0" w:line="204" w:lineRule="auto"/>
        <w:rPr>
          <w:sz w:val="20"/>
          <w:szCs w:val="20"/>
          <w:color w:val="auto"/>
        </w:rPr>
      </w:pPr>
      <w:r>
        <w:rPr>
          <w:rFonts w:ascii="Times New Roman" w:cs="Times New Roman" w:eastAsia="Times New Roman" w:hAnsi="Times New Roman"/>
          <w:sz w:val="20"/>
          <w:szCs w:val="20"/>
          <w:color w:val="auto"/>
        </w:rPr>
        <w:t>merger or otherwise, of (i) all or substantially all of the assets, or any business line, unit or division, product line and/or the re-purchase of franchised Unit Locations (including research and development and related assets in respect of any product) of, any Person engaged in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Similar Business or (ii) a majority of the outstanding Capital Stock of any Person engaged in a Similar Business (it being understood and agreed that “Permitted Acquisition” shall include any Investment in (x) any Restricted Subsidiary the effect of which is to increase the</w:t>
      </w:r>
    </w:p>
    <w:p>
      <w:pPr>
        <w:spacing w:after="0" w:line="211" w:lineRule="auto"/>
        <w:rPr>
          <w:sz w:val="20"/>
          <w:szCs w:val="20"/>
          <w:color w:val="auto"/>
        </w:rPr>
      </w:pPr>
      <w:r>
        <w:rPr>
          <w:rFonts w:ascii="Times New Roman" w:cs="Times New Roman" w:eastAsia="Times New Roman" w:hAnsi="Times New Roman"/>
          <w:sz w:val="20"/>
          <w:szCs w:val="20"/>
          <w:color w:val="auto"/>
        </w:rPr>
        <w:t>Borrower’s or any Restricted Subsidiary’s equity ownership in such Restricted Subsidiary or (y) any joint venture for the purpose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increasing the Borrower’s or its relevant Restricted Subsidiary’s ownership interest in such joint venture, in each case if (1) such Person is or becomes a Restricted Subsidiary or (2) such Person, in one transaction or a series of related transactions, is amalgamated, merged or</w:t>
      </w:r>
    </w:p>
    <w:p>
      <w:pPr>
        <w:spacing w:after="0" w:line="223" w:lineRule="auto"/>
        <w:rPr>
          <w:sz w:val="20"/>
          <w:szCs w:val="20"/>
          <w:color w:val="auto"/>
        </w:rPr>
      </w:pPr>
      <w:r>
        <w:rPr>
          <w:rFonts w:ascii="Times New Roman" w:cs="Times New Roman" w:eastAsia="Times New Roman" w:hAnsi="Times New Roman"/>
          <w:sz w:val="19"/>
          <w:szCs w:val="19"/>
          <w:color w:val="auto"/>
        </w:rPr>
        <w:t>consolidated with or into, or transfers or conveys all or a substantial portion of its assets (or such division, business line, unit or product line)</w:t>
      </w:r>
    </w:p>
    <w:p>
      <w:pPr>
        <w:spacing w:after="0"/>
        <w:rPr>
          <w:sz w:val="20"/>
          <w:szCs w:val="20"/>
          <w:color w:val="auto"/>
        </w:rPr>
      </w:pPr>
      <w:r>
        <w:rPr>
          <w:rFonts w:ascii="Times New Roman" w:cs="Times New Roman" w:eastAsia="Times New Roman" w:hAnsi="Times New Roman"/>
          <w:sz w:val="20"/>
          <w:szCs w:val="20"/>
          <w:color w:val="auto"/>
        </w:rPr>
        <w:t xml:space="preserve">to, or is liquidated into, the Borrower and/or any Restricted Subsidiary as a result of such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3" w:lineRule="exact"/>
        <w:rPr>
          <w:sz w:val="20"/>
          <w:szCs w:val="20"/>
          <w:color w:val="auto"/>
        </w:rPr>
      </w:pPr>
    </w:p>
    <w:p>
      <w:pPr>
        <w:ind w:left="660" w:firstLine="644"/>
        <w:spacing w:after="0"/>
        <w:tabs>
          <w:tab w:leader="none" w:pos="194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(without giving effect to any Covenant Acquisition Increase)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on a Pro Forma Basis;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consideration paid by Loan Parties for (i) the Capital Stock of any Person that is not and does not become a Loan Party, (ii) with respect to any Investment of the type referred to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above after giving effect to which the relevant Restricted Subsidiary or joint venture is not and does not become a Loan Party or (iii) in the case of an asset acquisition, assets that are not acquired by any Loan Party, in each case, taken together with the total consideration for all such Persons and assets so acquired after the Closing Date, shall not exceed the greater of $15,000,000 and 25% of Consolidated Adjusted EBITDA as of the last day of the most recently ended Test Period;</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limitation described in the immediately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to any acquisition to the extent</w:t>
      </w:r>
    </w:p>
    <w:p>
      <w:pPr>
        <w:ind w:left="940" w:hanging="284"/>
        <w:spacing w:after="0" w:line="211" w:lineRule="auto"/>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consideration is financed with the proceeds of sales of the Qualified Capital Stock of, or common equity capital</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contributions to, the Borrower or any Restricted Subsidiary, other than any Cure Amount or Available Excluded Contribution</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Amount and/or (ii) the Person so acquired (or the Person owning the assets so acquired) becomes a Subsidiary Guarantor even though such Person is not otherwise required to become a Subsidiary Guarantor;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69" w:name="page170"/>
    <w:bookmarkEnd w:id="169"/>
    <w:p>
      <w:pPr>
        <w:jc w:val="both"/>
        <w:ind w:left="660" w:firstLine="644"/>
        <w:spacing w:after="0" w:line="234" w:lineRule="auto"/>
        <w:tabs>
          <w:tab w:leader="none" w:pos="1951"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the amount available under the immediately preceding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is reduced as a result of any acquisition of (i) any Restricted Subsidiary that does not become a Loan Party or (ii) any assets that are not transferred to a Loan Party and such Restricted Subsidiary subsequently becomes a Loan Party or such assets are subsequently transferred to a Loan Party respectively, the amount available under the immediately preceding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proportionately increased as a result thereof.</w:t>
      </w:r>
    </w:p>
    <w:p>
      <w:pPr>
        <w:spacing w:after="0" w:line="16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Asset Swap</w:t>
      </w:r>
      <w:r>
        <w:rPr>
          <w:rFonts w:ascii="Times New Roman" w:cs="Times New Roman" w:eastAsia="Times New Roman" w:hAnsi="Times New Roman"/>
          <w:sz w:val="20"/>
          <w:szCs w:val="20"/>
          <w:color w:val="auto"/>
        </w:rPr>
        <w:t>” means the concurrent purchase and sale or exchange of Related Business Assets or any combination of Related Business Assets between the Borrower and/or any Restricted Subsidiary, on the one hand, and any other Person, on the other hand.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Bond Hedge Transaction</w:t>
      </w:r>
      <w:r>
        <w:rPr>
          <w:rFonts w:ascii="Times New Roman" w:cs="Times New Roman" w:eastAsia="Times New Roman" w:hAnsi="Times New Roman"/>
          <w:sz w:val="20"/>
          <w:szCs w:val="20"/>
          <w:color w:val="auto"/>
        </w:rPr>
        <w:t>” means any call or capped call option (or substantively equivalent derivative transaction) with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respect to the Parent’s common equity that is purchased by the Parent in connection with the issuance of any Convertible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 the case of any such transaction entered into after the Closing Date, such transaction is consummated substantially</w:t>
      </w:r>
    </w:p>
    <w:p>
      <w:pPr>
        <w:spacing w:after="0" w:line="211" w:lineRule="auto"/>
        <w:rPr>
          <w:sz w:val="20"/>
          <w:szCs w:val="20"/>
          <w:color w:val="auto"/>
        </w:rPr>
      </w:pPr>
      <w:r>
        <w:rPr>
          <w:rFonts w:ascii="Times New Roman" w:cs="Times New Roman" w:eastAsia="Times New Roman" w:hAnsi="Times New Roman"/>
          <w:sz w:val="20"/>
          <w:szCs w:val="20"/>
          <w:color w:val="auto"/>
        </w:rPr>
        <w:t>simultaneously with the issuance of such Convertible Indebtedness and (y) the purchase price for such Permitted Bond Hedge Transaction,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less the proceeds received by the Parent from the sale of any related Permitted Warrant Transaction, does not exceed the net proceeds received by the Parent from the Convertible Indebtedness issued in connection with such Permitted Bond Hedge Transaction.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(a) the Investors and (b) any Person with which one or more Investors and/or management form a</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“group” (within the meaning of Section 14(d) of the Exchange Act) so long as,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relevant Investors beneficially own more than 50% of the relevant voting Capital Stock beneficially owned by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w:t>
      </w:r>
      <w:r>
        <w:rPr>
          <w:rFonts w:ascii="Times New Roman" w:cs="Times New Roman" w:eastAsia="Times New Roman" w:hAnsi="Times New Roman"/>
          <w:sz w:val="20"/>
          <w:szCs w:val="20"/>
          <w:color w:val="auto"/>
        </w:rPr>
        <w:t>” means any call option, warrant or right to purchase (or substantively equivalent derivative transaction) with respect to the Parent’s common equity sold by the Parent substantially concurrently with a related Permitted Bond Hedge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w:t>
      </w:r>
    </w:p>
    <w:p>
      <w:pPr>
        <w:spacing w:after="0" w:line="15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any other entity.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maintained by Holdings and/or any Restricted Subsidiary or, with respect to any such plan that is subject to Section 412 of the Code or Title IV of ERISA, any of its ERISA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 other than any Multiemployer Plan.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Asset Sale</w:t>
      </w:r>
      <w:r>
        <w:rPr>
          <w:rFonts w:ascii="Times New Roman" w:cs="Times New Roman" w:eastAsia="Times New Roman" w:hAnsi="Times New Roman"/>
          <w:sz w:val="20"/>
          <w:szCs w:val="20"/>
          <w:color w:val="auto"/>
        </w:rPr>
        <w:t>” means any Disposition by the Borrower or any Restricted Subsidiary made outside the ordinary course of</w:t>
      </w:r>
    </w:p>
    <w:p>
      <w:pPr>
        <w:spacing w:after="0"/>
        <w:rPr>
          <w:sz w:val="20"/>
          <w:szCs w:val="20"/>
          <w:color w:val="auto"/>
        </w:rPr>
      </w:pPr>
      <w:r>
        <w:rPr>
          <w:rFonts w:ascii="Times New Roman" w:cs="Times New Roman" w:eastAsia="Times New Roman" w:hAnsi="Times New Roman"/>
          <w:sz w:val="20"/>
          <w:szCs w:val="20"/>
          <w:color w:val="auto"/>
        </w:rPr>
        <w:t xml:space="preserve">business pursuant in reliance on </w:t>
      </w:r>
      <w:r>
        <w:rPr>
          <w:rFonts w:ascii="Times New Roman" w:cs="Times New Roman" w:eastAsia="Times New Roman" w:hAnsi="Times New Roman"/>
          <w:sz w:val="20"/>
          <w:szCs w:val="20"/>
          <w:u w:val="single" w:color="auto"/>
          <w:color w:val="auto"/>
        </w:rPr>
        <w:t>Section 6.07(h)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6.07(q)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6.07(s)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6.07(x)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6.07(aa)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6.07(kk)</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has the meaning assigned to such term in the definition of “Guarantee”.</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 the rate of interest publicly announced, from time to time, by the Administrative Agent at its principal office in New York City as its “prime rate,” with the understanding that the “prime rate” is one of the Administrative Agent’s base rates (not</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necessarily the lowest of such rates) and serves as the basis upon which effective rates of interest are calculated for those loans making reference thereto and is evidenced by the recording thereof after its announcement in such internal publications as the Administrative Agent</w:t>
      </w:r>
    </w:p>
    <w:p>
      <w:pPr>
        <w:spacing w:after="0" w:line="223" w:lineRule="auto"/>
        <w:rPr>
          <w:sz w:val="20"/>
          <w:szCs w:val="20"/>
          <w:color w:val="auto"/>
        </w:rPr>
      </w:pPr>
      <w:r>
        <w:rPr>
          <w:rFonts w:ascii="Times New Roman" w:cs="Times New Roman" w:eastAsia="Times New Roman" w:hAnsi="Times New Roman"/>
          <w:sz w:val="19"/>
          <w:szCs w:val="19"/>
          <w:color w:val="auto"/>
        </w:rPr>
        <w:t>may designate or (b) if the Administrative Agent has no “prime rate,” the rate of interest last quoted by The Wall Street Journal as the “Prime</w:t>
      </w:r>
    </w:p>
    <w:p>
      <w:pPr>
        <w:spacing w:after="0" w:line="215" w:lineRule="auto"/>
        <w:rPr>
          <w:sz w:val="20"/>
          <w:szCs w:val="20"/>
          <w:color w:val="auto"/>
        </w:rPr>
      </w:pPr>
      <w:r>
        <w:rPr>
          <w:rFonts w:ascii="Times New Roman" w:cs="Times New Roman" w:eastAsia="Times New Roman" w:hAnsi="Times New Roman"/>
          <w:sz w:val="19"/>
          <w:szCs w:val="19"/>
          <w:color w:val="auto"/>
        </w:rPr>
        <w:t>Rate” in the US or, if The Wall Street Journal ceases to quote such rate, the highest per annum interest rate published by the Federal Reserve Board in Federal Reserve Statistical Release H.15 (519) (Selected Interest Rates) as the “bank prime loan” rate or, if such rate is no longer</w:t>
      </w:r>
    </w:p>
    <w:p>
      <w:pPr>
        <w:spacing w:after="0"/>
        <w:rPr>
          <w:sz w:val="20"/>
          <w:szCs w:val="20"/>
          <w:color w:val="auto"/>
        </w:rPr>
      </w:pPr>
      <w:r>
        <w:rPr>
          <w:rFonts w:ascii="Times New Roman" w:cs="Times New Roman" w:eastAsia="Times New Roman" w:hAnsi="Times New Roman"/>
          <w:sz w:val="20"/>
          <w:szCs w:val="20"/>
          <w:color w:val="auto"/>
        </w:rPr>
        <w:t>quoted therein, any similar rate quoted therein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determined by the Administrative Agent) or any similar release by the Federal Reserve Board (as reasonably determined by the Administrative Agent).</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with respect to any determination of the Total Rent Adjusted Net Leverage Ratio, the First Lien Rent Adjusted Net Leverage Ratio, the Secured Rent Adjusted Net Leverage Ratio, the Fixed Charge Coverage Ratio,</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Consolidated Adjusted EBITDA, Consolidated Adjusted EBITDAR or Consolidated Total Assets (including any component definition thereof), that:</w:t>
      </w:r>
    </w:p>
    <w:p>
      <w:pPr>
        <w:spacing w:after="0" w:line="162" w:lineRule="exact"/>
        <w:rPr>
          <w:sz w:val="20"/>
          <w:szCs w:val="20"/>
          <w:color w:val="auto"/>
        </w:rPr>
      </w:pPr>
    </w:p>
    <w:p>
      <w:pPr>
        <w:jc w:val="both"/>
        <w:ind w:left="660" w:firstLine="644"/>
        <w:spacing w:after="0" w:line="215"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 any Disposition of all or substantially all of the Capital Stock of any Restricted Subsidiary or any division and/or product line of the Borrower and/or any Restricted Subsidiary, (ii) any designation of a Restricted Subsidiary as an Unrestricted Subsidiary (iii) the implementation of any Business Optimization Initiative relating to a cost-savings action and/or (iv) if applicable, any Subject Transaction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definition thereof,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 any Permitted Acquisition or other Investment, (ii) any designation of any Unrestricted Subsidiary as a Restricted Subsidiary, and/or (iii) if applicable, any Subject Transaction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the definition thereof,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retirement or repayment of Indebtedness by the Borrower or any of its Subsidiaries that constitutes a Subject Transaction shall be deemed to have occurred as of the first day of the applicable Test Period with respect to any test or covenant for which the relevant determination is being made;</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Indebtedness incurred by the Borrower or any of its Restricted Subsidiaries in connection therewith that constitutes a Subject Transaction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Capital Lease shall be deemed to accrue at an interest rate reasonably determined by a Responsible Officer of the Borrower in good faith to be the rate of interest implicit in such obligation in accordance with GAAP and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168" w:lineRule="exact"/>
        <w:rPr>
          <w:rFonts w:ascii="Times New Roman" w:cs="Times New Roman" w:eastAsia="Times New Roman" w:hAnsi="Times New Roman"/>
          <w:sz w:val="20"/>
          <w:szCs w:val="20"/>
          <w:color w:val="auto"/>
        </w:rPr>
      </w:pPr>
    </w:p>
    <w:p>
      <w:pPr>
        <w:jc w:val="both"/>
        <w:ind w:left="660" w:firstLine="644"/>
        <w:spacing w:after="0" w:line="228" w:lineRule="auto"/>
        <w:tabs>
          <w:tab w:leader="none" w:pos="195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acquisition of any asset included in calculating Consolidated Total Assets (other than the amount Cash or Cash Equivalents, which is addressed in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below),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1" w:name="page172"/>
    <w:bookmarkEnd w:id="171"/>
    <w:p>
      <w:pPr>
        <w:jc w:val="both"/>
        <w:ind w:left="660" w:firstLine="644"/>
        <w:spacing w:after="0" w:line="222" w:lineRule="auto"/>
        <w:tabs>
          <w:tab w:leader="none" w:pos="194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other than, for the avoidance of doubt, for purposes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other Subject Transaction shall be deemed to have occurred as of the first day of the applicable Test Period (or, in the case of Consolidated Total Assets, as of the last day of such Test Period) with respect to any test or covenant for which such calculation is being made.</w:t>
      </w:r>
    </w:p>
    <w:p>
      <w:pPr>
        <w:spacing w:after="0" w:line="16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It is hereby agreed that for purposes of determining pro forma compliance with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prior to the last day of the first full Fiscal Quarter after the Closing Date, the applicable level shall be the level cited in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as applicable. Notwithstanding anything to the contrary set forth in the immediately preceding paragraph, for the avoidance of doubt, when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calculating the Total Rent Adjusted Net Leverage Ratio for purposes of the definitions of “Applicable Rate” and “Commitment Fee Rate” and for purposes of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 xml:space="preserve"> (other than for the purpose of determining pro forma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6.10(b)</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 a condition to taking any action under this Agreement), the events described in the immediately preceding paragraph that occurred subsequent to the end of the applicable Test Period shall not be given pro forma effect.</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means the financial projections, forecasts, financial estimates and other forward-looking and/or projected information of or relating to the Borrower and its subsidiaries included in the Financial Model (or a supplement thereto).</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Promissory Note</w:t>
      </w:r>
      <w:r>
        <w:rPr>
          <w:rFonts w:ascii="Times New Roman" w:cs="Times New Roman" w:eastAsia="Times New Roman" w:hAnsi="Times New Roman"/>
          <w:sz w:val="19"/>
          <w:szCs w:val="19"/>
          <w:color w:val="auto"/>
        </w:rPr>
        <w:t xml:space="preserve">” means a promissory note of the Borrower payable to any Lender or its registered assigns, in substantially the form of </w:t>
      </w:r>
      <w:r>
        <w:rPr>
          <w:rFonts w:ascii="Times New Roman" w:cs="Times New Roman" w:eastAsia="Times New Roman" w:hAnsi="Times New Roman"/>
          <w:sz w:val="19"/>
          <w:szCs w:val="19"/>
          <w:u w:val="single" w:color="auto"/>
          <w:color w:val="auto"/>
        </w:rPr>
        <w:t>Exhibit L</w:t>
      </w:r>
      <w:r>
        <w:rPr>
          <w:rFonts w:ascii="Times New Roman" w:cs="Times New Roman" w:eastAsia="Times New Roman" w:hAnsi="Times New Roman"/>
          <w:sz w:val="19"/>
          <w:szCs w:val="19"/>
          <w:color w:val="auto"/>
        </w:rPr>
        <w:t>, evidencing the aggregate outstanding principal amount of Loans of the Borrower to such Lender resulting from the Loans</w:t>
      </w:r>
    </w:p>
    <w:p>
      <w:pPr>
        <w:spacing w:after="0"/>
        <w:rPr>
          <w:sz w:val="20"/>
          <w:szCs w:val="20"/>
          <w:color w:val="auto"/>
        </w:rPr>
      </w:pPr>
      <w:r>
        <w:rPr>
          <w:rFonts w:ascii="Times New Roman" w:cs="Times New Roman" w:eastAsia="Times New Roman" w:hAnsi="Times New Roman"/>
          <w:sz w:val="20"/>
          <w:szCs w:val="20"/>
          <w:color w:val="auto"/>
        </w:rPr>
        <w:t>made by such Lender.</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Company Costs</w:t>
      </w:r>
      <w:r>
        <w:rPr>
          <w:rFonts w:ascii="Times New Roman" w:cs="Times New Roman" w:eastAsia="Times New Roman" w:hAnsi="Times New Roman"/>
          <w:sz w:val="20"/>
          <w:szCs w:val="20"/>
          <w:color w:val="auto"/>
        </w:rPr>
        <w:t>” means Charges associated with, or in anticipation of, or preparation for, compliance with the requirements of the Sarbanes-Oxley Act of 2002 (and, in each case, similar Requirements of Law under other jurisdictions) and the rules and regulations</w:t>
      </w:r>
    </w:p>
    <w:p>
      <w:pPr>
        <w:spacing w:after="0" w:line="212" w:lineRule="auto"/>
        <w:rPr>
          <w:sz w:val="20"/>
          <w:szCs w:val="20"/>
          <w:color w:val="auto"/>
        </w:rPr>
      </w:pPr>
      <w:r>
        <w:rPr>
          <w:rFonts w:ascii="Times New Roman" w:cs="Times New Roman" w:eastAsia="Times New Roman" w:hAnsi="Times New Roman"/>
          <w:sz w:val="20"/>
          <w:szCs w:val="20"/>
          <w:color w:val="auto"/>
        </w:rPr>
        <w:t>promulgated in connection therewith and Charges relating to compliance with the provisions of the Securities Act and the Exchange Act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(and, in each case, similar Requirements of Law under other jurisdictions), as applicable to companies with equity or debt securities held by the public, the rules of national securities exchange companies with listed equity or debt securities, directors’, managers’ and/or employees’</w:t>
      </w:r>
    </w:p>
    <w:p>
      <w:pPr>
        <w:spacing w:after="0" w:line="211" w:lineRule="auto"/>
        <w:rPr>
          <w:sz w:val="20"/>
          <w:szCs w:val="20"/>
          <w:color w:val="auto"/>
        </w:rPr>
      </w:pPr>
      <w:r>
        <w:rPr>
          <w:rFonts w:ascii="Times New Roman" w:cs="Times New Roman" w:eastAsia="Times New Roman" w:hAnsi="Times New Roman"/>
          <w:sz w:val="20"/>
          <w:szCs w:val="20"/>
          <w:color w:val="auto"/>
        </w:rPr>
        <w:t>compensation, fees and expense reimbursement, Charges relating to investor relations, shareholder meetings and reports to shareholders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debtholders, directors’ and officers’ insurance and other executive costs, legal and other professional fees (including auditors’ and accountants’ fees), listing fees, filing fees and other costs and/or expenses associated with being a public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Published LIBO Rate</w:t>
      </w:r>
      <w:r>
        <w:rPr>
          <w:rFonts w:ascii="Times New Roman" w:cs="Times New Roman" w:eastAsia="Times New Roman" w:hAnsi="Times New Roman"/>
          <w:sz w:val="19"/>
          <w:szCs w:val="19"/>
          <w:color w:val="008000"/>
          <w:strike w:val="1"/>
        </w:rPr>
        <w:t>” means, with respect to any</w:t>
      </w:r>
      <w:r>
        <w:rPr>
          <w:rFonts w:ascii="Times New Roman" w:cs="Times New Roman" w:eastAsia="Times New Roman" w:hAnsi="Times New Roman"/>
          <w:sz w:val="19"/>
          <w:szCs w:val="19"/>
          <w:color w:val="FF0000"/>
          <w:strike w:val="1"/>
        </w:rPr>
        <w:t xml:space="preserve"> Interest Period </w:t>
      </w:r>
      <w:r>
        <w:rPr>
          <w:rFonts w:ascii="Times New Roman" w:cs="Times New Roman" w:eastAsia="Times New Roman" w:hAnsi="Times New Roman"/>
          <w:sz w:val="19"/>
          <w:szCs w:val="19"/>
          <w:color w:val="008000"/>
          <w:strike w:val="1"/>
        </w:rPr>
        <w:t>when used in reference to any Loan or Borrowing,</w:t>
      </w:r>
      <w:r>
        <w:rPr>
          <w:rFonts w:ascii="Times New Roman" w:cs="Times New Roman" w:eastAsia="Times New Roman" w:hAnsi="Times New Roman"/>
          <w:sz w:val="19"/>
          <w:szCs w:val="19"/>
          <w:color w:val="FF0000"/>
          <w:strike w:val="1"/>
        </w:rPr>
        <w:t xml:space="preserve"> (a) the rate of interest appearing on Reuters Screen LIBOR01 Page (or on any successor or substitute page of such service, or any successor to such service</w:t>
      </w:r>
    </w:p>
    <w:p>
      <w:pPr>
        <w:spacing w:after="0" w:line="211" w:lineRule="auto"/>
        <w:rPr>
          <w:sz w:val="20"/>
          <w:szCs w:val="20"/>
          <w:color w:val="auto"/>
        </w:rPr>
      </w:pPr>
      <w:r>
        <w:rPr>
          <w:rFonts w:ascii="Times New Roman" w:cs="Times New Roman" w:eastAsia="Times New Roman" w:hAnsi="Times New Roman"/>
          <w:sz w:val="20"/>
          <w:szCs w:val="20"/>
          <w:color w:val="FF0000"/>
          <w:strike w:val="1"/>
        </w:rPr>
        <w:t>as determined by Administrative Agent) as the London interbank offered rate for deposits in Dollars for a term comparable to such Interest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 xml:space="preserve">Period, at approximately 11:00 a.m. (London time) on the date that is two Business Days prior to the commencement of such Interest Period or (b) if the rates described in </w:t>
      </w:r>
      <w:r>
        <w:rPr>
          <w:rFonts w:ascii="Times New Roman" w:cs="Times New Roman" w:eastAsia="Times New Roman" w:hAnsi="Times New Roman"/>
          <w:sz w:val="19"/>
          <w:szCs w:val="19"/>
          <w:u w:val="single" w:color="auto"/>
          <w:color w:val="FF0000"/>
          <w:strike w:val="1"/>
        </w:rPr>
        <w:t>clause (a)</w:t>
      </w:r>
      <w:r>
        <w:rPr>
          <w:rFonts w:ascii="Times New Roman" w:cs="Times New Roman" w:eastAsia="Times New Roman" w:hAnsi="Times New Roman"/>
          <w:sz w:val="19"/>
          <w:szCs w:val="19"/>
          <w:color w:val="FF0000"/>
          <w:strike w:val="1"/>
        </w:rPr>
        <w:t xml:space="preserve"> is not available at such time for any reason, then the “Published LIBO Rate” for such Interest Period</w:t>
      </w:r>
    </w:p>
    <w:p>
      <w:pPr>
        <w:spacing w:after="0"/>
        <w:rPr>
          <w:sz w:val="20"/>
          <w:szCs w:val="20"/>
          <w:color w:val="auto"/>
        </w:rPr>
      </w:pPr>
      <w:r>
        <w:rPr>
          <w:rFonts w:ascii="Times New Roman" w:cs="Times New Roman" w:eastAsia="Times New Roman" w:hAnsi="Times New Roman"/>
          <w:sz w:val="20"/>
          <w:szCs w:val="20"/>
          <w:color w:val="FF0000"/>
          <w:strike w:val="1"/>
        </w:rPr>
        <w:t xml:space="preserve">shall be determined in accordance with </w:t>
      </w:r>
      <w:r>
        <w:rPr>
          <w:rFonts w:ascii="Times New Roman" w:cs="Times New Roman" w:eastAsia="Times New Roman" w:hAnsi="Times New Roman"/>
          <w:sz w:val="20"/>
          <w:szCs w:val="20"/>
          <w:u w:val="single" w:color="auto"/>
          <w:color w:val="FF0000"/>
          <w:strike w:val="1"/>
        </w:rPr>
        <w:t>Section 2.14</w:t>
      </w:r>
      <w:r>
        <w:rPr>
          <w:rFonts w:ascii="Times New Roman" w:cs="Times New Roman" w:eastAsia="Times New Roman" w:hAnsi="Times New Roman"/>
          <w:sz w:val="20"/>
          <w:szCs w:val="20"/>
          <w:color w:val="FF0000"/>
          <w:strike w:val="1"/>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of any Person means any Capital Stock of such Person that is not Disqualified Capital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Quality of Earnings Report</w:t>
      </w:r>
      <w:r>
        <w:rPr>
          <w:rFonts w:ascii="Times New Roman" w:cs="Times New Roman" w:eastAsia="Times New Roman" w:hAnsi="Times New Roman"/>
          <w:sz w:val="20"/>
          <w:szCs w:val="20"/>
          <w:color w:val="auto"/>
        </w:rPr>
        <w:t>” has the meaning assigned to such term in the definition of “Consolidated Adjusted EBITDA”.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at any time of determination, all right, title and interest (fee, leasehold or otherwise) of any Person in and to real property (including, but not limited to, land, improvements and fixtures thereon).</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means an amendment to this Agreement that is reasonably satisfactory to the Administrative Agent and the Borrower executed by (a) the Borrower, (b) the Administrative Agent and (c) each Lender that agrees to provide all or any portion of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Replacement Term Loans or the Revolver Replacement Facility, as applicable, being incurred pursuant thereto and in accordance with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Refunding Capital Stock</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6.04(a)(viii)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Bank</w:t>
      </w:r>
      <w:r>
        <w:rPr>
          <w:rFonts w:ascii="Times New Roman" w:cs="Times New Roman" w:eastAsia="Times New Roman" w:hAnsi="Times New Roman"/>
          <w:sz w:val="20"/>
          <w:szCs w:val="20"/>
          <w:color w:val="auto"/>
        </w:rPr>
        <w:t>” means any insured depository institution that is regulated by foreign, federal or state banking regulators, including the United States Office of the Comptroller of the Currency, the Federal Deposit Insurance Corporation or the Board.</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as from time to time in effect and all official rulings and interpretations thereunder or thereof.</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S-X</w:t>
      </w:r>
      <w:r>
        <w:rPr>
          <w:rFonts w:ascii="Times New Roman" w:cs="Times New Roman" w:eastAsia="Times New Roman" w:hAnsi="Times New Roman"/>
          <w:sz w:val="20"/>
          <w:szCs w:val="20"/>
          <w:color w:val="auto"/>
        </w:rPr>
        <w:t>” means Regulation S-X under the Securities Act.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Business Assets</w:t>
      </w:r>
      <w:r>
        <w:rPr>
          <w:rFonts w:ascii="Times New Roman" w:cs="Times New Roman" w:eastAsia="Times New Roman" w:hAnsi="Times New Roman"/>
          <w:sz w:val="20"/>
          <w:szCs w:val="20"/>
          <w:color w:val="auto"/>
        </w:rPr>
        <w:t xml:space="preserve">” means assets (other than cash or Cash Equivalents) used or useful in a Similar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asset received by the Borrower or any Restricted Subsidiary in exchange for any asset transferred by the Borrower or any Restricted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Subsidiary shall not be deemed to constitute a Related Business Asset if such asset consists of securities of a Person, unless upon receipt of the securities of such Person, such Person would become a Restricted Subsidiary.</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Funds</w:t>
      </w:r>
      <w:r>
        <w:rPr>
          <w:rFonts w:ascii="Times New Roman" w:cs="Times New Roman" w:eastAsia="Times New Roman" w:hAnsi="Times New Roman"/>
          <w:sz w:val="20"/>
          <w:szCs w:val="20"/>
          <w:color w:val="auto"/>
        </w:rPr>
        <w:t>” means with respect to any Lender that is an Approved Fund, any other Approved Fund that is managed by the same investment advisor as such Lender or by an Affiliate of such investment advisor.</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managers, officers, shareholders, trustees, employees, partners, agents, advisors and other representatives of such Person and such Person’s Affiliates.</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Environment (including the abandonment or disposal of any barrels,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containers or other closed receptacles containing any Hazardous Material), including the movement of any Hazardous Material through the air, soil, surface water or groundwater.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w:t>
      </w:r>
    </w:p>
    <w:p>
      <w:pPr>
        <w:jc w:val="both"/>
        <w:spacing w:after="0" w:line="221" w:lineRule="auto"/>
        <w:rPr>
          <w:sz w:val="20"/>
          <w:szCs w:val="20"/>
          <w:color w:val="auto"/>
        </w:rPr>
      </w:pPr>
      <w:r>
        <w:rPr>
          <w:rFonts w:ascii="Times New Roman" w:cs="Times New Roman" w:eastAsia="Times New Roman" w:hAnsi="Times New Roman"/>
          <w:sz w:val="20"/>
          <w:szCs w:val="20"/>
          <w:color w:val="auto"/>
        </w:rPr>
        <w:t>York, or a committee officially endorsed or convened by the Board of Governors of the Federal Reserve System or the Federal Reserve Bank of New York,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Debt</w:t>
      </w:r>
      <w:r>
        <w:rPr>
          <w:rFonts w:ascii="Times New Roman" w:cs="Times New Roman" w:eastAsia="Times New Roman" w:hAnsi="Times New Roman"/>
          <w:sz w:val="20"/>
          <w:szCs w:val="20"/>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any subsequent refinancing of such Replacement Debt).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with respect to any Pension Plan or Multiemployer Plan, any of the events described in Section 4043(c)</w:t>
      </w:r>
    </w:p>
    <w:p>
      <w:pPr>
        <w:spacing w:after="0" w:line="197" w:lineRule="auto"/>
        <w:rPr>
          <w:sz w:val="20"/>
          <w:szCs w:val="20"/>
          <w:color w:val="auto"/>
        </w:rPr>
      </w:pPr>
      <w:r>
        <w:rPr>
          <w:rFonts w:ascii="Times New Roman" w:cs="Times New Roman" w:eastAsia="Times New Roman" w:hAnsi="Times New Roman"/>
          <w:sz w:val="20"/>
          <w:szCs w:val="20"/>
          <w:color w:val="auto"/>
        </w:rPr>
        <w:t>of ERISA or the regulations issued thereunder, other than those events as to which the 30-day notice period is waived under PBGC Reg.</w:t>
      </w:r>
    </w:p>
    <w:p>
      <w:pPr>
        <w:spacing w:after="0"/>
        <w:rPr>
          <w:sz w:val="20"/>
          <w:szCs w:val="20"/>
          <w:color w:val="auto"/>
        </w:rPr>
      </w:pPr>
      <w:r>
        <w:rPr>
          <w:rFonts w:ascii="Times New Roman" w:cs="Times New Roman" w:eastAsia="Times New Roman" w:hAnsi="Times New Roman"/>
          <w:sz w:val="20"/>
          <w:szCs w:val="20"/>
          <w:color w:val="auto"/>
        </w:rPr>
        <w:t>Section 4043.</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having Loans or unused Commitments representing more than 50% of the sum of the total Loans and such unused Commitments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means, at any time, Lenders having Revolving Loans, Additional Revolving Loans, unused</w:t>
      </w:r>
    </w:p>
    <w:p>
      <w:pPr>
        <w:ind w:right="20"/>
        <w:spacing w:after="0" w:line="221" w:lineRule="auto"/>
        <w:rPr>
          <w:sz w:val="20"/>
          <w:szCs w:val="20"/>
          <w:color w:val="auto"/>
        </w:rPr>
      </w:pPr>
      <w:r>
        <w:rPr>
          <w:rFonts w:ascii="Times New Roman" w:cs="Times New Roman" w:eastAsia="Times New Roman" w:hAnsi="Times New Roman"/>
          <w:sz w:val="20"/>
          <w:szCs w:val="20"/>
          <w:color w:val="auto"/>
        </w:rPr>
        <w:t>Revolving Credit Commitments or unused Additional Revolving Credit Commitments representing more than 50% of the sum of the total Revolving Loans, Additional Revolving Loans and such unused commitments at such time.</w:t>
      </w:r>
    </w:p>
    <w:p>
      <w:pPr>
        <w:spacing w:after="0" w:line="16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 means, with respect to any Person, collectively, the common law and all federal, state, local, foreign, multinational or international laws, statutes, codes, treaties, standards, rules and regulations, guidelines, ordinances, orders, judgments, writs,</w:t>
      </w:r>
    </w:p>
    <w:p>
      <w:pPr>
        <w:spacing w:after="0" w:line="211" w:lineRule="auto"/>
        <w:rPr>
          <w:sz w:val="20"/>
          <w:szCs w:val="20"/>
          <w:color w:val="auto"/>
        </w:rPr>
      </w:pPr>
      <w:r>
        <w:rPr>
          <w:rFonts w:ascii="Times New Roman" w:cs="Times New Roman" w:eastAsia="Times New Roman" w:hAnsi="Times New Roman"/>
          <w:sz w:val="20"/>
          <w:szCs w:val="20"/>
          <w:color w:val="auto"/>
        </w:rPr>
        <w:t>injunctions, decrees (including administrative or judicial precedents or authorities) and the interpretation or administration thereof by,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with respect to any Person, the chief executive officer, the president, the chief financial officer, the</w:t>
      </w:r>
    </w:p>
    <w:p>
      <w:pPr>
        <w:spacing w:after="0" w:line="204" w:lineRule="auto"/>
        <w:rPr>
          <w:sz w:val="20"/>
          <w:szCs w:val="20"/>
          <w:color w:val="auto"/>
        </w:rPr>
      </w:pPr>
      <w:r>
        <w:rPr>
          <w:rFonts w:ascii="Times New Roman" w:cs="Times New Roman" w:eastAsia="Times New Roman" w:hAnsi="Times New Roman"/>
          <w:sz w:val="20"/>
          <w:szCs w:val="20"/>
          <w:color w:val="auto"/>
        </w:rPr>
        <w:t>treasurer, any assistant treasurer of such Person and any other individual or similar official thereof, any executive vice president, any senior vice president, any vice president or the chief operating officer or other officer responsible for the administration of the obligations of such</w:t>
      </w:r>
    </w:p>
    <w:p>
      <w:pPr>
        <w:spacing w:after="0" w:line="223" w:lineRule="auto"/>
        <w:rPr>
          <w:sz w:val="20"/>
          <w:szCs w:val="20"/>
          <w:color w:val="auto"/>
        </w:rPr>
      </w:pPr>
      <w:r>
        <w:rPr>
          <w:rFonts w:ascii="Times New Roman" w:cs="Times New Roman" w:eastAsia="Times New Roman" w:hAnsi="Times New Roman"/>
          <w:sz w:val="19"/>
          <w:szCs w:val="19"/>
          <w:color w:val="auto"/>
        </w:rPr>
        <w:t>Person in respect of this Agreement, any member of the board of directors (in the case of any Person that is not incorporated in the US),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any other</w:t>
      </w:r>
    </w:p>
    <w:p>
      <w:pPr>
        <w:spacing w:after="0" w:line="211" w:lineRule="auto"/>
        <w:rPr>
          <w:sz w:val="20"/>
          <w:szCs w:val="20"/>
          <w:color w:val="auto"/>
        </w:rPr>
      </w:pPr>
      <w:r>
        <w:rPr>
          <w:rFonts w:ascii="Times New Roman" w:cs="Times New Roman" w:eastAsia="Times New Roman" w:hAnsi="Times New Roman"/>
          <w:sz w:val="20"/>
          <w:szCs w:val="20"/>
          <w:color w:val="auto"/>
        </w:rPr>
        <w:t>officer of the applicable Loan Party so designated in writing by the Borrower to the Administrative Agent. Any document delivered</w:t>
      </w:r>
    </w:p>
    <w:p>
      <w:pPr>
        <w:spacing w:after="0" w:line="215" w:lineRule="auto"/>
        <w:rPr>
          <w:sz w:val="20"/>
          <w:szCs w:val="20"/>
          <w:color w:val="auto"/>
        </w:rPr>
      </w:pPr>
      <w:r>
        <w:rPr>
          <w:rFonts w:ascii="Times New Roman" w:cs="Times New Roman" w:eastAsia="Times New Roman" w:hAnsi="Times New Roman"/>
          <w:sz w:val="19"/>
          <w:szCs w:val="19"/>
          <w:color w:val="auto"/>
        </w:rPr>
        <w:t>hereunder that is signed by a Responsible Officer of any Loan Party shall be conclusively presumed to have been authorized by all necessary corporate, partnership and/or other action on the part of such Loan Party, and such Responsible Officer shall be conclusively presumed to</w:t>
      </w:r>
    </w:p>
    <w:p>
      <w:pPr>
        <w:spacing w:after="0"/>
        <w:rPr>
          <w:sz w:val="20"/>
          <w:szCs w:val="20"/>
          <w:color w:val="auto"/>
        </w:rPr>
      </w:pPr>
      <w:r>
        <w:rPr>
          <w:rFonts w:ascii="Times New Roman" w:cs="Times New Roman" w:eastAsia="Times New Roman" w:hAnsi="Times New Roman"/>
          <w:sz w:val="20"/>
          <w:szCs w:val="20"/>
          <w:color w:val="auto"/>
        </w:rPr>
        <w:t>have acted on behalf of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2.11(b)(iv)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w:t>
      </w:r>
      <w:r>
        <w:rPr>
          <w:rFonts w:ascii="Times New Roman" w:cs="Times New Roman" w:eastAsia="Times New Roman" w:hAnsi="Times New Roman"/>
          <w:sz w:val="20"/>
          <w:szCs w:val="20"/>
          <w:color w:val="auto"/>
        </w:rPr>
        <w:t xml:space="preserve">” means any Indebtedness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“Indebtedness” (other than such Indebtedness among Holdings, the Borrower or any of their respective subsidiaries) of any Loan Party that (a)(i) is contractually subordinated in right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payment to the Obligations, (ii) constitutes Junior Lien Debt or (iii) is unsecured and (b) has an individual outstanding principal amount in excess of the Threshold Amount.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 any dividend or other distribution on account of any shares of any class of the Capital Stock of the</w:t>
      </w:r>
    </w:p>
    <w:p>
      <w:pPr>
        <w:spacing w:after="0" w:line="204" w:lineRule="auto"/>
        <w:rPr>
          <w:sz w:val="20"/>
          <w:szCs w:val="20"/>
          <w:color w:val="auto"/>
        </w:rPr>
      </w:pPr>
      <w:r>
        <w:rPr>
          <w:rFonts w:ascii="Times New Roman" w:cs="Times New Roman" w:eastAsia="Times New Roman" w:hAnsi="Times New Roman"/>
          <w:sz w:val="20"/>
          <w:szCs w:val="20"/>
          <w:color w:val="auto"/>
        </w:rPr>
        <w:t>Borrower, except a dividend payable solely in shares of Qualified Capital Stock to the holders of such class; (b) any redemption, retirement, sinking fund or similar payment, purchase or other acquisition for value of any shares of any class of the Capital Stock of the Borrower and</w:t>
      </w:r>
    </w:p>
    <w:p>
      <w:pPr>
        <w:spacing w:after="0" w:line="1" w:lineRule="exact"/>
        <w:rPr>
          <w:sz w:val="20"/>
          <w:szCs w:val="20"/>
          <w:color w:val="auto"/>
        </w:rPr>
      </w:pPr>
    </w:p>
    <w:p>
      <w:pPr>
        <w:ind w:firstLine="8"/>
        <w:spacing w:after="0" w:line="228" w:lineRule="auto"/>
        <w:tabs>
          <w:tab w:leader="none" w:pos="27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to retire, or to obtain the surrender of, any outstanding warrants, options or other rights to acquire shares of any class of the Capital Stock of the Borrower now or hereafter outstanding.</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as to any Person, any subsidiary of such Person that is not an Unrestricted Subsidiary. Unless otherwise specified, “Restricted Subsidiary” means any Restricted Subsidiary of the Borrower.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Replacement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means any Initial Revolving Credit Commitment and any Additional Revolving Credit Commitment.</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Lender at any time, the aggregate Outstanding Amount at such time of such Lender’s Initial Revolving Credit Exposure and Additional Revolving Credit Exposure.</w:t>
      </w:r>
    </w:p>
    <w:p>
      <w:pPr>
        <w:spacing w:after="0" w:line="161"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means the Initial Revolving Facility, any Incremental Revolving Facility, any facility governing Extended Revolving Credit Commitments or Extended Revolving Loans and any Revolver Replacement Facility.</w:t>
      </w:r>
    </w:p>
    <w:p>
      <w:pPr>
        <w:spacing w:after="0" w:line="161"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any Initial Revolving Lender and any Additional Revolving Lender. Unless the context otherwise requires, the term “Revolving Lender” shall include the Swingline Lender.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any Initial Revolving Loan and any Additional Revolving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Run-Rate Synergies</w:t>
      </w:r>
      <w:r>
        <w:rPr>
          <w:rFonts w:ascii="Times New Roman" w:cs="Times New Roman" w:eastAsia="Times New Roman" w:hAnsi="Times New Roman"/>
          <w:sz w:val="20"/>
          <w:szCs w:val="20"/>
          <w:color w:val="auto"/>
        </w:rPr>
        <w:t>” has the meaning assigned to such term in the definition of “Consolidated Adjusted EBITDA”.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S&amp;P Global, Inc.</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arrangement providing for the lease by the Borrower and/or any Restricted Subsidiary of any property, which property has been or is to be sold or transferred by the Borrower or such Restricted Subsidiary in contemplation of such lease arrangement.</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economic or financial sanctions or trade embargoes imposed, administered or enforced from time to time by (a) the U.S. government, including those administered by OFAC or the U.S. Department of State, or (b) to the extent such regimes are applicable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to the business of the Borrower and its Restricted Subsidiaries, the United Nations Security Council, the European Union, any European Union member state or Her Majesty’s Treasury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5" w:name="page176"/>
    <w:bookmarkEnd w:id="175"/>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or territory that is itself the target of comprehensive Sanctions (as of the date of this Agreement, Cuba, Iran, North Korea, Syria, and the Crimea region of Ukraine).</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any Person that is the target of Sanctions, including (a) any Person listed in any Sanctions-related list of designated Persons maintained by (i) OFAC or the U.S. Department of State or (ii) to the extent the laws of such regimes are applicable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and its Restricted Subsidiaries, the United Nations Security Council, the European Union, any European Union member state or Her Majesty’s Treasury of the United Kingdom; (b) any Person organized or resident in a Sanctioned Country; or (c) the government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Sanctioned Country.</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Cash Principal Payments Amount</w:t>
      </w:r>
      <w:r>
        <w:rPr>
          <w:rFonts w:ascii="Times New Roman" w:cs="Times New Roman" w:eastAsia="Times New Roman" w:hAnsi="Times New Roman"/>
          <w:sz w:val="20"/>
          <w:szCs w:val="20"/>
          <w:color w:val="auto"/>
        </w:rPr>
        <w:t>” has the meaning assigned to such term in the definition of “Consolidated Fixed Charges”.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Payment Date</w:t>
      </w:r>
      <w:r>
        <w:rPr>
          <w:rFonts w:ascii="Times New Roman" w:cs="Times New Roman" w:eastAsia="Times New Roman" w:hAnsi="Times New Roman"/>
          <w:sz w:val="20"/>
          <w:szCs w:val="20"/>
          <w:color w:val="auto"/>
        </w:rPr>
        <w:t>” means the last Business Day of each March, June, September and December (commencing March 31,</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Scheduled Unavailability Date</w:t>
      </w:r>
      <w:r>
        <w:rPr>
          <w:rFonts w:ascii="Times New Roman" w:cs="Times New Roman" w:eastAsia="Times New Roman" w:hAnsi="Times New Roman"/>
          <w:sz w:val="20"/>
          <w:szCs w:val="20"/>
          <w:color w:val="FF0000"/>
          <w:strike w:val="1"/>
        </w:rPr>
        <w:t xml:space="preserve">” has the meaning assigned to such term in </w:t>
      </w:r>
      <w:r>
        <w:rPr>
          <w:rFonts w:ascii="Times New Roman" w:cs="Times New Roman" w:eastAsia="Times New Roman" w:hAnsi="Times New Roman"/>
          <w:sz w:val="20"/>
          <w:szCs w:val="20"/>
          <w:u w:val="single" w:color="auto"/>
          <w:color w:val="FF0000"/>
          <w:strike w:val="1"/>
        </w:rPr>
        <w:t>Section 1.13(a)(ii)</w:t>
      </w:r>
      <w:r>
        <w:rPr>
          <w:rFonts w:ascii="Times New Roman" w:cs="Times New Roman" w:eastAsia="Times New Roman" w:hAnsi="Times New Roman"/>
          <w:sz w:val="20"/>
          <w:szCs w:val="20"/>
          <w:color w:val="FF0000"/>
          <w:strike w:val="1"/>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or all of its functions.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Hedging Obligations</w:t>
      </w:r>
      <w:r>
        <w:rPr>
          <w:rFonts w:ascii="Times New Roman" w:cs="Times New Roman" w:eastAsia="Times New Roman" w:hAnsi="Times New Roman"/>
          <w:sz w:val="20"/>
          <w:szCs w:val="20"/>
          <w:color w:val="auto"/>
        </w:rPr>
        <w:t>” means all Hedging Obligations (other than any Excluded Swap Obligation) under each Hedge Agreement that is in effect on the Closing Date or entered into at any time on or after the Closing Date between any Loan Party and (a) a</w:t>
      </w:r>
    </w:p>
    <w:p>
      <w:pPr>
        <w:spacing w:after="0" w:line="224" w:lineRule="auto"/>
        <w:rPr>
          <w:sz w:val="20"/>
          <w:szCs w:val="20"/>
          <w:color w:val="auto"/>
        </w:rPr>
      </w:pPr>
      <w:r>
        <w:rPr>
          <w:rFonts w:ascii="Times New Roman" w:cs="Times New Roman" w:eastAsia="Times New Roman" w:hAnsi="Times New Roman"/>
          <w:sz w:val="19"/>
          <w:szCs w:val="19"/>
          <w:color w:val="auto"/>
        </w:rPr>
        <w:t>counterparty that is (or is an Affiliate of) the Administrative Agent, a Lender or an Arranger as of the Closing Date or at the time such Hedge</w:t>
      </w:r>
    </w:p>
    <w:p>
      <w:pPr>
        <w:spacing w:after="0" w:line="204" w:lineRule="auto"/>
        <w:rPr>
          <w:sz w:val="20"/>
          <w:szCs w:val="20"/>
          <w:color w:val="auto"/>
        </w:rPr>
      </w:pPr>
      <w:r>
        <w:rPr>
          <w:rFonts w:ascii="Times New Roman" w:cs="Times New Roman" w:eastAsia="Times New Roman" w:hAnsi="Times New Roman"/>
          <w:sz w:val="20"/>
          <w:szCs w:val="20"/>
          <w:color w:val="auto"/>
        </w:rPr>
        <w:t>Agreement is entered into and/or (b) any other Person designated by the Borrower to the Administrative Agent, in each case, for which such Loan Party agrees to provide security and in each case that has been designated to the Administrative Agent in writing by the Borrower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being a Secured Hedging Obligation for purposes of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designate all Hedge Agreements under a specified ISDA master agreement as being Secured Hedging Obligations without the need for separate notices for each Hedge</w:t>
      </w:r>
    </w:p>
    <w:p>
      <w:pPr>
        <w:spacing w:after="0" w:line="211" w:lineRule="auto"/>
        <w:rPr>
          <w:sz w:val="20"/>
          <w:szCs w:val="20"/>
          <w:color w:val="auto"/>
        </w:rPr>
      </w:pPr>
      <w:r>
        <w:rPr>
          <w:rFonts w:ascii="Times New Roman" w:cs="Times New Roman" w:eastAsia="Times New Roman" w:hAnsi="Times New Roman"/>
          <w:sz w:val="20"/>
          <w:szCs w:val="20"/>
          <w:color w:val="auto"/>
        </w:rPr>
        <w:t>Agreement), it being understood that each counterparty thereto shall be deemed (A) to appoint the Administrative Agent as its agent under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the applicable Loan Documents and (B) to agree to be bound by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any applicable Intercreditor Agreement as if it were a Lender.</w:t>
      </w:r>
    </w:p>
    <w:p>
      <w:pPr>
        <w:spacing w:after="0" w:line="162"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Rent Adjusted Net Leverage Ratio</w:t>
      </w:r>
      <w:r>
        <w:rPr>
          <w:rFonts w:ascii="Times New Roman" w:cs="Times New Roman" w:eastAsia="Times New Roman" w:hAnsi="Times New Roman"/>
          <w:sz w:val="19"/>
          <w:szCs w:val="19"/>
          <w:color w:val="auto"/>
        </w:rPr>
        <w:t xml:space="preserve">” means the ratio, as of any date of determination, of (a)(i) Consolidated Secured Debt as of the last day of the most recently ended Test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product of (A) Consolidated Cash Rental Expense for such Test Period and</w:t>
      </w:r>
    </w:p>
    <w:p>
      <w:pPr>
        <w:ind w:firstLine="8"/>
        <w:spacing w:after="0" w:line="228" w:lineRule="auto"/>
        <w:tabs>
          <w:tab w:leader="none" w:pos="33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 to (b) Consolidated Adjusted EBITDAR for such Test Period, in each case, of the Borrower and its Restricted Subsidiaries on a consolidated basis.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together with (a) all Banking Services Obligations and (b) all Secured Hedging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Lenders, the Issuing Banks and the Swingline Lender, (b) the Administrative Agent, (c) each</w:t>
      </w:r>
    </w:p>
    <w:p>
      <w:pPr>
        <w:spacing w:after="0" w:line="215" w:lineRule="auto"/>
        <w:rPr>
          <w:sz w:val="20"/>
          <w:szCs w:val="20"/>
          <w:color w:val="auto"/>
        </w:rPr>
      </w:pPr>
      <w:r>
        <w:rPr>
          <w:rFonts w:ascii="Times New Roman" w:cs="Times New Roman" w:eastAsia="Times New Roman" w:hAnsi="Times New Roman"/>
          <w:sz w:val="19"/>
          <w:szCs w:val="19"/>
          <w:color w:val="auto"/>
        </w:rPr>
        <w:t>counterparty to a Hedge Agreement with a Loan Party the obligations under which constitute Secured Hedging Obligations, (d) each provider of Banking Services to any Loan Party the obligations under which constitute Banking Services Obligations, and (e) any beneficiary of any</w:t>
      </w:r>
    </w:p>
    <w:p>
      <w:pPr>
        <w:spacing w:after="0"/>
        <w:rPr>
          <w:sz w:val="20"/>
          <w:szCs w:val="20"/>
          <w:color w:val="auto"/>
        </w:rPr>
      </w:pPr>
      <w:r>
        <w:rPr>
          <w:rFonts w:ascii="Times New Roman" w:cs="Times New Roman" w:eastAsia="Times New Roman" w:hAnsi="Times New Roman"/>
          <w:sz w:val="20"/>
          <w:szCs w:val="20"/>
          <w:color w:val="auto"/>
        </w:rPr>
        <w:t>indemnification obligation undertaken by any Loan Party under any Loan Document.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and the rules and regulations of the SEC promulgated thereunder.</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means a fungible financial instrument that holds some monetary value, such as representing (a) an ownership interest in a publicly-traded company or rights to such ownership, or (b) a creditor relationship with a Governmental Authority 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6" w:name="page177"/>
    <w:bookmarkEnd w:id="176"/>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xml:space="preserve">” means the Pledge and Security Agreement,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among the Loan Parties, as grantors, and the Administrative Agent for the benefit of the Secured Parties.</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xml:space="preserve">” means any Person the majority of the revenues of which are derived from a business that would be permitted by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if the references to “Restricted Subsidiaries” in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were read to refer to such Person.</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SOFR</w:t>
      </w:r>
      <w:r>
        <w:rPr>
          <w:rFonts w:ascii="Times New Roman" w:cs="Times New Roman" w:eastAsia="Times New Roman" w:hAnsi="Times New Roman"/>
          <w:sz w:val="20"/>
          <w:szCs w:val="20"/>
          <w:color w:val="FF0000"/>
          <w:strike w:val="1"/>
        </w:rPr>
        <w:t xml:space="preserve">” means, with respect to any Business Day, the secured overnight financing rate published for such day by </w:t>
      </w:r>
      <w:r>
        <w:rPr>
          <w:rFonts w:ascii="Times New Roman" w:cs="Times New Roman" w:eastAsia="Times New Roman" w:hAnsi="Times New Roman"/>
          <w:sz w:val="20"/>
          <w:szCs w:val="20"/>
          <w:color w:val="008000"/>
          <w:strike w:val="1"/>
        </w:rPr>
        <w:t>the Federal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Reserve Bank of New York, </w:t>
      </w:r>
      <w:r>
        <w:rPr>
          <w:rFonts w:ascii="Times New Roman" w:cs="Times New Roman" w:eastAsia="Times New Roman" w:hAnsi="Times New Roman"/>
          <w:sz w:val="20"/>
          <w:szCs w:val="20"/>
          <w:color w:val="FF0000"/>
          <w:strike w:val="1"/>
        </w:rPr>
        <w:t>as the administrator of the benchmark, (or a successor administrator) on the Federal Reserve Bank of New</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FF0000"/>
          <w:strike w:val="1"/>
        </w:rPr>
        <w:t xml:space="preserve">York’s Website (or any successor source) at approximately 8:00 </w:t>
      </w:r>
      <w:r>
        <w:rPr>
          <w:rFonts w:ascii="Times New Roman" w:cs="Times New Roman" w:eastAsia="Times New Roman" w:hAnsi="Times New Roman"/>
          <w:sz w:val="20"/>
          <w:szCs w:val="20"/>
          <w:color w:val="008000"/>
          <w:strike w:val="1"/>
        </w:rPr>
        <w:t>a.m. (New York City time) on</w:t>
      </w:r>
      <w:r>
        <w:rPr>
          <w:rFonts w:ascii="Times New Roman" w:cs="Times New Roman" w:eastAsia="Times New Roman" w:hAnsi="Times New Roman"/>
          <w:sz w:val="20"/>
          <w:szCs w:val="20"/>
          <w:color w:val="FF0000"/>
          <w:strike w:val="1"/>
        </w:rPr>
        <w:t xml:space="preserve"> the immediately succeeding Business Day and, in each case, that has been selected and recommended by the Relevant Governmental Body.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SOFR-Based Rate</w:t>
      </w:r>
      <w:r>
        <w:rPr>
          <w:rFonts w:ascii="Times New Roman" w:cs="Times New Roman" w:eastAsia="Times New Roman" w:hAnsi="Times New Roman"/>
          <w:sz w:val="20"/>
          <w:szCs w:val="20"/>
          <w:color w:val="FF0000"/>
          <w:strike w:val="1"/>
        </w:rPr>
        <w:t>” means SOFR or Term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“SOFR” means a rate equal to the secured overnight financing rate as administered by the SOFR Administrator.</w:t>
      </w:r>
    </w:p>
    <w:p>
      <w:pPr>
        <w:spacing w:after="0" w:line="18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u w:val="single" w:color="auto"/>
          <w:color w:val="0000FF"/>
        </w:rPr>
        <w:t>“SOFR Administrator” means the Federal Reserve Bank of New York (or a successor administrator of the secured overnight financing rate).</w:t>
      </w:r>
    </w:p>
    <w:p>
      <w:pPr>
        <w:spacing w:after="0" w:line="155" w:lineRule="exact"/>
        <w:rPr>
          <w:sz w:val="20"/>
          <w:szCs w:val="20"/>
          <w:color w:val="auto"/>
        </w:rPr>
      </w:pPr>
    </w:p>
    <w:p>
      <w:pPr>
        <w:ind w:left="660"/>
        <w:spacing w:after="0"/>
        <w:tabs>
          <w:tab w:leader="none" w:pos="1400" w:val="left"/>
          <w:tab w:leader="none" w:pos="2840" w:val="left"/>
          <w:tab w:leader="none" w:pos="3740" w:val="left"/>
          <w:tab w:leader="none" w:pos="4440" w:val="left"/>
          <w:tab w:leader="none" w:pos="4860" w:val="left"/>
          <w:tab w:leader="none" w:pos="5660" w:val="left"/>
          <w:tab w:leader="none" w:pos="6000" w:val="left"/>
          <w:tab w:leader="none" w:pos="6420" w:val="left"/>
          <w:tab w:leader="none" w:pos="7200" w:val="left"/>
          <w:tab w:leader="none" w:pos="8040" w:val="left"/>
          <w:tab w:leader="none" w:pos="8640" w:val="left"/>
          <w:tab w:leader="none" w:pos="8980" w:val="left"/>
          <w:tab w:leader="none" w:pos="9540" w:val="left"/>
          <w:tab w:leader="none" w:pos="10160" w:val="left"/>
          <w:tab w:leader="none" w:pos="11060" w:val="left"/>
        </w:tabs>
        <w:rPr>
          <w:sz w:val="20"/>
          <w:szCs w:val="20"/>
          <w:color w:val="auto"/>
        </w:rPr>
      </w:pPr>
      <w:r>
        <w:rPr>
          <w:rFonts w:ascii="Times New Roman" w:cs="Times New Roman" w:eastAsia="Times New Roman" w:hAnsi="Times New Roman"/>
          <w:sz w:val="20"/>
          <w:szCs w:val="20"/>
          <w:u w:val="single" w:color="auto"/>
          <w:color w:val="0000FF"/>
        </w:rPr>
        <w:t>“SOFR</w:t>
        <w:tab/>
        <w:t>Administrator’s</w:t>
        <w:tab/>
        <w:t>Website”</w:t>
        <w:tab/>
        <w:t>means</w:t>
        <w:tab/>
        <w:t>the</w:t>
        <w:tab/>
        <w:t>website</w:t>
        <w:tab/>
        <w:t>of</w:t>
        <w:tab/>
        <w:t>the</w:t>
        <w:tab/>
        <w:t>Federal</w:t>
        <w:tab/>
        <w:t>Reserve</w:t>
        <w:tab/>
        <w:t>Bank</w:t>
        <w:tab/>
        <w:t>of</w:t>
        <w:tab/>
        <w:t>New</w:t>
        <w:tab/>
        <w:t>York,</w:t>
        <w:tab/>
        <w:t>currently</w:t>
      </w:r>
      <w:r>
        <w:rPr>
          <w:sz w:val="20"/>
          <w:szCs w:val="20"/>
          <w:color w:val="auto"/>
        </w:rPr>
        <w:tab/>
      </w:r>
      <w:r>
        <w:rPr>
          <w:rFonts w:ascii="Times New Roman" w:cs="Times New Roman" w:eastAsia="Times New Roman" w:hAnsi="Times New Roman"/>
          <w:sz w:val="19"/>
          <w:szCs w:val="19"/>
          <w:u w:val="single" w:color="auto"/>
          <w:color w:val="0000FF"/>
        </w:rPr>
        <w:t>at</w:t>
      </w:r>
    </w:p>
    <w:p>
      <w:pPr>
        <w:jc w:val="both"/>
        <w:ind w:right="20"/>
        <w:spacing w:after="0" w:line="221" w:lineRule="auto"/>
        <w:rPr>
          <w:sz w:val="20"/>
          <w:szCs w:val="20"/>
          <w:color w:val="auto"/>
        </w:rPr>
      </w:pPr>
      <w:r>
        <w:rPr>
          <w:rFonts w:ascii="Times New Roman" w:cs="Times New Roman" w:eastAsia="Times New Roman" w:hAnsi="Times New Roman"/>
          <w:sz w:val="20"/>
          <w:szCs w:val="20"/>
          <w:u w:val="single" w:color="auto"/>
          <w:color w:val="0000FF"/>
        </w:rPr>
        <w:t>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“SOFR Day</w:t>
      </w:r>
      <w:r>
        <w:rPr>
          <w:rFonts w:ascii="Times New Roman" w:cs="Times New Roman" w:eastAsia="Times New Roman" w:hAnsi="Times New Roman"/>
          <w:sz w:val="20"/>
          <w:szCs w:val="20"/>
          <w:u w:val="single" w:color="auto"/>
          <w:color w:val="008000"/>
        </w:rPr>
        <w:t>” has the meaning assigned to such term in</w:t>
      </w:r>
      <w:r>
        <w:rPr>
          <w:rFonts w:ascii="Times New Roman" w:cs="Times New Roman" w:eastAsia="Times New Roman" w:hAnsi="Times New Roman"/>
          <w:sz w:val="20"/>
          <w:szCs w:val="20"/>
          <w:u w:val="single" w:color="auto"/>
          <w:color w:val="0000FF"/>
        </w:rPr>
        <w:t xml:space="preserve"> the definition of “Daily Simple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5% Adjustment</w:t>
      </w:r>
      <w:r>
        <w:rPr>
          <w:rFonts w:ascii="Times New Roman" w:cs="Times New Roman" w:eastAsia="Times New Roman" w:hAnsi="Times New Roman"/>
          <w:sz w:val="20"/>
          <w:szCs w:val="20"/>
          <w:color w:val="auto"/>
        </w:rPr>
        <w:t xml:space="preserve">” means the adjustments set forth in </w:t>
      </w:r>
      <w:r>
        <w:rPr>
          <w:rFonts w:ascii="Times New Roman" w:cs="Times New Roman" w:eastAsia="Times New Roman" w:hAnsi="Times New Roman"/>
          <w:sz w:val="20"/>
          <w:szCs w:val="20"/>
          <w:u w:val="single" w:color="auto"/>
          <w:color w:val="auto"/>
        </w:rPr>
        <w:t>clause (c)(xviii)</w:t>
      </w:r>
      <w:r>
        <w:rPr>
          <w:rFonts w:ascii="Times New Roman" w:cs="Times New Roman" w:eastAsia="Times New Roman" w:hAnsi="Times New Roman"/>
          <w:sz w:val="20"/>
          <w:szCs w:val="20"/>
          <w:color w:val="auto"/>
        </w:rPr>
        <w:t xml:space="preserve"> of the definition of “Consolidated Adjusted EBITDA”.</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15% Adjustments</w:t>
      </w:r>
      <w:r>
        <w:rPr>
          <w:rFonts w:ascii="Times New Roman" w:cs="Times New Roman" w:eastAsia="Times New Roman" w:hAnsi="Times New Roman"/>
          <w:sz w:val="20"/>
          <w:szCs w:val="20"/>
          <w:color w:val="auto"/>
        </w:rPr>
        <w:t xml:space="preserve">” means the adjustments set forth in </w:t>
      </w:r>
      <w:r>
        <w:rPr>
          <w:rFonts w:ascii="Times New Roman" w:cs="Times New Roman" w:eastAsia="Times New Roman" w:hAnsi="Times New Roman"/>
          <w:sz w:val="20"/>
          <w:szCs w:val="20"/>
          <w:u w:val="single" w:color="auto"/>
          <w:color w:val="auto"/>
        </w:rPr>
        <w:t>clause (c)(xiii)</w:t>
      </w:r>
      <w:r>
        <w:rPr>
          <w:rFonts w:ascii="Times New Roman" w:cs="Times New Roman" w:eastAsia="Times New Roman" w:hAnsi="Times New Roman"/>
          <w:sz w:val="20"/>
          <w:szCs w:val="20"/>
          <w:color w:val="auto"/>
        </w:rPr>
        <w:t xml:space="preserve"> (other than Charges of the type described in the </w:t>
      </w:r>
      <w:r>
        <w:rPr>
          <w:rFonts w:ascii="Times New Roman" w:cs="Times New Roman" w:eastAsia="Times New Roman" w:hAnsi="Times New Roman"/>
          <w:sz w:val="20"/>
          <w:szCs w:val="20"/>
          <w:u w:val="single" w:color="auto"/>
          <w:color w:val="auto"/>
        </w:rPr>
        <w:t>clause (c)(xiii)(A)</w:t>
      </w:r>
      <w:r>
        <w:rPr>
          <w:rFonts w:ascii="Times New Roman" w:cs="Times New Roman" w:eastAsia="Times New Roman" w:hAnsi="Times New Roman"/>
          <w:sz w:val="20"/>
          <w:szCs w:val="20"/>
          <w:color w:val="auto"/>
        </w:rPr>
        <w:t xml:space="preserve"> and/or any other one-time Disposition or issuance of debt or equity) of the definition of “Consolidated Adjusted EBITDA” and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the definition of “Consolidated Net Income”.</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25% Adjustments</w:t>
      </w:r>
      <w:r>
        <w:rPr>
          <w:rFonts w:ascii="Times New Roman" w:cs="Times New Roman" w:eastAsia="Times New Roman" w:hAnsi="Times New Roman"/>
          <w:sz w:val="20"/>
          <w:szCs w:val="20"/>
          <w:color w:val="auto"/>
        </w:rPr>
        <w:t xml:space="preserve">” means the adjustments set forth in </w:t>
      </w:r>
      <w:r>
        <w:rPr>
          <w:rFonts w:ascii="Times New Roman" w:cs="Times New Roman" w:eastAsia="Times New Roman" w:hAnsi="Times New Roman"/>
          <w:sz w:val="20"/>
          <w:szCs w:val="20"/>
          <w:u w:val="single" w:color="auto"/>
          <w:color w:val="auto"/>
        </w:rPr>
        <w:t>clauses (c)(xii)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(c)(xvi)(B)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(e)(iii)</w:t>
      </w:r>
      <w:r>
        <w:rPr>
          <w:rFonts w:ascii="Times New Roman" w:cs="Times New Roman" w:eastAsia="Times New Roman" w:hAnsi="Times New Roman"/>
          <w:sz w:val="20"/>
          <w:szCs w:val="20"/>
          <w:color w:val="auto"/>
        </w:rPr>
        <w:t xml:space="preserve"> of the definition of “Consolidated Adjusted EBITDA” and in </w:t>
      </w:r>
      <w:r>
        <w:rPr>
          <w:rFonts w:ascii="Times New Roman" w:cs="Times New Roman" w:eastAsia="Times New Roman" w:hAnsi="Times New Roman"/>
          <w:sz w:val="20"/>
          <w:szCs w:val="20"/>
          <w:u w:val="single" w:color="auto"/>
          <w:color w:val="auto"/>
        </w:rPr>
        <w:t>clause (d)(iii)</w:t>
      </w:r>
      <w:r>
        <w:rPr>
          <w:rFonts w:ascii="Times New Roman" w:cs="Times New Roman" w:eastAsia="Times New Roman" w:hAnsi="Times New Roman"/>
          <w:sz w:val="20"/>
          <w:szCs w:val="20"/>
          <w:color w:val="auto"/>
        </w:rPr>
        <w:t xml:space="preserve"> of the definition of “Consolidated Net Income”.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Commitment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1.12(g)</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Commitment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1.12(g)</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Fixed Charges Components</w:t>
      </w:r>
      <w:r>
        <w:rPr>
          <w:rFonts w:ascii="Times New Roman" w:cs="Times New Roman" w:eastAsia="Times New Roman" w:hAnsi="Times New Roman"/>
          <w:sz w:val="20"/>
          <w:szCs w:val="20"/>
          <w:color w:val="auto"/>
        </w:rPr>
        <w:t>” has the meaning assigned to such term in the definition of “Consolidated Fixed Charges”.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Guarantor Release Provision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Subsidiary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means Advent International Corporation, together with its controlled Affiliates and funds managed or advised by any of them or any of their respective controlled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Stated Amount</w:t>
      </w:r>
      <w:r>
        <w:rPr>
          <w:rFonts w:ascii="Times New Roman" w:cs="Times New Roman" w:eastAsia="Times New Roman" w:hAnsi="Times New Roman"/>
          <w:sz w:val="19"/>
          <w:szCs w:val="19"/>
          <w:color w:val="auto"/>
        </w:rPr>
        <w:t>” means, with respect to any Letter of Credit, at any time, the maximum amount available to be drawn thereunder, in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case determined (a) as if any future automatic increase in the maximum available amount provided for in any such Letter of Credit had in fact occurred at such time and (b) without regard to whether any conditions to drawing could then be met but after giving effect to 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previous drawings made thereunder.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has the meaning assigned to such term in the definition of “Consolidated Net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Transaction</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permitted by this Agreement;</w:t>
      </w:r>
    </w:p>
    <w:p>
      <w:pPr>
        <w:spacing w:after="0" w:line="162"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(i) all or substantially all of the assets or (ii) the Capital Stock of any subsidiary (or any business unit, line of business or division of the Borrower and/or any Restricted Subsidiary) not prohibited by this Agreement;</w:t>
      </w:r>
    </w:p>
    <w:p>
      <w:pPr>
        <w:spacing w:after="0" w:line="160"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5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designation of a Restricted Subsidiary as an Unrestricted Subsidiary or an Unrestricted Subsidiary as a Restricted Subsidiary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incurrence, retirement, redemption, repayment and/or prepayment of Indebtedness (other than any Indebtedness incurred or repaid under any revolving credit facility in the ordinary course of business for working capital purposes);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contribution in respect of Qualified Capital Stock or any issuance of Qualified Capital Stock (other than any amount constituting a Cure Amount);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any Business Optimization Initiative;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Borrower, any discontinued operation; and/or</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4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that by the terms of the Loan Documents requires pro forma compliance with a test or covenant hereunder or requires such test or covenant to be calculated on a pro forma basis.</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limited liability company, association, joint venture or other business entity of which more than 50% of the total voting power of stock or other ownership interests entitled (without regard to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occurrence of any contingency) to vote in the election of the Person or Persons (whether directors, trustees or other Persons performing similar functions) having the power to direct or cause the direction of the management and policies thereof is at the time owned or controlled,</w:t>
      </w:r>
    </w:p>
    <w:p>
      <w:pPr>
        <w:spacing w:after="0" w:line="228" w:lineRule="auto"/>
        <w:rPr>
          <w:sz w:val="20"/>
          <w:szCs w:val="20"/>
          <w:color w:val="auto"/>
        </w:rPr>
      </w:pPr>
      <w:r>
        <w:rPr>
          <w:rFonts w:ascii="Times New Roman" w:cs="Times New Roman" w:eastAsia="Times New Roman" w:hAnsi="Times New Roman"/>
          <w:sz w:val="20"/>
          <w:szCs w:val="20"/>
          <w:color w:val="auto"/>
        </w:rPr>
        <w:t>directly or indirectly, by such Person or one or more of the other subsidiaries of such Person or a combination thereof, in each case to the extent the relevant entity’s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color w:val="auto"/>
        </w:rPr>
        <w:t xml:space="preserve">financial results are required to be included in such Person’s consolidated financial statements under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determining the</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(a) on the Closing Date each subsidiary of the Borrower (other than any such subsidiary that is an</w:t>
      </w:r>
    </w:p>
    <w:p>
      <w:pPr>
        <w:jc w:val="both"/>
        <w:spacing w:after="0" w:line="204" w:lineRule="auto"/>
        <w:rPr>
          <w:sz w:val="20"/>
          <w:szCs w:val="20"/>
          <w:color w:val="auto"/>
        </w:rPr>
      </w:pPr>
      <w:r>
        <w:rPr>
          <w:rFonts w:ascii="Times New Roman" w:cs="Times New Roman" w:eastAsia="Times New Roman" w:hAnsi="Times New Roman"/>
          <w:sz w:val="20"/>
          <w:szCs w:val="20"/>
          <w:color w:val="auto"/>
        </w:rPr>
        <w:t>Excluded Subsidiary on the Closing Date) and (b) thereafter, each subsidiary of the Borrower that becomes a Guarantor of the Secured Obligations pursuant to the terms of this Agreement (including any such subsidiary designated as a Discretionary Guarantor pursuant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u w:val="single" w:color="auto"/>
          <w:color w:val="auto"/>
        </w:rPr>
        <w:t>Section 5.12(c)</w:t>
      </w:r>
      <w:r>
        <w:rPr>
          <w:rFonts w:ascii="Times New Roman" w:cs="Times New Roman" w:eastAsia="Times New Roman" w:hAnsi="Times New Roman"/>
          <w:sz w:val="20"/>
          <w:szCs w:val="20"/>
          <w:color w:val="auto"/>
        </w:rPr>
        <w:t>), in each case, until such time as the relevant subsidiary is released from its obligations under the Loan Guaranty in accordance with the terms and provisions 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Holdings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6.09(b)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Successor Rate</w:t>
      </w:r>
      <w:r>
        <w:rPr>
          <w:rFonts w:ascii="Times New Roman" w:cs="Times New Roman" w:eastAsia="Times New Roman" w:hAnsi="Times New Roman"/>
          <w:sz w:val="20"/>
          <w:szCs w:val="20"/>
          <w:color w:val="FF0000"/>
          <w:strike w:val="1"/>
        </w:rPr>
        <w:t xml:space="preserve">” has the meaning assigned to such term in </w:t>
      </w:r>
      <w:r>
        <w:rPr>
          <w:rFonts w:ascii="Times New Roman" w:cs="Times New Roman" w:eastAsia="Times New Roman" w:hAnsi="Times New Roman"/>
          <w:sz w:val="20"/>
          <w:szCs w:val="20"/>
          <w:u w:val="single" w:color="auto"/>
          <w:color w:val="FF0000"/>
          <w:strike w:val="1"/>
        </w:rPr>
        <w:t>Section 1.13(a)</w:t>
      </w:r>
      <w:r>
        <w:rPr>
          <w:rFonts w:ascii="Times New Roman" w:cs="Times New Roman" w:eastAsia="Times New Roman" w:hAnsi="Times New Roman"/>
          <w:sz w:val="20"/>
          <w:szCs w:val="20"/>
          <w:color w:val="FF0000"/>
          <w:strike w:val="1"/>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Successor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8000"/>
        </w:rPr>
        <w:t>Conforming Changes</w:t>
      </w:r>
      <w:r>
        <w:rPr>
          <w:rFonts w:ascii="Times New Roman" w:cs="Times New Roman" w:eastAsia="Times New Roman" w:hAnsi="Times New Roman"/>
          <w:sz w:val="20"/>
          <w:szCs w:val="20"/>
          <w:color w:val="008000"/>
        </w:rPr>
        <w:t>” means, with respect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any proposed Successor Rate, any conforming changes to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definition of Base Rate, Interest Period</w:t>
      </w:r>
      <w:r>
        <w:rPr>
          <w:rFonts w:ascii="Times New Roman" w:cs="Times New Roman" w:eastAsia="Times New Roman" w:hAnsi="Times New Roman"/>
          <w:sz w:val="20"/>
          <w:szCs w:val="20"/>
          <w:color w:val="008000"/>
          <w:strike w:val="1"/>
        </w:rPr>
        <w:t>, timing and frequency of determining rates and making payments of interest and other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-186690</wp:posOffset>
            </wp:positionV>
            <wp:extent cx="2491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jc w:val="both"/>
        <w:spacing w:after="0" w:line="204" w:lineRule="auto"/>
        <w:rPr>
          <w:sz w:val="20"/>
          <w:szCs w:val="20"/>
          <w:color w:val="auto"/>
        </w:rPr>
      </w:pPr>
      <w:r>
        <w:rPr>
          <w:rFonts w:ascii="Times New Roman" w:cs="Times New Roman" w:eastAsia="Times New Roman" w:hAnsi="Times New Roman"/>
          <w:sz w:val="20"/>
          <w:szCs w:val="20"/>
          <w:color w:val="008000"/>
          <w:strike w:val="1"/>
        </w:rPr>
        <w:t xml:space="preserve">administrative or operational matters </w:t>
      </w:r>
      <w:r>
        <w:rPr>
          <w:rFonts w:ascii="Times New Roman" w:cs="Times New Roman" w:eastAsia="Times New Roman" w:hAnsi="Times New Roman"/>
          <w:sz w:val="20"/>
          <w:szCs w:val="20"/>
          <w:color w:val="FF0000"/>
          <w:strike w:val="1"/>
        </w:rPr>
        <w:t>(including, for the avoidance of doubt, the definition of Business Day</w:t>
      </w:r>
      <w:r>
        <w:rPr>
          <w:rFonts w:ascii="Times New Roman" w:cs="Times New Roman" w:eastAsia="Times New Roman" w:hAnsi="Times New Roman"/>
          <w:sz w:val="20"/>
          <w:szCs w:val="20"/>
          <w:color w:val="008000"/>
          <w:strike w:val="1"/>
        </w:rPr>
        <w:t>, timing of borrowing requests or prepayment, conversion or continuation notices and length of lookback periods</w:t>
      </w:r>
      <w:r>
        <w:rPr>
          <w:rFonts w:ascii="Times New Roman" w:cs="Times New Roman" w:eastAsia="Times New Roman" w:hAnsi="Times New Roman"/>
          <w:sz w:val="20"/>
          <w:szCs w:val="20"/>
          <w:color w:val="FF0000"/>
          <w:strike w:val="1"/>
        </w:rPr>
        <w:t>) as may be appropriate, in the reasonable discretion of the</w:t>
      </w:r>
    </w:p>
    <w:p>
      <w:pPr>
        <w:spacing w:after="0" w:line="223" w:lineRule="auto"/>
        <w:rPr>
          <w:sz w:val="20"/>
          <w:szCs w:val="20"/>
          <w:color w:val="auto"/>
        </w:rPr>
      </w:pPr>
      <w:r>
        <w:rPr>
          <w:rFonts w:ascii="Times New Roman" w:cs="Times New Roman" w:eastAsia="Times New Roman" w:hAnsi="Times New Roman"/>
          <w:sz w:val="19"/>
          <w:szCs w:val="19"/>
          <w:color w:val="FF0000"/>
          <w:strike w:val="1"/>
        </w:rPr>
        <w:t xml:space="preserve">Administrative Agent and </w:t>
      </w:r>
      <w:r>
        <w:rPr>
          <w:rFonts w:ascii="Times New Roman" w:cs="Times New Roman" w:eastAsia="Times New Roman" w:hAnsi="Times New Roman"/>
          <w:sz w:val="19"/>
          <w:szCs w:val="19"/>
          <w:color w:val="008000"/>
          <w:strike w:val="1"/>
        </w:rPr>
        <w:t>in consultation with the Borrower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to reflect the adoption and implementation of</w:t>
      </w:r>
      <w:r>
        <w:rPr>
          <w:rFonts w:ascii="Times New Roman" w:cs="Times New Roman" w:eastAsia="Times New Roman" w:hAnsi="Times New Roman"/>
          <w:sz w:val="19"/>
          <w:szCs w:val="19"/>
          <w:color w:val="FF0000"/>
          <w:strike w:val="1"/>
        </w:rPr>
        <w:t xml:space="preserve"> such Successor Rate and to permit</w:t>
      </w:r>
    </w:p>
    <w:p>
      <w:pPr>
        <w:jc w:val="both"/>
        <w:spacing w:after="0" w:line="204" w:lineRule="auto"/>
        <w:rPr>
          <w:sz w:val="20"/>
          <w:szCs w:val="20"/>
          <w:color w:val="auto"/>
        </w:rPr>
      </w:pPr>
      <w:r>
        <w:rPr>
          <w:rFonts w:ascii="Times New Roman" w:cs="Times New Roman" w:eastAsia="Times New Roman" w:hAnsi="Times New Roman"/>
          <w:sz w:val="20"/>
          <w:szCs w:val="20"/>
          <w:color w:val="FF0000"/>
          <w:strike w:val="1"/>
        </w:rPr>
        <w:t xml:space="preserve">the </w:t>
      </w:r>
      <w:r>
        <w:rPr>
          <w:rFonts w:ascii="Times New Roman" w:cs="Times New Roman" w:eastAsia="Times New Roman" w:hAnsi="Times New Roman"/>
          <w:sz w:val="20"/>
          <w:szCs w:val="20"/>
          <w:color w:val="008000"/>
          <w:strike w:val="1"/>
        </w:rPr>
        <w:t>administration thereof by the Administrative Agent in a manner substantially consistent with market practice (or, if the Administrative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Agent </w:t>
      </w:r>
      <w:r>
        <w:rPr>
          <w:rFonts w:ascii="Times New Roman" w:cs="Times New Roman" w:eastAsia="Times New Roman" w:hAnsi="Times New Roman"/>
          <w:sz w:val="20"/>
          <w:szCs w:val="20"/>
          <w:color w:val="FF0000"/>
          <w:strike w:val="1"/>
        </w:rPr>
        <w:t>reasonably determines that</w:t>
      </w:r>
      <w:r>
        <w:rPr>
          <w:rFonts w:ascii="Times New Roman" w:cs="Times New Roman" w:eastAsia="Times New Roman" w:hAnsi="Times New Roman"/>
          <w:sz w:val="20"/>
          <w:szCs w:val="20"/>
          <w:color w:val="008000"/>
          <w:strike w:val="1"/>
        </w:rPr>
        <w:t xml:space="preserve"> adoption of any portion of such market practice is not administratively feasible or that no market practice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008000"/>
          <w:strike w:val="1"/>
        </w:rPr>
        <w:t xml:space="preserve">for </w:t>
      </w:r>
      <w:r>
        <w:rPr>
          <w:rFonts w:ascii="Times New Roman" w:cs="Times New Roman" w:eastAsia="Times New Roman" w:hAnsi="Times New Roman"/>
          <w:sz w:val="20"/>
          <w:szCs w:val="20"/>
          <w:color w:val="FF0000"/>
          <w:strike w:val="1"/>
        </w:rPr>
        <w:t>comparable syndicated credit facilities for the administration of such Successor Rate</w:t>
      </w:r>
      <w:r>
        <w:rPr>
          <w:rFonts w:ascii="Times New Roman" w:cs="Times New Roman" w:eastAsia="Times New Roman" w:hAnsi="Times New Roman"/>
          <w:sz w:val="20"/>
          <w:szCs w:val="20"/>
          <w:color w:val="008000"/>
          <w:strike w:val="1"/>
        </w:rPr>
        <w:t xml:space="preserve"> exists, in such other manner of administration </w:t>
      </w:r>
      <w:r>
        <w:rPr>
          <w:rFonts w:ascii="Times New Roman" w:cs="Times New Roman" w:eastAsia="Times New Roman" w:hAnsi="Times New Roman"/>
          <w:sz w:val="20"/>
          <w:szCs w:val="20"/>
          <w:color w:val="FF0000"/>
          <w:strike w:val="1"/>
        </w:rPr>
        <w:t>that</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the Administrative Agent reasonably determines </w:t>
      </w:r>
      <w:r>
        <w:rPr>
          <w:rFonts w:ascii="Times New Roman" w:cs="Times New Roman" w:eastAsia="Times New Roman" w:hAnsi="Times New Roman"/>
          <w:sz w:val="20"/>
          <w:szCs w:val="20"/>
          <w:color w:val="008000"/>
          <w:strike w:val="1"/>
        </w:rPr>
        <w:t>(in consultation with the Borrower) is reasonably necessary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8000"/>
          <w:strike w:val="1"/>
        </w:rPr>
        <w:t xml:space="preserve">administration of this Agreement and </w:t>
      </w:r>
      <w:r>
        <w:rPr>
          <w:rFonts w:ascii="Times New Roman" w:cs="Times New Roman" w:eastAsia="Times New Roman" w:hAnsi="Times New Roman"/>
          <w:sz w:val="20"/>
          <w:szCs w:val="20"/>
          <w:color w:val="FF0000"/>
          <w:strike w:val="1"/>
        </w:rPr>
        <w:t>any other Loan Document).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Loan Guarantor, any obligation to pay or perform under any agreement, contract or transaction that constitutes a “swap” within the meaning of Section 1a(47) of the Commodity Exchange Act.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Revolving Lender at any time shall equal to its Applicable Revolving Credit Percentage of the aggregate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Swingline Exposure at such time.</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America, in its capacity as lender of Swingline Loans hereunder, or any successor lender of Swingline Loans hereunder.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any Initial Term Loan Commitment and any Additional Term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the Term Loans provided to or for the benefit of the Borrower pursuant to the terms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any Initial Term Lender and any Additional Term Lender.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the Initial Term Loans and, if applicable, any Additional Term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SOFR</w:t>
      </w:r>
      <w:r>
        <w:rPr>
          <w:rFonts w:ascii="Times New Roman" w:cs="Times New Roman" w:eastAsia="Times New Roman" w:hAnsi="Times New Roman"/>
          <w:sz w:val="20"/>
          <w:szCs w:val="20"/>
          <w:color w:val="FF0000"/>
          <w:strike w:val="1"/>
        </w:rPr>
        <w:t>” means the forward-looking term rate for any period that is approximately (as reasonably determined by the</w:t>
      </w:r>
    </w:p>
    <w:p>
      <w:pPr>
        <w:spacing w:after="0" w:line="204" w:lineRule="auto"/>
        <w:rPr>
          <w:sz w:val="20"/>
          <w:szCs w:val="20"/>
          <w:color w:val="auto"/>
        </w:rPr>
      </w:pPr>
      <w:r>
        <w:rPr>
          <w:rFonts w:ascii="Times New Roman" w:cs="Times New Roman" w:eastAsia="Times New Roman" w:hAnsi="Times New Roman"/>
          <w:sz w:val="20"/>
          <w:szCs w:val="20"/>
          <w:color w:val="FF0000"/>
          <w:strike w:val="1"/>
        </w:rPr>
        <w:t xml:space="preserve">Administrative Agent) as long as any of the Interest Period options </w:t>
      </w:r>
      <w:r>
        <w:rPr>
          <w:rFonts w:ascii="Times New Roman" w:cs="Times New Roman" w:eastAsia="Times New Roman" w:hAnsi="Times New Roman"/>
          <w:sz w:val="20"/>
          <w:szCs w:val="20"/>
          <w:color w:val="008000"/>
          <w:strike w:val="1"/>
        </w:rPr>
        <w:t>set forth in the definition of “</w:t>
      </w:r>
      <w:r>
        <w:rPr>
          <w:rFonts w:ascii="Times New Roman" w:cs="Times New Roman" w:eastAsia="Times New Roman" w:hAnsi="Times New Roman"/>
          <w:sz w:val="20"/>
          <w:szCs w:val="20"/>
          <w:color w:val="FF0000"/>
          <w:strike w:val="1"/>
        </w:rPr>
        <w:t xml:space="preserve">Interest Period” and that is based on SOFR and that has been selected or recommended by the Relevant Governmental Body, in each case as published on an information service </w:t>
      </w:r>
      <w:r>
        <w:rPr>
          <w:rFonts w:ascii="Times New Roman" w:cs="Times New Roman" w:eastAsia="Times New Roman" w:hAnsi="Times New Roman"/>
          <w:sz w:val="20"/>
          <w:szCs w:val="20"/>
          <w:color w:val="008000"/>
          <w:strike w:val="1"/>
        </w:rPr>
        <w:t>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8000"/>
          <w:strike w:val="1"/>
        </w:rPr>
        <w:t xml:space="preserve">selected by the Administrative Agent </w:t>
      </w:r>
      <w:r>
        <w:rPr>
          <w:rFonts w:ascii="Times New Roman" w:cs="Times New Roman" w:eastAsia="Times New Roman" w:hAnsi="Times New Roman"/>
          <w:sz w:val="20"/>
          <w:szCs w:val="20"/>
          <w:color w:val="FF0000"/>
          <w:strike w:val="1"/>
        </w:rPr>
        <w:t>from time to time in its reasonable discretion in consultation with the Borrower.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SOFR” means:</w:t>
      </w:r>
    </w:p>
    <w:p>
      <w:pPr>
        <w:spacing w:after="0" w:line="175" w:lineRule="exact"/>
        <w:rPr>
          <w:sz w:val="20"/>
          <w:szCs w:val="20"/>
          <w:color w:val="auto"/>
        </w:rPr>
      </w:pPr>
    </w:p>
    <w:p>
      <w:pPr>
        <w:jc w:val="both"/>
        <w:ind w:left="660" w:firstLine="644"/>
        <w:spacing w:after="0" w:line="212" w:lineRule="auto"/>
        <w:tabs>
          <w:tab w:leader="none" w:pos="1946" w:val="left"/>
        </w:tabs>
        <w:numPr>
          <w:ilvl w:val="0"/>
          <w:numId w:val="10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for any calculation with respect to a Term SOFR Loan, the Term SOFR Reference Rate for a tenor comparable to the applicable Interest Period on the day (such day, the “Periodic Term SOFR Determination Day”) that is two U.S. Government Securities </w:t>
      </w:r>
      <w:r>
        <w:rPr>
          <w:rFonts w:ascii="Times New Roman" w:cs="Times New Roman" w:eastAsia="Times New Roman" w:hAnsi="Times New Roman"/>
          <w:sz w:val="20"/>
          <w:szCs w:val="20"/>
          <w:u w:val="single" w:color="auto"/>
          <w:color w:val="008000"/>
        </w:rPr>
        <w:t>Business Days prior to the first day of such Interest Period</w:t>
      </w:r>
      <w:r>
        <w:rPr>
          <w:rFonts w:ascii="Times New Roman" w:cs="Times New Roman" w:eastAsia="Times New Roman" w:hAnsi="Times New Roman"/>
          <w:sz w:val="20"/>
          <w:szCs w:val="20"/>
          <w:u w:val="single" w:color="auto"/>
          <w:color w:val="0000FF"/>
        </w:rPr>
        <w:t>, as such rate is published by the Term SOFR Administrator; provided, however, that if as of 11:00 a.m.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69" w:lineRule="exact"/>
        <w:rPr>
          <w:rFonts w:ascii="Times New Roman" w:cs="Times New Roman" w:eastAsia="Times New Roman" w:hAnsi="Times New Roman"/>
          <w:sz w:val="20"/>
          <w:szCs w:val="20"/>
          <w:u w:val="single" w:color="auto"/>
          <w:color w:val="0000FF"/>
        </w:rPr>
      </w:pPr>
    </w:p>
    <w:p>
      <w:pPr>
        <w:jc w:val="both"/>
        <w:ind w:left="660" w:firstLine="644"/>
        <w:spacing w:after="0" w:line="213" w:lineRule="auto"/>
        <w:tabs>
          <w:tab w:leader="none" w:pos="1944" w:val="left"/>
        </w:tabs>
        <w:numPr>
          <w:ilvl w:val="0"/>
          <w:numId w:val="10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for any calculation with respect to an ABR Loan on any day, the Term SOFR Reference Rate for a tenor of one month on the day (such day, the “ABR Term SOFR Determination Day”) that is two U.S. Government Securities Business Days prior to such day, as such rate is published by the Term SOFR Administrator; provided, however, that if as of 11:00 </w:t>
      </w:r>
      <w:r>
        <w:rPr>
          <w:rFonts w:ascii="Times New Roman" w:cs="Times New Roman" w:eastAsia="Times New Roman" w:hAnsi="Times New Roman"/>
          <w:sz w:val="20"/>
          <w:szCs w:val="20"/>
          <w:u w:val="single" w:color="auto"/>
          <w:color w:val="008000"/>
        </w:rPr>
        <w:t>a.m. (New York</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City time) on </w:t>
      </w:r>
      <w:r>
        <w:rPr>
          <w:rFonts w:ascii="Times New Roman" w:cs="Times New Roman" w:eastAsia="Times New Roman" w:hAnsi="Times New Roman"/>
          <w:sz w:val="20"/>
          <w:szCs w:val="20"/>
          <w:u w:val="single" w:color="auto"/>
          <w:color w:val="0000FF"/>
        </w:rPr>
        <w:t>any ABR Term SOFR Determination Day the Term SOFR Reference Rate for the applicable tenor has not been</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Term SOFR Determination Day.</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u w:val="single" w:color="auto"/>
          <w:color w:val="0000FF"/>
        </w:rPr>
        <w:t xml:space="preserve">“Term SOFR” </w:t>
      </w:r>
      <w:r>
        <w:rPr>
          <w:rFonts w:ascii="Times New Roman" w:cs="Times New Roman" w:eastAsia="Times New Roman" w:hAnsi="Times New Roman"/>
          <w:sz w:val="20"/>
          <w:szCs w:val="20"/>
          <w:u w:val="single" w:color="auto"/>
          <w:color w:val="008000"/>
        </w:rPr>
        <w:t>when used in reference to any Loan or Borrowing,</w:t>
      </w:r>
      <w:r>
        <w:rPr>
          <w:rFonts w:ascii="Times New Roman" w:cs="Times New Roman" w:eastAsia="Times New Roman" w:hAnsi="Times New Roman"/>
          <w:sz w:val="20"/>
          <w:szCs w:val="20"/>
          <w:u w:val="single" w:color="auto"/>
          <w:color w:val="0000FF"/>
        </w:rPr>
        <w:t xml:space="preserve"> refers to whether such Loan, or the Loans comprising such Borrowing, bears interest at a rate determined by reference to Term SOFR (other than pursuant to clause (b) of the definition of “Alternate Base 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SOFR Adjustment” means a percentage equal to 0.10% per annum.</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SOFR Reference Rate” means the forward-looking term rate based on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has the meaning assigned to such term in the lead-in to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as of any date, the period of four consecutive Fiscal Quarters then most recently ended for which financial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statements under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5.01(b)</w:t>
      </w:r>
      <w:r>
        <w:rPr>
          <w:rFonts w:ascii="Times New Roman" w:cs="Times New Roman" w:eastAsia="Times New Roman" w:hAnsi="Times New Roman"/>
          <w:sz w:val="19"/>
          <w:szCs w:val="19"/>
          <w:color w:val="auto"/>
        </w:rPr>
        <w:t xml:space="preserve">, as applicable, have been delivered (or are required to have been delivered); it being understood and agreed that prior to the first delivery (or required delivery) of financial statements under </w:t>
      </w:r>
      <w:r>
        <w:rPr>
          <w:rFonts w:ascii="Times New Roman" w:cs="Times New Roman" w:eastAsia="Times New Roman" w:hAnsi="Times New Roman"/>
          <w:sz w:val="19"/>
          <w:szCs w:val="19"/>
          <w:u w:val="single" w:color="auto"/>
          <w:color w:val="auto"/>
        </w:rPr>
        <w:t>Sections 5.01(a)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“Test Period”</w:t>
      </w:r>
    </w:p>
    <w:p>
      <w:pPr>
        <w:spacing w:after="0"/>
        <w:rPr>
          <w:sz w:val="20"/>
          <w:szCs w:val="20"/>
          <w:color w:val="auto"/>
        </w:rPr>
      </w:pPr>
      <w:r>
        <w:rPr>
          <w:rFonts w:ascii="Times New Roman" w:cs="Times New Roman" w:eastAsia="Times New Roman" w:hAnsi="Times New Roman"/>
          <w:sz w:val="20"/>
          <w:szCs w:val="20"/>
          <w:color w:val="auto"/>
        </w:rPr>
        <w:t>means the period of four consecutive Fiscal Quarters most recently ended for which financial statements of the Borrower are available.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$15,000,000.</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Rent Adjusted Net Leverage Ratio</w:t>
      </w:r>
      <w:r>
        <w:rPr>
          <w:rFonts w:ascii="Times New Roman" w:cs="Times New Roman" w:eastAsia="Times New Roman" w:hAnsi="Times New Roman"/>
          <w:sz w:val="19"/>
          <w:szCs w:val="19"/>
          <w:color w:val="auto"/>
        </w:rPr>
        <w:t xml:space="preserve">” means the ratio, as of any date of determination, of (a)(i) Consolidated Total Debt outstanding as of the last day of the most recently ended Test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product of (A) Consolidated Cash Rental Expense for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Test Prior and (B) eight to (b) Consolidated Adjusted EBITDAR for such Test Period, in each case, of the Borrower and its Restricted Subsidiaries on a consolidated basis.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Commitment</w:t>
      </w:r>
      <w:r>
        <w:rPr>
          <w:rFonts w:ascii="Times New Roman" w:cs="Times New Roman" w:eastAsia="Times New Roman" w:hAnsi="Times New Roman"/>
          <w:sz w:val="20"/>
          <w:szCs w:val="20"/>
          <w:color w:val="auto"/>
        </w:rPr>
        <w:t>” means, at any time, the aggregate amount of the Revolving Credit Commitments, as in effect at such time.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means the following: (a) all trademarks (including service marks), common law marks, trade names, trade dress, and logos, slogans and other indicia of origin under the Requirements of Law of any jurisdiction in the world, and the registrations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applications for registration thereof and the goodwill of the business symbolized by the foregoing, (b) all renewals of the foregoing, (c) all income, royalties, damages, and payments now or hereafter due or payable with respect thereto, including damages, claims, and payments for</w:t>
      </w:r>
    </w:p>
    <w:p>
      <w:pPr>
        <w:ind w:right="20"/>
        <w:spacing w:after="0" w:line="228" w:lineRule="auto"/>
        <w:rPr>
          <w:sz w:val="20"/>
          <w:szCs w:val="20"/>
          <w:color w:val="auto"/>
        </w:rPr>
      </w:pPr>
      <w:r>
        <w:rPr>
          <w:rFonts w:ascii="Times New Roman" w:cs="Times New Roman" w:eastAsia="Times New Roman" w:hAnsi="Times New Roman"/>
          <w:sz w:val="20"/>
          <w:szCs w:val="20"/>
          <w:color w:val="auto"/>
        </w:rPr>
        <w:t>past and future infringements thereof, (d) all rights to sue for past, present, and future infringements of the foregoing, including the right to settle suits involving claims and demands for royalties owing and (e) all domestic rights corresponding to any of the foregoing.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fees, premiums, expenses and other transaction costs (including original issue discount or upfront fees)</w:t>
      </w:r>
    </w:p>
    <w:p>
      <w:pPr>
        <w:spacing w:after="0" w:line="221" w:lineRule="auto"/>
        <w:rPr>
          <w:sz w:val="20"/>
          <w:szCs w:val="20"/>
          <w:color w:val="auto"/>
        </w:rPr>
      </w:pPr>
      <w:r>
        <w:rPr>
          <w:rFonts w:ascii="Times New Roman" w:cs="Times New Roman" w:eastAsia="Times New Roman" w:hAnsi="Times New Roman"/>
          <w:sz w:val="20"/>
          <w:szCs w:val="20"/>
          <w:color w:val="auto"/>
        </w:rPr>
        <w:t>payable or otherwise borne by the Borrower, any Parent Company and/or its subsidiaries in connection with the Transactions and the transactions contemplated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collectively, (a) the execution, delivery and performance by the Loan Parties of the Loan Documents to which</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they are a party and the Borrowing of Loans hereunder on the Closing Date, (b) the Closing Date Refinancing, (c) the consummation of the IPO and (d) the payment of the Transaction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Capital Stock</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6.04(a)(viii)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Regulations</w:t>
      </w:r>
      <w:r>
        <w:rPr>
          <w:rFonts w:ascii="Times New Roman" w:cs="Times New Roman" w:eastAsia="Times New Roman" w:hAnsi="Times New Roman"/>
          <w:sz w:val="20"/>
          <w:szCs w:val="20"/>
          <w:color w:val="auto"/>
        </w:rPr>
        <w:t>” means the US federal income tax regulations promulgated under the Code.</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20"/>
          <w:szCs w:val="20"/>
          <w:color w:val="FF0000"/>
          <w:strike w:val="1"/>
        </w:rPr>
        <w:t>the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or the Alternate Base Rate.</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time) promulgated by the United Kingdom Prudential Regulation Authority) or any person falling within IFPRU 11.6 of the FCA Handbook (as amended from time to time) promulgated by the United Kingdom Financial Conduct Authority, which includes certain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81" w:name="page182"/>
    <w:bookmarkEnd w:id="181"/>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u w:val="single" w:color="auto"/>
          <w:color w:val="0000FF"/>
        </w:rPr>
        <w:t>“Unadjusted Benchmark Replacement” means the applicable Benchmark Replacement excluding the related Benchmark Replacement Adjustment.</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 Location</w:t>
      </w:r>
      <w:r>
        <w:rPr>
          <w:rFonts w:ascii="Times New Roman" w:cs="Times New Roman" w:eastAsia="Times New Roman" w:hAnsi="Times New Roman"/>
          <w:sz w:val="20"/>
          <w:szCs w:val="20"/>
          <w:color w:val="auto"/>
        </w:rPr>
        <w:t>” means, collectively, the property comprising the restaurant locations or on which the Borrower or any of its Subsidiaries intends to build out a restaurant.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Amount</w:t>
      </w:r>
      <w:r>
        <w:rPr>
          <w:rFonts w:ascii="Times New Roman" w:cs="Times New Roman" w:eastAsia="Times New Roman" w:hAnsi="Times New Roman"/>
          <w:sz w:val="20"/>
          <w:szCs w:val="20"/>
          <w:color w:val="auto"/>
        </w:rPr>
        <w:t>” means, as to any Person on any date of determination, the amount of (a) unrestricted Cash and Cash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Equivalents of such Person and (b) Cash and Cash Equivalents of such Person that are restricted in favor of the Credit Facilities and/or other permitted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secured Indebtedness (which may also include Cash and Cash Equivalents securing other Indebtedness that is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secured by a Lien on Collateral along with the Credit Facilities and/or other permitted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secured indebtedness), in each case, (x) whether or not held in a pledged account and (y) calculated in accordance with GAAP.</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Borrower that is listed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hereto or designated by the Borrower as an Unrestricted Subsidiary after the Closing Date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and (b) each subsidiary of any Person described in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4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xml:space="preserve">” means, when applied to any Indebtedness at any date, the number of years obtained by </w:t>
      </w:r>
      <w:r>
        <w:rPr>
          <w:rFonts w:ascii="Times New Roman" w:cs="Times New Roman" w:eastAsia="Times New Roman" w:hAnsi="Times New Roman"/>
          <w:sz w:val="19"/>
          <w:szCs w:val="19"/>
          <w:u w:val="single" w:color="auto"/>
          <w:color w:val="auto"/>
        </w:rPr>
        <w:t>dividing</w:t>
      </w:r>
      <w:r>
        <w:rPr>
          <w:rFonts w:ascii="Times New Roman" w:cs="Times New Roman" w:eastAsia="Times New Roman" w:hAnsi="Times New Roman"/>
          <w:sz w:val="19"/>
          <w:szCs w:val="19"/>
          <w:color w:val="auto"/>
        </w:rPr>
        <w:t xml:space="preserve">: (a) the sum of the products obtained by </w:t>
      </w:r>
      <w:r>
        <w:rPr>
          <w:rFonts w:ascii="Times New Roman" w:cs="Times New Roman" w:eastAsia="Times New Roman" w:hAnsi="Times New Roman"/>
          <w:sz w:val="19"/>
          <w:szCs w:val="19"/>
          <w:u w:val="single" w:color="auto"/>
          <w:color w:val="auto"/>
        </w:rPr>
        <w:t>multiplying</w:t>
      </w:r>
      <w:r>
        <w:rPr>
          <w:rFonts w:ascii="Times New Roman" w:cs="Times New Roman" w:eastAsia="Times New Roman" w:hAnsi="Times New Roman"/>
          <w:sz w:val="19"/>
          <w:szCs w:val="19"/>
          <w:color w:val="auto"/>
        </w:rPr>
        <w:t xml:space="preserve"> (i) the amount of each then remaining installment, sinking fund, serial maturity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other required scheduled payments of principal, including payment at final maturity, in respect thereof, by (ii) the number of years (calculated to the nearest one-twelfth) that will elapse between such date and the making of such payment; by (b) the then outstanding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effects of any prepayment made in respect of such Indebtedness shall be disregarded in making such calculation.</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the liability to any Multiemployer Plan as the result of a “complete” or “partial” withdrawal by Holdings, the Borrower or any Restricted Subsidiary or any ERISA Affiliate from such Multiemployer Plan, as such terms are defined in Part I of Subtitle E of Title IV of ERISA.</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Bail-In Legislation for the applicable EEA Member Country, which write-down and conversion powers are described in the EU Bail-In</w:t>
      </w:r>
    </w:p>
    <w:p>
      <w:pPr>
        <w:spacing w:after="0" w:line="204" w:lineRule="auto"/>
        <w:rPr>
          <w:sz w:val="20"/>
          <w:szCs w:val="20"/>
          <w:color w:val="auto"/>
        </w:rPr>
      </w:pPr>
      <w:r>
        <w:rPr>
          <w:rFonts w:ascii="Times New Roman" w:cs="Times New Roman" w:eastAsia="Times New Roman" w:hAnsi="Times New Roman"/>
          <w:sz w:val="20"/>
          <w:szCs w:val="20"/>
          <w:color w:val="auto"/>
        </w:rPr>
        <w:t>Legislation Schedule and (b) with respect to the United Kingdom, any powers of the applicable Resolution Authority under the Bail-In Legislation to cancel, reduce, modify or change the form of a liability of any UK Financial Institution or any contract or instrument under</w:t>
      </w:r>
    </w:p>
    <w:p>
      <w:pPr>
        <w:spacing w:after="0" w:line="211" w:lineRule="auto"/>
        <w:rPr>
          <w:sz w:val="20"/>
          <w:szCs w:val="20"/>
          <w:color w:val="auto"/>
        </w:rPr>
      </w:pPr>
      <w:r>
        <w:rPr>
          <w:rFonts w:ascii="Times New Roman" w:cs="Times New Roman" w:eastAsia="Times New Roman" w:hAnsi="Times New Roman"/>
          <w:sz w:val="20"/>
          <w:szCs w:val="20"/>
          <w:color w:val="auto"/>
        </w:rPr>
        <w:t>which that liability arises, to convert all or part of that liability into shares, securities or obligations of that person or any other person,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Classification of Loans and Borrowings. For purposes of this Agreement, Loans may be classified and referred to by</w:t>
      </w:r>
    </w:p>
    <w:p>
      <w:pPr>
        <w:spacing w:after="0" w:line="204" w:lineRule="auto"/>
        <w:rPr>
          <w:sz w:val="20"/>
          <w:szCs w:val="20"/>
          <w:color w:val="auto"/>
        </w:rPr>
      </w:pPr>
      <w:r>
        <w:rPr>
          <w:rFonts w:ascii="Times New Roman" w:cs="Times New Roman" w:eastAsia="Times New Roman" w:hAnsi="Times New Roman"/>
          <w:sz w:val="20"/>
          <w:szCs w:val="20"/>
          <w:color w:val="auto"/>
        </w:rPr>
        <w:t>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Term Loan”). Borrowings also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or by Class and Type (</w:t>
      </w:r>
      <w:r>
        <w:rPr>
          <w:rFonts w:ascii="Times New Roman" w:cs="Times New Roman" w:eastAsia="Times New Roman" w:hAnsi="Times New Roman"/>
          <w:sz w:val="20"/>
          <w:szCs w:val="20"/>
          <w:i w:val="1"/>
          <w:iCs w:val="1"/>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 Loan Borrowing”).</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SECTION 3. Terms Generally. With reference to this Agreement and each other Loan Document, unless otherwise specified herein or in such other Loan Document:</w:t>
      </w:r>
    </w:p>
    <w:p>
      <w:pPr>
        <w:spacing w:after="0" w:line="161"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“include,” “includes” and “including” shall be deemed to be followed by the phrase “without limitation.”</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and effect as the word “shall.”</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and “hereunder,” and words of similar import, when used in any Loan Document, shall be construed to refer to such Loan Document in its entirety and not to any particular provision hereof.</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Requirement of Law in any Loan Document shall include all statutory and regulatory provisions consolidating, amending, replacing, supplementing or interpreting such Requirement of Law.</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or in any Loan Document to any Person shall be construed to include such Person’s successors and permitted assigns.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herein or in any Loan Document to Articles, Sections, clauses, paragraphs, Exhibits and Schedules shall be construed to refer to Articles, Sections, clauses and paragraphs of, and Exhibits and Schedules to, such Loan Document.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in any Loan Document from a specified date to a later specified date, the word “from” means “from and including”, the words “to” and “until” mean “to but excluding” and the word “through” means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83" w:name="page184"/>
    <w:bookmarkEnd w:id="183"/>
    <w:p>
      <w:pPr>
        <w:ind w:firstLine="656"/>
        <w:spacing w:after="0"/>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at any time with </w:t>
      </w:r>
      <w:r>
        <w:rPr>
          <w:rFonts w:ascii="Times New Roman" w:cs="Times New Roman" w:eastAsia="Times New Roman" w:hAnsi="Times New Roman"/>
          <w:sz w:val="20"/>
          <w:szCs w:val="20"/>
          <w:u w:val="single" w:color="auto"/>
          <w:color w:val="auto"/>
        </w:rPr>
        <w:t>Sections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in the event that any Affiliate transaction, Indebtedness, Lien, Restricted Payment, Restricted Debt Payment, Burdensome Agreement, Investment or Disposition, as applicable, meets the criteria of more than one of the categories of transactions or items permitted pursuant to any clause of such </w:t>
      </w:r>
      <w:r>
        <w:rPr>
          <w:rFonts w:ascii="Times New Roman" w:cs="Times New Roman" w:eastAsia="Times New Roman" w:hAnsi="Times New Roman"/>
          <w:sz w:val="20"/>
          <w:szCs w:val="20"/>
          <w:u w:val="single" w:color="auto"/>
          <w:color w:val="auto"/>
        </w:rPr>
        <w:t>Sections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that the provisions of this </w:t>
      </w:r>
      <w:r>
        <w:rPr>
          <w:rFonts w:ascii="Times New Roman" w:cs="Times New Roman" w:eastAsia="Times New Roman" w:hAnsi="Times New Roman"/>
          <w:sz w:val="20"/>
          <w:szCs w:val="20"/>
          <w:u w:val="single" w:color="auto"/>
          <w:color w:val="auto"/>
        </w:rPr>
        <w:t>Section 1.03(l)</w:t>
      </w:r>
      <w:r>
        <w:rPr>
          <w:rFonts w:ascii="Times New Roman" w:cs="Times New Roman" w:eastAsia="Times New Roman" w:hAnsi="Times New Roman"/>
          <w:sz w:val="20"/>
          <w:szCs w:val="20"/>
          <w:color w:val="auto"/>
        </w:rPr>
        <w:t xml:space="preserve"> shall apply to any amount incurred in reliance on any provision of the definition of “Incremental Cap”),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initial incurrence of any portion of any Indebtedness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that the provisions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apply to any amount incurred in reliance on any provision of the definition of “Incremental Cap”) (such portion of such Indebtedness, the “</w:t>
      </w:r>
      <w:r>
        <w:rPr>
          <w:rFonts w:ascii="Times New Roman" w:cs="Times New Roman" w:eastAsia="Times New Roman" w:hAnsi="Times New Roman"/>
          <w:sz w:val="20"/>
          <w:szCs w:val="20"/>
          <w:u w:val="single" w:color="auto"/>
          <w:color w:val="auto"/>
        </w:rPr>
        <w:t>Subject Indebtedness</w:t>
      </w:r>
      <w:r>
        <w:rPr>
          <w:rFonts w:ascii="Times New Roman" w:cs="Times New Roman" w:eastAsia="Times New Roman" w:hAnsi="Times New Roman"/>
          <w:sz w:val="20"/>
          <w:szCs w:val="20"/>
          <w:color w:val="auto"/>
        </w:rPr>
        <w:t xml:space="preserve">”), if any such Subject Indebtedness could, based on such financial statements, have been incurred in reliance on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such Subject Indebtedness shall automatically be reclassified as having been incurred under the applicable provisions of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(subject to any other applicable provision of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and any associated Lien will be deemed to have been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upon any such reclassification;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Investment in reliance on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 xml:space="preserve">), if all or any portion of such Investment could, based on such financial statements, have been made in reliance on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 xml:space="preserve">, such Investment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Restricted Payment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6.04(a)(xi)</w:t>
      </w:r>
      <w:r>
        <w:rPr>
          <w:rFonts w:ascii="Times New Roman" w:cs="Times New Roman" w:eastAsia="Times New Roman" w:hAnsi="Times New Roman"/>
          <w:sz w:val="20"/>
          <w:szCs w:val="20"/>
          <w:color w:val="auto"/>
        </w:rPr>
        <w:t xml:space="preserve">), if all or any portion of such Restricted Payment could, based on such financial statements, have been made in reliance on </w:t>
      </w:r>
      <w:r>
        <w:rPr>
          <w:rFonts w:ascii="Times New Roman" w:cs="Times New Roman" w:eastAsia="Times New Roman" w:hAnsi="Times New Roman"/>
          <w:sz w:val="20"/>
          <w:szCs w:val="20"/>
          <w:u w:val="single" w:color="auto"/>
          <w:color w:val="auto"/>
        </w:rPr>
        <w:t>Section 6.04(a)(xi</w:t>
      </w:r>
      <w:r>
        <w:rPr>
          <w:rFonts w:ascii="Times New Roman" w:cs="Times New Roman" w:eastAsia="Times New Roman" w:hAnsi="Times New Roman"/>
          <w:sz w:val="20"/>
          <w:szCs w:val="20"/>
          <w:color w:val="auto"/>
        </w:rPr>
        <w:t xml:space="preserve">), such Restricted Payment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 6.04(a)(xi</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Restricted Debt Payment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6.04(b)(vii)</w:t>
      </w:r>
      <w:r>
        <w:rPr>
          <w:rFonts w:ascii="Times New Roman" w:cs="Times New Roman" w:eastAsia="Times New Roman" w:hAnsi="Times New Roman"/>
          <w:sz w:val="20"/>
          <w:szCs w:val="20"/>
          <w:color w:val="auto"/>
        </w:rPr>
        <w:t xml:space="preserve">), if all or any portion of such Restricted Debt Payment could, based on such financial statements, have been made in reliance on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such Restricted Debt Payment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 6.04(b)(vii</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it is understood and agreed that, with respect to the fourth Fiscal Quarter of any Fiscal Year, prior to the date on which financial statements of the type described in </w:t>
      </w:r>
      <w:r>
        <w:rPr>
          <w:rFonts w:ascii="Times New Roman" w:cs="Times New Roman" w:eastAsia="Times New Roman" w:hAnsi="Times New Roman"/>
          <w:sz w:val="19"/>
          <w:szCs w:val="19"/>
          <w:u w:val="single" w:color="auto"/>
          <w:color w:val="auto"/>
        </w:rPr>
        <w:t>Section 5.01(b)</w:t>
      </w:r>
      <w:r>
        <w:rPr>
          <w:rFonts w:ascii="Times New Roman" w:cs="Times New Roman" w:eastAsia="Times New Roman" w:hAnsi="Times New Roman"/>
          <w:sz w:val="19"/>
          <w:szCs w:val="19"/>
          <w:color w:val="auto"/>
        </w:rPr>
        <w:t xml:space="preserve"> for such Fiscal Year are delivered the Borrower may, in its sole discretion, rely</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on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that are internally available to trigger the reclassification of any transaction based on the financial results as of the end of the fourth Fiscal Quarter of such Fiscal Year.</w:t>
      </w:r>
    </w:p>
    <w:p>
      <w:pPr>
        <w:spacing w:after="0" w:line="41" w:lineRule="exact"/>
        <w:rPr>
          <w:sz w:val="20"/>
          <w:szCs w:val="20"/>
          <w:color w:val="auto"/>
        </w:rPr>
      </w:pPr>
    </w:p>
    <w:p>
      <w:pPr>
        <w:ind w:firstLine="656"/>
        <w:spacing w:after="0"/>
        <w:tabs>
          <w:tab w:leader="none" w:pos="12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any Indebtedness, Lien, Restricted Payment, Restricted Debt Payment, Burdensome Agreement, Investment, Disposition and/or Affiliate transaction need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permitted solely by reference to one category of permitted Indebtedness, Lien, Restricted Payment, Restricted Debt Payment, Burdensome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Investment, Disposition and/or Affiliate transaction under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respectively, and may instead be permitted in part under any combination thereof, but the Borrower will only be required to include the amount and type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such transaction (or portion thereof) in one such category (or combination thereof). To the extent the applicability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6.07</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 respect to any transaction is subject to a materiality threshold, such transaction shall only be required to comply with the provisions of such Sections to the extent of the amount of such transaction that is in excess of such materiality threshold.</w:t>
      </w:r>
    </w:p>
    <w:p>
      <w:pPr>
        <w:spacing w:after="0" w:line="162" w:lineRule="exact"/>
        <w:rPr>
          <w:sz w:val="20"/>
          <w:szCs w:val="20"/>
          <w:color w:val="auto"/>
        </w:rPr>
      </w:pPr>
    </w:p>
    <w:p>
      <w:pPr>
        <w:jc w:val="both"/>
        <w:ind w:firstLine="656"/>
        <w:spacing w:after="0" w:line="226"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amount herein expressed as a percentage of Consolidated Adjusted EBITDA, “Consolidated Adjusted EBITDA”, unless the context otherwise requires, shall be deemed to refer to Consolidated Adjusted EBITDA of the Borrower and its Restricted Subsidiaries.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Accounting Terms; GAAP.</w:t>
      </w:r>
    </w:p>
    <w:p>
      <w:pPr>
        <w:spacing w:after="0" w:line="189" w:lineRule="exact"/>
        <w:rPr>
          <w:sz w:val="20"/>
          <w:szCs w:val="20"/>
          <w:color w:val="auto"/>
        </w:rPr>
      </w:pPr>
    </w:p>
    <w:p>
      <w:pPr>
        <w:jc w:val="both"/>
        <w:ind w:firstLine="656"/>
        <w:spacing w:after="0" w:line="209" w:lineRule="auto"/>
        <w:tabs>
          <w:tab w:leader="none" w:pos="128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First Lien Rent Adjusted Net Leverage Ratio, the Secured Rent Adjusted Net Leverage Ratio, the Total Rent Adjusted Net Leverage Ratio, Consolidated Adjusted EBITDA, Consolidated Adjusted EBITDAR or Consolidated Total Assets shall be construed and interpreted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Borrower so requests,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but subject to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all financial ratios and tests (including the First Lien Rent Adjusted Net Leverage Ratio, the Secured Rent Adjusted Net Leverage Ratio, the Total Rent Adjusted Net Leverage Ratio and the amount of Consolidated Total Assets, Consolidated Adjusted EBITDAR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(i) any Subject Transaction has occurred or (ii)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and/or Cash Equivalents), as of the last day of such Test Period) (it being understood, for the avoidance of doubt, that solely for purposes of (A) calculating actual compliance with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color w:val="auto"/>
        </w:rPr>
        <w:t>calculating the Total Rent Adjusted Net Leverage Ratio for purposes of the definitions of “Applicable Rate” and “Commitment Fee Rate”, in</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each case, the date of the required calculation shall be the last day of the Test Period, and no Subject Transaction occurring thereafter shall be taken into account).</w:t>
      </w:r>
    </w:p>
    <w:p>
      <w:pPr>
        <w:spacing w:after="0" w:line="162" w:lineRule="exact"/>
        <w:rPr>
          <w:sz w:val="20"/>
          <w:szCs w:val="20"/>
          <w:color w:val="auto"/>
        </w:rPr>
      </w:pPr>
    </w:p>
    <w:p>
      <w:pPr>
        <w:jc w:val="both"/>
        <w:ind w:firstLine="656"/>
        <w:spacing w:after="0" w:line="215"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or in the definition of “Capital Lease,”, only those leases (assuming for purposes hereof that such leases were then in existence) that would constitute Capital Leases in conformity with GAAP as in effect prior to giving effect to the adoption of ASU No. 2016-02 “Leases (Topic 842)” and ASU No. 2018-11 “Leases (Topic 842)” shall be considered Capital Leases hereunder or under any other Loan Document, and all calculations and deliverables under this Agreement or any other Loan Document shall be made, prepared or available, as applicable, in accordance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financial statements required to be provided hereunder may, at the option of the Borrower, be prepared in accordance with GAAP without giving effect to the foregoing treatment of Capital Leases.</w:t>
      </w:r>
    </w:p>
    <w:p>
      <w:pPr>
        <w:spacing w:after="0" w:line="164"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SECTION 5. Effectuation of Transactions. Each of the representations and warranties contained in the Loan Documents (and all corresponding definitions) is made after giving effect to the Transactions, unless the context otherwise requires.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w:t>
        <w:tab/>
        <w:t>Timing of Payment or Performance. When payment of any obligation or the performance of any covenant, duty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obligation is stated to be due or performance required on a day which is not a Business Day, the date of such payment (other than as described in the definition of “Interest Period”) or performance shall extend to the immediately succeeding Business Day, and, in the case of</w:t>
      </w:r>
    </w:p>
    <w:p>
      <w:pPr>
        <w:spacing w:after="0"/>
        <w:rPr>
          <w:sz w:val="20"/>
          <w:szCs w:val="20"/>
          <w:color w:val="auto"/>
        </w:rPr>
      </w:pPr>
      <w:r>
        <w:rPr>
          <w:rFonts w:ascii="Times New Roman" w:cs="Times New Roman" w:eastAsia="Times New Roman" w:hAnsi="Times New Roman"/>
          <w:sz w:val="20"/>
          <w:szCs w:val="20"/>
          <w:color w:val="auto"/>
        </w:rPr>
        <w:t>any payment accruing interest, interest thereon shall be payable for the period of such extension.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SECTION 7. Times of Day. Unless otherwise specified herein, all references herein to times of day shall be references to New York City time (daylight or standard, as applicable).</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Currency Equivalents Generally.</w:t>
      </w:r>
    </w:p>
    <w:p>
      <w:pPr>
        <w:spacing w:after="0" w:line="175"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any determination under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and the calculation of compliance with any financial ratio for purposes of taking any action hereunder) or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with respect to any Affiliate transaction, the amount of any Indebtedness, Lien, Restricted Payment, Restricted Debt Payment, Investment, Disposition or other transaction, event or circumstance, or any determination under any other provision of this Agreement, (any of the foregoing, a “</w:t>
      </w:r>
      <w:r>
        <w:rPr>
          <w:rFonts w:ascii="Times New Roman" w:cs="Times New Roman" w:eastAsia="Times New Roman" w:hAnsi="Times New Roman"/>
          <w:sz w:val="20"/>
          <w:szCs w:val="20"/>
          <w:u w:val="single" w:color="auto"/>
          <w:color w:val="auto"/>
        </w:rPr>
        <w:t>specified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 unutilized thereunder and (z)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(ii) for the avoidance of doubt, no Default or Event of Default shall be deemed to have occurred solely as a result of a change in the rate of currency exchange occurring after the time of any specified transaction so long as such specified transaction was permitted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 xml:space="preserve">the time incurred, made, acquired, committed, entered or declared as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6.10(b)</w:t>
      </w:r>
    </w:p>
    <w:p>
      <w:pPr>
        <w:spacing w:after="0" w:line="215" w:lineRule="auto"/>
        <w:rPr>
          <w:sz w:val="20"/>
          <w:szCs w:val="20"/>
          <w:color w:val="auto"/>
        </w:rPr>
      </w:pPr>
      <w:r>
        <w:rPr>
          <w:rFonts w:ascii="Times New Roman" w:cs="Times New Roman" w:eastAsia="Times New Roman" w:hAnsi="Times New Roman"/>
          <w:sz w:val="19"/>
          <w:szCs w:val="19"/>
          <w:color w:val="auto"/>
        </w:rPr>
        <w:t>and the calculation of compliance with any financial ratio for purposes of taking any action hereunder, on any relevant date of determination, amounts denominated in currencies other than Dollars shall be translated into Dollars at the applicable currency exchange rate used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preparing the financial statements delivered pursuant to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prior to the first such delivery, the financial statements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as applicable, for the relevant Test Period and will, with respect to any Indebtedness, reflect the currency translation effects, determined in accordance with GAAP, of any Hedge Agreement permitted hereunder in respect of currency exchange</w:t>
      </w:r>
    </w:p>
    <w:p>
      <w:pPr>
        <w:spacing w:after="0" w:line="211" w:lineRule="auto"/>
        <w:rPr>
          <w:sz w:val="20"/>
          <w:szCs w:val="20"/>
          <w:color w:val="auto"/>
        </w:rPr>
      </w:pPr>
      <w:r>
        <w:rPr>
          <w:rFonts w:ascii="Times New Roman" w:cs="Times New Roman" w:eastAsia="Times New Roman" w:hAnsi="Times New Roman"/>
          <w:sz w:val="20"/>
          <w:szCs w:val="20"/>
          <w:color w:val="auto"/>
        </w:rPr>
        <w:t>risks with respect to the applicable currency in effect on the date of determination for the Dollar equivalent amount of such Indebtedness;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Indebtedness that is subject to a Debt FX Hedge shall be determined in accordance with the definition of “Consolidated Total Debt”. Notwithstanding the foregoing or anything to the contrary herein, to the extent that the Borrower would not be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if any Indebtedness denominated in a currency other than Dollars were to be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translated into Dollars on the basis of the applicable currency exchange rate used in preparing the financial statements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for the relevant Test Period, but would be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as</w:t>
      </w:r>
    </w:p>
    <w:p>
      <w:pPr>
        <w:spacing w:after="0" w:line="223" w:lineRule="auto"/>
        <w:rPr>
          <w:sz w:val="20"/>
          <w:szCs w:val="20"/>
          <w:color w:val="auto"/>
        </w:rPr>
      </w:pPr>
      <w:r>
        <w:rPr>
          <w:rFonts w:ascii="Times New Roman" w:cs="Times New Roman" w:eastAsia="Times New Roman" w:hAnsi="Times New Roman"/>
          <w:sz w:val="19"/>
          <w:szCs w:val="19"/>
          <w:color w:val="auto"/>
        </w:rPr>
        <w:t>applicable, if such Indebtedness that is denominated in a currency other than in Dollars were instead translated into Dollars on the basis of the</w:t>
      </w:r>
    </w:p>
    <w:p>
      <w:pPr>
        <w:spacing w:after="0" w:line="204" w:lineRule="auto"/>
        <w:rPr>
          <w:sz w:val="20"/>
          <w:szCs w:val="20"/>
          <w:color w:val="auto"/>
        </w:rPr>
      </w:pPr>
      <w:r>
        <w:rPr>
          <w:rFonts w:ascii="Times New Roman" w:cs="Times New Roman" w:eastAsia="Times New Roman" w:hAnsi="Times New Roman"/>
          <w:sz w:val="20"/>
          <w:szCs w:val="20"/>
          <w:color w:val="auto"/>
        </w:rPr>
        <w:t>average relevant currency exchange rates over such Test Period (taking into account the currency translation effects, determined in accordance with GAAP, of any Hedge Agreement permitted hereunder in respect of currency exchange risks with respect to the applicable</w:t>
      </w:r>
    </w:p>
    <w:p>
      <w:pPr>
        <w:spacing w:after="0" w:line="211" w:lineRule="auto"/>
        <w:rPr>
          <w:sz w:val="20"/>
          <w:szCs w:val="20"/>
          <w:color w:val="auto"/>
        </w:rPr>
      </w:pPr>
      <w:r>
        <w:rPr>
          <w:rFonts w:ascii="Times New Roman" w:cs="Times New Roman" w:eastAsia="Times New Roman" w:hAnsi="Times New Roman"/>
          <w:sz w:val="20"/>
          <w:szCs w:val="20"/>
          <w:color w:val="auto"/>
        </w:rPr>
        <w:t>currency in effect on the date of determination for the Dollar equivalent amount of such Indebtedness), then, solely for purposes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compliance with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as applicable, the Total Rent Adjusted Net Leverage Ratio as of the last day of such Test Period shall be calculated on the basis of such average relevant currency exchange rates;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Indebtedness that is</w:t>
      </w:r>
    </w:p>
    <w:p>
      <w:pPr>
        <w:spacing w:after="0"/>
        <w:rPr>
          <w:sz w:val="20"/>
          <w:szCs w:val="20"/>
          <w:color w:val="auto"/>
        </w:rPr>
      </w:pPr>
      <w:r>
        <w:rPr>
          <w:rFonts w:ascii="Times New Roman" w:cs="Times New Roman" w:eastAsia="Times New Roman" w:hAnsi="Times New Roman"/>
          <w:sz w:val="20"/>
          <w:szCs w:val="20"/>
          <w:color w:val="auto"/>
        </w:rPr>
        <w:t>subject to a Debt FX Hedge shall be determined in accordance with the definition of “Consolidated Total Debt”.</w:t>
      </w:r>
    </w:p>
    <w:p>
      <w:pPr>
        <w:spacing w:after="0" w:line="153" w:lineRule="exact"/>
        <w:rPr>
          <w:sz w:val="20"/>
          <w:szCs w:val="20"/>
          <w:color w:val="auto"/>
        </w:rPr>
      </w:pPr>
    </w:p>
    <w:p>
      <w:pPr>
        <w:jc w:val="both"/>
        <w:ind w:firstLine="656"/>
        <w:spacing w:after="0" w:line="230"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9. Cashless Rollovers. Notwithstanding anything to the contrary contained in this Agreement or in any other Loan Document, to the extent that any Lender extends the maturity date of, or replaces, renews or refinances, any of its then-existing Loans with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Incremental Loans, Replacement Term Loans, Loans in connection with any Revolver Replacement Facility, Extended Term Loans, Extended Revolving Loans or loans incurred under a new credit facility, in each case, to the extent such extension, replacement, renewal or</w:t>
      </w:r>
    </w:p>
    <w:p>
      <w:pPr>
        <w:spacing w:after="0" w:line="223" w:lineRule="auto"/>
        <w:rPr>
          <w:sz w:val="20"/>
          <w:szCs w:val="20"/>
          <w:color w:val="auto"/>
        </w:rPr>
      </w:pPr>
      <w:r>
        <w:rPr>
          <w:rFonts w:ascii="Times New Roman" w:cs="Times New Roman" w:eastAsia="Times New Roman" w:hAnsi="Times New Roman"/>
          <w:sz w:val="19"/>
          <w:szCs w:val="19"/>
          <w:color w:val="auto"/>
        </w:rPr>
        <w:t>refinancing is effected by means of a “cashless roll” by such Lender, such extension, replacement, renewal or refinancing shall be deemed to</w:t>
      </w:r>
    </w:p>
    <w:p>
      <w:pPr>
        <w:spacing w:after="0" w:line="221" w:lineRule="auto"/>
        <w:rPr>
          <w:sz w:val="20"/>
          <w:szCs w:val="20"/>
          <w:color w:val="auto"/>
        </w:rPr>
      </w:pPr>
      <w:r>
        <w:rPr>
          <w:rFonts w:ascii="Times New Roman" w:cs="Times New Roman" w:eastAsia="Times New Roman" w:hAnsi="Times New Roman"/>
          <w:sz w:val="20"/>
          <w:szCs w:val="20"/>
          <w:color w:val="auto"/>
        </w:rPr>
        <w:t>comply with any requirement hereunder or any other Loan Document that such payment be made “in Dollars”, “in immediately available funds”, “in Cash” or any other similar requirement.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[Reserved].</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u w:val="single" w:color="auto"/>
          <w:color w:val="0000FF"/>
        </w:rPr>
        <w:t>Section 1.1. Rates. The Administrative Agent does not warrant or accept any responsibility for, and shall not have any liability with respect to, (a) the continuation of, administration of, submission of, calculation of or any other matter related to the Alternate Base Rate,</w:t>
      </w:r>
    </w:p>
    <w:p>
      <w:pPr>
        <w:spacing w:after="0" w:line="212" w:lineRule="auto"/>
        <w:rPr>
          <w:sz w:val="20"/>
          <w:szCs w:val="20"/>
          <w:color w:val="auto"/>
        </w:rPr>
      </w:pPr>
      <w:r>
        <w:rPr>
          <w:rFonts w:ascii="Times New Roman" w:cs="Times New Roman" w:eastAsia="Times New Roman" w:hAnsi="Times New Roman"/>
          <w:sz w:val="20"/>
          <w:szCs w:val="20"/>
          <w:u w:val="single" w:color="auto"/>
          <w:color w:val="0000FF"/>
        </w:rPr>
        <w:t>the Term SOFR Reference Rate, Adjusted Term SOFR or Term SOFR, or any component definition thereof or rates referred to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0000FF"/>
        </w:rPr>
        <w:t>definition thereof, or any alternative, successor or replacement rate thereto (including any Benchmark Replacement), including whether the composition or characteristics of any such alternative, successor or replacement rate (including any Benchmark Replacement) will be similar</w:t>
      </w:r>
    </w:p>
    <w:p>
      <w:pPr>
        <w:spacing w:after="0" w:line="222" w:lineRule="auto"/>
        <w:rPr>
          <w:sz w:val="20"/>
          <w:szCs w:val="20"/>
          <w:color w:val="auto"/>
        </w:rPr>
      </w:pPr>
      <w:r>
        <w:rPr>
          <w:rFonts w:ascii="Times New Roman" w:cs="Times New Roman" w:eastAsia="Times New Roman" w:hAnsi="Times New Roman"/>
          <w:sz w:val="19"/>
          <w:szCs w:val="19"/>
          <w:u w:val="single" w:color="auto"/>
          <w:color w:val="0000FF"/>
        </w:rPr>
        <w:t>to, or produce the same value or economic equivalence of, or have the same volume or liquidity as, the Alternate Base Rate, the Term SOFR</w:t>
      </w:r>
    </w:p>
    <w:p>
      <w:pPr>
        <w:spacing w:after="0" w:line="215" w:lineRule="auto"/>
        <w:rPr>
          <w:sz w:val="20"/>
          <w:szCs w:val="20"/>
          <w:color w:val="auto"/>
        </w:rPr>
      </w:pPr>
      <w:r>
        <w:rPr>
          <w:rFonts w:ascii="Times New Roman" w:cs="Times New Roman" w:eastAsia="Times New Roman" w:hAnsi="Times New Roman"/>
          <w:sz w:val="19"/>
          <w:szCs w:val="19"/>
          <w:u w:val="single" w:color="auto"/>
          <w:color w:val="0000FF"/>
        </w:rPr>
        <w:t>Reference Rate, Adjusted Term SOFR, Term SOFR or any other Benchmark prior to its discontinuance or unavailability, or (b) the effect, implementation or composition of any Conforming Changes. The Administrative Agent and its affiliates or other related entities may engage</w:t>
      </w:r>
    </w:p>
    <w:p>
      <w:pPr>
        <w:spacing w:after="0" w:line="222" w:lineRule="auto"/>
        <w:rPr>
          <w:sz w:val="20"/>
          <w:szCs w:val="20"/>
          <w:color w:val="auto"/>
        </w:rPr>
      </w:pPr>
      <w:r>
        <w:rPr>
          <w:rFonts w:ascii="Times New Roman" w:cs="Times New Roman" w:eastAsia="Times New Roman" w:hAnsi="Times New Roman"/>
          <w:sz w:val="19"/>
          <w:szCs w:val="19"/>
          <w:u w:val="single" w:color="auto"/>
          <w:color w:val="0000FF"/>
        </w:rPr>
        <w:t>in transactions that affect the calculation of the Alternate Base Rate, the Term SOFR Reference Rate, Term SOFR, Adjusted Term SOFR, any</w:t>
      </w: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alternative, successor or replacement rate (including any Benchmark Replacement) or any relevant adjustments thereto, in each case, in a manner that may be adverse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u w:val="single" w:color="auto"/>
          <w:color w:val="0000FF"/>
        </w:rPr>
        <w:t>Borrower. The Administrative Agent may select information sources or services in its reasonable discretion to ascertain the Alternate Base</w:t>
      </w:r>
    </w:p>
    <w:p>
      <w:pPr>
        <w:jc w:val="both"/>
        <w:ind w:right="20"/>
        <w:spacing w:after="0" w:line="204" w:lineRule="auto"/>
        <w:rPr>
          <w:sz w:val="20"/>
          <w:szCs w:val="20"/>
          <w:color w:val="auto"/>
        </w:rPr>
      </w:pPr>
      <w:r>
        <w:rPr>
          <w:rFonts w:ascii="Times New Roman" w:cs="Times New Roman" w:eastAsia="Times New Roman" w:hAnsi="Times New Roman"/>
          <w:sz w:val="20"/>
          <w:szCs w:val="20"/>
          <w:u w:val="single" w:color="auto"/>
          <w:color w:val="0000FF"/>
        </w:rPr>
        <w:t>Rate, the Term SOFR Reference Rate, Term SOFR, Adjusted Term SOFR or any other Benchmark, or any component definition thereof or rates referred to in the definition thereof, in each case pursuant to the terms of this Agreement, and shall have no liability to the Borrower,</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any Lender or any other person or entity for damages of any kind, including direct or indirect, special, punitive, incidental or consequential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damages, costs, losses or expenses (whether in tort, contract or otherwise and whether at law or in equity), for any error or calculation of any such rate (or component thereof) provided by any such information source or service. It is understood and agreed that nothing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Section 1.11 shall limit the express terms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FF0000"/>
          <w:strike w:val="1"/>
        </w:rPr>
        <w:t>Section 1.11. Rates; LIBOR Notification. The interest rate on LIBO Rate Loans is determined by reference to the Published LIBO Rate, which is derived from the London interbank offered rate. The London interbank offered rate is intended to represent the rate at which</w:t>
      </w:r>
    </w:p>
    <w:p>
      <w:pPr>
        <w:spacing w:after="0" w:line="212" w:lineRule="auto"/>
        <w:rPr>
          <w:sz w:val="20"/>
          <w:szCs w:val="20"/>
          <w:color w:val="auto"/>
        </w:rPr>
      </w:pPr>
      <w:r>
        <w:rPr>
          <w:rFonts w:ascii="Times New Roman" w:cs="Times New Roman" w:eastAsia="Times New Roman" w:hAnsi="Times New Roman"/>
          <w:sz w:val="20"/>
          <w:szCs w:val="20"/>
          <w:color w:val="FF0000"/>
          <w:strike w:val="1"/>
        </w:rPr>
        <w:t>contributing banks may obtain short-term borrowings from each other in the London interbank market. In July 2017, the U.K. Financial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Conduct Authority announced that, after the end of 2021, it would no longer persuade or compel contributing banks to make rate submissions to the ICE Benchmark Administration (together with any successor to the ICE Benchmark Administrator, the “IBA”) for purposes of the IBA</w:t>
      </w:r>
    </w:p>
    <w:p>
      <w:pPr>
        <w:spacing w:after="0" w:line="222" w:lineRule="auto"/>
        <w:rPr>
          <w:sz w:val="20"/>
          <w:szCs w:val="20"/>
          <w:color w:val="auto"/>
        </w:rPr>
      </w:pPr>
      <w:r>
        <w:rPr>
          <w:rFonts w:ascii="Times New Roman" w:cs="Times New Roman" w:eastAsia="Times New Roman" w:hAnsi="Times New Roman"/>
          <w:sz w:val="19"/>
          <w:szCs w:val="19"/>
          <w:color w:val="FF0000"/>
          <w:strike w:val="1"/>
        </w:rPr>
        <w:t>setting the London interbank offered rate. On March 5, 2021, the IBA stated that as a result of its not having access to input data necessary to</w:t>
      </w:r>
    </w:p>
    <w:p>
      <w:pPr>
        <w:ind w:right="20"/>
        <w:spacing w:after="0" w:line="221" w:lineRule="auto"/>
        <w:rPr>
          <w:sz w:val="20"/>
          <w:szCs w:val="20"/>
          <w:color w:val="auto"/>
        </w:rPr>
      </w:pPr>
      <w:r>
        <w:rPr>
          <w:rFonts w:ascii="Times New Roman" w:cs="Times New Roman" w:eastAsia="Times New Roman" w:hAnsi="Times New Roman"/>
          <w:sz w:val="20"/>
          <w:szCs w:val="20"/>
          <w:color w:val="FF0000"/>
          <w:strike w:val="1"/>
        </w:rPr>
        <w:t>calculate LIBOR settings on a representative basis beyond the intended cessation dates set forth in the table below, it would have to cease publication of all 35 LIBOR settings immediately after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0575" cy="874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58"/>
        </w:trPr>
        <w:tc>
          <w:tcPr>
            <w:tcW w:w="218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FF0000"/>
                <w:strike w:val="1"/>
              </w:rPr>
              <w:t>LIBOR Currency</w:t>
            </w:r>
          </w:p>
        </w:tc>
        <w:tc>
          <w:tcPr>
            <w:tcW w:w="4960" w:type="dxa"/>
            <w:vAlign w:val="bottom"/>
          </w:tcPr>
          <w:p>
            <w:pPr>
              <w:ind w:left="780"/>
              <w:spacing w:after="0"/>
              <w:rPr>
                <w:sz w:val="20"/>
                <w:szCs w:val="20"/>
                <w:color w:val="auto"/>
              </w:rPr>
            </w:pPr>
            <w:r>
              <w:rPr>
                <w:rFonts w:ascii="Times New Roman" w:cs="Times New Roman" w:eastAsia="Times New Roman" w:hAnsi="Times New Roman"/>
                <w:sz w:val="20"/>
                <w:szCs w:val="20"/>
                <w:u w:val="single" w:color="auto"/>
                <w:color w:val="FF0000"/>
                <w:strike w:val="1"/>
              </w:rPr>
              <w:t>LIBOR Settings</w:t>
            </w:r>
          </w:p>
        </w:tc>
        <w:tc>
          <w:tcPr>
            <w:tcW w:w="1860" w:type="dxa"/>
            <w:vAlign w:val="bottom"/>
          </w:tcPr>
          <w:p>
            <w:pPr>
              <w:ind w:left="300"/>
              <w:spacing w:after="0"/>
              <w:rPr>
                <w:sz w:val="20"/>
                <w:szCs w:val="20"/>
                <w:color w:val="auto"/>
              </w:rPr>
            </w:pPr>
            <w:r>
              <w:rPr>
                <w:rFonts w:ascii="Times New Roman" w:cs="Times New Roman" w:eastAsia="Times New Roman" w:hAnsi="Times New Roman"/>
                <w:sz w:val="20"/>
                <w:szCs w:val="20"/>
                <w:u w:val="single" w:color="auto"/>
                <w:color w:val="FF0000"/>
                <w:strike w:val="1"/>
              </w:rPr>
              <w:t>Date</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Dollars</w:t>
            </w:r>
          </w:p>
        </w:tc>
        <w:tc>
          <w:tcPr>
            <w:tcW w:w="4960" w:type="dxa"/>
            <w:vAlign w:val="bottom"/>
          </w:tcPr>
          <w:p>
            <w:pPr>
              <w:ind w:left="780"/>
              <w:spacing w:after="0"/>
              <w:rPr>
                <w:sz w:val="20"/>
                <w:szCs w:val="20"/>
                <w:color w:val="auto"/>
              </w:rPr>
            </w:pPr>
            <w:r>
              <w:rPr>
                <w:rFonts w:ascii="Times New Roman" w:cs="Times New Roman" w:eastAsia="Times New Roman" w:hAnsi="Times New Roman"/>
                <w:sz w:val="20"/>
                <w:szCs w:val="20"/>
                <w:color w:val="FF0000"/>
                <w:strike w:val="1"/>
              </w:rPr>
              <w:t>1-week, 2-month</w:t>
            </w:r>
          </w:p>
        </w:tc>
        <w:tc>
          <w:tcPr>
            <w:tcW w:w="1860" w:type="dxa"/>
            <w:vAlign w:val="bottom"/>
          </w:tcPr>
          <w:p>
            <w:pPr>
              <w:ind w:left="300"/>
              <w:spacing w:after="0"/>
              <w:rPr>
                <w:sz w:val="20"/>
                <w:szCs w:val="20"/>
                <w:color w:val="auto"/>
              </w:rPr>
            </w:pPr>
            <w:r>
              <w:rPr>
                <w:rFonts w:ascii="Times New Roman" w:cs="Times New Roman" w:eastAsia="Times New Roman" w:hAnsi="Times New Roman"/>
                <w:sz w:val="20"/>
                <w:szCs w:val="20"/>
                <w:color w:val="FF0000"/>
                <w:strike w:val="1"/>
                <w:w w:val="97"/>
              </w:rPr>
              <w:t>December 31, 2021</w:t>
            </w:r>
          </w:p>
        </w:tc>
      </w:tr>
      <w:tr>
        <w:trPr>
          <w:trHeight w:val="318"/>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Dollars</w:t>
            </w:r>
          </w:p>
        </w:tc>
        <w:tc>
          <w:tcPr>
            <w:tcW w:w="4960" w:type="dxa"/>
            <w:vAlign w:val="bottom"/>
          </w:tcPr>
          <w:p>
            <w:pPr>
              <w:ind w:left="780"/>
              <w:spacing w:after="0"/>
              <w:rPr>
                <w:sz w:val="20"/>
                <w:szCs w:val="20"/>
                <w:color w:val="auto"/>
              </w:rPr>
            </w:pPr>
            <w:r>
              <w:rPr>
                <w:rFonts w:ascii="Times New Roman" w:cs="Times New Roman" w:eastAsia="Times New Roman" w:hAnsi="Times New Roman"/>
                <w:sz w:val="20"/>
                <w:szCs w:val="20"/>
                <w:color w:val="FF0000"/>
                <w:strike w:val="1"/>
              </w:rPr>
              <w:t>All other settings</w:t>
            </w:r>
          </w:p>
        </w:tc>
        <w:tc>
          <w:tcPr>
            <w:tcW w:w="1860" w:type="dxa"/>
            <w:vAlign w:val="bottom"/>
          </w:tcPr>
          <w:p>
            <w:pPr>
              <w:ind w:left="300"/>
              <w:spacing w:after="0"/>
              <w:rPr>
                <w:sz w:val="20"/>
                <w:szCs w:val="20"/>
                <w:color w:val="auto"/>
              </w:rPr>
            </w:pPr>
            <w:r>
              <w:rPr>
                <w:rFonts w:ascii="Times New Roman" w:cs="Times New Roman" w:eastAsia="Times New Roman" w:hAnsi="Times New Roman"/>
                <w:sz w:val="20"/>
                <w:szCs w:val="20"/>
                <w:color w:val="FF0000"/>
                <w:strike w:val="1"/>
              </w:rPr>
              <w:t>June 30, 2023</w:t>
            </w:r>
          </w:p>
        </w:tc>
      </w:tr>
      <w:tr>
        <w:trPr>
          <w:trHeight w:val="202"/>
        </w:trPr>
        <w:tc>
          <w:tcPr>
            <w:tcW w:w="2180" w:type="dxa"/>
            <w:vAlign w:val="bottom"/>
          </w:tcPr>
          <w:p>
            <w:pPr>
              <w:spacing w:after="0"/>
              <w:rPr>
                <w:sz w:val="17"/>
                <w:szCs w:val="17"/>
                <w:color w:val="auto"/>
              </w:rPr>
            </w:pPr>
          </w:p>
        </w:tc>
        <w:tc>
          <w:tcPr>
            <w:tcW w:w="4960" w:type="dxa"/>
            <w:vAlign w:val="bottom"/>
          </w:tcPr>
          <w:p>
            <w:pPr>
              <w:ind w:left="780"/>
              <w:spacing w:after="0" w:line="203" w:lineRule="exact"/>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color w:val="FF0000"/>
                <w:strike w:val="1"/>
              </w:rPr>
              <w:t>i.e.</w:t>
            </w:r>
            <w:r>
              <w:rPr>
                <w:rFonts w:ascii="Times New Roman" w:cs="Times New Roman" w:eastAsia="Times New Roman" w:hAnsi="Times New Roman"/>
                <w:sz w:val="20"/>
                <w:szCs w:val="20"/>
                <w:color w:val="FF0000"/>
                <w:strike w:val="1"/>
              </w:rPr>
              <w:t>, Overnight/Spot Next, 1-month, 3-month, 6-</w:t>
            </w:r>
          </w:p>
        </w:tc>
        <w:tc>
          <w:tcPr>
            <w:tcW w:w="1860" w:type="dxa"/>
            <w:vAlign w:val="bottom"/>
          </w:tcPr>
          <w:p>
            <w:pPr>
              <w:spacing w:after="0"/>
              <w:rPr>
                <w:sz w:val="17"/>
                <w:szCs w:val="17"/>
                <w:color w:val="auto"/>
              </w:rPr>
            </w:pPr>
          </w:p>
        </w:tc>
      </w:tr>
      <w:tr>
        <w:trPr>
          <w:trHeight w:val="258"/>
        </w:trPr>
        <w:tc>
          <w:tcPr>
            <w:tcW w:w="2180" w:type="dxa"/>
            <w:vAlign w:val="bottom"/>
          </w:tcPr>
          <w:p>
            <w:pPr>
              <w:spacing w:after="0"/>
              <w:rPr>
                <w:sz w:val="22"/>
                <w:szCs w:val="22"/>
                <w:color w:val="auto"/>
              </w:rPr>
            </w:pPr>
          </w:p>
        </w:tc>
        <w:tc>
          <w:tcPr>
            <w:tcW w:w="4960" w:type="dxa"/>
            <w:vAlign w:val="bottom"/>
          </w:tcPr>
          <w:p>
            <w:pPr>
              <w:ind w:left="780"/>
              <w:spacing w:after="0"/>
              <w:rPr>
                <w:sz w:val="20"/>
                <w:szCs w:val="20"/>
                <w:color w:val="auto"/>
              </w:rPr>
            </w:pPr>
            <w:r>
              <w:rPr>
                <w:rFonts w:ascii="Times New Roman" w:cs="Times New Roman" w:eastAsia="Times New Roman" w:hAnsi="Times New Roman"/>
                <w:sz w:val="20"/>
                <w:szCs w:val="20"/>
                <w:color w:val="FF0000"/>
                <w:strike w:val="1"/>
              </w:rPr>
              <w:t>month and 12-month)</w:t>
            </w:r>
          </w:p>
        </w:tc>
        <w:tc>
          <w:tcPr>
            <w:tcW w:w="1860" w:type="dxa"/>
            <w:vAlign w:val="bottom"/>
          </w:tcPr>
          <w:p>
            <w:pPr>
              <w:spacing w:after="0"/>
              <w:rPr>
                <w:sz w:val="22"/>
                <w:szCs w:val="22"/>
                <w:color w:val="auto"/>
              </w:rPr>
            </w:pPr>
          </w:p>
        </w:tc>
      </w:tr>
    </w:tbl>
    <w:p>
      <w:pPr>
        <w:spacing w:after="0" w:line="34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FF0000"/>
          <w:strike w:val="1"/>
        </w:rPr>
        <w:t>The IBA did not identify any successor administrator in its announcement. In light of this eventuality, public and private sector industry initiatives are currently underway to identify new or alternative reference rates to be used in place of the London interbank offered rate.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FF0000"/>
          <w:strike w:val="1"/>
        </w:rPr>
        <w:t xml:space="preserve">Section 1.13 </w:t>
      </w:r>
      <w:r>
        <w:rPr>
          <w:rFonts w:ascii="Times New Roman" w:cs="Times New Roman" w:eastAsia="Times New Roman" w:hAnsi="Times New Roman"/>
          <w:sz w:val="20"/>
          <w:szCs w:val="20"/>
          <w:color w:val="FF0000"/>
          <w:strike w:val="1"/>
        </w:rPr>
        <w:t>provides a mechanism for determining an alternative rate of interest for Loans</w:t>
      </w:r>
      <w:r>
        <w:rPr>
          <w:rFonts w:ascii="Times New Roman" w:cs="Times New Roman" w:eastAsia="Times New Roman" w:hAnsi="Times New Roman"/>
          <w:sz w:val="20"/>
          <w:szCs w:val="20"/>
          <w:color w:val="008000"/>
          <w:strike w:val="1"/>
        </w:rPr>
        <w:t>. The Administrative Agent will promptly notify</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008000"/>
          <w:strike w:val="1"/>
        </w:rPr>
        <w:t>the Borrower</w:t>
      </w:r>
      <w:r>
        <w:rPr>
          <w:rFonts w:ascii="Times New Roman" w:cs="Times New Roman" w:eastAsia="Times New Roman" w:hAnsi="Times New Roman"/>
          <w:sz w:val="20"/>
          <w:szCs w:val="20"/>
          <w:color w:val="FF0000"/>
          <w:strike w:val="1"/>
        </w:rPr>
        <w:t>, pursuant to</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of any change to the reference rate upon which the interest rate on LIBO Rate Loans is based.</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Certain Calculations and Tests.</w:t>
      </w:r>
    </w:p>
    <w:p>
      <w:pPr>
        <w:spacing w:after="0" w:line="189" w:lineRule="exact"/>
        <w:rPr>
          <w:sz w:val="20"/>
          <w:szCs w:val="20"/>
          <w:color w:val="auto"/>
        </w:rPr>
      </w:pPr>
    </w:p>
    <w:p>
      <w:pPr>
        <w:jc w:val="both"/>
        <w:ind w:firstLine="656"/>
        <w:spacing w:after="0" w:line="211"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to the extent that the terms of this Agreement require (i) compliance with any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any First Lien Rent Adjusted Net Leverage Ratio test, any Secured Rent Adjusted Net Leverage Ratio test, any Total Rent Adjusted Net Leverage Ratio test and/or any Fixed Charge Coverage Ratio test) and/or any cap expressed as a percentage of Consolidated Adjusted EBITDA, Consolidated Adjusted EBITDAR or Consolidated Total Assets, (ii) the absence of a Default or Event of Default (or any type of Default or Event of Default), (iii) the making or accuracy of any representation and/or warranty or (iv) compliance with availability under any basket or cap (including any basket or cap expressed as a percentage of Consolidated Adjusted EBITDA or Consolidated Total Assets), in each case,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contemplated, assumed or incurred in connection therewith), at the time of (or on the basis of the financial statements for the most recently ended Test Period at the time of) either (x) the execution of the definitive agreement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color w:val="auto"/>
        </w:rPr>
        <w:t>to such acquisition or Investment, (y) in connection with an acquisition to which the United Kingdom City Code or Takeover and Mergers (or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comparable Requirement of Law) applies, the date on which a “Rule 2.7 announcement” of a firm intention to make an offer in respect of the target of an acquisition (or equivalent notice under comparable Requirements of Law) or (z) the consummation of such acquisition or</w:t>
      </w:r>
    </w:p>
    <w:p>
      <w:pPr>
        <w:spacing w:after="0" w:line="211" w:lineRule="auto"/>
        <w:rPr>
          <w:sz w:val="20"/>
          <w:szCs w:val="20"/>
          <w:color w:val="auto"/>
        </w:rPr>
      </w:pPr>
      <w:r>
        <w:rPr>
          <w:rFonts w:ascii="Times New Roman" w:cs="Times New Roman" w:eastAsia="Times New Roman" w:hAnsi="Times New Roman"/>
          <w:sz w:val="20"/>
          <w:szCs w:val="20"/>
          <w:color w:val="auto"/>
        </w:rPr>
        <w:t>Investment, (2) in the case of any Restricted Payment (including with respect to any Indebtedness contemplated or incurred in connection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therewith), at the time of (or on the basis of the financial statements for the most recently ended Test Period at the time of) either (x) the declaration of such Restricted Payment or (y) the making of such Restricted Payment and (3) in the case of any Restricted Debt Payment</w:t>
      </w:r>
    </w:p>
    <w:p>
      <w:pPr>
        <w:spacing w:after="0" w:line="223" w:lineRule="auto"/>
        <w:rPr>
          <w:sz w:val="20"/>
          <w:szCs w:val="20"/>
          <w:color w:val="auto"/>
        </w:rPr>
      </w:pPr>
      <w:r>
        <w:rPr>
          <w:rFonts w:ascii="Times New Roman" w:cs="Times New Roman" w:eastAsia="Times New Roman" w:hAnsi="Times New Roman"/>
          <w:sz w:val="19"/>
          <w:szCs w:val="19"/>
          <w:color w:val="auto"/>
        </w:rPr>
        <w:t>(including with respect to any Indebtedness contemplated or incurred in connection therewith), at the time of (or on the basis of the financial</w:t>
      </w:r>
    </w:p>
    <w:p>
      <w:pPr>
        <w:spacing w:after="0" w:line="215" w:lineRule="auto"/>
        <w:rPr>
          <w:sz w:val="20"/>
          <w:szCs w:val="20"/>
          <w:color w:val="auto"/>
        </w:rPr>
      </w:pPr>
      <w:r>
        <w:rPr>
          <w:rFonts w:ascii="Times New Roman" w:cs="Times New Roman" w:eastAsia="Times New Roman" w:hAnsi="Times New Roman"/>
          <w:sz w:val="19"/>
          <w:szCs w:val="19"/>
          <w:color w:val="auto"/>
        </w:rPr>
        <w:t>statements for the most recently ended Test Period at the time of) either (x) delivery of irrevocable (which may be conditional) notice with respect to such Restricted Debt Payment or (y) the making of such Restricted Debt Payment, in each case, after giving effect, on a Pro Forma</w:t>
      </w:r>
    </w:p>
    <w:p>
      <w:pPr>
        <w:spacing w:after="0" w:line="211" w:lineRule="auto"/>
        <w:rPr>
          <w:sz w:val="20"/>
          <w:szCs w:val="20"/>
          <w:color w:val="auto"/>
        </w:rPr>
      </w:pPr>
      <w:r>
        <w:rPr>
          <w:rFonts w:ascii="Times New Roman" w:cs="Times New Roman" w:eastAsia="Times New Roman" w:hAnsi="Times New Roman"/>
          <w:sz w:val="20"/>
          <w:szCs w:val="20"/>
          <w:color w:val="auto"/>
        </w:rPr>
        <w:t>Basis, to (I) the relevant acquisition, Investment, Restricted Payment, Restricted Debt Payment and/or any related Indebtedness (including</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 intended use of proceeds thereof) and (II) to the extent definitive documents in respect thereof have been executed, the Restricted Payment has been declared or delivery of notice with respect to a Restricted Debt Payment has been delivered (which definitive documents,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declaration or notice has not terminated or expired without the consummation thereof), any other Subject Transaction that the Borrower has elected to treat in accordance with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56"/>
        <w:spacing w:after="0" w:line="215"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permissibility of any action, change, transaction or event that requires a calculation of any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any First Lien Rent Adjusted Net Leverage Ratio test, any Secured Rent Adjusted Net Leverage Ratio test, any Total Rent Adjusted Net Leverage Ratio test and/or any Fixed Charge Coverage Ratio test, and/or the amount of Consolidated Adjusted EBITDA, Consolidated Adjusted EBITDAR or Consolidated Total Assets), such financial ratio or test shall be calculated (subject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at the time such action is taken, such change is made, such transaction is consummated or such event occurs, as the case may be, and no Default or Event of Default shall be deemed to have occurred solely as a result of a change in such financial ratio or test or amount occurring after such calculation, or after the time such action is taken, such change is made, such transaction is consummated or such event occurs, as the case may be.</w:t>
      </w:r>
    </w:p>
    <w:p>
      <w:pPr>
        <w:spacing w:after="0" w:line="14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 incurred or transaction entered into (or consummated) in reliance on a provision of this Agreement that does not require compliance with a financial ratio or test (including any First Lien Rent Adjusted Net Leverage Ratio test, any Secured Rent Adjusted Net Leverage Ratio test, any Fixed Charge Coverage Ratio test and/or any Total Rent Adjusted Net Leverage Ratio test) (any such amount, including any such amount drawn or deemed to have been drawn under any revolving credit facility and, for the avoidance of doubt, any amount that is expressed as a percentage of Consolidated Adjusted EBITDA, Consolidated Adjusted EBITDAR or Consolidated Total Assets, a “</w:t>
      </w:r>
      <w:r>
        <w:rPr>
          <w:rFonts w:ascii="Times New Roman" w:cs="Times New Roman" w:eastAsia="Times New Roman" w:hAnsi="Times New Roman"/>
          <w:sz w:val="20"/>
          <w:szCs w:val="20"/>
          <w:u w:val="single" w:color="auto"/>
          <w:color w:val="auto"/>
        </w:rPr>
        <w:t>Fixed Amount</w:t>
      </w:r>
      <w:r>
        <w:rPr>
          <w:rFonts w:ascii="Times New Roman" w:cs="Times New Roman" w:eastAsia="Times New Roman" w:hAnsi="Times New Roman"/>
          <w:sz w:val="20"/>
          <w:szCs w:val="20"/>
          <w:color w:val="auto"/>
        </w:rPr>
        <w:t xml:space="preserve">”) substantially concurrently with any amount incurred or transaction entered into (or consummated) in reliance on a provision of this Agreement that requires compliance with a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any First Lien Rent Adjusted Net Leverage Ratio test, any Secured Rent Adjusted Net Leverage Ratio test, any Fixed Charge Coverage Ratio test and/or any Total Rent Adjusted Net Leverage Ratio test) (any such amount, an “</w:t>
      </w:r>
      <w:r>
        <w:rPr>
          <w:rFonts w:ascii="Times New Roman" w:cs="Times New Roman" w:eastAsia="Times New Roman" w:hAnsi="Times New Roman"/>
          <w:sz w:val="20"/>
          <w:szCs w:val="20"/>
          <w:u w:val="single" w:color="auto"/>
          <w:color w:val="auto"/>
        </w:rPr>
        <w:t>Incurrence-Based Amount</w:t>
      </w:r>
      <w:r>
        <w:rPr>
          <w:rFonts w:ascii="Times New Roman" w:cs="Times New Roman" w:eastAsia="Times New Roman" w:hAnsi="Times New Roman"/>
          <w:sz w:val="20"/>
          <w:szCs w:val="20"/>
          <w:color w:val="auto"/>
        </w:rPr>
        <w:t xml:space="preserve">”), it is understood and agreed that (i) any Fixed Amount shall be disregarded in the calculation of the financial ratio or test applicable to the relevant Incurrence-Based Amount and (ii) except as provided in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pro forma effect shall be given to the entire transaction. The Borrower may elect that any amount incurred or transaction entered into (or consummated) in reliance on one or more of any Incurrence-Based Amount or any Fixed Amount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Borrower elects otherwise and except as set forth in the definition of “Incremental Cap”, each such amount or transaction shall be deemed incurred, entered into or consummated first under any Incurrence-Based Amount to the maximum extent permitted thereunder.</w:t>
      </w:r>
    </w:p>
    <w:p>
      <w:pPr>
        <w:spacing w:after="0" w:line="153"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any amount secured by any Lien by virtue of the accrual of interest, the accretion of accreted value, the payment of interest or a dividend in the form of additional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amortization of original issue discount and/or any increase in the amount of Indebtedness outstanding solely as a result of any fluctuation in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exchange rate of any applicable currency will not be deemed to be the creation, incurrence, assumption, or the permission or sufferance to exist of a Lien 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56"/>
        <w:spacing w:after="0" w:line="222" w:lineRule="auto"/>
        <w:tabs>
          <w:tab w:leader="none" w:pos="129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pro forma calculation that is required to be made in connection with any acquisition or similar Investment in respect of which financial statements for the applicable target are not available for the same Test Period for which financial statements of the Borrower are available, the Borrower shall make the relevant calculation on the basis of the relevant available financial statements (even if for differing periods) or such other commercially reasonable basis as the Borrower may elect.</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the implementation or assumption of any revolving commitment and/or any delayed draw commitment (in each case, other than any such commitment implemented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in reliance on any Incurrence-Based Amount, the Borrower may, in its sole discretion elect to, by written notice to the Administrative Agent (a “</w:t>
      </w:r>
      <w:r>
        <w:rPr>
          <w:rFonts w:ascii="Times New Roman" w:cs="Times New Roman" w:eastAsia="Times New Roman" w:hAnsi="Times New Roman"/>
          <w:sz w:val="19"/>
          <w:szCs w:val="19"/>
          <w:u w:val="single" w:color="auto"/>
          <w:color w:val="auto"/>
        </w:rPr>
        <w:t>Specified Commitment Notice</w:t>
      </w:r>
      <w:r>
        <w:rPr>
          <w:rFonts w:ascii="Times New Roman" w:cs="Times New Roman" w:eastAsia="Times New Roman" w:hAnsi="Times New Roman"/>
          <w:sz w:val="19"/>
          <w:szCs w:val="19"/>
          <w:color w:val="auto"/>
        </w:rPr>
        <w:t>”), either (a) treat all or any portion of such revolving commitment and/or delayed draw commitment as having been fully drawn on the date of implementation or assumption (such commitment (or portion thereof), a “</w:t>
      </w:r>
      <w:r>
        <w:rPr>
          <w:rFonts w:ascii="Times New Roman" w:cs="Times New Roman" w:eastAsia="Times New Roman" w:hAnsi="Times New Roman"/>
          <w:sz w:val="19"/>
          <w:szCs w:val="19"/>
          <w:u w:val="single" w:color="auto"/>
          <w:color w:val="auto"/>
        </w:rPr>
        <w:t>Specified Commitment</w:t>
      </w:r>
      <w:r>
        <w:rPr>
          <w:rFonts w:ascii="Times New Roman" w:cs="Times New Roman" w:eastAsia="Times New Roman" w:hAnsi="Times New Roman"/>
          <w:sz w:val="19"/>
          <w:szCs w:val="19"/>
          <w:color w:val="auto"/>
        </w:rPr>
        <w:t xml:space="preserve">”), in which case (i) the Borrower shall not be required to comply with any financial ratio or test in connection with any drawing thereunder after the date of incurrence or assumption and (ii) other than for purposes of (A) the Applicable Rate, (B) the Commitment Fee Rate and/or (C) actual compliance with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the amount of such Specified Commitment shall be deemed to have been an actual incurrence of Indebtedness thereunder on the date of implementation or assumption for purposes of calculating any Incurrence-Based Amount or (b) test the permissibility of all or any portion of any drawing under such revolving commitment and/or delayed draw commitment on the date of such drawing (if any), in which case, such revolving commitment and/or delayed draw commitment (or portion thereof) shall only be treated as drawn for purposes of any Incurrence-Based Amount to the extent of any actual drawing thereunder that is outstanding at the applicable time of determination. It is understood and agreed that the Borrower may, at any time in its sole discretion, (x) deliver a Specified Commitment Notice with respect to any revolving commitment and/or delayed draw commitment and/or (y) withdraw any Specified Commitment Notice with respect to all or any portion of any revolving commitment and/or delayed draw commitment and instead elect to treat such revolving commitment and/or delayed draw commitment in accordance with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the immediately preceding sentence.</w:t>
      </w:r>
    </w:p>
    <w:p>
      <w:pPr>
        <w:spacing w:after="0" w:line="170" w:lineRule="exact"/>
        <w:rPr>
          <w:rFonts w:ascii="Times New Roman" w:cs="Times New Roman" w:eastAsia="Times New Roman" w:hAnsi="Times New Roman"/>
          <w:sz w:val="19"/>
          <w:szCs w:val="19"/>
          <w:color w:val="auto"/>
        </w:rPr>
      </w:pPr>
    </w:p>
    <w:p>
      <w:pPr>
        <w:ind w:firstLine="656"/>
        <w:spacing w:after="0"/>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of the Weighted Average Life to Maturity of any Indebtedness shall be made by the Borrower in good faith at the time of the incurrence of such Indebtedness.</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that the Borrower and/or any Restricted Subsidiary may incur Indebtedness permitted under any provision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to refinance Indebtedness originally incurred under the same provision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while the Indebtedness being refinanced remains outstanding so long as the proceeds of the applicable refinancing Indebtedness are promptly deposited with the trustee or other applicable representative of the holders of the Indebtedness being refinanced, which proceeds will be applied to satisfy and discharge the Indebtedness being refinanced in accordance with the documentation governing such Indebtedness.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FF0000"/>
          <w:strike w:val="1"/>
        </w:rPr>
        <w:t>Effect of Benchmark Transition Event</w:t>
      </w:r>
      <w:r>
        <w:rPr>
          <w:rFonts w:ascii="Times New Roman" w:cs="Times New Roman" w:eastAsia="Times New Roman" w:hAnsi="Times New Roman"/>
          <w:sz w:val="19"/>
          <w:szCs w:val="19"/>
          <w:u w:val="single" w:color="auto"/>
          <w:color w:val="0000FF"/>
          <w:strike w:val="1"/>
        </w:rPr>
        <w:t>[Reserved]</w:t>
      </w:r>
      <w:r>
        <w:rPr>
          <w:rFonts w:ascii="Times New Roman" w:cs="Times New Roman" w:eastAsia="Times New Roman" w:hAnsi="Times New Roman"/>
          <w:sz w:val="19"/>
          <w:szCs w:val="19"/>
          <w:color w:val="000000"/>
          <w:strike w:val="1"/>
        </w:rPr>
        <w:t>.</w:t>
      </w:r>
    </w:p>
    <w:p>
      <w:pPr>
        <w:spacing w:after="0" w:line="175" w:lineRule="exact"/>
        <w:rPr>
          <w:sz w:val="20"/>
          <w:szCs w:val="20"/>
          <w:color w:val="auto"/>
        </w:rPr>
      </w:pPr>
    </w:p>
    <w:p>
      <w:pPr>
        <w:jc w:val="both"/>
        <w:ind w:firstLine="656"/>
        <w:spacing w:after="0" w:line="222" w:lineRule="auto"/>
        <w:tabs>
          <w:tab w:leader="none" w:pos="969" w:val="left"/>
        </w:tabs>
        <w:numPr>
          <w:ilvl w:val="0"/>
          <w:numId w:val="11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Notwithstanding anything to the contrary in </w:t>
      </w:r>
      <w:r>
        <w:rPr>
          <w:rFonts w:ascii="Times New Roman" w:cs="Times New Roman" w:eastAsia="Times New Roman" w:hAnsi="Times New Roman"/>
          <w:sz w:val="20"/>
          <w:szCs w:val="20"/>
          <w:color w:val="008000"/>
          <w:strike w:val="1"/>
        </w:rPr>
        <w:t>this Agreement or any other Loan</w:t>
      </w:r>
      <w:r>
        <w:rPr>
          <w:rFonts w:ascii="Times New Roman" w:cs="Times New Roman" w:eastAsia="Times New Roman" w:hAnsi="Times New Roman"/>
          <w:sz w:val="20"/>
          <w:szCs w:val="20"/>
          <w:color w:val="FF0000"/>
          <w:strike w:val="1"/>
        </w:rPr>
        <w:t xml:space="preserve"> Documents, if </w:t>
      </w:r>
      <w:r>
        <w:rPr>
          <w:rFonts w:ascii="Times New Roman" w:cs="Times New Roman" w:eastAsia="Times New Roman" w:hAnsi="Times New Roman"/>
          <w:sz w:val="20"/>
          <w:szCs w:val="20"/>
          <w:color w:val="008000"/>
          <w:strike w:val="1"/>
        </w:rPr>
        <w:t>the Administrative Agent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determines (which determination shall be conclusive absent manifest error)</w:t>
      </w:r>
      <w:r>
        <w:rPr>
          <w:rFonts w:ascii="Times New Roman" w:cs="Times New Roman" w:eastAsia="Times New Roman" w:hAnsi="Times New Roman"/>
          <w:sz w:val="20"/>
          <w:szCs w:val="20"/>
          <w:color w:val="FF0000"/>
          <w:strike w:val="1"/>
        </w:rPr>
        <w:t>, or the Borrower or Required Lenders notify the Administrative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Agent (with, in the case of the Required Lenders, a copy to the Borrower) that the Borrower or Required Lenders (as applicable) have determined with respect to Dollars, that:</w:t>
      </w:r>
    </w:p>
    <w:p>
      <w:pPr>
        <w:spacing w:after="0" w:line="161" w:lineRule="exact"/>
        <w:rPr>
          <w:rFonts w:ascii="Times New Roman" w:cs="Times New Roman" w:eastAsia="Times New Roman" w:hAnsi="Times New Roman"/>
          <w:sz w:val="20"/>
          <w:szCs w:val="20"/>
          <w:color w:val="FF0000"/>
          <w:strike w:val="1"/>
        </w:rPr>
      </w:pPr>
    </w:p>
    <w:p>
      <w:pPr>
        <w:jc w:val="both"/>
        <w:ind w:left="660" w:firstLine="644"/>
        <w:spacing w:after="0" w:line="226" w:lineRule="auto"/>
        <w:tabs>
          <w:tab w:leader="none" w:pos="1553" w:val="left"/>
        </w:tabs>
        <w:numPr>
          <w:ilvl w:val="1"/>
          <w:numId w:val="11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adequate and reasonable means do not exist for ascertaining the LIBO Rate for Dollars for any Interest Period hereunder or any other tenors of LIBOR, including because the LIBO Rate for Dollars is not available or published on a current basis at such time and such 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90" w:name="page191"/>
    <w:bookmarkEnd w:id="190"/>
    <w:p>
      <w:pPr>
        <w:jc w:val="both"/>
        <w:ind w:left="660" w:firstLine="644"/>
        <w:spacing w:after="0" w:line="216" w:lineRule="auto"/>
        <w:tabs>
          <w:tab w:leader="none" w:pos="1607" w:val="left"/>
        </w:tabs>
        <w:numPr>
          <w:ilvl w:val="0"/>
          <w:numId w:val="11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administrator of the LIBO Rate for Dollars or a Governmental Authority having jurisdiction over the Administrative Agent or such administrator has made a public statement identifying a specific date after which the LIBO Rate or the Published LIBO Rate for Dollars shall no longer be made available, or used for determining the interest rate of loans denominated in Dollars, provided that, in each case</w:t>
      </w:r>
      <w:r>
        <w:rPr>
          <w:rFonts w:ascii="Times New Roman" w:cs="Times New Roman" w:eastAsia="Times New Roman" w:hAnsi="Times New Roman"/>
          <w:sz w:val="20"/>
          <w:szCs w:val="20"/>
          <w:color w:val="008000"/>
          <w:strike w:val="1"/>
        </w:rPr>
        <w:t>, at the time of such statement, there is no successor administrator that</w:t>
      </w:r>
      <w:r>
        <w:rPr>
          <w:rFonts w:ascii="Times New Roman" w:cs="Times New Roman" w:eastAsia="Times New Roman" w:hAnsi="Times New Roman"/>
          <w:sz w:val="20"/>
          <w:szCs w:val="20"/>
          <w:color w:val="FF0000"/>
          <w:strike w:val="1"/>
        </w:rPr>
        <w:t xml:space="preserve"> is reasonably satisfactory to the Administrative Agent that will continue to provide the LIBO Rate for Dollars after such specific date (such specific date, the “</w:t>
      </w:r>
      <w:r>
        <w:rPr>
          <w:rFonts w:ascii="Times New Roman" w:cs="Times New Roman" w:eastAsia="Times New Roman" w:hAnsi="Times New Roman"/>
          <w:sz w:val="20"/>
          <w:szCs w:val="20"/>
          <w:u w:val="single" w:color="auto"/>
          <w:color w:val="FF0000"/>
          <w:strike w:val="1"/>
        </w:rPr>
        <w:t>Scheduled Unavailability Date</w:t>
      </w:r>
      <w:r>
        <w:rPr>
          <w:rFonts w:ascii="Times New Roman" w:cs="Times New Roman" w:eastAsia="Times New Roman" w:hAnsi="Times New Roman"/>
          <w:sz w:val="20"/>
          <w:szCs w:val="20"/>
          <w:color w:val="FF0000"/>
          <w:strike w:val="1"/>
        </w:rPr>
        <w:t>”); or</w:t>
      </w:r>
    </w:p>
    <w:p>
      <w:pPr>
        <w:spacing w:after="0" w:line="162" w:lineRule="exact"/>
        <w:rPr>
          <w:rFonts w:ascii="Times New Roman" w:cs="Times New Roman" w:eastAsia="Times New Roman" w:hAnsi="Times New Roman"/>
          <w:sz w:val="20"/>
          <w:szCs w:val="20"/>
          <w:color w:val="FF0000"/>
          <w:strike w:val="1"/>
        </w:rPr>
      </w:pPr>
    </w:p>
    <w:p>
      <w:pPr>
        <w:ind w:left="660" w:firstLine="644"/>
        <w:spacing w:after="0" w:line="266" w:lineRule="auto"/>
        <w:tabs>
          <w:tab w:leader="none" w:pos="1660" w:val="left"/>
        </w:tabs>
        <w:numPr>
          <w:ilvl w:val="0"/>
          <w:numId w:val="116"/>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the administrator of the LIBO Rate for Dollars or a Governmental Authority having jurisdiction over such administrator has made a public statement announcing that all Interest Periods and other tenors of the LIBO Rate are no longer representative; or</w:t>
      </w:r>
    </w:p>
    <w:p>
      <w:pPr>
        <w:spacing w:after="0" w:line="123" w:lineRule="exact"/>
        <w:rPr>
          <w:rFonts w:ascii="Times New Roman" w:cs="Times New Roman" w:eastAsia="Times New Roman" w:hAnsi="Times New Roman"/>
          <w:sz w:val="19"/>
          <w:szCs w:val="19"/>
          <w:color w:val="FF0000"/>
          <w:strike w:val="1"/>
        </w:rPr>
      </w:pPr>
    </w:p>
    <w:p>
      <w:pPr>
        <w:jc w:val="both"/>
        <w:ind w:left="660" w:firstLine="644"/>
        <w:spacing w:after="0" w:line="230" w:lineRule="auto"/>
        <w:tabs>
          <w:tab w:leader="none" w:pos="1654" w:val="left"/>
        </w:tabs>
        <w:numPr>
          <w:ilvl w:val="0"/>
          <w:numId w:val="11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syndicated loans being executed at the time of such determination, or that include language similar to that contained in this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are being executed or amended (as applicable) to incorporate or adopt a new benchmark interest rate to replace the LIBO Rate for Dollars,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FF0000"/>
          <w:strike w:val="1"/>
        </w:rPr>
        <w:t xml:space="preserve">then, reasonably promptly after such determination by the Administrative Agent or receipt by the Administrative Agent of such notice from the Borrower or the Required Lenders, notwithstanding anything to the contrary in </w:t>
      </w:r>
      <w:r>
        <w:rPr>
          <w:rFonts w:ascii="Times New Roman" w:cs="Times New Roman" w:eastAsia="Times New Roman" w:hAnsi="Times New Roman"/>
          <w:sz w:val="20"/>
          <w:szCs w:val="20"/>
          <w:u w:val="single" w:color="auto"/>
          <w:color w:val="FF0000"/>
          <w:strike w:val="1"/>
        </w:rPr>
        <w:t>Section 9.02</w:t>
      </w:r>
      <w:r>
        <w:rPr>
          <w:rFonts w:ascii="Times New Roman" w:cs="Times New Roman" w:eastAsia="Times New Roman" w:hAnsi="Times New Roman"/>
          <w:sz w:val="20"/>
          <w:szCs w:val="20"/>
          <w:color w:val="FF0000"/>
          <w:strike w:val="1"/>
        </w:rPr>
        <w:t>, the Administrative Agent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FF0000"/>
          <w:strike w:val="1"/>
        </w:rPr>
        <w:t xml:space="preserve">the Borrower may amend this Agreement solely for the purpose of replacing the LIBO Rate for Dollars in accordance with this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xml:space="preserve"> with (x) one or more SOFR-Based Rates or (y) another alternate benchmark rate giving due consideration to any evolving or then existing</w:t>
      </w:r>
    </w:p>
    <w:p>
      <w:pPr>
        <w:spacing w:after="0" w:line="211" w:lineRule="auto"/>
        <w:rPr>
          <w:sz w:val="20"/>
          <w:szCs w:val="20"/>
          <w:color w:val="auto"/>
        </w:rPr>
      </w:pPr>
      <w:r>
        <w:rPr>
          <w:rFonts w:ascii="Times New Roman" w:cs="Times New Roman" w:eastAsia="Times New Roman" w:hAnsi="Times New Roman"/>
          <w:sz w:val="20"/>
          <w:szCs w:val="20"/>
          <w:color w:val="FF0000"/>
          <w:strike w:val="1"/>
        </w:rPr>
        <w:t>convention for comparable syndicated credit facilities for such alternative benchmarks for Dollars and, in each case, including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mathematical or other adjustments to such benchmark giving due consideration to any evolving or then existing convention for comparable syndicated credit facilities for such benchmark for Dollars, which adjustment or method for calculating such adjustment shall be published on</w:t>
      </w:r>
    </w:p>
    <w:p>
      <w:pPr>
        <w:spacing w:after="0" w:line="204" w:lineRule="auto"/>
        <w:rPr>
          <w:sz w:val="20"/>
          <w:szCs w:val="20"/>
          <w:color w:val="auto"/>
        </w:rPr>
      </w:pPr>
      <w:r>
        <w:rPr>
          <w:rFonts w:ascii="Times New Roman" w:cs="Times New Roman" w:eastAsia="Times New Roman" w:hAnsi="Times New Roman"/>
          <w:sz w:val="20"/>
          <w:szCs w:val="20"/>
          <w:color w:val="FF0000"/>
          <w:strike w:val="1"/>
        </w:rPr>
        <w:t>an information service as selected by the Administrative Agent from time to time in its reasonable discretion in consultation with the Borrower and may be periodically updated (each, an “</w:t>
      </w:r>
      <w:r>
        <w:rPr>
          <w:rFonts w:ascii="Times New Roman" w:cs="Times New Roman" w:eastAsia="Times New Roman" w:hAnsi="Times New Roman"/>
          <w:sz w:val="20"/>
          <w:szCs w:val="20"/>
          <w:u w:val="single" w:color="auto"/>
          <w:color w:val="FF0000"/>
          <w:strike w:val="1"/>
        </w:rPr>
        <w:t>Adjustment</w:t>
      </w:r>
      <w:r>
        <w:rPr>
          <w:rFonts w:ascii="Times New Roman" w:cs="Times New Roman" w:eastAsia="Times New Roman" w:hAnsi="Times New Roman"/>
          <w:sz w:val="20"/>
          <w:szCs w:val="20"/>
          <w:color w:val="FF0000"/>
          <w:strike w:val="1"/>
        </w:rPr>
        <w:t>;” and any such proposed rate, a “</w:t>
      </w:r>
      <w:r>
        <w:rPr>
          <w:rFonts w:ascii="Times New Roman" w:cs="Times New Roman" w:eastAsia="Times New Roman" w:hAnsi="Times New Roman"/>
          <w:sz w:val="20"/>
          <w:szCs w:val="20"/>
          <w:u w:val="single" w:color="auto"/>
          <w:color w:val="FF0000"/>
          <w:strike w:val="1"/>
        </w:rPr>
        <w:t>Successor Rate</w:t>
      </w:r>
      <w:r>
        <w:rPr>
          <w:rFonts w:ascii="Times New Roman" w:cs="Times New Roman" w:eastAsia="Times New Roman" w:hAnsi="Times New Roman"/>
          <w:sz w:val="20"/>
          <w:szCs w:val="20"/>
          <w:color w:val="FF0000"/>
          <w:strike w:val="1"/>
        </w:rPr>
        <w:t>”), and any such</w:t>
      </w:r>
    </w:p>
    <w:p>
      <w:pPr>
        <w:spacing w:after="0" w:line="211" w:lineRule="auto"/>
        <w:rPr>
          <w:sz w:val="20"/>
          <w:szCs w:val="20"/>
          <w:color w:val="auto"/>
        </w:rPr>
      </w:pPr>
      <w:r>
        <w:rPr>
          <w:rFonts w:ascii="Times New Roman" w:cs="Times New Roman" w:eastAsia="Times New Roman" w:hAnsi="Times New Roman"/>
          <w:sz w:val="20"/>
          <w:szCs w:val="20"/>
          <w:color w:val="FF0000"/>
          <w:strike w:val="1"/>
        </w:rPr>
        <w:t xml:space="preserve">amendment shall become effective at 5:00 p.m. </w:t>
      </w:r>
      <w:r>
        <w:rPr>
          <w:rFonts w:ascii="Times New Roman" w:cs="Times New Roman" w:eastAsia="Times New Roman" w:hAnsi="Times New Roman"/>
          <w:sz w:val="20"/>
          <w:szCs w:val="20"/>
          <w:color w:val="008000"/>
          <w:strike w:val="1"/>
        </w:rPr>
        <w:t>on the fifth Business Day after the</w:t>
      </w:r>
      <w:r>
        <w:rPr>
          <w:rFonts w:ascii="Times New Roman" w:cs="Times New Roman" w:eastAsia="Times New Roman" w:hAnsi="Times New Roman"/>
          <w:sz w:val="20"/>
          <w:szCs w:val="20"/>
          <w:color w:val="FF0000"/>
          <w:strike w:val="1"/>
        </w:rPr>
        <w:t xml:space="preserve"> Administrative Agent shall have posted such proposed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 xml:space="preserve">amendment to all Lenders unless, prior to such time, </w:t>
      </w:r>
      <w:r>
        <w:rPr>
          <w:rFonts w:ascii="Times New Roman" w:cs="Times New Roman" w:eastAsia="Times New Roman" w:hAnsi="Times New Roman"/>
          <w:sz w:val="19"/>
          <w:szCs w:val="19"/>
          <w:color w:val="008000"/>
          <w:strike w:val="1"/>
        </w:rPr>
        <w:t>Lenders comprising the Required Lenders</w:t>
      </w:r>
      <w:r>
        <w:rPr>
          <w:rFonts w:ascii="Times New Roman" w:cs="Times New Roman" w:eastAsia="Times New Roman" w:hAnsi="Times New Roman"/>
          <w:sz w:val="19"/>
          <w:szCs w:val="19"/>
          <w:color w:val="FF0000"/>
          <w:strike w:val="1"/>
        </w:rPr>
        <w:t xml:space="preserve"> have delivered to the Administrative Agent written notice that the Required Lenders object to any Adjustment or any rate that is not a SOFR-Based Rate; </w:t>
      </w:r>
      <w:r>
        <w:rPr>
          <w:rFonts w:ascii="Times New Roman" w:cs="Times New Roman" w:eastAsia="Times New Roman" w:hAnsi="Times New Roman"/>
          <w:sz w:val="19"/>
          <w:szCs w:val="19"/>
          <w:u w:val="single" w:color="auto"/>
          <w:color w:val="FF0000"/>
          <w:strike w:val="1"/>
        </w:rPr>
        <w:t>provided</w:t>
      </w:r>
      <w:r>
        <w:rPr>
          <w:rFonts w:ascii="Times New Roman" w:cs="Times New Roman" w:eastAsia="Times New Roman" w:hAnsi="Times New Roman"/>
          <w:sz w:val="19"/>
          <w:szCs w:val="19"/>
          <w:color w:val="FF0000"/>
          <w:strike w:val="1"/>
        </w:rPr>
        <w:t xml:space="preserve"> that, for the avoidance</w:t>
      </w:r>
    </w:p>
    <w:p>
      <w:pPr>
        <w:spacing w:after="0"/>
        <w:rPr>
          <w:sz w:val="20"/>
          <w:szCs w:val="20"/>
          <w:color w:val="auto"/>
        </w:rPr>
      </w:pPr>
      <w:r>
        <w:rPr>
          <w:rFonts w:ascii="Times New Roman" w:cs="Times New Roman" w:eastAsia="Times New Roman" w:hAnsi="Times New Roman"/>
          <w:sz w:val="20"/>
          <w:szCs w:val="20"/>
          <w:color w:val="FF0000"/>
          <w:strike w:val="1"/>
        </w:rPr>
        <w:t>of doubt, such Required Lenders shall not be entitled to object to any SOFR-Based Rate contained in any such amendment.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FF0000"/>
          <w:strike w:val="1"/>
        </w:rPr>
        <w:t xml:space="preserve">Any Successor Rate shall be applied in a manner consistent with market practice for comparable syndicated loans being executed at the time of such determination; </w:t>
      </w:r>
      <w:r>
        <w:rPr>
          <w:rFonts w:ascii="Times New Roman" w:cs="Times New Roman" w:eastAsia="Times New Roman" w:hAnsi="Times New Roman"/>
          <w:sz w:val="19"/>
          <w:szCs w:val="19"/>
          <w:u w:val="single" w:color="auto"/>
          <w:color w:val="FF0000"/>
          <w:strike w:val="1"/>
        </w:rPr>
        <w:t>provided</w:t>
      </w:r>
      <w:r>
        <w:rPr>
          <w:rFonts w:ascii="Times New Roman" w:cs="Times New Roman" w:eastAsia="Times New Roman" w:hAnsi="Times New Roman"/>
          <w:sz w:val="19"/>
          <w:szCs w:val="19"/>
          <w:color w:val="FF0000"/>
          <w:strike w:val="1"/>
        </w:rPr>
        <w:t xml:space="preserve"> that to the extent such market practice is not administratively feasible for the Administrative Agent,</w:t>
      </w:r>
    </w:p>
    <w:p>
      <w:pPr>
        <w:ind w:right="20"/>
        <w:spacing w:after="0" w:line="228" w:lineRule="auto"/>
        <w:rPr>
          <w:sz w:val="20"/>
          <w:szCs w:val="20"/>
          <w:color w:val="auto"/>
        </w:rPr>
      </w:pPr>
      <w:r>
        <w:rPr>
          <w:rFonts w:ascii="Times New Roman" w:cs="Times New Roman" w:eastAsia="Times New Roman" w:hAnsi="Times New Roman"/>
          <w:sz w:val="20"/>
          <w:szCs w:val="20"/>
          <w:color w:val="FF0000"/>
          <w:strike w:val="1"/>
        </w:rPr>
        <w:t>such Successor Rate shall be applied in a manner as otherwise reasonably determined by the Administrative Agent in consultation with the Borrower.</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FF0000"/>
          <w:strike w:val="1"/>
        </w:rPr>
        <w:t xml:space="preserve">Notwithstanding anything to the contrary herein, if at any time any Successor Rate as so determined would otherwise be less than (x) in the case of Initial Term Loans, 0.00% per annum, then the Successor Rate with respect to such Initial Term Loans </w:t>
      </w:r>
      <w:r>
        <w:rPr>
          <w:rFonts w:ascii="Times New Roman" w:cs="Times New Roman" w:eastAsia="Times New Roman" w:hAnsi="Times New Roman"/>
          <w:sz w:val="19"/>
          <w:szCs w:val="19"/>
          <w:color w:val="008000"/>
          <w:strike w:val="1"/>
        </w:rPr>
        <w:t>will be deemed to be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FF0000"/>
          <w:strike w:val="1"/>
        </w:rPr>
        <w:t xml:space="preserve">0.00% per annum and (y) in the case of Initial Revolving Loans, 0.00% per annum, then the Successor Rate with respect to such Initial Revolving Loans will be deemed to be 0.00% per annum, in each case, for the </w:t>
      </w:r>
      <w:r>
        <w:rPr>
          <w:rFonts w:ascii="Times New Roman" w:cs="Times New Roman" w:eastAsia="Times New Roman" w:hAnsi="Times New Roman"/>
          <w:sz w:val="20"/>
          <w:szCs w:val="20"/>
          <w:color w:val="008000"/>
          <w:strike w:val="1"/>
        </w:rPr>
        <w:t>purposes of this Agreement and the other Loan Documents.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In connection with the implementation of a Successor Rate</w:t>
      </w:r>
      <w:r>
        <w:rPr>
          <w:rFonts w:ascii="Times New Roman" w:cs="Times New Roman" w:eastAsia="Times New Roman" w:hAnsi="Times New Roman"/>
          <w:sz w:val="20"/>
          <w:szCs w:val="20"/>
          <w:color w:val="008000"/>
          <w:strike w:val="1"/>
        </w:rPr>
        <w:t>, the Administrative Agent will have the right to make</w:t>
      </w:r>
      <w:r>
        <w:rPr>
          <w:rFonts w:ascii="Times New Roman" w:cs="Times New Roman" w:eastAsia="Times New Roman" w:hAnsi="Times New Roman"/>
          <w:sz w:val="20"/>
          <w:szCs w:val="20"/>
          <w:color w:val="FF0000"/>
          <w:strike w:val="1"/>
        </w:rPr>
        <w:t xml:space="preserve"> Successor Rate</w:t>
      </w:r>
    </w:p>
    <w:p>
      <w:pPr>
        <w:ind w:right="380"/>
        <w:spacing w:after="0" w:line="215" w:lineRule="auto"/>
        <w:rPr>
          <w:sz w:val="20"/>
          <w:szCs w:val="20"/>
          <w:color w:val="auto"/>
        </w:rPr>
      </w:pPr>
      <w:r>
        <w:rPr>
          <w:rFonts w:ascii="Times New Roman" w:cs="Times New Roman" w:eastAsia="Times New Roman" w:hAnsi="Times New Roman"/>
          <w:sz w:val="19"/>
          <w:szCs w:val="19"/>
          <w:color w:val="FF0000"/>
          <w:strike w:val="1"/>
        </w:rPr>
        <w:t xml:space="preserve">Conforming </w:t>
      </w:r>
      <w:r>
        <w:rPr>
          <w:rFonts w:ascii="Times New Roman" w:cs="Times New Roman" w:eastAsia="Times New Roman" w:hAnsi="Times New Roman"/>
          <w:sz w:val="19"/>
          <w:szCs w:val="19"/>
          <w:color w:val="008000"/>
          <w:strike w:val="1"/>
        </w:rPr>
        <w:t>Changes from time to time and, notwithstanding anything to the contrary herein or in any other Loan Document, any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 xml:space="preserve">amendments implementing such </w:t>
      </w:r>
      <w:r>
        <w:rPr>
          <w:rFonts w:ascii="Times New Roman" w:cs="Times New Roman" w:eastAsia="Times New Roman" w:hAnsi="Times New Roman"/>
          <w:sz w:val="19"/>
          <w:szCs w:val="19"/>
          <w:color w:val="FF0000"/>
          <w:strike w:val="1"/>
        </w:rPr>
        <w:t>Successor Rate</w:t>
      </w:r>
      <w:r>
        <w:rPr>
          <w:rFonts w:ascii="Times New Roman" w:cs="Times New Roman" w:eastAsia="Times New Roman" w:hAnsi="Times New Roman"/>
          <w:sz w:val="19"/>
          <w:szCs w:val="19"/>
          <w:color w:val="008000"/>
          <w:strike w:val="1"/>
        </w:rPr>
        <w:t xml:space="preserve"> Conforming Changes will become effective without any further action or consent of any</w:t>
      </w:r>
    </w:p>
    <w:p>
      <w:pPr>
        <w:spacing w:after="0" w:line="211" w:lineRule="auto"/>
        <w:rPr>
          <w:sz w:val="20"/>
          <w:szCs w:val="20"/>
          <w:color w:val="auto"/>
        </w:rPr>
      </w:pPr>
      <w:r>
        <w:rPr>
          <w:rFonts w:ascii="Times New Roman" w:cs="Times New Roman" w:eastAsia="Times New Roman" w:hAnsi="Times New Roman"/>
          <w:sz w:val="20"/>
          <w:szCs w:val="20"/>
          <w:color w:val="008000"/>
          <w:strike w:val="1"/>
        </w:rPr>
        <w:t xml:space="preserve">other party to this Agreement </w:t>
      </w:r>
      <w:r>
        <w:rPr>
          <w:rFonts w:ascii="Times New Roman" w:cs="Times New Roman" w:eastAsia="Times New Roman" w:hAnsi="Times New Roman"/>
          <w:sz w:val="20"/>
          <w:szCs w:val="20"/>
          <w:color w:val="FF0000"/>
          <w:strike w:val="1"/>
        </w:rPr>
        <w:t>(other than the Borrower (such consent not to be unreasonably withheld or delayed))</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008000"/>
          <w:strike w:val="1"/>
        </w:rPr>
        <w:t>provided</w:t>
      </w:r>
      <w:r>
        <w:rPr>
          <w:rFonts w:ascii="Times New Roman" w:cs="Times New Roman" w:eastAsia="Times New Roman" w:hAnsi="Times New Roman"/>
          <w:sz w:val="20"/>
          <w:szCs w:val="20"/>
          <w:color w:val="008000"/>
          <w:strike w:val="1"/>
        </w:rPr>
        <w:t xml:space="preserve"> that, with</w:t>
      </w:r>
    </w:p>
    <w:p>
      <w:pPr>
        <w:ind w:right="540"/>
        <w:spacing w:after="0" w:line="221" w:lineRule="auto"/>
        <w:rPr>
          <w:sz w:val="20"/>
          <w:szCs w:val="20"/>
          <w:color w:val="auto"/>
        </w:rPr>
      </w:pPr>
      <w:r>
        <w:rPr>
          <w:rFonts w:ascii="Times New Roman" w:cs="Times New Roman" w:eastAsia="Times New Roman" w:hAnsi="Times New Roman"/>
          <w:sz w:val="20"/>
          <w:szCs w:val="20"/>
          <w:color w:val="008000"/>
          <w:strike w:val="1"/>
        </w:rPr>
        <w:t xml:space="preserve">respect to any such amendment effected, the Administrative Agent shall post each such amendment implementing such </w:t>
      </w:r>
      <w:r>
        <w:rPr>
          <w:rFonts w:ascii="Times New Roman" w:cs="Times New Roman" w:eastAsia="Times New Roman" w:hAnsi="Times New Roman"/>
          <w:sz w:val="20"/>
          <w:szCs w:val="20"/>
          <w:color w:val="FF0000"/>
          <w:strike w:val="1"/>
        </w:rPr>
        <w:t>Successor Rate</w:t>
      </w:r>
      <w:r>
        <w:rPr>
          <w:rFonts w:ascii="Times New Roman" w:cs="Times New Roman" w:eastAsia="Times New Roman" w:hAnsi="Times New Roman"/>
          <w:sz w:val="20"/>
          <w:szCs w:val="20"/>
          <w:color w:val="008000"/>
          <w:strike w:val="1"/>
        </w:rPr>
        <w:t xml:space="preserve"> Conforming Changes to the Borrower and the Lenders reasonably promptly after such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91" w:name="page192"/>
    <w:bookmarkEnd w:id="191"/>
    <w:p>
      <w:pPr>
        <w:jc w:val="both"/>
        <w:ind w:firstLine="656"/>
        <w:spacing w:after="0" w:line="212" w:lineRule="auto"/>
        <w:tabs>
          <w:tab w:leader="none" w:pos="940" w:val="left"/>
        </w:tabs>
        <w:numPr>
          <w:ilvl w:val="0"/>
          <w:numId w:val="11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If, at the end of any Interest Period, relevant interest payment date or payment period for interest calculated, no Successor Rate has been determined in accordance with </w:t>
      </w:r>
      <w:r>
        <w:rPr>
          <w:rFonts w:ascii="Times New Roman" w:cs="Times New Roman" w:eastAsia="Times New Roman" w:hAnsi="Times New Roman"/>
          <w:sz w:val="20"/>
          <w:szCs w:val="20"/>
          <w:u w:val="single" w:color="auto"/>
          <w:color w:val="FF0000"/>
          <w:strike w:val="1"/>
        </w:rPr>
        <w:t>clause (a)</w:t>
      </w:r>
      <w:r>
        <w:rPr>
          <w:rFonts w:ascii="Times New Roman" w:cs="Times New Roman" w:eastAsia="Times New Roman" w:hAnsi="Times New Roman"/>
          <w:sz w:val="20"/>
          <w:szCs w:val="20"/>
          <w:color w:val="FF0000"/>
          <w:strike w:val="1"/>
        </w:rPr>
        <w:t xml:space="preserve"> of this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xml:space="preserve"> or the Scheduled Unavailability Date has occurred (as applicable), the Administrative Agent will promptly so notify the Borrower and each Lender and thereafter, (x) the </w:t>
      </w:r>
      <w:r>
        <w:rPr>
          <w:rFonts w:ascii="Times New Roman" w:cs="Times New Roman" w:eastAsia="Times New Roman" w:hAnsi="Times New Roman"/>
          <w:sz w:val="20"/>
          <w:szCs w:val="20"/>
          <w:color w:val="008000"/>
          <w:strike w:val="1"/>
        </w:rPr>
        <w:t>obligation of the Lenders to make</w:t>
      </w:r>
      <w:r>
        <w:rPr>
          <w:rFonts w:ascii="Times New Roman" w:cs="Times New Roman" w:eastAsia="Times New Roman" w:hAnsi="Times New Roman"/>
          <w:sz w:val="20"/>
          <w:szCs w:val="20"/>
          <w:color w:val="FF0000"/>
          <w:strike w:val="1"/>
        </w:rPr>
        <w:t xml:space="preserve"> or maintain LIBO Rate Loans </w:t>
      </w:r>
      <w:r>
        <w:rPr>
          <w:rFonts w:ascii="Times New Roman" w:cs="Times New Roman" w:eastAsia="Times New Roman" w:hAnsi="Times New Roman"/>
          <w:sz w:val="20"/>
          <w:szCs w:val="20"/>
          <w:color w:val="008000"/>
          <w:strike w:val="1"/>
        </w:rPr>
        <w:t>shall be suspended (to the extent of the affected</w:t>
      </w:r>
      <w:r>
        <w:rPr>
          <w:rFonts w:ascii="Times New Roman" w:cs="Times New Roman" w:eastAsia="Times New Roman" w:hAnsi="Times New Roman"/>
          <w:sz w:val="20"/>
          <w:szCs w:val="20"/>
          <w:color w:val="FF0000"/>
          <w:strike w:val="1"/>
        </w:rPr>
        <w:t xml:space="preserve"> LIBO Rate Loans, Interest Periods, interest payment dates or payment periods) and (y) the LIBO Rate component shall no longer be utilized in determining the Base Rate, until the Successor Rate has been determined in accordance with </w:t>
      </w:r>
      <w:r>
        <w:rPr>
          <w:rFonts w:ascii="Times New Roman" w:cs="Times New Roman" w:eastAsia="Times New Roman" w:hAnsi="Times New Roman"/>
          <w:sz w:val="20"/>
          <w:szCs w:val="20"/>
          <w:u w:val="single" w:color="auto"/>
          <w:color w:val="FF0000"/>
          <w:strike w:val="1"/>
        </w:rPr>
        <w:t>clause (a)</w:t>
      </w:r>
      <w:r>
        <w:rPr>
          <w:rFonts w:ascii="Times New Roman" w:cs="Times New Roman" w:eastAsia="Times New Roman" w:hAnsi="Times New Roman"/>
          <w:sz w:val="20"/>
          <w:szCs w:val="20"/>
          <w:color w:val="008000"/>
          <w:strike w:val="1"/>
        </w:rPr>
        <w:t>. Upon receipt of such notice,</w:t>
      </w:r>
      <w:r>
        <w:rPr>
          <w:rFonts w:ascii="Times New Roman" w:cs="Times New Roman" w:eastAsia="Times New Roman" w:hAnsi="Times New Roman"/>
          <w:sz w:val="20"/>
          <w:szCs w:val="20"/>
          <w:color w:val="FF0000"/>
          <w:strike w:val="1"/>
        </w:rPr>
        <w:t xml:space="preserve"> the Borrower </w:t>
      </w:r>
      <w:r>
        <w:rPr>
          <w:rFonts w:ascii="Times New Roman" w:cs="Times New Roman" w:eastAsia="Times New Roman" w:hAnsi="Times New Roman"/>
          <w:sz w:val="20"/>
          <w:szCs w:val="20"/>
          <w:color w:val="008000"/>
          <w:strike w:val="1"/>
        </w:rPr>
        <w:t>may revoke any pending request for a Borrowing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of</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8000"/>
          <w:strike w:val="1"/>
        </w:rPr>
        <w:t xml:space="preserve"> conversion to or continuation of </w:t>
      </w:r>
      <w:r>
        <w:rPr>
          <w:rFonts w:ascii="Times New Roman" w:cs="Times New Roman" w:eastAsia="Times New Roman" w:hAnsi="Times New Roman"/>
          <w:sz w:val="20"/>
          <w:szCs w:val="20"/>
          <w:color w:val="FF0000"/>
          <w:strike w:val="1"/>
        </w:rPr>
        <w:t>LIBO Rate Loans (</w:t>
      </w:r>
      <w:r>
        <w:rPr>
          <w:rFonts w:ascii="Times New Roman" w:cs="Times New Roman" w:eastAsia="Times New Roman" w:hAnsi="Times New Roman"/>
          <w:sz w:val="20"/>
          <w:szCs w:val="20"/>
          <w:color w:val="008000"/>
          <w:strike w:val="1"/>
        </w:rPr>
        <w:t xml:space="preserve">to the extent of the affected </w:t>
      </w:r>
      <w:r>
        <w:rPr>
          <w:rFonts w:ascii="Times New Roman" w:cs="Times New Roman" w:eastAsia="Times New Roman" w:hAnsi="Times New Roman"/>
          <w:sz w:val="20"/>
          <w:szCs w:val="20"/>
          <w:color w:val="FF0000"/>
          <w:strike w:val="1"/>
        </w:rPr>
        <w:t>LIBO Rate Loans, Interest Periods, interest payment dates</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or payment periods) or, failing that, (i) any requested Loans </w:t>
      </w:r>
      <w:r>
        <w:rPr>
          <w:rFonts w:ascii="Times New Roman" w:cs="Times New Roman" w:eastAsia="Times New Roman" w:hAnsi="Times New Roman"/>
          <w:sz w:val="20"/>
          <w:szCs w:val="20"/>
          <w:color w:val="008000"/>
          <w:strike w:val="1"/>
        </w:rPr>
        <w:t>will be deemed to have converted such request into a request for a Borrowing of</w:t>
      </w:r>
      <w:r>
        <w:rPr>
          <w:rFonts w:ascii="Times New Roman" w:cs="Times New Roman" w:eastAsia="Times New Roman" w:hAnsi="Times New Roman"/>
          <w:sz w:val="20"/>
          <w:szCs w:val="20"/>
          <w:color w:val="FF0000"/>
          <w:strike w:val="1"/>
        </w:rPr>
        <w:t xml:space="preserve"> ABR Loans (subject to the foregoing </w:t>
      </w:r>
      <w:r>
        <w:rPr>
          <w:rFonts w:ascii="Times New Roman" w:cs="Times New Roman" w:eastAsia="Times New Roman" w:hAnsi="Times New Roman"/>
          <w:sz w:val="20"/>
          <w:szCs w:val="20"/>
          <w:u w:val="single" w:color="auto"/>
          <w:color w:val="FF0000"/>
          <w:strike w:val="1"/>
        </w:rPr>
        <w:t>clause (y)</w:t>
      </w:r>
      <w:r>
        <w:rPr>
          <w:rFonts w:ascii="Times New Roman" w:cs="Times New Roman" w:eastAsia="Times New Roman" w:hAnsi="Times New Roman"/>
          <w:sz w:val="20"/>
          <w:szCs w:val="20"/>
          <w:color w:val="FF0000"/>
          <w:strike w:val="1"/>
        </w:rPr>
        <w:t xml:space="preserve"> in the amount specified therein) and (ii) any outstanding affected LIBO Rate </w:t>
      </w:r>
      <w:r>
        <w:rPr>
          <w:rFonts w:ascii="Times New Roman" w:cs="Times New Roman" w:eastAsia="Times New Roman" w:hAnsi="Times New Roman"/>
          <w:sz w:val="20"/>
          <w:szCs w:val="20"/>
          <w:color w:val="008000"/>
          <w:strike w:val="1"/>
        </w:rPr>
        <w:t>Loans will be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deemed to have been converted </w:t>
      </w:r>
      <w:r>
        <w:rPr>
          <w:rFonts w:ascii="Times New Roman" w:cs="Times New Roman" w:eastAsia="Times New Roman" w:hAnsi="Times New Roman"/>
          <w:sz w:val="20"/>
          <w:szCs w:val="20"/>
          <w:color w:val="FF0000"/>
          <w:strike w:val="1"/>
        </w:rPr>
        <w:t>into ABR</w:t>
      </w:r>
      <w:r>
        <w:rPr>
          <w:rFonts w:ascii="Times New Roman" w:cs="Times New Roman" w:eastAsia="Times New Roman" w:hAnsi="Times New Roman"/>
          <w:sz w:val="20"/>
          <w:szCs w:val="20"/>
          <w:color w:val="008000"/>
          <w:strike w:val="1"/>
        </w:rPr>
        <w:t xml:space="preserve"> Loans at the end of the applicable Interest Period.</w:t>
      </w:r>
    </w:p>
    <w:p>
      <w:pPr>
        <w:spacing w:after="0" w:line="1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[Reserved].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auto"/>
        </w:rPr>
        <w:t>Certain Determinations.</w:t>
      </w:r>
    </w:p>
    <w:p>
      <w:pPr>
        <w:spacing w:after="0" w:line="189" w:lineRule="exact"/>
        <w:rPr>
          <w:sz w:val="20"/>
          <w:szCs w:val="20"/>
          <w:color w:val="auto"/>
        </w:rPr>
      </w:pPr>
    </w:p>
    <w:p>
      <w:pPr>
        <w:jc w:val="both"/>
        <w:ind w:firstLine="656"/>
        <w:spacing w:after="0" w:line="216"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in connection with any incurrence of Indebtedness under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“Required Lenders” and “Required Revolving Lenders” shall be calculated on a Pro Forma Basis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the definition of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obtained on such basis (i) will become operative substantially contemporaneously with the incurrence of such Indebtedness and (ii) shall not affect the rights or duties under this Agreement of any Lender holding any Loan and/or Commitment under any then-outstanding Class in a manner that does not affect the rights or duties of the Lenders in respect of the Indebtedness incurred in reliance on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 connection with the relevant amendment.</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determination under the terms of this Agreement that is vested in the Borrower, the Borrower shall have a right, in its sole discretion (but not any obligation), to deliver notice of such determination to the Administrative Agent, together with a reasonably detailed description thereof, which notice shall be conclusive evidence that such determination satisfied the applicable standard under this Agreement or the relevant other Loan Document unless, within five Business Days following receipt of notice of such determination (and the related description) from the Borrower, the Required Lenders deliver a written objection to such determination to the Borrower, which written objection states, with specificity, the basis upon which the Required Lenders object to such determination.</w:t>
      </w:r>
    </w:p>
    <w:p>
      <w:pPr>
        <w:spacing w:after="0" w:line="150"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or in any other Loan Document, if, after delivery of any Compliance Certificate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it is subsequently determined that the Total Rent Adjusted Net Leverage Ratio set forth in such Compliance Certificate is inaccurate for any reason and the result of such inaccuracy is that the Lenders received any amount of interest or any fee for any relevant period based on an Applicable Rate or Commitment Fee Rate that is greater than or less than the amount that would have applied if the Total Rent Adjusted Net Leverage Ratio set forth in such Compliance Certificate had been accurately reported, then, for all purposes under this Agreement, the Applicable Rate and the Commitment Fee Rate for each day during the relevant period shall be revised to be based upon the accurately determined Total Rent Adjusted Net Leverage Ratio and, in such event, any shortfall in the amount of any applicable interest payment shall be due and payable within five Business Days following the date on which the Borrower becomes aware of the relevant inaccuracy. In the event that (A) any inaccuracy in the calculation of the Total Rent Adjusted Net Leverage Ratio resulted in a shortfall in the amount of any required interest or principal payment and (B) such inaccuracy resulted from a good faith mistake on the part of the Borrower in the preparation of such calculation, no Default or Event of Default shall arise under this Agreement with respect thereto unless the relevant amount has not been paid within the period described in the preceding sentence.</w:t>
      </w:r>
    </w:p>
    <w:p>
      <w:pPr>
        <w:spacing w:after="0" w:line="154"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determination of the permissibility of any transaction by Holdings, the Borrower and/or any subsidiary under this Agreement, (i) the delivery by the Borrower of a third party valuation report from (A) a nationally recognized accounting, appraisal, investment banking or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color w:val="auto"/>
        </w:rPr>
        <w:t>firm or (B) another firm reasonably acceptable to the Administrative Agent, in each case, shall be conclusive with respect to the value of the</w:t>
      </w:r>
    </w:p>
    <w:p>
      <w:pPr>
        <w:spacing w:after="0" w:line="221" w:lineRule="auto"/>
        <w:rPr>
          <w:sz w:val="20"/>
          <w:szCs w:val="20"/>
          <w:color w:val="auto"/>
        </w:rPr>
      </w:pPr>
      <w:r>
        <w:rPr>
          <w:rFonts w:ascii="Times New Roman" w:cs="Times New Roman" w:eastAsia="Times New Roman" w:hAnsi="Times New Roman"/>
          <w:sz w:val="20"/>
          <w:szCs w:val="20"/>
          <w:color w:val="auto"/>
        </w:rPr>
        <w:t>assets covered thereby and (ii) any determination of whether an action is taken “in the ordinary course of business” or “in a manner consistent with past practice” (or, in either case, any similar expression) shall be made by the Borrower in good faith.</w:t>
      </w:r>
    </w:p>
    <w:p>
      <w:pPr>
        <w:spacing w:after="0" w:line="162" w:lineRule="exact"/>
        <w:rPr>
          <w:sz w:val="20"/>
          <w:szCs w:val="20"/>
          <w:color w:val="auto"/>
        </w:rPr>
      </w:pPr>
    </w:p>
    <w:p>
      <w:pPr>
        <w:jc w:val="both"/>
        <w:ind w:firstLine="656"/>
        <w:spacing w:after="0" w:line="226" w:lineRule="auto"/>
        <w:tabs>
          <w:tab w:leader="none" w:pos="129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for the avoidance of doubt that the carve-outs from the provisions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may include items or activities that are not restricted by the relevant provision and the inclusion of such items or activities shall not be construed to expand the scope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as applicable.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15.</w:t>
        <w:tab/>
        <w:t>Conflicts. In the event of any conflict or inconsistency between any term or provision of this Agreement (excluding</w:t>
      </w:r>
    </w:p>
    <w:p>
      <w:pPr>
        <w:spacing w:after="0" w:line="204" w:lineRule="auto"/>
        <w:rPr>
          <w:sz w:val="20"/>
          <w:szCs w:val="20"/>
          <w:color w:val="auto"/>
        </w:rPr>
      </w:pPr>
      <w:r>
        <w:rPr>
          <w:rFonts w:ascii="Times New Roman" w:cs="Times New Roman" w:eastAsia="Times New Roman" w:hAnsi="Times New Roman"/>
          <w:sz w:val="20"/>
          <w:szCs w:val="20"/>
          <w:color w:val="auto"/>
        </w:rPr>
        <w:t>the Exhibits hereto) and any term or provision of any Exhibit to this Agreement, the term or provision of this Agreement shall govern, and the Borrower shall be entitled to make such revisions to the relevant term or provision of the applicable Exhibit to ensure that such term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is consistent with the corresponding term or provision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16. Confidentiality; Privilege, Etc. Notwithstanding any obligation to provide information under any Loan Document or allow the Administrative Agent, the Lenders or any third party to access or inspect the books and records of Holdings or its subsidiaries or</w:t>
      </w:r>
    </w:p>
    <w:p>
      <w:pPr>
        <w:spacing w:after="0" w:line="224" w:lineRule="auto"/>
        <w:rPr>
          <w:sz w:val="20"/>
          <w:szCs w:val="20"/>
          <w:color w:val="auto"/>
        </w:rPr>
      </w:pPr>
      <w:r>
        <w:rPr>
          <w:rFonts w:ascii="Times New Roman" w:cs="Times New Roman" w:eastAsia="Times New Roman" w:hAnsi="Times New Roman"/>
          <w:sz w:val="19"/>
          <w:szCs w:val="19"/>
          <w:color w:val="auto"/>
        </w:rPr>
        <w:t>otherwise as set forth in this Agreement or any other Loan Document, none of Holdings or any of its subsidiaries will be required to disclose</w:t>
      </w:r>
    </w:p>
    <w:p>
      <w:pPr>
        <w:spacing w:after="0" w:line="215" w:lineRule="auto"/>
        <w:rPr>
          <w:sz w:val="20"/>
          <w:szCs w:val="20"/>
          <w:color w:val="auto"/>
        </w:rPr>
      </w:pPr>
      <w:r>
        <w:rPr>
          <w:rFonts w:ascii="Times New Roman" w:cs="Times New Roman" w:eastAsia="Times New Roman" w:hAnsi="Times New Roman"/>
          <w:sz w:val="19"/>
          <w:szCs w:val="19"/>
          <w:color w:val="auto"/>
        </w:rPr>
        <w:t>or permit the inspection or discussion of, any document, information or other matter (a) that constitutes a non-financial trade secret or non-financial proprietary information of any Person, (b) in respect of which disclosure to the Administrative Agent or any Lender (or any of their</w:t>
      </w:r>
    </w:p>
    <w:p>
      <w:pPr>
        <w:spacing w:after="0" w:line="211" w:lineRule="auto"/>
        <w:rPr>
          <w:sz w:val="20"/>
          <w:szCs w:val="20"/>
          <w:color w:val="auto"/>
        </w:rPr>
      </w:pPr>
      <w:r>
        <w:rPr>
          <w:rFonts w:ascii="Times New Roman" w:cs="Times New Roman" w:eastAsia="Times New Roman" w:hAnsi="Times New Roman"/>
          <w:sz w:val="20"/>
          <w:szCs w:val="20"/>
          <w:color w:val="auto"/>
        </w:rPr>
        <w:t>respective Representatives) is prohibited by applicable Requirements of Law, (c) that is subject to attorney-client or similar privilege or</w:t>
      </w:r>
    </w:p>
    <w:p>
      <w:pPr>
        <w:spacing w:after="0" w:line="204" w:lineRule="auto"/>
        <w:rPr>
          <w:sz w:val="20"/>
          <w:szCs w:val="20"/>
          <w:color w:val="auto"/>
        </w:rPr>
      </w:pPr>
      <w:r>
        <w:rPr>
          <w:rFonts w:ascii="Times New Roman" w:cs="Times New Roman" w:eastAsia="Times New Roman" w:hAnsi="Times New Roman"/>
          <w:sz w:val="20"/>
          <w:szCs w:val="20"/>
          <w:color w:val="auto"/>
        </w:rPr>
        <w:t>constitutes attorney work product and/or (d) in respect of which Holdings and/or any of its subsidiaries owes confidentiality obligations to any Person (provided that such confidentiality obligations were not entered into in contemplation of the requirements of the Loan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Documents); provided that, in the event that such information has not been provided in reliance on clauses (c) and/or (d) above, notice that information is being withheld on such basis must be provided to the Administrative Agent.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2</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THE CREDITS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Commitments.</w:t>
      </w:r>
    </w:p>
    <w:p>
      <w:pPr>
        <w:spacing w:after="0" w:line="189" w:lineRule="exact"/>
        <w:rPr>
          <w:sz w:val="20"/>
          <w:szCs w:val="20"/>
          <w:color w:val="auto"/>
        </w:rPr>
      </w:pPr>
    </w:p>
    <w:p>
      <w:pPr>
        <w:jc w:val="both"/>
        <w:ind w:firstLine="656"/>
        <w:spacing w:after="0" w:line="212" w:lineRule="auto"/>
        <w:tabs>
          <w:tab w:leader="none" w:pos="12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(i) each Initial Term Lender severally, and not jointly, agrees to make term loans (the “</w:t>
      </w:r>
      <w:r>
        <w:rPr>
          <w:rFonts w:ascii="Times New Roman" w:cs="Times New Roman" w:eastAsia="Times New Roman" w:hAnsi="Times New Roman"/>
          <w:sz w:val="20"/>
          <w:szCs w:val="20"/>
          <w:u w:val="single" w:color="auto"/>
          <w:color w:val="auto"/>
        </w:rPr>
        <w:t>Initial Term Loans</w:t>
      </w:r>
      <w:r>
        <w:rPr>
          <w:rFonts w:ascii="Times New Roman" w:cs="Times New Roman" w:eastAsia="Times New Roman" w:hAnsi="Times New Roman"/>
          <w:sz w:val="20"/>
          <w:szCs w:val="20"/>
          <w:color w:val="auto"/>
        </w:rPr>
        <w:t>”) to the Borrower on the Closing Date in Dollars in a principal amount not to exceed its Initial Term Loan Commitment and (ii) each Initial Revolving Lender severally, and not jointly, agrees to make revolving loans (the “</w:t>
      </w:r>
      <w:r>
        <w:rPr>
          <w:rFonts w:ascii="Times New Roman" w:cs="Times New Roman" w:eastAsia="Times New Roman" w:hAnsi="Times New Roman"/>
          <w:sz w:val="20"/>
          <w:szCs w:val="20"/>
          <w:u w:val="single" w:color="auto"/>
          <w:color w:val="auto"/>
        </w:rPr>
        <w:t>Initial Revolving Loans</w:t>
      </w:r>
      <w:r>
        <w:rPr>
          <w:rFonts w:ascii="Times New Roman" w:cs="Times New Roman" w:eastAsia="Times New Roman" w:hAnsi="Times New Roman"/>
          <w:sz w:val="20"/>
          <w:szCs w:val="20"/>
          <w:color w:val="auto"/>
        </w:rPr>
        <w:t xml:space="preserve">”) to the Borrower in Dollars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Revolving Loans may consist of ABR Loans,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or a combination thereof, and may be borrowed, paid, repaid and reborrowed. Amounts paid or prepaid in respect of the Initial Term Loans may not be reborrowed.</w:t>
      </w:r>
    </w:p>
    <w:p>
      <w:pPr>
        <w:spacing w:after="0" w:line="15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93" w:name="page194"/>
    <w:bookmarkEnd w:id="193"/>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Loans and Borrowings.</w:t>
      </w:r>
    </w:p>
    <w:p>
      <w:pPr>
        <w:spacing w:after="0" w:line="189" w:lineRule="exact"/>
        <w:rPr>
          <w:sz w:val="20"/>
          <w:szCs w:val="20"/>
          <w:color w:val="auto"/>
        </w:rPr>
      </w:pPr>
    </w:p>
    <w:p>
      <w:pPr>
        <w:jc w:val="both"/>
        <w:ind w:firstLine="656"/>
        <w:spacing w:after="0" w:line="226"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Borrowing shall be comprised entirely of ABR Loans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as the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Swingline Loan shall be an ABR Loan. Each Lender at its option may make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exercise of such option shall not affect the obligation of the Borrower to repay such Loan in accordance with the terms of this Agreement, (ii)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shall be deemed to have been made and held by such Lender, and the obligation of the Borrower to repay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domestic or foreign branch or Affiliate of such Lender shall be entitled to any greater indemnification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respect of any US federal withholding tax with respect to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66"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shall comprise an aggregate principal amount that is an integral multiple of $100,000 and not less than $1,000,000. Each ABR Borrowing when made shall be in a minimum principal amount of $500,000 and in an integral multiple of $100,000;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Loan Borrowing may be made in a lesser aggregate amount that is (x) equal to the entire aggregate unused Revolving Credit Commitment or (y) required to finance the reimbursement of an LC Disbursement as contemplated by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10 different Interest Periods in effect for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Borrowings at any time outstanding (or such greater number of different Interest Periods as the Administrative Agent may agree from time to time).</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3.</w:t>
        <w:tab/>
        <w:t>Requests for Borrowings. Each Term Loan Borrowing, each Revolving Loan Borrowing, each conversion of Term</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Loans or Revolving Loans from one Type to the other, and each continuation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made upon irrevocable notice by the Borrower to the Administrative Agent, which may be given by a Borrowing Request or an Interest Election</w:t>
      </w:r>
    </w:p>
    <w:p>
      <w:pPr>
        <w:spacing w:after="0" w:line="211" w:lineRule="auto"/>
        <w:rPr>
          <w:sz w:val="20"/>
          <w:szCs w:val="20"/>
          <w:color w:val="auto"/>
        </w:rPr>
      </w:pPr>
      <w:r>
        <w:rPr>
          <w:rFonts w:ascii="Times New Roman" w:cs="Times New Roman" w:eastAsia="Times New Roman" w:hAnsi="Times New Roman"/>
          <w:sz w:val="20"/>
          <w:szCs w:val="20"/>
          <w:color w:val="auto"/>
        </w:rPr>
        <w:t>Request, as applicable (provided that any notice in respect of any Term Loan Borrowing and/or any Revolving Loan Borrowing (x) to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made on the Closing Date may be conditioned on the occurrence of the Closing Date, (y) to be made in connection with any acquisition, investment or repayment or redemption of Indebtedness may be conditioned on the closing of such Permitted Acquisition, permitted</w:t>
      </w:r>
    </w:p>
    <w:p>
      <w:pPr>
        <w:spacing w:after="0" w:line="211" w:lineRule="auto"/>
        <w:rPr>
          <w:sz w:val="20"/>
          <w:szCs w:val="20"/>
          <w:color w:val="auto"/>
        </w:rPr>
      </w:pPr>
      <w:r>
        <w:rPr>
          <w:rFonts w:ascii="Times New Roman" w:cs="Times New Roman" w:eastAsia="Times New Roman" w:hAnsi="Times New Roman"/>
          <w:sz w:val="20"/>
          <w:szCs w:val="20"/>
          <w:color w:val="auto"/>
        </w:rPr>
        <w:t>Investment or permitted repayment or redemption of Indebtedness or (z) for any other purpose to which the Administrative Agent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consent (such consent not to be unreasonably withheld or delayed), may be conditioned on the occurrence of the relevant event). Each such notice must be in the form of a Borrowing Request or an Interest Election Request, as applicable, appropriately completed and signed by a</w:t>
      </w:r>
    </w:p>
    <w:p>
      <w:pPr>
        <w:spacing w:after="0" w:line="211" w:lineRule="auto"/>
        <w:rPr>
          <w:sz w:val="20"/>
          <w:szCs w:val="20"/>
          <w:color w:val="auto"/>
        </w:rPr>
      </w:pPr>
      <w:r>
        <w:rPr>
          <w:rFonts w:ascii="Times New Roman" w:cs="Times New Roman" w:eastAsia="Times New Roman" w:hAnsi="Times New Roman"/>
          <w:sz w:val="20"/>
          <w:szCs w:val="20"/>
          <w:color w:val="auto"/>
        </w:rPr>
        <w:t>Responsible Officer of the Borrower and must be received by the Administrative Agent (by hand delivery or other electronic transmission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(including “.pdf” or “.tif”)) not later than (i) 12:00 p.m. </w:t>
      </w:r>
      <w:r>
        <w:rPr>
          <w:rFonts w:ascii="Times New Roman" w:cs="Times New Roman" w:eastAsia="Times New Roman" w:hAnsi="Times New Roman"/>
          <w:sz w:val="20"/>
          <w:szCs w:val="20"/>
          <w:color w:val="FF0000"/>
          <w:strike w:val="1"/>
        </w:rPr>
        <w:t>three</w:t>
      </w:r>
      <w:r>
        <w:rPr>
          <w:rFonts w:ascii="Times New Roman" w:cs="Times New Roman" w:eastAsia="Times New Roman" w:hAnsi="Times New Roman"/>
          <w:sz w:val="20"/>
          <w:szCs w:val="20"/>
          <w:u w:val="single" w:color="auto"/>
          <w:color w:val="0000FF"/>
        </w:rPr>
        <w:t>two</w:t>
      </w:r>
      <w:r>
        <w:rPr>
          <w:rFonts w:ascii="Times New Roman" w:cs="Times New Roman" w:eastAsia="Times New Roman" w:hAnsi="Times New Roman"/>
          <w:sz w:val="20"/>
          <w:szCs w:val="20"/>
          <w:color w:val="auto"/>
        </w:rPr>
        <w:t xml:space="preserve"> Business Days prior to the requested day of any Borrowing of, conversion to or continuation of </w:t>
      </w:r>
      <w:r>
        <w:rPr>
          <w:rFonts w:ascii="Times New Roman" w:cs="Times New Roman" w:eastAsia="Times New Roman" w:hAnsi="Times New Roman"/>
          <w:sz w:val="20"/>
          <w:szCs w:val="20"/>
          <w:color w:val="FF0000"/>
          <w:strike w:val="1"/>
        </w:rPr>
        <w:t>LIBO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color w:val="FF0000"/>
          <w:strike w:val="1"/>
        </w:rPr>
        <w:t>Rate Loans (or one Business Day in the case of any Borrowing of LIBO Rate Loans to be made on the Closing Date)</w:t>
      </w:r>
      <w:r>
        <w:rPr>
          <w:rFonts w:ascii="Times New Roman" w:cs="Times New Roman" w:eastAsia="Times New Roman" w:hAnsi="Times New Roman"/>
          <w:sz w:val="20"/>
          <w:szCs w:val="20"/>
          <w:u w:val="single" w:color="auto"/>
          <w:color w:val="0000FF"/>
        </w:rPr>
        <w:t>Term SOFR Loans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w:t>
      </w:r>
    </w:p>
    <w:p>
      <w:pPr>
        <w:jc w:val="both"/>
        <w:ind w:firstLine="8"/>
        <w:spacing w:after="0" w:line="209" w:lineRule="auto"/>
        <w:tabs>
          <w:tab w:leader="none" w:pos="3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 a.m. on the requested date of any Borrowing of or conversion to ABR Loans (other than Swingline Loans) (or, in each case, such later time as is reasonably acceptable to the Administrative Agent); provided, however, that if the Borrower wishes to request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having an Interest Period other than one, three or six months in duration</w:t>
      </w:r>
      <w:r>
        <w:rPr>
          <w:rFonts w:ascii="Times New Roman" w:cs="Times New Roman" w:eastAsia="Times New Roman" w:hAnsi="Times New Roman"/>
          <w:sz w:val="20"/>
          <w:szCs w:val="20"/>
          <w:color w:val="FF0000"/>
        </w:rPr>
        <w:t xml:space="preserve"> or such shorter period as provided in </w:t>
      </w:r>
      <w:r>
        <w:rPr>
          <w:rFonts w:ascii="Times New Roman" w:cs="Times New Roman" w:eastAsia="Times New Roman" w:hAnsi="Times New Roman"/>
          <w:sz w:val="20"/>
          <w:szCs w:val="20"/>
          <w:color w:val="008000"/>
          <w:strike w:val="1"/>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8000"/>
          <w:strike w:val="1"/>
        </w:rPr>
        <w:t>definition of “Interest Period”</w:t>
      </w:r>
      <w:r>
        <w:rPr>
          <w:rFonts w:ascii="Times New Roman" w:cs="Times New Roman" w:eastAsia="Times New Roman" w:hAnsi="Times New Roman"/>
          <w:sz w:val="20"/>
          <w:szCs w:val="20"/>
          <w:color w:val="000000"/>
        </w:rPr>
        <w:t>, (A) the applicable notice from the Borrower must be received by the Administrative Agent not later than</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 xml:space="preserve">12:00 p.m. </w:t>
      </w:r>
      <w:r>
        <w:rPr>
          <w:rFonts w:ascii="Times New Roman" w:cs="Times New Roman" w:eastAsia="Times New Roman" w:hAnsi="Times New Roman"/>
          <w:sz w:val="20"/>
          <w:szCs w:val="20"/>
          <w:color w:val="FF0000"/>
          <w:strike w:val="1"/>
        </w:rPr>
        <w:t>four</w:t>
      </w:r>
      <w:r>
        <w:rPr>
          <w:rFonts w:ascii="Times New Roman" w:cs="Times New Roman" w:eastAsia="Times New Roman" w:hAnsi="Times New Roman"/>
          <w:sz w:val="20"/>
          <w:szCs w:val="20"/>
          <w:u w:val="single" w:color="auto"/>
          <w:color w:val="0000FF"/>
        </w:rPr>
        <w:t>three</w:t>
      </w:r>
      <w:r>
        <w:rPr>
          <w:rFonts w:ascii="Times New Roman" w:cs="Times New Roman" w:eastAsia="Times New Roman" w:hAnsi="Times New Roman"/>
          <w:sz w:val="20"/>
          <w:szCs w:val="20"/>
          <w:color w:val="000000"/>
        </w:rPr>
        <w:t xml:space="preserve"> Business Days prior to the requested date of the relevant Borrowing, conversion or continuation (or such later time as is reasonably acceptable to the Administrative Agent), whereupon the Administrative Agent shall give prompt notice to the appropriate Lenders of such request, (B) the relevant requested Interest Period shall be deemed to be available to each appropriate Lender unless such Lender has delivered written notice to the Administrative Agent indicating that such Interest Period is not available to such Lender within one Business Day following the date on which the notice described in clause (A) above is posted by the Administrative Agent and (C) not later than 12:00 p.m. </w:t>
      </w:r>
      <w:r>
        <w:rPr>
          <w:rFonts w:ascii="Times New Roman" w:cs="Times New Roman" w:eastAsia="Times New Roman" w:hAnsi="Times New Roman"/>
          <w:sz w:val="20"/>
          <w:szCs w:val="20"/>
          <w:color w:val="FF0000"/>
          <w:strike w:val="1"/>
        </w:rPr>
        <w:t>three</w:t>
      </w:r>
      <w:r>
        <w:rPr>
          <w:rFonts w:ascii="Times New Roman" w:cs="Times New Roman" w:eastAsia="Times New Roman" w:hAnsi="Times New Roman"/>
          <w:sz w:val="20"/>
          <w:szCs w:val="20"/>
          <w:u w:val="single" w:color="auto"/>
          <w:color w:val="0000FF"/>
        </w:rPr>
        <w:t>two</w:t>
      </w:r>
      <w:r>
        <w:rPr>
          <w:rFonts w:ascii="Times New Roman" w:cs="Times New Roman" w:eastAsia="Times New Roman" w:hAnsi="Times New Roman"/>
          <w:sz w:val="20"/>
          <w:szCs w:val="20"/>
          <w:color w:val="000000"/>
        </w:rPr>
        <w:t xml:space="preserve"> Business Days before the requested date of the relevant Borrowing, conversion or continuation, the Administrative Agent shall notify the Borrower whether or not the requested Interest Period is available to the appropriate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-1080770</wp:posOffset>
            </wp:positionV>
            <wp:extent cx="1990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1990725" cy="8255"/>
                    </a:xfrm>
                    <a:prstGeom prst="rect">
                      <a:avLst/>
                    </a:prstGeom>
                    <a:noFill/>
                  </pic:spPr>
                </pic:pic>
              </a:graphicData>
            </a:graphic>
          </wp:anchor>
        </w:drawing>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Period is specified with respect to any requested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then the Borrower shall be deemed to have selected an Interest Period of one month’s duration. The Administrative Agent shall advise each Lender of the details and amount of any Loan to be</w:t>
      </w:r>
    </w:p>
    <w:p>
      <w:pPr>
        <w:spacing w:after="0" w:line="223" w:lineRule="auto"/>
        <w:rPr>
          <w:sz w:val="20"/>
          <w:szCs w:val="20"/>
          <w:color w:val="auto"/>
        </w:rPr>
      </w:pPr>
      <w:r>
        <w:rPr>
          <w:rFonts w:ascii="Times New Roman" w:cs="Times New Roman" w:eastAsia="Times New Roman" w:hAnsi="Times New Roman"/>
          <w:sz w:val="19"/>
          <w:szCs w:val="19"/>
          <w:color w:val="auto"/>
        </w:rPr>
        <w:t>made as part of the relevant requested Borrowing (x) in the case of any ABR Borrowing, on the same Business Day of receipt of a Borrowing</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Request in accordance with this Section or (y) in the case of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no later than one Business Day following receipt of a Borrowing Request in accordance with this Section.</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Swingline Loans.</w:t>
      </w:r>
    </w:p>
    <w:p>
      <w:pPr>
        <w:spacing w:after="0" w:line="175" w:lineRule="exact"/>
        <w:rPr>
          <w:sz w:val="20"/>
          <w:szCs w:val="20"/>
          <w:color w:val="auto"/>
        </w:rPr>
      </w:pPr>
    </w:p>
    <w:p>
      <w:pPr>
        <w:jc w:val="both"/>
        <w:ind w:firstLine="656"/>
        <w:spacing w:after="0" w:line="211"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the Swingline Lender agrees to make swingline loans (“</w:t>
      </w:r>
      <w:r>
        <w:rPr>
          <w:rFonts w:ascii="Times New Roman" w:cs="Times New Roman" w:eastAsia="Times New Roman" w:hAnsi="Times New Roman"/>
          <w:sz w:val="20"/>
          <w:szCs w:val="20"/>
          <w:u w:val="single" w:color="auto"/>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to the Borrower from time to time on and after the Closing Date and until the Latest Revolving Credit Maturity Date, in an aggregate principal amount at any time outstanding not to exceed $15,000,000;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 shall be in a minimum principal amount of not less than $100,000 or such lesser amount as may be agreed by 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any Swingline Loan may be in an aggregate amount that is (1) equal to the entire unused balance of the aggregate unused Revolving Credit Commitments or (2) required to finance the reimbursement of an LC Disbursement as contemplated by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 by remittance to the applicable Issuing Bank).</w:t>
      </w:r>
    </w:p>
    <w:p>
      <w:pPr>
        <w:spacing w:after="0" w:line="15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by written notice given to the Administrative Agent not later than 12:00 p.m. on any Business Day require the Revolving Lenders to purchase a participation on the Business Day following receipt of such notice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Revolving Lender’s Applicable Revolving Credit Percentage of such Swingline Loan or Swingline Loans. Each Revolving Lender hereby absolutely and unconditionally agrees, upon receipt of notice as provided above, to pay to the Administrative Agent, for the account of the Swingline Lender, such Lender’s Applicable Revolving Credit Percentage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color w:val="auto"/>
        </w:rPr>
        <w:t>Swingline Loan or Swingline Loans. Each Revolving Lender acknowledges and agrees that its obligation to acquire participations in</w:t>
      </w:r>
    </w:p>
    <w:p>
      <w:pPr>
        <w:spacing w:after="0" w:line="204" w:lineRule="auto"/>
        <w:rPr>
          <w:sz w:val="20"/>
          <w:szCs w:val="20"/>
          <w:color w:val="auto"/>
        </w:rPr>
      </w:pPr>
      <w:r>
        <w:rPr>
          <w:rFonts w:ascii="Times New Roman" w:cs="Times New Roman" w:eastAsia="Times New Roman" w:hAnsi="Times New Roman"/>
          <w:sz w:val="20"/>
          <w:szCs w:val="20"/>
          <w:color w:val="auto"/>
        </w:rPr>
        <w:t>Swingline Loans pursuant to this paragraph is absolute and unconditional and shall not be affected by any circumstance whatsoever, including the occurrence and continuance of a Default or any reduction or termination of the Revolving Credit Commitments, and that each</w:t>
      </w:r>
    </w:p>
    <w:p>
      <w:pPr>
        <w:spacing w:after="0" w:line="211" w:lineRule="auto"/>
        <w:rPr>
          <w:sz w:val="20"/>
          <w:szCs w:val="20"/>
          <w:color w:val="auto"/>
        </w:rPr>
      </w:pPr>
      <w:r>
        <w:rPr>
          <w:rFonts w:ascii="Times New Roman" w:cs="Times New Roman" w:eastAsia="Times New Roman" w:hAnsi="Times New Roman"/>
          <w:sz w:val="20"/>
          <w:szCs w:val="20"/>
          <w:color w:val="auto"/>
        </w:rPr>
        <w:t>such payment shall be made without any offset, abatement, withholding or reduction whatsoever. Each Revolving Lender shall comply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its obligation under this paragraph by effecting a wire transfer of immediately available funds, in the same manner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w:t>
      </w:r>
      <w:r>
        <w:rPr>
          <w:rFonts w:ascii="Times New Roman" w:cs="Times New Roman" w:eastAsia="Times New Roman" w:hAnsi="Times New Roman"/>
          <w:sz w:val="20"/>
          <w:szCs w:val="20"/>
          <w:color w:val="auto"/>
        </w:rPr>
        <w:t xml:space="preserve"> with respect to Revolving Loans made by such Revolving Lender (and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obligations of the Revolving Lenders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and the Administrative Agent shall promptly remit to the Swingline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Lender the amounts so received by it from the Revolving Lenders. The Administrative Agent shall notify the Borrower of any participation in any Swingline Loan acquired pursuant to this </w:t>
      </w:r>
      <w:r>
        <w:rPr>
          <w:rFonts w:ascii="Times New Roman" w:cs="Times New Roman" w:eastAsia="Times New Roman" w:hAnsi="Times New Roman"/>
          <w:sz w:val="19"/>
          <w:szCs w:val="19"/>
          <w:u w:val="single" w:color="auto"/>
          <w:color w:val="auto"/>
        </w:rPr>
        <w:t>Section 2.04(b)</w:t>
      </w:r>
      <w:r>
        <w:rPr>
          <w:rFonts w:ascii="Times New Roman" w:cs="Times New Roman" w:eastAsia="Times New Roman" w:hAnsi="Times New Roman"/>
          <w:sz w:val="19"/>
          <w:szCs w:val="19"/>
          <w:color w:val="auto"/>
        </w:rPr>
        <w:t>, and thereafter any payment in respect of such Swingline Loan shall be made to</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and not to the Swingline Lender. Any amounts received by the Swingline Lender from the Borrower in respect of</w:t>
      </w:r>
    </w:p>
    <w:p>
      <w:pPr>
        <w:spacing w:after="0" w:line="215" w:lineRule="auto"/>
        <w:rPr>
          <w:sz w:val="20"/>
          <w:szCs w:val="20"/>
          <w:color w:val="auto"/>
        </w:rPr>
      </w:pPr>
      <w:r>
        <w:rPr>
          <w:rFonts w:ascii="Times New Roman" w:cs="Times New Roman" w:eastAsia="Times New Roman" w:hAnsi="Times New Roman"/>
          <w:sz w:val="19"/>
          <w:szCs w:val="19"/>
          <w:color w:val="auto"/>
        </w:rPr>
        <w:t>any Swingline Loan after receipt by the Swingline Lender of the proceeds of any sale of participations therein shall be promptly remitted by the Swingline Lender to the Administrative Agent, and any such amount received by the Administrative Agent shall be promptly remitted by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Administrative Agent to each Revolving Lender that has made its payment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and to the Swingline Lender,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and to the extent such payment is required to be funded to the Borrower for any reason, such payment shall be repaid to the Swingline Lender or the Administrative Agent, as the case may be, and thereafter to the Borrower.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purchase of participations in a Swingline Loan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shall not relieve the Borrower of any default in the payment thereof.</w:t>
      </w:r>
    </w:p>
    <w:p>
      <w:pPr>
        <w:spacing w:after="0" w:line="149" w:lineRule="exact"/>
        <w:rPr>
          <w:sz w:val="20"/>
          <w:szCs w:val="20"/>
          <w:color w:val="auto"/>
        </w:rPr>
      </w:pPr>
    </w:p>
    <w:p>
      <w:pPr>
        <w:jc w:val="both"/>
        <w:ind w:firstLine="656"/>
        <w:spacing w:after="0" w:line="215" w:lineRule="auto"/>
        <w:tabs>
          <w:tab w:leader="none" w:pos="12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 owing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be conclusive absent manifest error.</w:t>
      </w:r>
    </w:p>
    <w:p>
      <w:pPr>
        <w:spacing w:after="0" w:line="14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Letters of Credit.</w:t>
      </w:r>
    </w:p>
    <w:p>
      <w:pPr>
        <w:spacing w:after="0" w:line="189" w:lineRule="exact"/>
        <w:rPr>
          <w:sz w:val="20"/>
          <w:szCs w:val="20"/>
          <w:color w:val="auto"/>
        </w:rPr>
      </w:pPr>
    </w:p>
    <w:p>
      <w:pPr>
        <w:jc w:val="both"/>
        <w:ind w:firstLine="656"/>
        <w:spacing w:after="0" w:line="210"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(A) from time to time on any Business Day during the period from the Closing Date to the fifth Business Day prior to the Latest Revolving Credit Maturity Date, upon the request of the Borrower, to issue Letters of Credit, issued on sight basis only on behalf of the Borrower and/or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will be the applicant) and to amend or renew any Letter of Credit previously issued by it, in accordance with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(B) to honor any draft under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Issuing Bank shall be required to issue any Letter of Credit if (x) the Stated Amount of such Letter of Credit, taken together with the aggregate Stated Amount of all other then-outstanding Letters of Credit then issued by such Issuing Bank would exceed such Issuing Bank’s Letter of Credit Commitment or (y) the issuance of such Letter of Credit would violate any policies or procedures of such Issuing Bank applicable to letters of credit generally and consistently applied by such Issuing Bank to similarly situated borrowers, and (ii) each Revolving Lender severally agrees to participate in each Letter of Credit as provided in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It is understood and agreed that no Issuing Bank shall be required (but shall be permitted) to issue any Letter of Credit that (x) is not denominated in Dollars, (y) has a face amount that is less than $100,000 and (z) if (1) any order, judgment or decree of any Governmental Authority with jurisdiction over such Issuing Bank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(2)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96" w:name="page197"/>
    <w:bookmarkEnd w:id="196"/>
    <w:p>
      <w:pPr>
        <w:ind w:right="20"/>
        <w:spacing w:after="0"/>
        <w:rPr>
          <w:sz w:val="20"/>
          <w:szCs w:val="20"/>
          <w:color w:val="auto"/>
        </w:rPr>
      </w:pPr>
      <w:r>
        <w:rPr>
          <w:rFonts w:ascii="Times New Roman" w:cs="Times New Roman" w:eastAsia="Times New Roman" w:hAnsi="Times New Roman"/>
          <w:sz w:val="20"/>
          <w:szCs w:val="20"/>
          <w:color w:val="auto"/>
        </w:rPr>
        <w:t>such Letter of Credit would violate one or more policies to such Issuing Bank now or hereafter applicable to similarly situated borrowers under comparable credit facilities and letters of credit generally.</w:t>
      </w:r>
    </w:p>
    <w:p>
      <w:pPr>
        <w:spacing w:after="0" w:line="148" w:lineRule="exact"/>
        <w:rPr>
          <w:sz w:val="20"/>
          <w:szCs w:val="20"/>
          <w:color w:val="auto"/>
        </w:rPr>
      </w:pPr>
    </w:p>
    <w:p>
      <w:pPr>
        <w:jc w:val="both"/>
        <w:ind w:left="660" w:firstLine="644"/>
        <w:spacing w:after="0" w:line="208" w:lineRule="auto"/>
        <w:tabs>
          <w:tab w:leader="none" w:pos="195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xml:space="preserve">.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a Letter of Credit Request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 regulations, including the USA PATRIOT Act, and reasonably requested by the applicable Issuing Bank at least three Business Days prior to the requested date of issuance). To request an amendment, extension or renewal of an outstanding Letter of Credit, (other than any automatic extension of a Letter of Credit permitted under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 xml:space="preserve">) the Borrower shall submit a Letter of Credit Request to the applicable Issuing Bank or Issuing Banks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 or warranty, covenant or event of default not set forth in this Agreement (and to the extent any representation or warranty, covenant or event of default in any letter of credit application or any such other document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representation or warranty, covenant or event of default in any letter of credit application or any such other document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below, upon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that extends beyond the Maturity Date applicable to the Revolving Credit Commitments of any Class, the aggregate amount of the LC Exposure attributable to Letters of Credit expiring after such Maturity Date (1) does not exceed the aggregate amount of the Revolving Credit Commitments then in effect that are scheduled to remain in effect after such Maturity Date or (2) is subject to Letter of Credit Support.</w:t>
      </w:r>
    </w:p>
    <w:p>
      <w:pPr>
        <w:spacing w:after="0" w:line="17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No Letter of Credit shall expire later than the earlier of (A) the date that is one year after the date of the issuance of such Letter of Credit (or such later date to which the applicable Issuing Bank may agree) and (B) the date that is five Business Days prior to the Latest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97" w:name="page198"/>
    <w:bookmarkEnd w:id="197"/>
    <w:p>
      <w:pPr>
        <w:spacing w:after="0" w:line="227" w:lineRule="auto"/>
        <w:rPr>
          <w:sz w:val="20"/>
          <w:szCs w:val="20"/>
          <w:color w:val="auto"/>
        </w:rPr>
      </w:pPr>
      <w:r>
        <w:rPr>
          <w:rFonts w:ascii="Times New Roman" w:cs="Times New Roman" w:eastAsia="Times New Roman" w:hAnsi="Times New Roman"/>
          <w:sz w:val="19"/>
          <w:szCs w:val="19"/>
          <w:color w:val="auto"/>
        </w:rPr>
        <w:t xml:space="preserve">Revolving Credit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may provide for the automatic extension thereof for any number of additional periods of up to one year in duration (which additional periods shall not extend beyond the date referred to in the preceding </w:t>
      </w:r>
      <w:r>
        <w:rPr>
          <w:rFonts w:ascii="Times New Roman" w:cs="Times New Roman" w:eastAsia="Times New Roman" w:hAnsi="Times New Roman"/>
          <w:sz w:val="19"/>
          <w:szCs w:val="19"/>
          <w:u w:val="single" w:color="auto"/>
          <w:color w:val="auto"/>
        </w:rPr>
        <w:t>clause</w:t>
      </w:r>
    </w:p>
    <w:p>
      <w:pPr>
        <w:ind w:left="320" w:hanging="312"/>
        <w:spacing w:after="0"/>
        <w:tabs>
          <w:tab w:leader="none" w:pos="320" w:val="left"/>
        </w:tabs>
        <w:numPr>
          <w:ilvl w:val="0"/>
          <w:numId w:val="1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unless such Letter of Credit is subject to Letter of Credit Support).</w:t>
      </w:r>
    </w:p>
    <w:p>
      <w:pPr>
        <w:spacing w:after="0" w:line="166" w:lineRule="exact"/>
        <w:rPr>
          <w:rFonts w:ascii="Times New Roman" w:cs="Times New Roman" w:eastAsia="Times New Roman" w:hAnsi="Times New Roman"/>
          <w:sz w:val="20"/>
          <w:szCs w:val="20"/>
          <w:u w:val="single" w:color="auto"/>
          <w:color w:val="auto"/>
        </w:rPr>
      </w:pPr>
    </w:p>
    <w:p>
      <w:pPr>
        <w:jc w:val="both"/>
        <w:ind w:firstLine="656"/>
        <w:spacing w:after="0" w:line="211" w:lineRule="auto"/>
        <w:tabs>
          <w:tab w:leader="none" w:pos="128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6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09" w:lineRule="auto"/>
        <w:tabs>
          <w:tab w:leader="none" w:pos="1954" w:val="left"/>
        </w:tabs>
        <w:numPr>
          <w:ilvl w:val="2"/>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Issuing Bank makes any LC Disbursement in respect of a Letter of Credit, the Borrower shall reimburse such LC Disbursement by paying to the Administrative Agent an amount equal to such LC Disbursement not later than 1:00 p.m. two Business Days immediately following the date on which the Borrower receives notice of such LC Disbursement under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that such payment be financed with an ABR Revolving Loan Borrowing in an equivalent amount (any such Revolving Loan Borrowing, a “</w:t>
      </w:r>
      <w:r>
        <w:rPr>
          <w:rFonts w:ascii="Times New Roman" w:cs="Times New Roman" w:eastAsia="Times New Roman" w:hAnsi="Times New Roman"/>
          <w:sz w:val="20"/>
          <w:szCs w:val="20"/>
          <w:u w:val="single" w:color="auto"/>
          <w:color w:val="auto"/>
        </w:rPr>
        <w:t>Letter of Credit Reimbursement Loan</w:t>
      </w:r>
      <w:r>
        <w:rPr>
          <w:rFonts w:ascii="Times New Roman" w:cs="Times New Roman" w:eastAsia="Times New Roman" w:hAnsi="Times New Roman"/>
          <w:sz w:val="20"/>
          <w:szCs w:val="20"/>
          <w:color w:val="auto"/>
        </w:rPr>
        <w:t xml:space="preserve">”)), and, to the extent so financed, the obligation of the Borrower to make such payment shall be discharged and replaced by the resulting Borrowing (it being understood and agreed that the Borrower may also request a Swingline Loan to reimburse such LC Disbursement in accordance with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subject, in the case of any such Swingline Loan, to the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If the Borrower fails to make such payment when due, the Administrative Agent shall notify each Revolving Lender of the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with respect to Loans made by such Revolving Lender (and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5" w:val="left"/>
        </w:tabs>
        <w:numPr>
          <w:ilvl w:val="2"/>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20"/>
          <w:szCs w:val="20"/>
          <w:color w:val="auto"/>
        </w:rPr>
        <w:t>time to time in effect and a rate determined by the Administrative Agent in accordance with banking industry rules on interbank</w:t>
      </w: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compensation. A certificate of the applicable Issuing Bank submitted to any Revolving Lender (through the Administrative Agent) with respect to any amount owing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conclusive absent manifest error.</w:t>
      </w:r>
    </w:p>
    <w:p>
      <w:pPr>
        <w:spacing w:after="0" w:line="162" w:lineRule="exact"/>
        <w:rPr>
          <w:sz w:val="20"/>
          <w:szCs w:val="20"/>
          <w:color w:val="auto"/>
        </w:rPr>
      </w:pPr>
    </w:p>
    <w:p>
      <w:pPr>
        <w:jc w:val="both"/>
        <w:ind w:firstLine="656"/>
        <w:spacing w:after="0" w:line="209" w:lineRule="auto"/>
        <w:tabs>
          <w:tab w:leader="none" w:pos="128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obligation of the Borrower to reimburse LC Disbursements as provided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any document presented which appears on its face to be in substantial compliance with the terms of any Letter of Credit, the applicable Issuing Bank may, in its sole discretion, either accept and make payment upon such document without responsibility for further investigation, regardless of any notice or information to the contrary, or refuse to accept and make payment upon such document if such document is not in strict compliance with the terms of such Letter of Credit.</w:t>
      </w:r>
    </w:p>
    <w:p>
      <w:pPr>
        <w:spacing w:after="0" w:line="15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Letter of Credit. After such examination and provided that the documents received are compliant with the terms and conditions of the applicable Letter of Credit, such Issuing Bank shall promptly notify the Administrative Agent and the Borrower by electronic means upon any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failure to give or delay in giving such notice shall relieve the Borrower of its obligation to reimburse such Issuing Bank and the Revolving Lenders with respect to any such LC Disbursement.</w:t>
      </w:r>
    </w:p>
    <w:p>
      <w:pPr>
        <w:spacing w:after="0" w:line="15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If any Issuing Bank makes any LC Disbursement, then unless the Borrower reimburses such LC Disbursement in full on the date such LC Disbursement is made, the unpaid amount thereof shall bear interest, for each day from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the date such LC Disbursement is made to but excluding the date that the Borrower reimburses such LC Disbursement (or the date on which such LC Disbursement is reimbursed with the proceeds of Loans, as applicable), at the rate per annum then applicable to Initial</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Revolving Loans that are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then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this Section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49" w:lineRule="exact"/>
        <w:rPr>
          <w:sz w:val="20"/>
          <w:szCs w:val="20"/>
          <w:color w:val="auto"/>
        </w:rPr>
      </w:pPr>
    </w:p>
    <w:p>
      <w:pPr>
        <w:ind w:firstLine="656"/>
        <w:spacing w:after="0"/>
        <w:tabs>
          <w:tab w:leader="none" w:pos="12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Resignation of an Issuing Bank; Designation of New Issuing Banks</w:t>
      </w:r>
      <w:r>
        <w:rPr>
          <w:rFonts w:ascii="Times New Roman" w:cs="Times New Roman" w:eastAsia="Times New Roman" w:hAnsi="Times New Roman"/>
          <w:sz w:val="20"/>
          <w:szCs w:val="20"/>
          <w:color w:val="auto"/>
        </w:rPr>
        <w:t>. Any Issuing Bank may be replaced with the consent of the Administrative Agent (not to be unreasonably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color w:val="auto"/>
        </w:rPr>
        <w:t>withheld or delayed) and the Borrower at any time by written agreement among the Borrower, the Administrative Agent and the successor</w:t>
      </w:r>
    </w:p>
    <w:p>
      <w:pPr>
        <w:spacing w:after="0" w:line="204" w:lineRule="auto"/>
        <w:rPr>
          <w:sz w:val="20"/>
          <w:szCs w:val="20"/>
          <w:color w:val="auto"/>
        </w:rPr>
      </w:pPr>
      <w:r>
        <w:rPr>
          <w:rFonts w:ascii="Times New Roman" w:cs="Times New Roman" w:eastAsia="Times New Roman" w:hAnsi="Times New Roman"/>
          <w:sz w:val="20"/>
          <w:szCs w:val="20"/>
          <w:color w:val="auto"/>
        </w:rPr>
        <w:t>Issuing Bank. The Administrative Agent shall notify the Revolving Lenders of any such replacement of an Issuing Bank. At the time any such replacement becomes effective, unless otherwise agreed by the replaced Issuing Bank, the Borrower shall pay all unpaid fees accrued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prior to such date for the account of the replaced Issuing Bank pursuant to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 From and after the effective date of any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replacement, (i) the successor Issuing Bank shall have all the rights and obligations of the replaced Issuing Bank under this Agreement with respect to Letters of Credit to be issued thereafter and (ii) references herein to the term “Issuing Bank” shall be deemed to refer to such</w:t>
      </w:r>
    </w:p>
    <w:p>
      <w:pPr>
        <w:spacing w:after="0" w:line="211" w:lineRule="auto"/>
        <w:rPr>
          <w:sz w:val="20"/>
          <w:szCs w:val="20"/>
          <w:color w:val="auto"/>
        </w:rPr>
      </w:pPr>
      <w:r>
        <w:rPr>
          <w:rFonts w:ascii="Times New Roman" w:cs="Times New Roman" w:eastAsia="Times New Roman" w:hAnsi="Times New Roman"/>
          <w:sz w:val="20"/>
          <w:szCs w:val="20"/>
          <w:color w:val="auto"/>
        </w:rPr>
        <w:t>successor or to any previous Issuing Bank, or to such successor and all previous Issuing Banks, as the context shall require. After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w:t>
      </w:r>
    </w:p>
    <w:p>
      <w:pPr>
        <w:spacing w:after="0"/>
        <w:rPr>
          <w:sz w:val="20"/>
          <w:szCs w:val="20"/>
          <w:color w:val="auto"/>
        </w:rPr>
      </w:pPr>
      <w:r>
        <w:rPr>
          <w:rFonts w:ascii="Times New Roman" w:cs="Times New Roman" w:eastAsia="Times New Roman" w:hAnsi="Times New Roman"/>
          <w:sz w:val="20"/>
          <w:szCs w:val="20"/>
          <w:color w:val="auto"/>
        </w:rPr>
        <w:t>be required to issue additional Letters of Credit.</w:t>
      </w:r>
    </w:p>
    <w:p>
      <w:pPr>
        <w:spacing w:after="0" w:line="167" w:lineRule="exact"/>
        <w:rPr>
          <w:sz w:val="20"/>
          <w:szCs w:val="20"/>
          <w:color w:val="auto"/>
        </w:rPr>
      </w:pPr>
    </w:p>
    <w:p>
      <w:pPr>
        <w:jc w:val="both"/>
        <w:ind w:left="660" w:firstLine="644"/>
        <w:spacing w:after="0" w:line="210" w:lineRule="auto"/>
        <w:tabs>
          <w:tab w:leader="none" w:pos="195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 and such Revolving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it is understood and agreed that the Letter of Credit Commitments of the other Issuing Banks shall not be reduced or otherwise be affected by the appointment of any additional Revolving Lender as an Issuing Bank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contained herein, this Agreement may be amended to give effect to such appointment with the consent of the Borrower, the Administrative Agent (which consent shall not be unreasonably withheld or delayed) and such Issuing Bank being appointed in accordance with this </w:t>
      </w:r>
      <w:r>
        <w:rPr>
          <w:rFonts w:ascii="Times New Roman" w:cs="Times New Roman" w:eastAsia="Times New Roman" w:hAnsi="Times New Roman"/>
          <w:sz w:val="20"/>
          <w:szCs w:val="20"/>
          <w:u w:val="single" w:color="auto"/>
          <w:color w:val="auto"/>
        </w:rPr>
        <w:t>Section 2.05(h)</w:t>
      </w:r>
      <w:r>
        <w:rPr>
          <w:rFonts w:ascii="Times New Roman" w:cs="Times New Roman" w:eastAsia="Times New Roman" w:hAnsi="Times New Roman"/>
          <w:sz w:val="20"/>
          <w:szCs w:val="20"/>
          <w:color w:val="auto"/>
        </w:rPr>
        <w:t>, which amendment may determine the face amount of Letters of Credit required to be issued by such Issuing Bank, and the consent of no other Lender shall be required therefor.</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each Issuing Bank may, upon 30 days’ prior written notice to the Borrower, each other Issuing Bank and the Lenders, resign as Issuing Bank, which resignation shall be effective as of the date referenced in such notice (but in no event less than 30 days (or such later date as the relevant Issuing Bank may agree) after the delivery of such written notice); provided that the effectiveness of such resignation shall be conditioned on and subject to the appointment of a replacement Issuing Bank reasonably satisfactory to the Borrower who agrees to assume the entire Letter of Credit Commitment of the resigning Issuing Bank, and no such resignation shall become effective unless and until such replacement Issuing Bank has accepted such appointment and agreed to provide such Letter of Credit Commitment on terms acceptable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00" w:name="page201"/>
    <w:bookmarkEnd w:id="200"/>
    <w:p>
      <w:pPr>
        <w:ind w:left="1300" w:hanging="644"/>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exists and the Loans have been declared due and payable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hereof, then on the Business Day following the date on which the Borrower receives notice from the Administrative Agent (at the direction of the Required Revolving Lenders) demanding the deposit of Cash collateral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the Borrower shall deposit (or shall cause to be deposited), in an interest-bearing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an amount in Cash equal to 100% of the LC Exposure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5"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deposit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shall be held by the Administrative Agent as collateral for the payment and performance of the Secured Obligations in accordance with the provisions of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52" w:lineRule="exact"/>
        <w:rPr>
          <w:sz w:val="20"/>
          <w:szCs w:val="20"/>
          <w:color w:val="auto"/>
        </w:rPr>
      </w:pPr>
    </w:p>
    <w:p>
      <w:pPr>
        <w:jc w:val="both"/>
        <w:ind w:firstLine="656"/>
        <w:spacing w:after="0" w:line="215" w:lineRule="auto"/>
        <w:tabs>
          <w:tab w:leader="none" w:pos="129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(i) Not later than the third Business Day following the last day of each month and at each issuance of a Letter of Credit (or at such other intervals as the Administrative Agent and the applicable Issuing Bank shall agree), each Issuing Bank shall provide to the Administrative Agent a schedule of the Letters of Credit issued by it, and (ii) at each issuance of a Letter of Credit, the applicable Issuing Bank shall provide to the Administrative Agent a description of such Letter of Credit, in each case, in form and substance reasonably satisfactory to the Administrative Agent, showing the date of issuance of each (or such) Letter of Credit, the account party, the original face amount (if any), the expiration date, and the reference number of any Letter of Credit outstanding at any time during such month (or of such Letter of Credit, as applicable), and showing the aggregate amount (if any) payable by the Borrower to such Issuing Bank during such month (or with respect to such Letter of Credit, as applicable).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color w:val="FF0000"/>
          <w:strike w:val="1"/>
        </w:rPr>
        <w:t>[Reserved].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Conforming Changes. With respect to SOFR or Term SOFR, the Administrative Agent will have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right to make Conforming Changes from time to time in consultation with the Borrower and, notwithstanding anything to the contrary herein</w:t>
      </w:r>
    </w:p>
    <w:p>
      <w:pPr>
        <w:spacing w:after="0" w:line="212" w:lineRule="auto"/>
        <w:rPr>
          <w:sz w:val="20"/>
          <w:szCs w:val="20"/>
          <w:color w:val="auto"/>
        </w:rPr>
      </w:pPr>
      <w:r>
        <w:rPr>
          <w:rFonts w:ascii="Times New Roman" w:cs="Times New Roman" w:eastAsia="Times New Roman" w:hAnsi="Times New Roman"/>
          <w:sz w:val="20"/>
          <w:szCs w:val="20"/>
          <w:u w:val="single" w:color="auto"/>
          <w:color w:val="0000FF"/>
        </w:rPr>
        <w:t>or in any other Loan Document, any amendments implementing such Conforming Changes will become effective without any further action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or consent of any other party to this Agreement or any other Loan Document</w:t>
      </w:r>
      <w:r>
        <w:rPr>
          <w:rFonts w:ascii="Times New Roman" w:cs="Times New Roman" w:eastAsia="Times New Roman" w:hAnsi="Times New Roman"/>
          <w:sz w:val="20"/>
          <w:szCs w:val="20"/>
          <w:color w:val="008000"/>
        </w:rPr>
        <w:t>; provided that, with respect to any such amendment effected,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8000"/>
        </w:rPr>
        <w:t>the Administrative Agent shall post each such amendment implementing such Conforming Changes to the Borrower and the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8000"/>
        </w:rPr>
        <w:t>reasonably promptly after such amendment becomes effective.</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Funding of Borrowings.</w:t>
      </w:r>
    </w:p>
    <w:p>
      <w:pPr>
        <w:spacing w:after="0" w:line="175" w:lineRule="exact"/>
        <w:rPr>
          <w:sz w:val="20"/>
          <w:szCs w:val="20"/>
          <w:color w:val="auto"/>
        </w:rPr>
      </w:pPr>
    </w:p>
    <w:p>
      <w:pPr>
        <w:jc w:val="both"/>
        <w:ind w:right="20" w:firstLine="656"/>
        <w:spacing w:after="0" w:line="230"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(x) each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to be made by it hereunder available to the Administrative Agent not later than 11:00 a.m., and (y) each ABR Loan to be made by it hereunder available to the Administrative Agent not later than 1:00 p.m., in each case, on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0"/>
          <w:szCs w:val="20"/>
          <w:color w:val="auto"/>
        </w:rPr>
        <w:t>Day specified in the applicable Borrowing Request by wire transfer of immediately available funds to the account of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Agent most recently designated by it for such purpose by notice to the Lenders in an amount equal to such Lender’s respective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The Administrative Agent will make such Loans</w:t>
      </w:r>
    </w:p>
    <w:p>
      <w:pPr>
        <w:spacing w:after="0" w:line="211" w:lineRule="auto"/>
        <w:rPr>
          <w:sz w:val="20"/>
          <w:szCs w:val="20"/>
          <w:color w:val="auto"/>
        </w:rPr>
      </w:pPr>
      <w:r>
        <w:rPr>
          <w:rFonts w:ascii="Times New Roman" w:cs="Times New Roman" w:eastAsia="Times New Roman" w:hAnsi="Times New Roman"/>
          <w:sz w:val="20"/>
          <w:szCs w:val="20"/>
          <w:color w:val="auto"/>
        </w:rPr>
        <w:t>available to the Borrower by promptly crediting the amounts so received on the same Business Day, in like funds, to the account designated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 the relevant Borrowing Request or as otherwise directed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any LC Disbursement as provided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 xml:space="preserve"> shall be remitted by the Administrative Agent to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Bank.</w:t>
      </w:r>
    </w:p>
    <w:p>
      <w:pPr>
        <w:spacing w:after="0" w:line="167" w:lineRule="exact"/>
        <w:rPr>
          <w:sz w:val="20"/>
          <w:szCs w:val="20"/>
          <w:color w:val="auto"/>
        </w:rPr>
      </w:pPr>
    </w:p>
    <w:p>
      <w:pPr>
        <w:jc w:val="both"/>
        <w:ind w:firstLine="656"/>
        <w:spacing w:after="0" w:line="209" w:lineRule="auto"/>
        <w:tabs>
          <w:tab w:leader="none" w:pos="12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has received notice from any Lender that such Lender will not make available to the Administrative Agent such Lender’s share of any Borrowing prior to the proposed date of such Borrowing (or, in the case of any Borrowing of ABR Loans, prior to 12:00 p.m. on the date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Type; Interest Elections.</w:t>
      </w:r>
    </w:p>
    <w:p>
      <w:pPr>
        <w:spacing w:after="0" w:line="189" w:lineRule="exact"/>
        <w:rPr>
          <w:sz w:val="20"/>
          <w:szCs w:val="20"/>
          <w:color w:val="auto"/>
        </w:rPr>
      </w:pPr>
    </w:p>
    <w:p>
      <w:pPr>
        <w:jc w:val="both"/>
        <w:ind w:firstLine="656"/>
        <w:spacing w:after="0" w:line="215" w:lineRule="auto"/>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shall initially be of the Type specified in the applicable Borrowing Request and, in the case of any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 shall have an initial Interest Period as specified in such Borrowing Request. Thereafter, the Borrower may elect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to convert any Borrowing denominated in Dollars to a Borrowing of a different Type or to continue such Borrowing and, 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 may elect Interest Periods therefor, all as provided in this Section. The Borrower may elect different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Borrowing.</w:t>
      </w:r>
    </w:p>
    <w:p>
      <w:pPr>
        <w:spacing w:after="0" w:line="15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deliver an Interest Election Request, appropriately completed and signed by a Responsible Officer of the Borrower, to the Administrative Agent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any such Interest Election Request requests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but does not specify an Interest Period, then the Borrower shall be deemed to have selected an Interest Period of one month’s duration.</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applicable Lender of the details thereof and of such Lender’s portion of each resulting Borrowing.</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fails to deliver (or cause to be delivered) a timely Interest Election Request with respect to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prior to the end of the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0"/>
          <w:szCs w:val="20"/>
          <w:color w:val="auto"/>
        </w:rPr>
        <w:t>applicable thereto, then, unless such Borrowing is repaid as provided herein, such Borrowing shall be converted at the end of such Interest Period to an ABR Borrowing.</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Termination and Reduction of Commitments.</w:t>
      </w:r>
    </w:p>
    <w:p>
      <w:pPr>
        <w:spacing w:after="0" w:line="189" w:lineRule="exact"/>
        <w:rPr>
          <w:sz w:val="20"/>
          <w:szCs w:val="20"/>
          <w:color w:val="auto"/>
        </w:rPr>
      </w:pPr>
    </w:p>
    <w:p>
      <w:pPr>
        <w:jc w:val="both"/>
        <w:ind w:firstLine="656"/>
        <w:spacing w:after="0" w:line="215"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 as applicable.</w:t>
      </w:r>
    </w:p>
    <w:p>
      <w:pPr>
        <w:spacing w:after="0" w:line="147"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delivery of the notice required by </w:t>
      </w:r>
      <w:r>
        <w:rPr>
          <w:rFonts w:ascii="Times New Roman" w:cs="Times New Roman" w:eastAsia="Times New Roman" w:hAnsi="Times New Roman"/>
          <w:sz w:val="20"/>
          <w:szCs w:val="20"/>
          <w:u w:val="single" w:color="auto"/>
          <w:color w:val="auto"/>
        </w:rPr>
        <w:t>Section 2.09(c)</w:t>
      </w:r>
      <w:r>
        <w:rPr>
          <w:rFonts w:ascii="Times New Roman" w:cs="Times New Roman" w:eastAsia="Times New Roman" w:hAnsi="Times New Roman"/>
          <w:sz w:val="20"/>
          <w:szCs w:val="20"/>
          <w:color w:val="auto"/>
        </w:rPr>
        <w:t xml:space="preserve">, the Borrower may at any time terminate or from time to time reduce the Revolving Credit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Swingline Loans and/or the provision of Letter of Credit Support with respect to any outstanding Letter of Credit,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the establishment of any Class of Additional Revolving Credit Commitments, any such termination or reduction of the Revolving Credit Commitments of any Class shall be subject to the provisions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as applicable.</w:t>
      </w:r>
    </w:p>
    <w:p>
      <w:pPr>
        <w:spacing w:after="0" w:line="161"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any Revolving Credit Commitment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such notice, the Administrative Agent shall advise the Revolving Lenders of each applicable Class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it is conditioned upon the effectiveness of other transactions or other events, in which case such notice may be revoked by the Borrower (by written notice to the Administrative Agent on or prior to the specified effective date) if such condition is not satisfied. Any termination or reduction of any Revolving Credit Commitment pursuant to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shall be permanent. Upon any reduction of any Revolving Credit Commitment, the Revolving Credit Commitment of each Revolving Lender of the relevant Class shall be reduced by such Revolving Lender’s Applicable Percentage of the amount of such reduction.</w:t>
      </w:r>
    </w:p>
    <w:p>
      <w:pPr>
        <w:spacing w:after="0" w:line="1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Repayment of Loans; Evidence of Debt.</w:t>
      </w:r>
    </w:p>
    <w:p>
      <w:pPr>
        <w:spacing w:after="0" w:line="175" w:lineRule="exact"/>
        <w:rPr>
          <w:sz w:val="20"/>
          <w:szCs w:val="20"/>
          <w:color w:val="auto"/>
        </w:rPr>
      </w:pPr>
    </w:p>
    <w:p>
      <w:pPr>
        <w:ind w:right="20" w:firstLine="656"/>
        <w:spacing w:after="0"/>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hereby unconditionally promises to repay the outstanding principal amount of the Initial Term Loans to the Administrative Agent for the account of each Term Lender: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7"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day in the table set forth below under the caption “Loan Installment Date” (each such date being referred to as a “</w:t>
      </w:r>
      <w:r>
        <w:rPr>
          <w:rFonts w:ascii="Times New Roman" w:cs="Times New Roman" w:eastAsia="Times New Roman" w:hAnsi="Times New Roman"/>
          <w:sz w:val="20"/>
          <w:szCs w:val="20"/>
          <w:u w:val="single" w:color="auto"/>
          <w:color w:val="auto"/>
        </w:rPr>
        <w:t>Loan Installment Date</w:t>
      </w:r>
      <w:r>
        <w:rPr>
          <w:rFonts w:ascii="Times New Roman" w:cs="Times New Roman" w:eastAsia="Times New Roman" w:hAnsi="Times New Roman"/>
          <w:sz w:val="20"/>
          <w:szCs w:val="20"/>
          <w:color w:val="auto"/>
        </w:rPr>
        <w:t xml:space="preserve">”), the applicable percentage in the table set forth below under the caption “Amortization Percentage” of the original principal amount of the Initial Term Loans outstanding on the Closing Date, in each case, as such payments may be reduced from time to time as a result of the application of prepayments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repurchases and assignments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or increased in connection with the incurrence of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03" w:name="page204"/>
    <w:bookmarkEnd w:id="203"/>
    <w:p>
      <w:pPr>
        <w:spacing w:after="0" w:line="3" w:lineRule="exact"/>
        <w:rPr>
          <w:sz w:val="20"/>
          <w:szCs w:val="20"/>
          <w:color w:val="auto"/>
        </w:rPr>
      </w:pPr>
    </w:p>
    <w:tbl>
      <w:tblPr>
        <w:tblLayout w:type="fixed"/>
        <w:tblInd w:w="1290" w:type="dxa"/>
        <w:tblCellMar>
          <w:top w:w="0" w:type="dxa"/>
          <w:left w:w="0" w:type="dxa"/>
          <w:bottom w:w="0" w:type="dxa"/>
          <w:right w:w="0" w:type="dxa"/>
        </w:tblCellMar>
      </w:tblPr>
      <w:tr>
        <w:trPr>
          <w:trHeight w:val="270"/>
        </w:trPr>
        <w:tc>
          <w:tcPr>
            <w:tcW w:w="860" w:type="dxa"/>
            <w:vAlign w:val="bottom"/>
            <w:tcBorders>
              <w:top w:val="single" w:sz="8" w:color="auto"/>
              <w:left w:val="single" w:sz="8" w:color="auto"/>
              <w:bottom w:val="single" w:sz="8" w:color="auto"/>
            </w:tcBorders>
            <w:shd w:val="clear" w:color="auto" w:fill="D9D9D9"/>
          </w:tcPr>
          <w:p>
            <w:pPr>
              <w:spacing w:after="0"/>
              <w:rPr>
                <w:sz w:val="23"/>
                <w:szCs w:val="23"/>
                <w:color w:val="auto"/>
              </w:rPr>
            </w:pPr>
          </w:p>
        </w:tc>
        <w:tc>
          <w:tcPr>
            <w:tcW w:w="266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Loan Installment Date</w:t>
            </w:r>
          </w:p>
        </w:tc>
        <w:tc>
          <w:tcPr>
            <w:tcW w:w="720" w:type="dxa"/>
            <w:vAlign w:val="bottom"/>
            <w:tcBorders>
              <w:top w:val="single" w:sz="8" w:color="auto"/>
              <w:bottom w:val="single" w:sz="8" w:color="auto"/>
            </w:tcBorders>
            <w:shd w:val="clear" w:color="auto" w:fill="D9D9D9"/>
          </w:tcPr>
          <w:p>
            <w:pPr>
              <w:spacing w:after="0"/>
              <w:rPr>
                <w:sz w:val="23"/>
                <w:szCs w:val="23"/>
                <w:color w:val="auto"/>
              </w:rPr>
            </w:pPr>
          </w:p>
        </w:tc>
        <w:tc>
          <w:tcPr>
            <w:tcW w:w="274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color w:val="auto"/>
              </w:rPr>
              <w:t>Amortization Percentage</w:t>
            </w: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25, 2022</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0.625%</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24, 2022</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0.625%</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23, 2022</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0.625%</w:t>
            </w:r>
          </w:p>
        </w:tc>
        <w:tc>
          <w:tcPr>
            <w:tcW w:w="760" w:type="dxa"/>
            <w:vAlign w:val="bottom"/>
            <w:tcBorders>
              <w:bottom w:val="single" w:sz="8" w:color="auto"/>
              <w:right w:val="single" w:sz="8" w:color="auto"/>
            </w:tcBorders>
          </w:tcPr>
          <w:p>
            <w:pPr>
              <w:spacing w:after="0"/>
              <w:rPr>
                <w:sz w:val="21"/>
                <w:szCs w:val="21"/>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23, 2022</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0.625%</w:t>
            </w:r>
          </w:p>
        </w:tc>
        <w:tc>
          <w:tcPr>
            <w:tcW w:w="760" w:type="dxa"/>
            <w:vAlign w:val="bottom"/>
            <w:tcBorders>
              <w:bottom w:val="single" w:sz="8" w:color="auto"/>
              <w:right w:val="single" w:sz="8" w:color="auto"/>
            </w:tcBorders>
          </w:tcPr>
          <w:p>
            <w:pPr>
              <w:spacing w:after="0"/>
              <w:rPr>
                <w:sz w:val="22"/>
                <w:szCs w:val="22"/>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24, 2023</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23, 2023</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22, 2023</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1"/>
                <w:szCs w:val="21"/>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29, 2023</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2"/>
                <w:szCs w:val="22"/>
                <w:color w:val="auto"/>
              </w:rPr>
            </w:pPr>
          </w:p>
        </w:tc>
      </w:tr>
      <w:tr>
        <w:trPr>
          <w:trHeight w:val="256"/>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28, 2024</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28, 2024</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27, 2024</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1"/>
                <w:szCs w:val="21"/>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27, 2024</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1.25%</w:t>
            </w:r>
          </w:p>
        </w:tc>
        <w:tc>
          <w:tcPr>
            <w:tcW w:w="760" w:type="dxa"/>
            <w:vAlign w:val="bottom"/>
            <w:tcBorders>
              <w:bottom w:val="single" w:sz="8" w:color="auto"/>
              <w:right w:val="single" w:sz="8" w:color="auto"/>
            </w:tcBorders>
          </w:tcPr>
          <w:p>
            <w:pPr>
              <w:spacing w:after="0"/>
              <w:rPr>
                <w:sz w:val="22"/>
                <w:szCs w:val="22"/>
                <w:color w:val="auto"/>
              </w:rPr>
            </w:pPr>
          </w:p>
        </w:tc>
      </w:tr>
      <w:tr>
        <w:trPr>
          <w:trHeight w:val="256"/>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28, 2025</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1.875%</w:t>
            </w:r>
          </w:p>
        </w:tc>
        <w:tc>
          <w:tcPr>
            <w:tcW w:w="760" w:type="dxa"/>
            <w:vAlign w:val="bottom"/>
            <w:tcBorders>
              <w:bottom w:val="single" w:sz="8" w:color="auto"/>
              <w:right w:val="single" w:sz="8" w:color="auto"/>
            </w:tcBorders>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27, 2025</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1.875%</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26, 2025</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1.875%</w:t>
            </w:r>
          </w:p>
        </w:tc>
        <w:tc>
          <w:tcPr>
            <w:tcW w:w="760" w:type="dxa"/>
            <w:vAlign w:val="bottom"/>
            <w:tcBorders>
              <w:bottom w:val="single" w:sz="8" w:color="auto"/>
              <w:right w:val="single" w:sz="8" w:color="auto"/>
            </w:tcBorders>
          </w:tcPr>
          <w:p>
            <w:pPr>
              <w:spacing w:after="0"/>
              <w:rPr>
                <w:sz w:val="21"/>
                <w:szCs w:val="21"/>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24, 2025</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1.875%</w:t>
            </w:r>
          </w:p>
        </w:tc>
        <w:tc>
          <w:tcPr>
            <w:tcW w:w="760" w:type="dxa"/>
            <w:vAlign w:val="bottom"/>
            <w:tcBorders>
              <w:bottom w:val="single" w:sz="8" w:color="auto"/>
              <w:right w:val="single" w:sz="8" w:color="auto"/>
            </w:tcBorders>
          </w:tcPr>
          <w:p>
            <w:pPr>
              <w:spacing w:after="0"/>
              <w:rPr>
                <w:sz w:val="22"/>
                <w:szCs w:val="22"/>
                <w:color w:val="auto"/>
              </w:rPr>
            </w:pPr>
          </w:p>
        </w:tc>
      </w:tr>
      <w:tr>
        <w:trPr>
          <w:trHeight w:val="257"/>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27, 2026</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2.50%</w:t>
            </w:r>
          </w:p>
        </w:tc>
        <w:tc>
          <w:tcPr>
            <w:tcW w:w="760" w:type="dxa"/>
            <w:vAlign w:val="bottom"/>
            <w:tcBorders>
              <w:bottom w:val="single" w:sz="8" w:color="auto"/>
              <w:right w:val="single" w:sz="8" w:color="auto"/>
            </w:tcBorders>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26, 2026</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2.50%</w:t>
            </w:r>
          </w:p>
        </w:tc>
        <w:tc>
          <w:tcPr>
            <w:tcW w:w="760" w:type="dxa"/>
            <w:vAlign w:val="bottom"/>
            <w:tcBorders>
              <w:bottom w:val="single" w:sz="8" w:color="auto"/>
              <w:right w:val="single" w:sz="8" w:color="auto"/>
            </w:tcBorders>
          </w:tcPr>
          <w:p>
            <w:pPr>
              <w:spacing w:after="0"/>
              <w:rPr>
                <w:sz w:val="21"/>
                <w:szCs w:val="21"/>
                <w:color w:val="auto"/>
              </w:rPr>
            </w:pPr>
          </w:p>
        </w:tc>
      </w:tr>
      <w:tr>
        <w:trPr>
          <w:trHeight w:val="250"/>
        </w:trPr>
        <w:tc>
          <w:tcPr>
            <w:tcW w:w="3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25, 2026</w:t>
            </w:r>
          </w:p>
        </w:tc>
        <w:tc>
          <w:tcPr>
            <w:tcW w:w="270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rPr>
              <w:t>2.50%</w:t>
            </w:r>
          </w:p>
        </w:tc>
        <w:tc>
          <w:tcPr>
            <w:tcW w:w="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left="1300" w:firstLine="652"/>
        <w:spacing w:after="0" w:line="226" w:lineRule="auto"/>
        <w:tabs>
          <w:tab w:leader="none" w:pos="2590"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Initial Term Loan Maturity Date, in an amount equal to the remainder of the principal amount of such Initial Term Loans outstanding on such date, together, in each case, with accrued and unpaid interest on the principal amount to be paid to but excluding the date of such payment.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5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repurchases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or increased as a result of any increase in the amount of such Additional Term Loans of such Class pursuant to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hereby unconditionally promises to pay in Dollars (A) to the Administrative Agent for the account of each Initial Revolving Lender, the then-unpaid principal amount of the Initial Revolving Loans of such Lender on the Initial Revolving Credit Maturity Date, (B) 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440" w:right="339" w:bottom="1440" w:gutter="0" w:footer="0" w:header="0"/>
        </w:sectPr>
      </w:pPr>
    </w:p>
    <w:bookmarkStart w:id="204" w:name="page205"/>
    <w:bookmarkEnd w:id="204"/>
    <w:p>
      <w:pPr>
        <w:jc w:val="both"/>
        <w:ind w:left="660" w:firstLine="644"/>
        <w:spacing w:after="0" w:line="213" w:lineRule="auto"/>
        <w:tabs>
          <w:tab w:leader="none" w:pos="195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Maturity Date applicable to the Revolving Credit Commitments of any Class, the Borrower shall (A) cancel and return outstanding Letters of Credit (or alternatively, with respect to any outstanding Letter of Credit, provide Letter of Credit Support with respect thereto), in each case to the extent necessary so that, after giving effect thereto, the aggregate amount of the Revolving Credit Exposure attributable to the Revolving Credit Commitments of any other Class does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then in effect and (C) make payment in full of all accrued and unpaid fees and all reimbursable expenses and other Obligations with respect to the Revolving Facility of the applicable Class then due, together with accrued and unpaid interest (if any) thereon.</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w:t>
      </w:r>
      <w:r>
        <w:rPr>
          <w:rFonts w:ascii="Times New Roman" w:cs="Times New Roman" w:eastAsia="Times New Roman" w:hAnsi="Times New Roman"/>
          <w:sz w:val="20"/>
          <w:szCs w:val="20"/>
          <w:u w:val="single" w:color="auto"/>
          <w:color w:val="auto"/>
        </w:rPr>
        <w:t>paragraphs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failure of any Lender or the Administrative Agent to maintain such accounts or any manifest error therein shall not in any manner affect the obligation of the Borrower to repay the Loans in accordance with the terms of this Agreement, (ii) in the event of any inconsistency between the accounts maintained by the Administrative Agent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and any Lender’s records, the accounts of the Administrative Agent shall govern and (iii) in the event of any inconsistency between the Register and any other accounts maintained by the Administrative Agent, the Register shall govern absent manifest error.</w:t>
      </w:r>
    </w:p>
    <w:p>
      <w:pPr>
        <w:spacing w:after="0" w:line="164"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20"/>
          <w:szCs w:val="20"/>
          <w:u w:val="single" w:color="auto"/>
          <w:color w:val="auto"/>
        </w:rPr>
        <w:t>Section 9.05(b)(iii)</w:t>
      </w:r>
      <w:r>
        <w:rPr>
          <w:rFonts w:ascii="Times New Roman" w:cs="Times New Roman" w:eastAsia="Times New Roman" w:hAnsi="Times New Roman"/>
          <w:sz w:val="20"/>
          <w:szCs w:val="20"/>
          <w:color w:val="auto"/>
        </w:rPr>
        <w:t xml:space="preserve"> and upon the occurrence of the Termination Date (or as promptly thereafter as practicable). If any Lender loses the original copy of its Promissory Note, it shall execute an affidavit of loss containing an indemnification provision that is reasonably satisfactory to the Borrower. The obligation of each Lender to execute and deliver an affidavit of loss containing an indemnification provision that is reasonably satisfactory to the Borrower shall survive the Termination Date.</w:t>
      </w:r>
    </w:p>
    <w:p>
      <w:pPr>
        <w:spacing w:after="0" w:line="16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Prepayment of Loans.</w:t>
      </w:r>
    </w:p>
    <w:p>
      <w:pPr>
        <w:spacing w:after="0" w:line="175"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if applicable,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paid to the Lenders in accordance with their respective Applicable Percentages of the relevant Class.</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Section, the Borrower shall have the right at any time and from time to time to prepay any Borrowing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9"/>
          <w:szCs w:val="19"/>
          <w:color w:val="auto"/>
        </w:rPr>
        <w:t>Revolving Loans of any Class and/or any Borrowing of Swingline Loans, in whole or in part without premium or penalty (but subject</w:t>
      </w:r>
    </w:p>
    <w:p>
      <w:pPr>
        <w:spacing w:after="0" w:line="6"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after the establishment of any Class of Additional Revolving Loans, any such prepayment of any Borrowing of Revolving Loans of any Class shall be subject to the provisions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as</w:t>
      </w:r>
    </w:p>
    <w:p>
      <w:pPr>
        <w:ind w:left="660"/>
        <w:spacing w:after="0" w:line="223" w:lineRule="auto"/>
        <w:rPr>
          <w:sz w:val="20"/>
          <w:szCs w:val="20"/>
          <w:color w:val="auto"/>
        </w:rPr>
      </w:pPr>
      <w:r>
        <w:rPr>
          <w:rFonts w:ascii="Times New Roman" w:cs="Times New Roman" w:eastAsia="Times New Roman" w:hAnsi="Times New Roman"/>
          <w:sz w:val="19"/>
          <w:szCs w:val="19"/>
          <w:color w:val="auto"/>
        </w:rPr>
        <w:t>applicable and (B) no Borrowing of Revolving Loans may be prepaid unless all Swingline Loans then outstanding, if any, are prepaid</w:t>
      </w:r>
    </w:p>
    <w:p>
      <w:pPr>
        <w:ind w:left="660"/>
        <w:spacing w:after="0" w:line="221" w:lineRule="auto"/>
        <w:rPr>
          <w:sz w:val="20"/>
          <w:szCs w:val="20"/>
          <w:color w:val="auto"/>
        </w:rPr>
      </w:pPr>
      <w:r>
        <w:rPr>
          <w:rFonts w:ascii="Times New Roman" w:cs="Times New Roman" w:eastAsia="Times New Roman" w:hAnsi="Times New Roman"/>
          <w:sz w:val="20"/>
          <w:szCs w:val="20"/>
          <w:color w:val="auto"/>
        </w:rPr>
        <w:t>concurrently therewith. Each such prepayment shall be paid to the Revolving Lenders in accordance with their respective Applicable Percentages of the relevant Class.</w:t>
      </w:r>
    </w:p>
    <w:p>
      <w:pPr>
        <w:spacing w:after="0" w:line="162" w:lineRule="exact"/>
        <w:rPr>
          <w:sz w:val="20"/>
          <w:szCs w:val="20"/>
          <w:color w:val="auto"/>
        </w:rPr>
      </w:pPr>
    </w:p>
    <w:p>
      <w:pPr>
        <w:jc w:val="both"/>
        <w:ind w:left="660" w:firstLine="644"/>
        <w:spacing w:after="0" w:line="220" w:lineRule="auto"/>
        <w:tabs>
          <w:tab w:leader="none" w:pos="195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notify the Administrative Agent (and the Swingline Lender, if applicable) pursuant to delivery to the Administrative Agent (and the Swingline Lender, if applicable) of a Notice of Loan Prepayment in writing of any prepayment under this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(i) in the case of any prepayment of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not later than 12:00 p.m. </w:t>
      </w:r>
      <w:r>
        <w:rPr>
          <w:rFonts w:ascii="Times New Roman" w:cs="Times New Roman" w:eastAsia="Times New Roman" w:hAnsi="Times New Roman"/>
          <w:sz w:val="19"/>
          <w:szCs w:val="19"/>
          <w:color w:val="FF0000"/>
          <w:strike w:val="1"/>
        </w:rPr>
        <w:t>three</w:t>
      </w:r>
      <w:r>
        <w:rPr>
          <w:rFonts w:ascii="Times New Roman" w:cs="Times New Roman" w:eastAsia="Times New Roman" w:hAnsi="Times New Roman"/>
          <w:sz w:val="19"/>
          <w:szCs w:val="19"/>
          <w:u w:val="single" w:color="auto"/>
          <w:color w:val="0000FF"/>
        </w:rPr>
        <w:t>two</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Business Days before the date of prepayment, (ii) in the case of any prepayment of an ABR Borrowing, not later than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11:00 a.m., on the date of prepayment or (iii) in the case of any prepayment of any Swingline Loan, not later than 1:00 p.m.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or each relevant Class to be prepaid;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any notice of prepayment delivered by the Borrower may be conditioned upon the effectiveness of other transactions or other events,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Times New Roman" w:cs="Times New Roman" w:eastAsia="Times New Roman" w:hAnsi="Times New Roman"/>
          <w:sz w:val="19"/>
          <w:szCs w:val="19"/>
          <w:u w:val="single" w:color="auto"/>
          <w:color w:val="000000"/>
        </w:rPr>
        <w:t>Section 2.02(c)</w:t>
      </w:r>
      <w:r>
        <w:rPr>
          <w:rFonts w:ascii="Times New Roman" w:cs="Times New Roman" w:eastAsia="Times New Roman" w:hAnsi="Times New Roman"/>
          <w:sz w:val="19"/>
          <w:szCs w:val="19"/>
          <w:color w:val="000000"/>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Times New Roman" w:cs="Times New Roman" w:eastAsia="Times New Roman" w:hAnsi="Times New Roman"/>
          <w:sz w:val="19"/>
          <w:szCs w:val="19"/>
          <w:u w:val="single" w:color="auto"/>
          <w:color w:val="000000"/>
        </w:rPr>
        <w:t>Section 2.11(a)</w:t>
      </w:r>
      <w:r>
        <w:rPr>
          <w:rFonts w:ascii="Times New Roman" w:cs="Times New Roman" w:eastAsia="Times New Roman" w:hAnsi="Times New Roman"/>
          <w:sz w:val="19"/>
          <w:szCs w:val="19"/>
          <w:color w:val="000000"/>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16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9" w:lineRule="exact"/>
        <w:rPr>
          <w:sz w:val="20"/>
          <w:szCs w:val="20"/>
          <w:color w:val="auto"/>
        </w:rPr>
      </w:pPr>
    </w:p>
    <w:p>
      <w:pPr>
        <w:jc w:val="both"/>
        <w:ind w:left="660" w:firstLine="644"/>
        <w:spacing w:after="0" w:line="213" w:lineRule="auto"/>
        <w:tabs>
          <w:tab w:leader="none" w:pos="195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fifth Business Day following the receipt of Net Proceeds in respect of any Prepayment Asset Sale or Net Insurance/Condemnation Proceeds, in each case, in excess of the greater of $6,000,000 and 10% of Consolidated Adjusted EBITDA as of the last day of the most recently ended Test Period (the “</w:t>
      </w:r>
      <w:r>
        <w:rPr>
          <w:rFonts w:ascii="Times New Roman" w:cs="Times New Roman" w:eastAsia="Times New Roman" w:hAnsi="Times New Roman"/>
          <w:sz w:val="20"/>
          <w:szCs w:val="20"/>
          <w:u w:val="single" w:color="auto"/>
          <w:color w:val="auto"/>
        </w:rPr>
        <w:t>De Minimis Proceeds Threshold</w:t>
      </w:r>
      <w:r>
        <w:rPr>
          <w:rFonts w:ascii="Times New Roman" w:cs="Times New Roman" w:eastAsia="Times New Roman" w:hAnsi="Times New Roman"/>
          <w:sz w:val="20"/>
          <w:szCs w:val="20"/>
          <w:color w:val="auto"/>
        </w:rPr>
        <w:t>”) in any Fiscal Year, the Borrower shall apply (or cause to be applied) 100% of such Net Proceeds of such Prepayment Asset Sale or Net Insurance/Condemnation Proceeds received with respect thereto in excess of the De Minimis Proceeds Threshold (collectively, the “</w:t>
      </w:r>
      <w:r>
        <w:rPr>
          <w:rFonts w:ascii="Times New Roman" w:cs="Times New Roman" w:eastAsia="Times New Roman" w:hAnsi="Times New Roman"/>
          <w:sz w:val="20"/>
          <w:szCs w:val="20"/>
          <w:u w:val="single" w:color="auto"/>
          <w:color w:val="auto"/>
        </w:rPr>
        <w:t>Subject Proceeds</w:t>
      </w:r>
      <w:r>
        <w:rPr>
          <w:rFonts w:ascii="Times New Roman" w:cs="Times New Roman" w:eastAsia="Times New Roman" w:hAnsi="Times New Roman"/>
          <w:sz w:val="20"/>
          <w:szCs w:val="20"/>
          <w:color w:val="auto"/>
        </w:rPr>
        <w:t>”) to prepay the outstanding principal amount of, and accrued interest on, the Initial Term Loans and Additional Term Loans then subject to ratable prepayment requirements (the “</w:t>
      </w:r>
      <w:r>
        <w:rPr>
          <w:rFonts w:ascii="Times New Roman" w:cs="Times New Roman" w:eastAsia="Times New Roman" w:hAnsi="Times New Roman"/>
          <w:sz w:val="20"/>
          <w:szCs w:val="20"/>
          <w:u w:val="single" w:color="auto"/>
          <w:color w:val="auto"/>
        </w:rPr>
        <w:t>Subject Loans</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2" w:lineRule="exact"/>
        <w:rPr>
          <w:rFonts w:ascii="Times New Roman" w:cs="Times New Roman" w:eastAsia="Times New Roman" w:hAnsi="Times New Roman"/>
          <w:sz w:val="20"/>
          <w:szCs w:val="20"/>
          <w:color w:val="auto"/>
        </w:rPr>
      </w:pPr>
    </w:p>
    <w:p>
      <w:pPr>
        <w:ind w:left="1300" w:firstLine="652"/>
        <w:spacing w:after="0"/>
        <w:tabs>
          <w:tab w:leader="none" w:pos="2587"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that only the amount in excess of the De Minimis Proceeds Threshold shall be required to be applied to make a prepayment in accordance with this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date on which any such prepayment is required to be made, the Borrower notifies the Administrative Agent of its intention to reinvest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06" w:name="page207"/>
    <w:bookmarkEnd w:id="206"/>
    <w:p>
      <w:pPr>
        <w:ind w:left="1300"/>
        <w:spacing w:after="0"/>
        <w:rPr>
          <w:sz w:val="20"/>
          <w:szCs w:val="20"/>
          <w:color w:val="auto"/>
        </w:rPr>
      </w:pPr>
      <w:r>
        <w:rPr>
          <w:rFonts w:ascii="Times New Roman" w:cs="Times New Roman" w:eastAsia="Times New Roman" w:hAnsi="Times New Roman"/>
          <w:sz w:val="19"/>
          <w:szCs w:val="19"/>
          <w:color w:val="auto"/>
        </w:rPr>
        <w:t>Subject Proceeds in the business of the Borrower and/or any Restricted Subsidiary (other than an investment in Cash or Cash</w:t>
      </w:r>
    </w:p>
    <w:p>
      <w:pPr>
        <w:spacing w:after="0" w:line="6"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Equivalents), then the Borrower shall not be required to make a mandatory prepayment under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in respect of the applicable Subject Proceeds to the extent (1) the applicable Subject Proceeds are so reinvested within 18 months following</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receipt thereof, or (2) the Borrower or any Restricted Subsidiary has committed to so reinvest the applicable Subject</w:t>
      </w:r>
    </w:p>
    <w:p>
      <w:pPr>
        <w:ind w:left="1300"/>
        <w:spacing w:after="0" w:line="204" w:lineRule="auto"/>
        <w:rPr>
          <w:sz w:val="20"/>
          <w:szCs w:val="20"/>
          <w:color w:val="auto"/>
        </w:rPr>
      </w:pPr>
      <w:r>
        <w:rPr>
          <w:rFonts w:ascii="Times New Roman" w:cs="Times New Roman" w:eastAsia="Times New Roman" w:hAnsi="Times New Roman"/>
          <w:sz w:val="20"/>
          <w:szCs w:val="20"/>
          <w:color w:val="auto"/>
        </w:rPr>
        <w:t>Proceeds during such 18 month period and the applicable Subject Proceeds are so reinvested within six months after the expiration of such 18-month period or (3) the Borrower or any Restricted Subsidiary has committed to so reinvest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applicable Subject Proceeds during such 18 month period and such commitment is terminated and a new commitment is</w:t>
      </w:r>
    </w:p>
    <w:p>
      <w:pPr>
        <w:spacing w:after="0" w:line="1" w:lineRule="exact"/>
        <w:rPr>
          <w:sz w:val="20"/>
          <w:szCs w:val="20"/>
          <w:color w:val="auto"/>
        </w:rPr>
      </w:pPr>
    </w:p>
    <w:p>
      <w:pPr>
        <w:ind w:left="1300" w:right="20"/>
        <w:spacing w:after="0" w:line="215" w:lineRule="auto"/>
        <w:rPr>
          <w:sz w:val="20"/>
          <w:szCs w:val="20"/>
          <w:color w:val="auto"/>
        </w:rPr>
      </w:pPr>
      <w:r>
        <w:rPr>
          <w:rFonts w:ascii="Times New Roman" w:cs="Times New Roman" w:eastAsia="Times New Roman" w:hAnsi="Times New Roman"/>
          <w:sz w:val="19"/>
          <w:szCs w:val="19"/>
          <w:color w:val="auto"/>
        </w:rPr>
        <w:t>made within the six months after the expiration of such 18 month period and the application Proceeds are so reinvested within three months after the expiration of such 24 month period; it being understood that if the applicable Subject Proceeds</w:t>
      </w:r>
    </w:p>
    <w:p>
      <w:pPr>
        <w:ind w:left="1300"/>
        <w:spacing w:after="0" w:line="211" w:lineRule="auto"/>
        <w:rPr>
          <w:sz w:val="20"/>
          <w:szCs w:val="20"/>
          <w:color w:val="auto"/>
        </w:rPr>
      </w:pPr>
      <w:r>
        <w:rPr>
          <w:rFonts w:ascii="Times New Roman" w:cs="Times New Roman" w:eastAsia="Times New Roman" w:hAnsi="Times New Roman"/>
          <w:sz w:val="20"/>
          <w:szCs w:val="20"/>
          <w:color w:val="auto"/>
        </w:rPr>
        <w:t>have not been so reinvested prior to the expiration of the applicable period, the Borrower shall promptly prepay the Subject</w:t>
      </w:r>
    </w:p>
    <w:p>
      <w:pPr>
        <w:ind w:left="1300"/>
        <w:spacing w:after="0" w:line="221" w:lineRule="auto"/>
        <w:rPr>
          <w:sz w:val="20"/>
          <w:szCs w:val="20"/>
          <w:color w:val="auto"/>
        </w:rPr>
      </w:pPr>
      <w:r>
        <w:rPr>
          <w:rFonts w:ascii="Times New Roman" w:cs="Times New Roman" w:eastAsia="Times New Roman" w:hAnsi="Times New Roman"/>
          <w:sz w:val="20"/>
          <w:szCs w:val="20"/>
          <w:color w:val="auto"/>
        </w:rPr>
        <w:t>Loans with the amount of applicable Subject Proceeds not so reinvested as set forth above (without regard to the immediately preceding proviso); and</w:t>
      </w:r>
    </w:p>
    <w:p>
      <w:pPr>
        <w:spacing w:after="0" w:line="162" w:lineRule="exact"/>
        <w:rPr>
          <w:sz w:val="20"/>
          <w:szCs w:val="20"/>
          <w:color w:val="auto"/>
        </w:rPr>
      </w:pPr>
    </w:p>
    <w:p>
      <w:pPr>
        <w:jc w:val="both"/>
        <w:ind w:left="1300" w:firstLine="652"/>
        <w:spacing w:after="0" w:line="209" w:lineRule="auto"/>
        <w:tabs>
          <w:tab w:leader="none" w:pos="259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that any such prepayment would be required hereunder, the Borrower or any of its Restricted Subsidiaries is required to repay or repurchase any other First Lien Debt pursuant to the terms of the documentation governing such Indebtedness (such Indebtedness required to be so prepaid or offered to be so repurchased, “</w:t>
      </w:r>
      <w:r>
        <w:rPr>
          <w:rFonts w:ascii="Times New Roman" w:cs="Times New Roman" w:eastAsia="Times New Roman" w:hAnsi="Times New Roman"/>
          <w:sz w:val="20"/>
          <w:szCs w:val="20"/>
          <w:u w:val="single" w:color="auto"/>
          <w:color w:val="auto"/>
        </w:rPr>
        <w:t>Other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that is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shall be reduced accordingly and (2) to the extent the holders of the Other Applicable Indebtedness decline to have such Indebtedness prepaid or repurchased, the declined amount shall promptly (and in any event within 10 Business Days after the date of such rejection) be applied to prepay the Subject Loans in accordance with the terms hereof and any other relevant Other Applicable Indebtedness with a corresponding requirement on a pro rata basis (determined in a manner consistent with that set forth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it being understood and agreed that if any Term Lender or holder of such Other Applicable Indebtedness declines any prepayment contemplated by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above, the Borrower shall not be required to subsequently offer the amount of the relevant declined prepayment to any Term Lender or any holder of Other Applicable Indebtedness.</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except to the extent the relevant Indebtedness constitutes (A) Refinancing Indebtedness (including Replacement Debt) incurred to refinance all or a portion of any Class of Term Loans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(B) Incremental Loans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refinance all or a portion of any Class of Term Loans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(C) Replacement Term Loans incurred to refinance all or any portion of any Class of Term Loans in accordance with the requirements of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 xml:space="preserve"> and/or (D) Incremental Equivalent Debt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refinance all or a portion of the Loans in accordance with the requirements of the definition thereof, in each case to the extent required by the terms thereof to prepay or offer to prepay such Indebtedness), the Borrower shall, promptly upon (and in any event not later than two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20"/>
          <w:szCs w:val="20"/>
          <w:color w:val="auto"/>
        </w:rPr>
        <w:t>Days thereafter) the receipt of such Net Proceeds by the Borrower or its applicable Restricted Subsidiary, apply (or cause to be</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 xml:space="preserve">applied) an amount equal to 100% of such Net Proceeds to prepay the outstanding principal amount of the relevant Class or Classes of Term Loans in accordance with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below.</w:t>
      </w:r>
    </w:p>
    <w:p>
      <w:pPr>
        <w:spacing w:after="0" w:line="162" w:lineRule="exact"/>
        <w:rPr>
          <w:sz w:val="20"/>
          <w:szCs w:val="20"/>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to the contrary:</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7"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be required to prepay (or cause to be prepaid) any amount that would otherwise be required to be paid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above to the extent that the relevant Prepayment Asset Sale is</w:t>
      </w:r>
    </w:p>
    <w:p>
      <w:pPr>
        <w:ind w:left="1300"/>
        <w:spacing w:after="0" w:line="212" w:lineRule="auto"/>
        <w:rPr>
          <w:sz w:val="20"/>
          <w:szCs w:val="20"/>
          <w:color w:val="auto"/>
        </w:rPr>
      </w:pPr>
      <w:r>
        <w:rPr>
          <w:rFonts w:ascii="Times New Roman" w:cs="Times New Roman" w:eastAsia="Times New Roman" w:hAnsi="Times New Roman"/>
          <w:sz w:val="20"/>
          <w:szCs w:val="20"/>
          <w:color w:val="auto"/>
        </w:rPr>
        <w:t>consummated by any Foreign Subsidiary or any Domestic Subsidiary of any Foreign Subsidiary (any such Person,</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Specified Subsidiary</w:t>
      </w:r>
      <w:r>
        <w:rPr>
          <w:rFonts w:ascii="Times New Roman" w:cs="Times New Roman" w:eastAsia="Times New Roman" w:hAnsi="Times New Roman"/>
          <w:sz w:val="20"/>
          <w:szCs w:val="20"/>
          <w:color w:val="auto"/>
        </w:rPr>
        <w:t>”) or the relevant Net Insurance/Condemnation Proceeds are received by any Specified Subsidiary, as the case may be, for so long as the repatriation and/or other transfer to the Borrower of any such amount at the time such</w:t>
      </w:r>
    </w:p>
    <w:p>
      <w:pPr>
        <w:ind w:left="1300"/>
        <w:spacing w:after="0" w:line="211" w:lineRule="auto"/>
        <w:rPr>
          <w:sz w:val="20"/>
          <w:szCs w:val="20"/>
          <w:color w:val="auto"/>
        </w:rPr>
      </w:pPr>
      <w:r>
        <w:rPr>
          <w:rFonts w:ascii="Times New Roman" w:cs="Times New Roman" w:eastAsia="Times New Roman" w:hAnsi="Times New Roman"/>
          <w:sz w:val="20"/>
          <w:szCs w:val="20"/>
          <w:color w:val="auto"/>
        </w:rPr>
        <w:t>prepayment would otherwise be required to be made would be, in the good faith determination of the Borrower, prohibited,</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restricted or delayed under any Requirement of Law (including for the avoidance of doubt, any Requirement of Law relating to financial assistance, corporate benefit, thin capitalization, capital maintenance and similar legal principles, restrictions on</w:t>
      </w:r>
    </w:p>
    <w:p>
      <w:pPr>
        <w:ind w:left="1300"/>
        <w:spacing w:after="0" w:line="211" w:lineRule="auto"/>
        <w:rPr>
          <w:sz w:val="20"/>
          <w:szCs w:val="20"/>
          <w:color w:val="auto"/>
        </w:rPr>
      </w:pPr>
      <w:r>
        <w:rPr>
          <w:rFonts w:ascii="Times New Roman" w:cs="Times New Roman" w:eastAsia="Times New Roman" w:hAnsi="Times New Roman"/>
          <w:sz w:val="20"/>
          <w:szCs w:val="20"/>
          <w:color w:val="auto"/>
        </w:rPr>
        <w:t>“upstreaming” and/or “cross-streaming” of Cash intra-group and Requirements of Law relating to the fiduciary and/or</w:t>
      </w:r>
    </w:p>
    <w:p>
      <w:pPr>
        <w:ind w:left="1300"/>
        <w:spacing w:after="0" w:line="204" w:lineRule="auto"/>
        <w:rPr>
          <w:sz w:val="20"/>
          <w:szCs w:val="20"/>
          <w:color w:val="auto"/>
        </w:rPr>
      </w:pPr>
      <w:r>
        <w:rPr>
          <w:rFonts w:ascii="Times New Roman" w:cs="Times New Roman" w:eastAsia="Times New Roman" w:hAnsi="Times New Roman"/>
          <w:sz w:val="20"/>
          <w:szCs w:val="20"/>
          <w:color w:val="auto"/>
        </w:rPr>
        <w:t>statutory duties of the directors (or equivalent Persons) of the Borrower and/or any of its Restricted Subsidiaries) or would conflict with the fiduciary and/or statutory duties of such Specified Subsidiary’s directors (or equivalent Persons), or result</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in, or could reasonably be expected to result in, a material risk of personal or criminal liability for any officer, director, employee, manager, member of management or consultant of such Specified Subsidiary;</w:t>
      </w:r>
    </w:p>
    <w:p>
      <w:pPr>
        <w:spacing w:after="0" w:line="149" w:lineRule="exact"/>
        <w:rPr>
          <w:sz w:val="20"/>
          <w:szCs w:val="20"/>
          <w:color w:val="auto"/>
        </w:rPr>
      </w:pPr>
    </w:p>
    <w:p>
      <w:pPr>
        <w:jc w:val="both"/>
        <w:ind w:left="1300" w:firstLine="652"/>
        <w:spacing w:after="0" w:line="231" w:lineRule="auto"/>
        <w:tabs>
          <w:tab w:leader="none" w:pos="2590"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be required to prepay (or cause to be prepaid) any amount that would otherwise be required to be paid pursuant to </w:t>
      </w:r>
      <w:r>
        <w:rPr>
          <w:rFonts w:ascii="Times New Roman" w:cs="Times New Roman" w:eastAsia="Times New Roman" w:hAnsi="Times New Roman"/>
          <w:sz w:val="19"/>
          <w:szCs w:val="19"/>
          <w:u w:val="single" w:color="auto"/>
          <w:color w:val="auto"/>
        </w:rPr>
        <w:t>Section 2.11(b)(ii)</w:t>
      </w:r>
      <w:r>
        <w:rPr>
          <w:rFonts w:ascii="Times New Roman" w:cs="Times New Roman" w:eastAsia="Times New Roman" w:hAnsi="Times New Roman"/>
          <w:sz w:val="19"/>
          <w:szCs w:val="19"/>
          <w:color w:val="auto"/>
        </w:rPr>
        <w:t xml:space="preserve"> to the extent that the relevant Subject Proceeds are received by any joint venture, in each case, for so long as the distribution and/or other transfer to the Borrower of such Subject Proceeds would, in the good faith determination of the Borrower, be prohibited at the time such prepayment would otherwise be required to be made under the Organizational Documents (or any relevant shareholders’ or similar agreement) governing such joint venture;</w:t>
      </w:r>
    </w:p>
    <w:p>
      <w:pPr>
        <w:spacing w:after="0" w:line="150" w:lineRule="exact"/>
        <w:rPr>
          <w:rFonts w:ascii="Times New Roman" w:cs="Times New Roman" w:eastAsia="Times New Roman" w:hAnsi="Times New Roman"/>
          <w:sz w:val="19"/>
          <w:szCs w:val="19"/>
          <w:color w:val="auto"/>
        </w:rPr>
      </w:pPr>
    </w:p>
    <w:p>
      <w:pPr>
        <w:jc w:val="both"/>
        <w:ind w:left="1300" w:firstLine="652"/>
        <w:spacing w:after="0" w:line="231" w:lineRule="auto"/>
        <w:tabs>
          <w:tab w:leader="none" w:pos="2590"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be required to prepay any amount that would otherwise be required to be paid pursuant to </w:t>
      </w:r>
      <w:r>
        <w:rPr>
          <w:rFonts w:ascii="Times New Roman" w:cs="Times New Roman" w:eastAsia="Times New Roman" w:hAnsi="Times New Roman"/>
          <w:sz w:val="19"/>
          <w:szCs w:val="19"/>
          <w:u w:val="single" w:color="auto"/>
          <w:color w:val="auto"/>
        </w:rPr>
        <w:t>Section 2.11(b)(ii)</w:t>
      </w:r>
      <w:r>
        <w:rPr>
          <w:rFonts w:ascii="Times New Roman" w:cs="Times New Roman" w:eastAsia="Times New Roman" w:hAnsi="Times New Roman"/>
          <w:sz w:val="19"/>
          <w:szCs w:val="19"/>
          <w:color w:val="auto"/>
        </w:rPr>
        <w:t xml:space="preserve"> to the extent that the relevant Subject Proceeds are received by any Foreign Subsidiary that is not a Loan Party, in each case, for so long as the Borrower determines in good faith that the distribution to the Borrower of such Subject Proceeds would be prohibited at the time such prepayment would otherwise be required to be made under an agreement permitted pursuant to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by which such Foreign Subsidiary is bound governing any Indebtedness; and</w:t>
      </w:r>
    </w:p>
    <w:p>
      <w:pPr>
        <w:spacing w:after="0" w:line="163" w:lineRule="exact"/>
        <w:rPr>
          <w:rFonts w:ascii="Times New Roman" w:cs="Times New Roman" w:eastAsia="Times New Roman" w:hAnsi="Times New Roman"/>
          <w:sz w:val="19"/>
          <w:szCs w:val="19"/>
          <w:color w:val="auto"/>
        </w:rPr>
      </w:pPr>
    </w:p>
    <w:p>
      <w:pPr>
        <w:jc w:val="both"/>
        <w:ind w:left="1300" w:firstLine="652"/>
        <w:spacing w:after="0" w:line="215" w:lineRule="auto"/>
        <w:tabs>
          <w:tab w:leader="none" w:pos="258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determines in good faith that the repatriation (or other intercompany distribution or transfer) to the Borrower, directly or indirectly, from a Specified Subsidiary as a distribution or dividend (or other intercompany transfer) of any amount required to mandatorily prepay the Term Loans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above would reasonably be expected to result in a material and adverse Tax liability (including any withholding Tax) being incurred by Holdings, the Borrower, any Parent Company and/or any Restricted Subsidiary (such amount, a “</w:t>
      </w:r>
      <w:r>
        <w:rPr>
          <w:rFonts w:ascii="Times New Roman" w:cs="Times New Roman" w:eastAsia="Times New Roman" w:hAnsi="Times New Roman"/>
          <w:sz w:val="20"/>
          <w:szCs w:val="20"/>
          <w:u w:val="single" w:color="auto"/>
          <w:color w:val="auto"/>
        </w:rPr>
        <w:t>Restricted Amount</w:t>
      </w:r>
      <w:r>
        <w:rPr>
          <w:rFonts w:ascii="Times New Roman" w:cs="Times New Roman" w:eastAsia="Times New Roman" w:hAnsi="Times New Roman"/>
          <w:sz w:val="20"/>
          <w:szCs w:val="20"/>
          <w:color w:val="auto"/>
        </w:rPr>
        <w:t xml:space="preserve">”), the amount that the Borrower shall be required to mandatorily prepay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above, as applicable, shall be reduced by the Restricted Amount;</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Lender may elect, by notice to the Administrative Agent at or prior to the time and in the manner specified by the Administrative Agent, prior to any prepayment of Term Loans required to be made by the Borrower pursuant to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to decline all (but not a portion) of its Applicable Percentage of such prepayment (such declined amounts,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no Lender may reject any prepayment made under </w:t>
      </w:r>
      <w:r>
        <w:rPr>
          <w:rFonts w:ascii="Times New Roman" w:cs="Times New Roman" w:eastAsia="Times New Roman" w:hAnsi="Times New Roman"/>
          <w:sz w:val="20"/>
          <w:szCs w:val="20"/>
          <w:u w:val="single" w:color="auto"/>
          <w:color w:val="auto"/>
        </w:rPr>
        <w:t>Section 2.11(b)</w:t>
      </w:r>
    </w:p>
    <w:p>
      <w:pPr>
        <w:jc w:val="both"/>
        <w:ind w:left="660" w:hanging="4"/>
        <w:spacing w:after="0" w:line="221" w:lineRule="auto"/>
        <w:tabs>
          <w:tab w:leader="none" w:pos="1006" w:val="left"/>
        </w:tabs>
        <w:numPr>
          <w:ilvl w:val="0"/>
          <w:numId w:val="15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above to the extent that such prepayment is made with the Net Proceeds of (1) Refinancing Indebtedness (including Replacement Debt) incurred to refinance all or a portion of the Term Loans pursuant to </w:t>
      </w:r>
      <w:r>
        <w:rPr>
          <w:rFonts w:ascii="Times New Roman" w:cs="Times New Roman" w:eastAsia="Times New Roman" w:hAnsi="Times New Roman"/>
          <w:sz w:val="19"/>
          <w:szCs w:val="19"/>
          <w:u w:val="single" w:color="auto"/>
          <w:color w:val="auto"/>
        </w:rPr>
        <w:t>Section 6.01(p)</w:t>
      </w:r>
      <w:r>
        <w:rPr>
          <w:rFonts w:ascii="Times New Roman" w:cs="Times New Roman" w:eastAsia="Times New Roman" w:hAnsi="Times New Roman"/>
          <w:sz w:val="19"/>
          <w:szCs w:val="19"/>
          <w:color w:val="auto"/>
        </w:rPr>
        <w:t xml:space="preserve">, (2) Incremental Loans incurred to refinance all or a portion of the Term Loans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(3) Replacement Term Loans incurred to refinance all or any portion of the Term Loans in accordance with the requirements of </w:t>
      </w:r>
      <w:r>
        <w:rPr>
          <w:rFonts w:ascii="Times New Roman" w:cs="Times New Roman" w:eastAsia="Times New Roman" w:hAnsi="Times New Roman"/>
          <w:sz w:val="19"/>
          <w:szCs w:val="19"/>
          <w:u w:val="single" w:color="auto"/>
          <w:color w:val="auto"/>
        </w:rPr>
        <w:t>Section 9.02(c)</w:t>
      </w:r>
      <w:r>
        <w:rPr>
          <w:rFonts w:ascii="Times New Roman" w:cs="Times New Roman" w:eastAsia="Times New Roman" w:hAnsi="Times New Roman"/>
          <w:sz w:val="19"/>
          <w:szCs w:val="19"/>
          <w:color w:val="auto"/>
        </w:rPr>
        <w:t xml:space="preserve"> and/or (4)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64" w:lineRule="exact"/>
        <w:rPr>
          <w:rFonts w:ascii="Times New Roman" w:cs="Times New Roman" w:eastAsia="Times New Roman" w:hAnsi="Times New Roman"/>
          <w:sz w:val="19"/>
          <w:szCs w:val="19"/>
          <w:u w:val="single" w:color="auto"/>
          <w:color w:val="auto"/>
        </w:rPr>
      </w:pPr>
    </w:p>
    <w:p>
      <w:pPr>
        <w:jc w:val="both"/>
        <w:ind w:left="660" w:firstLine="644"/>
        <w:spacing w:after="0" w:line="218" w:lineRule="auto"/>
        <w:tabs>
          <w:tab w:leader="none" w:pos="1945"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contemplated by this Agreement or provided in, or intended with respect to, any Refinancing Amendment, any Incremental Facility Amendment, any Extension Amendment or any Replacement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Refinancing Amendment, Incremental Facility Amendment or Extension Amendment may not provide that the applicable Class of Term Loans receive a greater than pro rata portion of any prepayment of Term Loans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than would otherwise be permitted by this Agreement), in each case effectuated or issued in a manner consistent with this Agreement, each prepayment of Term Loans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shall be allocated to prepay any Class of Term Loans as directed by the Borrower or, in the absence of such direction, ratably to each Class of Term Loans then outstanding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Initial Term Loans in right of payment and with respect to security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prepayment of Term Loans with the Net Proceeds of any Incremental Term Facility incurred in reliance on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definition of “Incremental Cap” to extend the Maturity Date of all or any portion of any Class of Term Loans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Incremental Equivalent Debt incurred in reliance on </w:t>
      </w:r>
      <w:r>
        <w:rPr>
          <w:rFonts w:ascii="Times New Roman" w:cs="Times New Roman" w:eastAsia="Times New Roman" w:hAnsi="Times New Roman"/>
          <w:sz w:val="19"/>
          <w:szCs w:val="19"/>
          <w:u w:val="single" w:color="auto"/>
          <w:color w:val="auto"/>
        </w:rPr>
        <w:t>clause</w:t>
      </w:r>
    </w:p>
    <w:p>
      <w:pPr>
        <w:spacing w:after="0" w:line="8" w:lineRule="exact"/>
        <w:rPr>
          <w:rFonts w:ascii="Times New Roman" w:cs="Times New Roman" w:eastAsia="Times New Roman" w:hAnsi="Times New Roman"/>
          <w:sz w:val="19"/>
          <w:szCs w:val="19"/>
          <w:color w:val="auto"/>
        </w:rPr>
      </w:pPr>
    </w:p>
    <w:p>
      <w:pPr>
        <w:jc w:val="both"/>
        <w:ind w:left="660"/>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“Incremental Cap” to extend the Maturity Date of all or any portion of any Class of Term Loans and/or any Replacement Term Loan shall be applied to the applicable Class of Term Loans being extended, refinanced or replaced, as applicable). With respect to each relevant Class of Term Loans, any accepted prepayment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applied against the remaining scheduled installments of principal due in respect of such Class of Term Loans as directed by the Borrower (or, in the absence of direction from the Borrower, to the remaining scheduled amortization payments in respect of the Term Loans of such Class in direct order of maturity), and each such prepayment shall be paid to the Term Lenders in accordance with their respective Applicable Percentage of the applicable Class. If no Lender exercises the right to decline a prepayment of the Term Loans pursuant to </w:t>
      </w:r>
      <w:r>
        <w:rPr>
          <w:rFonts w:ascii="Times New Roman" w:cs="Times New Roman" w:eastAsia="Times New Roman" w:hAnsi="Times New Roman"/>
          <w:sz w:val="20"/>
          <w:szCs w:val="20"/>
          <w:u w:val="single" w:color="auto"/>
          <w:color w:val="auto"/>
        </w:rPr>
        <w:t>Section 2.11(b)(v)</w:t>
      </w:r>
      <w:r>
        <w:rPr>
          <w:rFonts w:ascii="Times New Roman" w:cs="Times New Roman" w:eastAsia="Times New Roman" w:hAnsi="Times New Roman"/>
          <w:sz w:val="20"/>
          <w:szCs w:val="20"/>
          <w:color w:val="auto"/>
        </w:rPr>
        <w:t xml:space="preserve">, the amount of such mandatory prepayment shall be applied first to the then outstanding Term Loans of the relevant Class that are ABR Loans to the full extent thereof and then to the then outstanding Term Loans of such Class that are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in a manner that minimizes the amount of any payment required to be made by the Borrower pursuant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to </w:t>
      </w:r>
      <w:r>
        <w:rPr>
          <w:rFonts w:ascii="Times New Roman" w:cs="Times New Roman" w:eastAsia="Times New Roman" w:hAnsi="Times New Roman"/>
          <w:sz w:val="20"/>
          <w:szCs w:val="20"/>
          <w:u w:val="single" w:color="auto"/>
          <w:color w:val="000000"/>
        </w:rPr>
        <w:t>Section 2.16</w:t>
      </w:r>
      <w:r>
        <w:rPr>
          <w:rFonts w:ascii="Times New Roman" w:cs="Times New Roman" w:eastAsia="Times New Roman" w:hAnsi="Times New Roman"/>
          <w:sz w:val="20"/>
          <w:szCs w:val="20"/>
          <w:color w:val="000000"/>
        </w:rPr>
        <w:t>.</w:t>
      </w:r>
    </w:p>
    <w:p>
      <w:pPr>
        <w:spacing w:after="0" w:line="167" w:lineRule="exact"/>
        <w:rPr>
          <w:rFonts w:ascii="Times New Roman" w:cs="Times New Roman" w:eastAsia="Times New Roman" w:hAnsi="Times New Roman"/>
          <w:sz w:val="19"/>
          <w:szCs w:val="19"/>
          <w:color w:val="auto"/>
        </w:rPr>
      </w:pPr>
    </w:p>
    <w:p>
      <w:pPr>
        <w:jc w:val="both"/>
        <w:ind w:left="660" w:firstLine="644"/>
        <w:spacing w:after="0" w:line="215" w:lineRule="auto"/>
        <w:tabs>
          <w:tab w:leader="none" w:pos="1945"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In the event that the aggregate Revolving Credit Exposure of any Class exceeds the Total Revolving Credit Commitment of such Class then in effect, the Borrower shall, within five Business Days of receipt of notice from the Administrative Agent, prepay the Revolving Loans or Swingline Loans and/or reduce LC Exposure, in an aggregate amount sufficient to reduce such aggregate Revolving Credit Exposure as of the date of such payment to an amount not to exceed 100% of the Revolving Credit Commitment of such Class then in effect by taking any of the following actions as it shall determine at its sole discretion: (I) prepayment of Revolving Loans and/or Swingline Loans in accordance with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and/or (II) with respect to any excess LC Exposure, provide Letter of Credit Support with respect thereto.</w:t>
      </w:r>
    </w:p>
    <w:p>
      <w:pPr>
        <w:spacing w:after="0" w:line="150" w:lineRule="exact"/>
        <w:rPr>
          <w:rFonts w:ascii="Times New Roman" w:cs="Times New Roman" w:eastAsia="Times New Roman" w:hAnsi="Times New Roman"/>
          <w:sz w:val="20"/>
          <w:szCs w:val="20"/>
          <w:color w:val="auto"/>
        </w:rPr>
      </w:pPr>
    </w:p>
    <w:p>
      <w:pPr>
        <w:ind w:left="1300" w:firstLine="652"/>
        <w:spacing w:after="0"/>
        <w:tabs>
          <w:tab w:leader="none" w:pos="2587"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of any Revolving Loan Borrowing under this </w:t>
      </w:r>
      <w:r>
        <w:rPr>
          <w:rFonts w:ascii="Times New Roman" w:cs="Times New Roman" w:eastAsia="Times New Roman" w:hAnsi="Times New Roman"/>
          <w:sz w:val="20"/>
          <w:szCs w:val="20"/>
          <w:u w:val="single" w:color="auto"/>
          <w:color w:val="auto"/>
        </w:rPr>
        <w:t>Section 2.11(b)(vii)</w:t>
      </w:r>
      <w:r>
        <w:rPr>
          <w:rFonts w:ascii="Times New Roman" w:cs="Times New Roman" w:eastAsia="Times New Roman" w:hAnsi="Times New Roman"/>
          <w:sz w:val="20"/>
          <w:szCs w:val="20"/>
          <w:color w:val="auto"/>
        </w:rPr>
        <w:t xml:space="preserve"> shall be paid to the Revolving Lenders in accordance with their respective Applicable Percentages of the applicable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09" w:name="page210"/>
    <w:bookmarkEnd w:id="209"/>
    <w:p>
      <w:pPr>
        <w:jc w:val="both"/>
        <w:ind w:left="660" w:firstLine="644"/>
        <w:spacing w:after="0" w:line="222" w:lineRule="auto"/>
        <w:tabs>
          <w:tab w:leader="none" w:pos="194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Prepayments made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(A) accompanied by accrued interest as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(which may, at the election of the Borrower, be netted in the calculation of the applicable prepayment amount (and in the event such election is made, the amount of the applicable prepayment of principal and the amount of such accrued interest shall be determined by the Borrower in good faith in consultation with the Administrative Agent)) and (B)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Fees.</w:t>
      </w:r>
    </w:p>
    <w:p>
      <w:pPr>
        <w:spacing w:after="0" w:line="175" w:lineRule="exact"/>
        <w:rPr>
          <w:sz w:val="20"/>
          <w:szCs w:val="20"/>
          <w:color w:val="auto"/>
        </w:rPr>
      </w:pPr>
    </w:p>
    <w:p>
      <w:pPr>
        <w:jc w:val="both"/>
        <w:ind w:firstLine="656"/>
        <w:spacing w:after="0" w:line="212" w:lineRule="auto"/>
        <w:tabs>
          <w:tab w:leader="none" w:pos="128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actual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each Scheduled Payment Date for the quarterly period then most recently ended (or, in the case of the first such payment made after the Closing Date, for the period from the Closing Date to such date), and on the date on which the Revolving Credit Commitments of the applicable Class terminate. For purposes of calculating the commitment fee payable pursuant to this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the Revolving Credit Commitment of any Class shall be deemed to have been used to the extent of the outstanding principal amount of the Revolving Loans of such Class and the LC Exposure attributable to the Revolving Credit Commitment of such Class, but no portion of the Revolving Credit Commitment of any Class shall be deemed to have been used as a result of any outstanding Swingline Loan.</w:t>
      </w:r>
    </w:p>
    <w:p>
      <w:pPr>
        <w:spacing w:after="0" w:line="168"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of any Class, a participation fee with respect to its participation in any outstanding Letter of Credit that is not subject to Letter of Credit Support, which shall accrue at the Applicable Rate used to determine the interest rate applicable to Revolving Loans of such Class that are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on the daily portion of such Lender’s LC Exposure that is attributable to its Revolving Credit Commitment of such Class (excluding any portion thereof that is attributable to any unreimbursed LC Disbursement),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that is not subject to Letter of Credit Support issued by such Issuing Bank for the period from the date of issuance of such Letter of Credit to the earliest of (A) the expiration date of such Letter of Credit, (B) the date on which such Letter of Credit terminates, (C) the Termination Date, computed at a rate agreed by such Issuing Bank and the Borrower (but in any event not to exceed 0.125% per annum) of the daily available amount of such Letter of Credit, as well as such Issuing Bank’s standard fees with respect to the issuance, amendment, renewal or extension of any Letter of Credit or the processing of any drawing thereunder. Participation fees and fronting fees shall accrue to but excluding each Scheduled Payment Date and be payable in arrears for the quarterly period then most recently ended (or, in the case of the payment made on the first such date after the Closing Date, for the period from the Closing Date to such date) on each Scheduled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and prior to the Termination Date shall be payable on demand. Any other fee payable to any Issuing Bank pursuant to this paragraph shall be payable within 30 days after receipt of a written demand (accompanied by reasonable back-up documentation) therefor.</w:t>
      </w:r>
    </w:p>
    <w:p>
      <w:pPr>
        <w:spacing w:after="0" w:line="16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the annual administration fee described in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 Letter.</w:t>
      </w:r>
    </w:p>
    <w:p>
      <w:pPr>
        <w:spacing w:after="0" w:line="166"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 due, in Dollars and in immediately available funds, to the Administrative Agent (or to the applicable Issuing Bank, in the case of fees payable to any Issuing Bank). Fees paid shall not be refundable under any circumstance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color w:val="auto"/>
        </w:rPr>
        <w:t>otherwise provided in the Fee Letter. Fees payable hereunder shall accrue through and including the last day of the month immediately preceding the applicable fee payment date.</w:t>
      </w:r>
    </w:p>
    <w:p>
      <w:pPr>
        <w:spacing w:after="0" w:line="148"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Interest.</w:t>
      </w:r>
    </w:p>
    <w:p>
      <w:pPr>
        <w:spacing w:after="0" w:line="189" w:lineRule="exact"/>
        <w:rPr>
          <w:sz w:val="20"/>
          <w:szCs w:val="20"/>
          <w:color w:val="auto"/>
        </w:rPr>
      </w:pPr>
    </w:p>
    <w:p>
      <w:pPr>
        <w:ind w:firstLine="656"/>
        <w:spacing w:after="0" w:line="233" w:lineRule="auto"/>
        <w:tabs>
          <w:tab w:leader="none" w:pos="128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Loans, the Revolving Loans and the Swing Loans, in each case, comprising each ABR Borrowing shall bear interest at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Loans and the Revolving Loans comprising each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shall bear interest at </w:t>
      </w:r>
      <w:r>
        <w:rPr>
          <w:rFonts w:ascii="Times New Roman" w:cs="Times New Roman" w:eastAsia="Times New Roman" w:hAnsi="Times New Roman"/>
          <w:sz w:val="20"/>
          <w:szCs w:val="20"/>
          <w:color w:val="FF0000"/>
          <w:strike w:val="1"/>
        </w:rPr>
        <w:t>the 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for the Interest Period in effect for such Borrowing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Applicable Rate.</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but in all cases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if any principal of or interest on any Term Loan, Revolving Loan or Swingline Loan, any LC Disbursement or other amount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Swingline Loan or unreimbursed LC Disbursement,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Term Loan, Revolving Loan, Swingline Loan or LC Disbursement as provided in the preceding paragraphs of this Section or (ii) in the case of any fee and other amounts,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Revolving Loans that are ABR Loans as provided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accrue pursuant to this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on any overdue amount, reimbursement obligation in respect of any LC Disbursement or other amount that is payable to any Defaulting Lender so long as such Lender is a Defaulting Lender.</w:t>
      </w:r>
    </w:p>
    <w:p>
      <w:pPr>
        <w:spacing w:after="0" w:line="155"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Term Loan, Revolving Loan and Swingline Loan shall be payable in arrears on each Interest Payment Date for such Term Loan, Revolving Loan or Swingline Loan and (i) on the Maturity Date applicable to such Loan, (ii) in the case of a Revolving Loan of any Class, upon termination of the Revolving Credit Commitments of such Class and (iii) in the case of any Swingline Loan, upon termination of all of the Revolving Credit Commitments,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interest accrued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payable on demand, (B) except as provided in </w:t>
      </w:r>
      <w:r>
        <w:rPr>
          <w:rFonts w:ascii="Times New Roman" w:cs="Times New Roman" w:eastAsia="Times New Roman" w:hAnsi="Times New Roman"/>
          <w:sz w:val="20"/>
          <w:szCs w:val="20"/>
          <w:u w:val="single" w:color="auto"/>
          <w:color w:val="auto"/>
        </w:rPr>
        <w:t>Section 2.11(b)(viii)</w:t>
      </w:r>
      <w:r>
        <w:rPr>
          <w:rFonts w:ascii="Times New Roman" w:cs="Times New Roman" w:eastAsia="Times New Roman" w:hAnsi="Times New Roman"/>
          <w:sz w:val="20"/>
          <w:szCs w:val="20"/>
          <w:color w:val="auto"/>
        </w:rPr>
        <w:t xml:space="preserve">, in the event of any repayment or prepayment of any Term Loan, Revolving Loan (other than an ABR Revolving Loan of any Class prior to the termination of the Revolving Credit Commitments of such Class) or Swingline Loan, accrued interest on the principal amount repaid or prepaid shall be payable on the date of such repayment or prepayment and (C) in the event of any conversion of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prior to the end of the current Interest Period therefor, accrued interest on such Term Loan or Revolving Loan shall be payable on the effective date of such conversion.</w:t>
      </w:r>
    </w:p>
    <w:p>
      <w:pPr>
        <w:spacing w:after="0" w:line="169"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bear interest for one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1" w:name="page212"/>
    <w:bookmarkEnd w:id="211"/>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FF0000"/>
          <w:strike w:val="1"/>
        </w:rPr>
        <w:t>Alternate Rate of Interest</w:t>
      </w:r>
      <w:r>
        <w:rPr>
          <w:rFonts w:ascii="Times New Roman" w:cs="Times New Roman" w:eastAsia="Times New Roman" w:hAnsi="Times New Roman"/>
          <w:sz w:val="19"/>
          <w:szCs w:val="19"/>
          <w:u w:val="single" w:color="auto"/>
          <w:color w:val="0000FF"/>
          <w:strike w:val="1"/>
        </w:rPr>
        <w:t>Inability to Determine Rates; Benchmark Replacement Setting</w:t>
      </w:r>
      <w:r>
        <w:rPr>
          <w:rFonts w:ascii="Times New Roman" w:cs="Times New Roman" w:eastAsia="Times New Roman" w:hAnsi="Times New Roman"/>
          <w:sz w:val="19"/>
          <w:szCs w:val="19"/>
          <w:color w:val="000000"/>
          <w:strike w:val="1"/>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If, prior to the commencement of any Interest Period for a LIBO Rate Borrowing:</w:t>
      </w:r>
    </w:p>
    <w:p>
      <w:pPr>
        <w:spacing w:after="0" w:line="175" w:lineRule="exact"/>
        <w:rPr>
          <w:sz w:val="20"/>
          <w:szCs w:val="20"/>
          <w:color w:val="auto"/>
        </w:rPr>
      </w:pPr>
    </w:p>
    <w:p>
      <w:pPr>
        <w:jc w:val="both"/>
        <w:ind w:firstLine="656"/>
        <w:spacing w:after="0" w:line="220" w:lineRule="auto"/>
        <w:tabs>
          <w:tab w:leader="none" w:pos="963" w:val="left"/>
        </w:tabs>
        <w:numPr>
          <w:ilvl w:val="0"/>
          <w:numId w:val="1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subject to, and without limitation of,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if the Administrative Agent determines</w:t>
      </w:r>
      <w:r>
        <w:rPr>
          <w:rFonts w:ascii="Times New Roman" w:cs="Times New Roman" w:eastAsia="Times New Roman" w:hAnsi="Times New Roman"/>
          <w:sz w:val="20"/>
          <w:szCs w:val="20"/>
          <w:color w:val="FF0000"/>
          <w:strike w:val="1"/>
        </w:rPr>
        <w:t xml:space="preserve"> (which determination shall be conclusive absent manifest error) that (i) adequate and reasonable means do not exist for ascertaining the LIBO Rate for such Interest Period (and the circumstances described in </w:t>
      </w:r>
      <w:r>
        <w:rPr>
          <w:rFonts w:ascii="Times New Roman" w:cs="Times New Roman" w:eastAsia="Times New Roman" w:hAnsi="Times New Roman"/>
          <w:sz w:val="20"/>
          <w:szCs w:val="20"/>
          <w:u w:val="single" w:color="auto"/>
          <w:color w:val="FF0000"/>
          <w:strike w:val="1"/>
        </w:rPr>
        <w:t>Section 1.13</w:t>
      </w:r>
      <w:r>
        <w:rPr>
          <w:rFonts w:ascii="Times New Roman" w:cs="Times New Roman" w:eastAsia="Times New Roman" w:hAnsi="Times New Roman"/>
          <w:sz w:val="20"/>
          <w:szCs w:val="20"/>
          <w:color w:val="FF0000"/>
          <w:strike w:val="1"/>
        </w:rPr>
        <w:t xml:space="preserve"> do not apply) or (ii) deposits in Dollars are not being offered to banks in the applicable offshore interbank eurodollar market for such currency for the applicable amount and Interest Period of such LIBO Rate Loan (in each respect of each of </w:t>
      </w:r>
      <w:r>
        <w:rPr>
          <w:rFonts w:ascii="Times New Roman" w:cs="Times New Roman" w:eastAsia="Times New Roman" w:hAnsi="Times New Roman"/>
          <w:sz w:val="20"/>
          <w:szCs w:val="20"/>
          <w:u w:val="single" w:color="auto"/>
          <w:color w:val="FF0000"/>
          <w:strike w:val="1"/>
        </w:rPr>
        <w:t>clauses (i)</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FF0000"/>
          <w:strike w:val="1"/>
        </w:rPr>
        <w:t>(ii)</w:t>
      </w:r>
      <w:r>
        <w:rPr>
          <w:rFonts w:ascii="Times New Roman" w:cs="Times New Roman" w:eastAsia="Times New Roman" w:hAnsi="Times New Roman"/>
          <w:sz w:val="20"/>
          <w:szCs w:val="20"/>
          <w:color w:val="FF0000"/>
          <w:strike w:val="1"/>
        </w:rPr>
        <w:t>, “</w:t>
      </w:r>
      <w:r>
        <w:rPr>
          <w:rFonts w:ascii="Times New Roman" w:cs="Times New Roman" w:eastAsia="Times New Roman" w:hAnsi="Times New Roman"/>
          <w:sz w:val="20"/>
          <w:szCs w:val="20"/>
          <w:u w:val="single" w:color="auto"/>
          <w:color w:val="FF0000"/>
          <w:strike w:val="1"/>
        </w:rPr>
        <w:t>Impacted Loans</w:t>
      </w:r>
      <w:r>
        <w:rPr>
          <w:rFonts w:ascii="Times New Roman" w:cs="Times New Roman" w:eastAsia="Times New Roman" w:hAnsi="Times New Roman"/>
          <w:sz w:val="20"/>
          <w:szCs w:val="20"/>
          <w:color w:val="FF0000"/>
          <w:strike w:val="1"/>
        </w:rPr>
        <w:t>”); or</w:t>
      </w:r>
    </w:p>
    <w:p>
      <w:pPr>
        <w:spacing w:after="0" w:line="160" w:lineRule="exact"/>
        <w:rPr>
          <w:rFonts w:ascii="Times New Roman" w:cs="Times New Roman" w:eastAsia="Times New Roman" w:hAnsi="Times New Roman"/>
          <w:sz w:val="20"/>
          <w:szCs w:val="20"/>
          <w:color w:val="FF0000"/>
          <w:strike w:val="1"/>
        </w:rPr>
      </w:pPr>
    </w:p>
    <w:p>
      <w:pPr>
        <w:jc w:val="both"/>
        <w:ind w:firstLine="656"/>
        <w:spacing w:after="0" w:line="226" w:lineRule="auto"/>
        <w:tabs>
          <w:tab w:leader="none" w:pos="952" w:val="left"/>
        </w:tabs>
        <w:numPr>
          <w:ilvl w:val="0"/>
          <w:numId w:val="15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Administrative Agent is advised by the Required Lenders in writing that the LIBO Rate for such Interest Period will not adequately and fairly reflect the cost to such Lenders of making or maintaining their Loans included in such Borrowing for such Interest Period;</w:t>
      </w:r>
    </w:p>
    <w:p>
      <w:pPr>
        <w:spacing w:after="0" w:line="16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FF0000"/>
          <w:strike w:val="1"/>
        </w:rPr>
        <w:t xml:space="preserve">then the Administrative Agent shall reasonably promptly give notice thereof to the Borrower and the Lenders by telephone, facsimile or electronic mail promptly thereafter (but at least two </w:t>
      </w:r>
      <w:r>
        <w:rPr>
          <w:rFonts w:ascii="Times New Roman" w:cs="Times New Roman" w:eastAsia="Times New Roman" w:hAnsi="Times New Roman"/>
          <w:sz w:val="19"/>
          <w:szCs w:val="19"/>
          <w:color w:val="008000"/>
          <w:strike w:val="1"/>
        </w:rPr>
        <w:t>Business Days prior to the first day of such Interest Period</w:t>
      </w:r>
      <w:r>
        <w:rPr>
          <w:rFonts w:ascii="Times New Roman" w:cs="Times New Roman" w:eastAsia="Times New Roman" w:hAnsi="Times New Roman"/>
          <w:sz w:val="19"/>
          <w:szCs w:val="19"/>
          <w:color w:val="FF0000"/>
          <w:strike w:val="1"/>
        </w:rPr>
        <w:t>) and, until the Administrative</w:t>
      </w:r>
    </w:p>
    <w:p>
      <w:pPr>
        <w:spacing w:after="0" w:line="211" w:lineRule="auto"/>
        <w:rPr>
          <w:sz w:val="20"/>
          <w:szCs w:val="20"/>
          <w:color w:val="auto"/>
        </w:rPr>
      </w:pPr>
      <w:r>
        <w:rPr>
          <w:rFonts w:ascii="Times New Roman" w:cs="Times New Roman" w:eastAsia="Times New Roman" w:hAnsi="Times New Roman"/>
          <w:sz w:val="20"/>
          <w:szCs w:val="20"/>
          <w:color w:val="FF0000"/>
          <w:strike w:val="1"/>
        </w:rPr>
        <w:t>Agent notifies the Borrower and the Lenders that the circumstances giving rise to such notice no longer exist, which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FF0000"/>
          <w:strike w:val="1"/>
        </w:rPr>
        <w:t>Agent agrees promptly to do, (i) any Interest Election Request that requests the conversion of any Borrowing to, or continuation of any Borrowing as, a LIBO Rate Borrowing shall be ineffective and such Borrowing shall be converted to an ABR Borrowing on the last day of</w:t>
      </w:r>
    </w:p>
    <w:p>
      <w:pPr>
        <w:spacing w:after="0" w:line="211" w:lineRule="auto"/>
        <w:rPr>
          <w:sz w:val="20"/>
          <w:szCs w:val="20"/>
          <w:color w:val="auto"/>
        </w:rPr>
      </w:pPr>
      <w:r>
        <w:rPr>
          <w:rFonts w:ascii="Times New Roman" w:cs="Times New Roman" w:eastAsia="Times New Roman" w:hAnsi="Times New Roman"/>
          <w:sz w:val="20"/>
          <w:szCs w:val="20"/>
          <w:color w:val="FF0000"/>
          <w:strike w:val="1"/>
        </w:rPr>
        <w:t>the Interest Period, (ii) if any Borrowing Request requests a LIBO Rate Borrowing, such Borrowing shall be made as an ABR Borrowing,</w:t>
      </w:r>
    </w:p>
    <w:p>
      <w:pPr>
        <w:spacing w:after="0" w:line="1" w:lineRule="exact"/>
        <w:rPr>
          <w:sz w:val="20"/>
          <w:szCs w:val="20"/>
          <w:color w:val="auto"/>
        </w:rPr>
      </w:pPr>
    </w:p>
    <w:p>
      <w:pPr>
        <w:jc w:val="both"/>
        <w:ind w:firstLine="8"/>
        <w:spacing w:after="0" w:line="212" w:lineRule="auto"/>
        <w:tabs>
          <w:tab w:leader="none" w:pos="389" w:val="left"/>
        </w:tabs>
        <w:numPr>
          <w:ilvl w:val="0"/>
          <w:numId w:val="15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the obligation of the Lenders to make or maintain a LIBO Rate Loan in Dollars shall be suspended and (iv) in the event of a determination in </w:t>
      </w:r>
      <w:r>
        <w:rPr>
          <w:rFonts w:ascii="Times New Roman" w:cs="Times New Roman" w:eastAsia="Times New Roman" w:hAnsi="Times New Roman"/>
          <w:sz w:val="20"/>
          <w:szCs w:val="20"/>
          <w:u w:val="single" w:color="auto"/>
          <w:color w:val="FF0000"/>
          <w:strike w:val="1"/>
        </w:rPr>
        <w:t>clauses (a)</w:t>
      </w:r>
      <w:r>
        <w:rPr>
          <w:rFonts w:ascii="Times New Roman" w:cs="Times New Roman" w:eastAsia="Times New Roman" w:hAnsi="Times New Roman"/>
          <w:sz w:val="20"/>
          <w:szCs w:val="20"/>
          <w:color w:val="FF0000"/>
          <w:strike w:val="1"/>
        </w:rPr>
        <w:t xml:space="preserve"> or </w:t>
      </w:r>
      <w:r>
        <w:rPr>
          <w:rFonts w:ascii="Times New Roman" w:cs="Times New Roman" w:eastAsia="Times New Roman" w:hAnsi="Times New Roman"/>
          <w:sz w:val="20"/>
          <w:szCs w:val="20"/>
          <w:u w:val="single" w:color="auto"/>
          <w:color w:val="FF0000"/>
          <w:strike w:val="1"/>
        </w:rPr>
        <w:t>(b)</w:t>
      </w:r>
      <w:r>
        <w:rPr>
          <w:rFonts w:ascii="Times New Roman" w:cs="Times New Roman" w:eastAsia="Times New Roman" w:hAnsi="Times New Roman"/>
          <w:sz w:val="20"/>
          <w:szCs w:val="20"/>
          <w:color w:val="FF0000"/>
          <w:strike w:val="1"/>
        </w:rPr>
        <w:t xml:space="preserve"> above with respect to the LIBO Rate component of the Base Rate, the utilization of the LIBO Rate component of the Base Rate shall be suspended;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in the cases of </w:t>
      </w:r>
      <w:r>
        <w:rPr>
          <w:rFonts w:ascii="Times New Roman" w:cs="Times New Roman" w:eastAsia="Times New Roman" w:hAnsi="Times New Roman"/>
          <w:sz w:val="20"/>
          <w:szCs w:val="20"/>
          <w:u w:val="single" w:color="auto"/>
          <w:color w:val="FF0000"/>
          <w:strike w:val="1"/>
        </w:rPr>
        <w:t>clauses (i)</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FF0000"/>
          <w:strike w:val="1"/>
        </w:rPr>
        <w:t>(ii)</w:t>
      </w:r>
      <w:r>
        <w:rPr>
          <w:rFonts w:ascii="Times New Roman" w:cs="Times New Roman" w:eastAsia="Times New Roman" w:hAnsi="Times New Roman"/>
          <w:sz w:val="20"/>
          <w:szCs w:val="20"/>
          <w:color w:val="FF0000"/>
          <w:strike w:val="1"/>
        </w:rPr>
        <w:t>, the Borrower may instead revoke any pending Interest Election Request or Borrowing Request. In the case of any outstanding LIBO Rate Loans that are Impacted Loans, on the last day of the Interest Period applicable thereto, such Impacted Loans will be deemed to have been converted to ABR Loans.</w:t>
      </w:r>
    </w:p>
    <w:p>
      <w:pPr>
        <w:spacing w:after="0" w:line="55" w:lineRule="exact"/>
        <w:rPr>
          <w:rFonts w:ascii="Times New Roman" w:cs="Times New Roman" w:eastAsia="Times New Roman" w:hAnsi="Times New Roman"/>
          <w:sz w:val="20"/>
          <w:szCs w:val="20"/>
          <w:color w:val="FF0000"/>
          <w:strike w:val="1"/>
        </w:rPr>
      </w:pPr>
    </w:p>
    <w:p>
      <w:pPr>
        <w:ind w:left="1300" w:hanging="644"/>
        <w:spacing w:after="0"/>
        <w:tabs>
          <w:tab w:leader="none" w:pos="1300" w:val="left"/>
        </w:tabs>
        <w:numPr>
          <w:ilvl w:val="1"/>
          <w:numId w:val="15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Inability to Determine Rates.</w:t>
      </w:r>
    </w:p>
    <w:p>
      <w:pPr>
        <w:spacing w:after="0" w:line="175" w:lineRule="exact"/>
        <w:rPr>
          <w:rFonts w:ascii="Times New Roman" w:cs="Times New Roman" w:eastAsia="Times New Roman" w:hAnsi="Times New Roman"/>
          <w:sz w:val="20"/>
          <w:szCs w:val="20"/>
          <w:u w:val="single" w:color="auto"/>
          <w:color w:val="0000FF"/>
        </w:rPr>
      </w:pPr>
    </w:p>
    <w:p>
      <w:pPr>
        <w:jc w:val="both"/>
        <w:ind w:left="660" w:firstLine="644"/>
        <w:spacing w:after="0" w:line="215" w:lineRule="auto"/>
        <w:tabs>
          <w:tab w:leader="none" w:pos="1954" w:val="left"/>
        </w:tabs>
        <w:numPr>
          <w:ilvl w:val="2"/>
          <w:numId w:val="15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Subject to Section 2.14(b), if, in connection with any request for a Term SOFR Loan or a conversion of ABR Loans to Term SOFR Loans or a continuation of any of such Loans, as applicable, on or prior to the first day of any Interest Period for any Term SOFR Loan, (A) </w:t>
      </w:r>
      <w:r>
        <w:rPr>
          <w:rFonts w:ascii="Times New Roman" w:cs="Times New Roman" w:eastAsia="Times New Roman" w:hAnsi="Times New Roman"/>
          <w:sz w:val="20"/>
          <w:szCs w:val="20"/>
          <w:u w:val="single" w:color="auto"/>
          <w:color w:val="008000"/>
        </w:rPr>
        <w:t>the Administrative Agent determines (which determination shall be conclusive absent manifest error)</w:t>
      </w:r>
      <w:r>
        <w:rPr>
          <w:rFonts w:ascii="Times New Roman" w:cs="Times New Roman" w:eastAsia="Times New Roman" w:hAnsi="Times New Roman"/>
          <w:sz w:val="20"/>
          <w:szCs w:val="20"/>
          <w:u w:val="single" w:color="auto"/>
          <w:color w:val="0000FF"/>
        </w:rPr>
        <w:t xml:space="preserve"> that “Term SOFR” cannot be determined pursuant to the definition thereof or (B) the Administrative Agent is advised by the Required Lenders in writing that for any reason in connection with any request for a Term SOFR Loan or a conversion thereto or a continuation thereof, Term SOFR for any requested Interest Period with respect to a proposed Term SOFR Loan does not adequately and fairly reflect the cost to such Lenders of making and maintaining such Loan, then in each case, the Administrative Agent will promptly so notify the Borrower and each Lender.</w:t>
      </w:r>
    </w:p>
    <w:p>
      <w:pPr>
        <w:spacing w:after="0" w:line="160" w:lineRule="exact"/>
        <w:rPr>
          <w:rFonts w:ascii="Times New Roman" w:cs="Times New Roman" w:eastAsia="Times New Roman" w:hAnsi="Times New Roman"/>
          <w:sz w:val="20"/>
          <w:szCs w:val="20"/>
          <w:u w:val="single" w:color="auto"/>
          <w:color w:val="0000FF"/>
        </w:rPr>
      </w:pPr>
    </w:p>
    <w:p>
      <w:pPr>
        <w:jc w:val="both"/>
        <w:ind w:left="660" w:firstLine="644"/>
        <w:spacing w:after="0" w:line="213" w:lineRule="auto"/>
        <w:tabs>
          <w:tab w:leader="none" w:pos="1955" w:val="left"/>
        </w:tabs>
        <w:numPr>
          <w:ilvl w:val="2"/>
          <w:numId w:val="15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Upon notice thereof by the Administrative Agent to the Borrower, any </w:t>
      </w:r>
      <w:r>
        <w:rPr>
          <w:rFonts w:ascii="Times New Roman" w:cs="Times New Roman" w:eastAsia="Times New Roman" w:hAnsi="Times New Roman"/>
          <w:sz w:val="20"/>
          <w:szCs w:val="20"/>
          <w:u w:val="single" w:color="auto"/>
          <w:color w:val="008000"/>
        </w:rPr>
        <w:t>obligation of the Lenders to make</w:t>
      </w:r>
      <w:r>
        <w:rPr>
          <w:rFonts w:ascii="Times New Roman" w:cs="Times New Roman" w:eastAsia="Times New Roman" w:hAnsi="Times New Roman"/>
          <w:sz w:val="20"/>
          <w:szCs w:val="20"/>
          <w:u w:val="single" w:color="auto"/>
          <w:color w:val="0000FF"/>
        </w:rPr>
        <w:t xml:space="preserve"> Term SOFR Loans, and any right of the Borrower to continue Term SOFR Loans, or to convert ABR Loans to Term SOFR Loans, </w:t>
      </w:r>
      <w:r>
        <w:rPr>
          <w:rFonts w:ascii="Times New Roman" w:cs="Times New Roman" w:eastAsia="Times New Roman" w:hAnsi="Times New Roman"/>
          <w:sz w:val="20"/>
          <w:szCs w:val="20"/>
          <w:u w:val="single" w:color="auto"/>
          <w:color w:val="008000"/>
        </w:rPr>
        <w:t>shall be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suspended (to the extent of the affected </w:t>
      </w:r>
      <w:r>
        <w:rPr>
          <w:rFonts w:ascii="Times New Roman" w:cs="Times New Roman" w:eastAsia="Times New Roman" w:hAnsi="Times New Roman"/>
          <w:sz w:val="20"/>
          <w:szCs w:val="20"/>
          <w:u w:val="single" w:color="auto"/>
          <w:color w:val="0000FF"/>
        </w:rPr>
        <w:t>Term SOFR Loans and/or the affected Interest Periods, as applicable) until the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Administrative Agent (with respect to clause (i)(B) above, at the instruction of the Required Lenders) revokes such notice</w:t>
      </w:r>
      <w:r>
        <w:rPr>
          <w:rFonts w:ascii="Times New Roman" w:cs="Times New Roman" w:eastAsia="Times New Roman" w:hAnsi="Times New Roman"/>
          <w:sz w:val="20"/>
          <w:szCs w:val="20"/>
          <w:u w:val="single" w:color="auto"/>
          <w:color w:val="008000"/>
        </w:rPr>
        <w:t>. Upon</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receipt of such notice, </w:t>
      </w:r>
      <w:r>
        <w:rPr>
          <w:rFonts w:ascii="Times New Roman" w:cs="Times New Roman" w:eastAsia="Times New Roman" w:hAnsi="Times New Roman"/>
          <w:sz w:val="20"/>
          <w:szCs w:val="20"/>
          <w:u w:val="single" w:color="auto"/>
          <w:color w:val="0000FF"/>
        </w:rPr>
        <w:t>(A) the Borrower</w:t>
      </w:r>
      <w:r>
        <w:rPr>
          <w:rFonts w:ascii="Times New Roman" w:cs="Times New Roman" w:eastAsia="Times New Roman" w:hAnsi="Times New Roman"/>
          <w:sz w:val="20"/>
          <w:szCs w:val="20"/>
          <w:u w:val="single" w:color="auto"/>
          <w:color w:val="008000"/>
        </w:rPr>
        <w:t xml:space="preserve"> may revoke any pending request for a Borrowing of </w:t>
      </w:r>
      <w:r>
        <w:rPr>
          <w:rFonts w:ascii="Times New Roman" w:cs="Times New Roman" w:eastAsia="Times New Roman" w:hAnsi="Times New Roman"/>
          <w:sz w:val="20"/>
          <w:szCs w:val="20"/>
          <w:u w:val="single" w:color="auto"/>
          <w:color w:val="0000FF"/>
        </w:rPr>
        <w:t>Term SOFR Loans, or a</w:t>
      </w:r>
      <w:r>
        <w:rPr>
          <w:rFonts w:ascii="Times New Roman" w:cs="Times New Roman" w:eastAsia="Times New Roman" w:hAnsi="Times New Roman"/>
          <w:sz w:val="20"/>
          <w:szCs w:val="20"/>
          <w:u w:val="single" w:color="auto"/>
          <w:color w:val="008000"/>
        </w:rPr>
        <w:t xml:space="preserve"> conversion to or continuation of </w:t>
      </w:r>
      <w:r>
        <w:rPr>
          <w:rFonts w:ascii="Times New Roman" w:cs="Times New Roman" w:eastAsia="Times New Roman" w:hAnsi="Times New Roman"/>
          <w:sz w:val="20"/>
          <w:szCs w:val="20"/>
          <w:u w:val="single" w:color="auto"/>
          <w:color w:val="0000FF"/>
        </w:rPr>
        <w:t>Term SOFR Loans, in each case,</w:t>
      </w:r>
      <w:r>
        <w:rPr>
          <w:rFonts w:ascii="Times New Roman" w:cs="Times New Roman" w:eastAsia="Times New Roman" w:hAnsi="Times New Roman"/>
          <w:sz w:val="20"/>
          <w:szCs w:val="20"/>
          <w:u w:val="single" w:color="auto"/>
          <w:color w:val="008000"/>
        </w:rPr>
        <w:t xml:space="preserve"> to the extent of the affected </w:t>
      </w:r>
      <w:r>
        <w:rPr>
          <w:rFonts w:ascii="Times New Roman" w:cs="Times New Roman" w:eastAsia="Times New Roman" w:hAnsi="Times New Roman"/>
          <w:sz w:val="20"/>
          <w:szCs w:val="20"/>
          <w:u w:val="single" w:color="auto"/>
          <w:color w:val="0000FF"/>
        </w:rPr>
        <w:t>Term SOFR Loans and/or the affected Interest</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 xml:space="preserve">Periods, as applicable, and, failing that, the Borrower </w:t>
      </w:r>
      <w:r>
        <w:rPr>
          <w:rFonts w:ascii="Times New Roman" w:cs="Times New Roman" w:eastAsia="Times New Roman" w:hAnsi="Times New Roman"/>
          <w:sz w:val="20"/>
          <w:szCs w:val="20"/>
          <w:u w:val="single" w:color="auto"/>
          <w:color w:val="008000"/>
        </w:rPr>
        <w:t>will be deemed to have converted</w:t>
      </w:r>
      <w:r>
        <w:rPr>
          <w:rFonts w:ascii="Times New Roman" w:cs="Times New Roman" w:eastAsia="Times New Roman" w:hAnsi="Times New Roman"/>
          <w:sz w:val="20"/>
          <w:szCs w:val="20"/>
          <w:u w:val="single" w:color="auto"/>
          <w:color w:val="0000FF"/>
        </w:rPr>
        <w:t xml:space="preserve"> any </w:t>
      </w:r>
      <w:r>
        <w:rPr>
          <w:rFonts w:ascii="Times New Roman" w:cs="Times New Roman" w:eastAsia="Times New Roman" w:hAnsi="Times New Roman"/>
          <w:sz w:val="20"/>
          <w:szCs w:val="20"/>
          <w:u w:val="single" w:color="auto"/>
          <w:color w:val="008000"/>
        </w:rPr>
        <w:t>such request into a request for a</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Borrowing of </w:t>
      </w:r>
      <w:r>
        <w:rPr>
          <w:rFonts w:ascii="Times New Roman" w:cs="Times New Roman" w:eastAsia="Times New Roman" w:hAnsi="Times New Roman"/>
          <w:sz w:val="20"/>
          <w:szCs w:val="20"/>
          <w:u w:val="single" w:color="auto"/>
          <w:color w:val="0000FF"/>
        </w:rPr>
        <w:t>or conversion to ABR Loans, and (B) any outstanding affected Term SOFR</w:t>
      </w:r>
      <w:r>
        <w:rPr>
          <w:rFonts w:ascii="Times New Roman" w:cs="Times New Roman" w:eastAsia="Times New Roman" w:hAnsi="Times New Roman"/>
          <w:sz w:val="20"/>
          <w:szCs w:val="20"/>
          <w:u w:val="single" w:color="auto"/>
          <w:color w:val="008000"/>
        </w:rPr>
        <w:t xml:space="preserve"> Loans will be deemed to have been converted </w:t>
      </w:r>
      <w:r>
        <w:rPr>
          <w:rFonts w:ascii="Times New Roman" w:cs="Times New Roman" w:eastAsia="Times New Roman" w:hAnsi="Times New Roman"/>
          <w:sz w:val="20"/>
          <w:szCs w:val="20"/>
          <w:u w:val="single" w:color="auto"/>
          <w:color w:val="0000FF"/>
        </w:rPr>
        <w:t>to ABR</w:t>
      </w:r>
      <w:r>
        <w:rPr>
          <w:rFonts w:ascii="Times New Roman" w:cs="Times New Roman" w:eastAsia="Times New Roman" w:hAnsi="Times New Roman"/>
          <w:sz w:val="20"/>
          <w:szCs w:val="20"/>
          <w:u w:val="single" w:color="auto"/>
          <w:color w:val="008000"/>
        </w:rPr>
        <w:t xml:space="preserve"> Loans at the end of the applicable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2" w:name="page213"/>
    <w:bookmarkEnd w:id="212"/>
    <w:p>
      <w:pPr>
        <w:ind w:left="1300" w:hanging="644"/>
        <w:spacing w:after="0"/>
        <w:tabs>
          <w:tab w:leader="none" w:pos="1300" w:val="left"/>
        </w:tabs>
        <w:numPr>
          <w:ilvl w:val="0"/>
          <w:numId w:val="16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Replacement Setting.</w:t>
      </w:r>
    </w:p>
    <w:p>
      <w:pPr>
        <w:spacing w:after="0" w:line="188" w:lineRule="exact"/>
        <w:rPr>
          <w:rFonts w:ascii="Times New Roman" w:cs="Times New Roman" w:eastAsia="Times New Roman" w:hAnsi="Times New Roman"/>
          <w:sz w:val="20"/>
          <w:szCs w:val="20"/>
          <w:u w:val="single" w:color="auto"/>
          <w:color w:val="0000FF"/>
        </w:rPr>
      </w:pPr>
    </w:p>
    <w:p>
      <w:pPr>
        <w:jc w:val="both"/>
        <w:ind w:left="660" w:firstLine="644"/>
        <w:spacing w:after="0" w:line="210" w:lineRule="auto"/>
        <w:tabs>
          <w:tab w:leader="none" w:pos="1954" w:val="left"/>
        </w:tabs>
        <w:numPr>
          <w:ilvl w:val="1"/>
          <w:numId w:val="16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Benchmark Replacement. Notwithstanding anything to the contrary herein or in any other Loan Document, if a Benchmark Transition Event and its related Benchmark Replacement Date have occurred prior to the reference time in respect of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w:t>
      </w:r>
      <w:r>
        <w:rPr>
          <w:rFonts w:ascii="Times New Roman" w:cs="Times New Roman" w:eastAsia="Times New Roman" w:hAnsi="Times New Roman"/>
          <w:sz w:val="20"/>
          <w:szCs w:val="20"/>
          <w:u w:val="single" w:color="auto"/>
          <w:color w:val="008000"/>
        </w:rPr>
        <w:t>on the fifth</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Business Day after the </w:t>
      </w:r>
      <w:r>
        <w:rPr>
          <w:rFonts w:ascii="Times New Roman" w:cs="Times New Roman" w:eastAsia="Times New Roman" w:hAnsi="Times New Roman"/>
          <w:sz w:val="20"/>
          <w:szCs w:val="20"/>
          <w:u w:val="single" w:color="auto"/>
          <w:color w:val="0000FF"/>
        </w:rPr>
        <w:t>date on which notice of such Benchmark Replacement is provided to the Lenders without any amendment to,</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 xml:space="preserve">or further action or consent of any other party to, this Agreement or any other Loan Document so long as the Administrative Agent has not received, by such time, written notice of objection to such Benchmark Replacement from </w:t>
      </w:r>
      <w:r>
        <w:rPr>
          <w:rFonts w:ascii="Times New Roman" w:cs="Times New Roman" w:eastAsia="Times New Roman" w:hAnsi="Times New Roman"/>
          <w:sz w:val="20"/>
          <w:szCs w:val="20"/>
          <w:u w:val="single" w:color="auto"/>
          <w:color w:val="008000"/>
        </w:rPr>
        <w:t>Lenders comprising the Required</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Lenders</w:t>
      </w:r>
      <w:r>
        <w:rPr>
          <w:rFonts w:ascii="Times New Roman" w:cs="Times New Roman" w:eastAsia="Times New Roman" w:hAnsi="Times New Roman"/>
          <w:sz w:val="20"/>
          <w:szCs w:val="20"/>
          <w:u w:val="single" w:color="auto"/>
          <w:color w:val="0000FF"/>
        </w:rPr>
        <w:t>. If the Benchmark Replacement is based upon Daily Simple SOFR, all interest payments will be payable on a quarterly</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basis. No Hedge Agreement shall constitute a “Loan Document” for purposes of this Section 2.14(b).</w:t>
      </w:r>
    </w:p>
    <w:p>
      <w:pPr>
        <w:spacing w:after="0" w:line="166" w:lineRule="exact"/>
        <w:rPr>
          <w:rFonts w:ascii="Times New Roman" w:cs="Times New Roman" w:eastAsia="Times New Roman" w:hAnsi="Times New Roman"/>
          <w:sz w:val="20"/>
          <w:szCs w:val="20"/>
          <w:u w:val="single" w:color="auto"/>
          <w:color w:val="0000FF"/>
        </w:rPr>
      </w:pPr>
    </w:p>
    <w:p>
      <w:pPr>
        <w:jc w:val="both"/>
        <w:ind w:left="660" w:firstLine="644"/>
        <w:spacing w:after="0" w:line="217" w:lineRule="auto"/>
        <w:tabs>
          <w:tab w:leader="none" w:pos="1955" w:val="left"/>
        </w:tabs>
        <w:numPr>
          <w:ilvl w:val="1"/>
          <w:numId w:val="16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Replacement Conforming Changes. In connection with the use, administration, adoption or implementation of a Benchmark Replacement</w:t>
      </w:r>
      <w:r>
        <w:rPr>
          <w:rFonts w:ascii="Times New Roman" w:cs="Times New Roman" w:eastAsia="Times New Roman" w:hAnsi="Times New Roman"/>
          <w:sz w:val="20"/>
          <w:szCs w:val="20"/>
          <w:u w:val="single" w:color="auto"/>
          <w:color w:val="008000"/>
        </w:rPr>
        <w:t>, the Administrative Agent will have the right to make</w:t>
      </w:r>
      <w:r>
        <w:rPr>
          <w:rFonts w:ascii="Times New Roman" w:cs="Times New Roman" w:eastAsia="Times New Roman" w:hAnsi="Times New Roman"/>
          <w:sz w:val="20"/>
          <w:szCs w:val="20"/>
          <w:u w:val="single" w:color="auto"/>
          <w:color w:val="0000FF"/>
        </w:rPr>
        <w:t xml:space="preserve"> Conforming </w:t>
      </w:r>
      <w:r>
        <w:rPr>
          <w:rFonts w:ascii="Times New Roman" w:cs="Times New Roman" w:eastAsia="Times New Roman" w:hAnsi="Times New Roman"/>
          <w:sz w:val="20"/>
          <w:szCs w:val="20"/>
          <w:u w:val="single" w:color="auto"/>
          <w:color w:val="008000"/>
        </w:rPr>
        <w:t>Changes from time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0000FF"/>
        </w:rPr>
        <w:t>or any other</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Loan Document (other than the consultation rights of the Borrower provided for in the definition of “Conforming Changes”).</w:t>
      </w:r>
    </w:p>
    <w:p>
      <w:pPr>
        <w:spacing w:after="0" w:line="161" w:lineRule="exact"/>
        <w:rPr>
          <w:rFonts w:ascii="Times New Roman" w:cs="Times New Roman" w:eastAsia="Times New Roman" w:hAnsi="Times New Roman"/>
          <w:sz w:val="20"/>
          <w:szCs w:val="20"/>
          <w:u w:val="single" w:color="auto"/>
          <w:color w:val="0000FF"/>
        </w:rPr>
      </w:pPr>
    </w:p>
    <w:p>
      <w:pPr>
        <w:jc w:val="both"/>
        <w:ind w:left="660" w:firstLine="644"/>
        <w:spacing w:after="0" w:line="212" w:lineRule="auto"/>
        <w:tabs>
          <w:tab w:leader="none" w:pos="1956" w:val="left"/>
        </w:tabs>
        <w:numPr>
          <w:ilvl w:val="1"/>
          <w:numId w:val="16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Notices; Standards for Decisions and Determinations</w:t>
      </w:r>
      <w:r>
        <w:rPr>
          <w:rFonts w:ascii="Times New Roman" w:cs="Times New Roman" w:eastAsia="Times New Roman" w:hAnsi="Times New Roman"/>
          <w:sz w:val="20"/>
          <w:szCs w:val="20"/>
          <w:u w:val="single" w:color="auto"/>
          <w:color w:val="008000"/>
        </w:rPr>
        <w:t>. The Administrative Agent will promptly notify the Borrower</w:t>
      </w:r>
      <w:r>
        <w:rPr>
          <w:rFonts w:ascii="Times New Roman" w:cs="Times New Roman" w:eastAsia="Times New Roman" w:hAnsi="Times New Roman"/>
          <w:sz w:val="20"/>
          <w:szCs w:val="20"/>
          <w:u w:val="single" w:color="auto"/>
          <w:color w:val="0000FF"/>
        </w:rPr>
        <w:t xml:space="preserve"> and the Lenders of (A) the implementation of any Benchmark Replacement and (B) the effectiveness of any Conforming Changes in connection with the use, administration, adoption or implementation of a Benchmark Replacement. The Administrative Agent will notify the Borrower of (1) the removal or reinstatement of any tenor of a Benchmark pursuant to Section 2.14(b)(iv) and (2) the commencement of any Benchmark Unavailability Period. Any determination, decision or election that may be made by the Administrative Agent or, if applicable, any Lender (or group of Lenders) pursuant to this Section 2.14(b),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w:t>
      </w:r>
      <w:r>
        <w:rPr>
          <w:rFonts w:ascii="Times New Roman" w:cs="Times New Roman" w:eastAsia="Times New Roman" w:hAnsi="Times New Roman"/>
          <w:sz w:val="20"/>
          <w:szCs w:val="20"/>
          <w:u w:val="single" w:color="auto"/>
          <w:color w:val="008000"/>
        </w:rPr>
        <w:t>this Agreement or any other Loan</w:t>
      </w:r>
      <w:r>
        <w:rPr>
          <w:rFonts w:ascii="Times New Roman" w:cs="Times New Roman" w:eastAsia="Times New Roman" w:hAnsi="Times New Roman"/>
          <w:sz w:val="20"/>
          <w:szCs w:val="20"/>
          <w:u w:val="single" w:color="auto"/>
          <w:color w:val="0000FF"/>
        </w:rPr>
        <w:t xml:space="preserve"> Document, except, in each case, as expressly required pursuant to this Section 2.14(b) and/or any component definition used herein.</w:t>
      </w:r>
    </w:p>
    <w:p>
      <w:pPr>
        <w:spacing w:after="0" w:line="169" w:lineRule="exact"/>
        <w:rPr>
          <w:rFonts w:ascii="Times New Roman" w:cs="Times New Roman" w:eastAsia="Times New Roman" w:hAnsi="Times New Roman"/>
          <w:sz w:val="20"/>
          <w:szCs w:val="20"/>
          <w:u w:val="single" w:color="auto"/>
          <w:color w:val="0000FF"/>
        </w:rPr>
      </w:pPr>
    </w:p>
    <w:p>
      <w:pPr>
        <w:jc w:val="both"/>
        <w:ind w:left="660" w:firstLine="644"/>
        <w:spacing w:after="0" w:line="220" w:lineRule="auto"/>
        <w:tabs>
          <w:tab w:leader="none" w:pos="1945" w:val="left"/>
        </w:tabs>
        <w:numPr>
          <w:ilvl w:val="1"/>
          <w:numId w:val="160"/>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 xml:space="preserve">Unavailability of Tenor of Benchmark.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w:t>
      </w:r>
      <w:r>
        <w:rPr>
          <w:rFonts w:ascii="Times New Roman" w:cs="Times New Roman" w:eastAsia="Times New Roman" w:hAnsi="Times New Roman"/>
          <w:sz w:val="19"/>
          <w:szCs w:val="19"/>
          <w:u w:val="single" w:color="auto"/>
          <w:color w:val="008000"/>
        </w:rPr>
        <w:t>as selected by the Administrative Agent</w:t>
      </w:r>
      <w:r>
        <w:rPr>
          <w:rFonts w:ascii="Times New Roman" w:cs="Times New Roman" w:eastAsia="Times New Roman" w:hAnsi="Times New Roman"/>
          <w:sz w:val="19"/>
          <w:szCs w:val="19"/>
          <w:u w:val="single" w:color="auto"/>
          <w:color w:val="0000FF"/>
        </w:rPr>
        <w:t xml:space="preserve">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w:t>
      </w:r>
      <w:r>
        <w:rPr>
          <w:rFonts w:ascii="Times New Roman" w:cs="Times New Roman" w:eastAsia="Times New Roman" w:hAnsi="Times New Roman"/>
          <w:sz w:val="19"/>
          <w:szCs w:val="19"/>
          <w:u w:val="single" w:color="auto"/>
          <w:color w:val="008000"/>
        </w:rPr>
        <w:t>the definition of “Interest Period”</w:t>
      </w:r>
      <w:r>
        <w:rPr>
          <w:rFonts w:ascii="Times New Roman" w:cs="Times New Roman" w:eastAsia="Times New Roman" w:hAnsi="Times New Roman"/>
          <w:sz w:val="19"/>
          <w:szCs w:val="19"/>
          <w:u w:val="single" w:color="auto"/>
          <w:color w:val="0000FF"/>
        </w:rPr>
        <w:t xml:space="preserve">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w:t>
      </w:r>
    </w:p>
    <w:p>
      <w:pPr>
        <w:spacing w:after="0" w:line="1" w:lineRule="exact"/>
        <w:rPr>
          <w:rFonts w:ascii="Times New Roman" w:cs="Times New Roman" w:eastAsia="Times New Roman" w:hAnsi="Times New Roman"/>
          <w:sz w:val="19"/>
          <w:szCs w:val="19"/>
          <w:u w:val="single" w:color="auto"/>
          <w:color w:val="0000FF"/>
        </w:rPr>
      </w:pPr>
    </w:p>
    <w:p>
      <w:pPr>
        <w:ind w:left="660"/>
        <w:spacing w:after="0"/>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u w:val="single" w:color="auto"/>
          <w:color w:val="0000FF"/>
        </w:rPr>
        <w:t>(2) is not, or is no longer, subject to an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20"/>
          <w:szCs w:val="20"/>
          <w:u w:val="single" w:color="auto"/>
          <w:color w:val="0000FF"/>
        </w:rPr>
        <w:t>that it is not or will not be representative for a Benchmark (including a Benchmark Replacement), then the Administrative Agent</w:t>
      </w:r>
    </w:p>
    <w:p>
      <w:pPr>
        <w:ind w:left="660" w:right="20"/>
        <w:spacing w:after="0" w:line="221" w:lineRule="auto"/>
        <w:rPr>
          <w:sz w:val="20"/>
          <w:szCs w:val="20"/>
          <w:color w:val="auto"/>
        </w:rPr>
      </w:pPr>
      <w:r>
        <w:rPr>
          <w:rFonts w:ascii="Times New Roman" w:cs="Times New Roman" w:eastAsia="Times New Roman" w:hAnsi="Times New Roman"/>
          <w:sz w:val="20"/>
          <w:szCs w:val="20"/>
          <w:u w:val="single" w:color="auto"/>
          <w:color w:val="0000FF"/>
        </w:rPr>
        <w:t>may modify the definition of “Interest Period” (or any similar or analogous definition) for all Benchmark settings at or after such time to reinstate such previously removed tenor.</w:t>
      </w:r>
    </w:p>
    <w:p>
      <w:pPr>
        <w:spacing w:after="0" w:line="162" w:lineRule="exact"/>
        <w:rPr>
          <w:sz w:val="20"/>
          <w:szCs w:val="20"/>
          <w:color w:val="auto"/>
        </w:rPr>
      </w:pPr>
    </w:p>
    <w:p>
      <w:pPr>
        <w:jc w:val="both"/>
        <w:ind w:left="660" w:firstLine="644"/>
        <w:spacing w:after="0" w:line="213" w:lineRule="auto"/>
        <w:tabs>
          <w:tab w:leader="none" w:pos="1944" w:val="left"/>
        </w:tabs>
        <w:numPr>
          <w:ilvl w:val="0"/>
          <w:numId w:val="16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Unavailability Period. Upon the Borrower’s receipt of notice of the commencement of a Benchmark Unavailability Period, (A) the Borrower may revoke any pending request for a Borrowing of Term SOFR Loans, or a conversion to or continuation of Term SOFR Loans, as applicable, in each case, to be made, converted or continued during any Benchmark Unavailability Period and, failing that, the Borrower will be deemed to have converted any such request into a request for a Borrowing of or conversion to ABR Loans and (B) any outstanding affected Term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color w:val="auto"/>
        </w:rPr>
        <w:t>Increased Costs.</w:t>
      </w:r>
    </w:p>
    <w:p>
      <w:pPr>
        <w:spacing w:after="0" w:line="189" w:lineRule="exact"/>
        <w:rPr>
          <w:sz w:val="20"/>
          <w:szCs w:val="20"/>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modifies or deems applicable any reserve, special deposit or similar requirement against assets of, deposits with or for the account of, or credit extended by, any Lender </w:t>
      </w:r>
      <w:r>
        <w:rPr>
          <w:rFonts w:ascii="Times New Roman" w:cs="Times New Roman" w:eastAsia="Times New Roman" w:hAnsi="Times New Roman"/>
          <w:sz w:val="20"/>
          <w:szCs w:val="20"/>
          <w:color w:val="FF0000"/>
          <w:strike w:val="1"/>
        </w:rPr>
        <w:t>(except any such reserve requirement reflected in the LIBO Rate)</w:t>
      </w:r>
      <w:r>
        <w:rPr>
          <w:rFonts w:ascii="Times New Roman" w:cs="Times New Roman" w:eastAsia="Times New Roman" w:hAnsi="Times New Roman"/>
          <w:sz w:val="20"/>
          <w:szCs w:val="20"/>
          <w:color w:val="auto"/>
        </w:rPr>
        <w:t xml:space="preserve"> or Issuing Bank;</w:t>
      </w:r>
    </w:p>
    <w:p>
      <w:pPr>
        <w:spacing w:after="0" w:line="148"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55"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subjects any Lender or Issuing Bank to any Taxes (other than (A) Indemnified Taxes and Other Taxes indemnifiable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and (B) Excluded Taxes) on or with respect to its loans, letters of credit, commitments, or other obligations, or its deposits, reserves, other liabilities or capital attributable thereto; or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on any Lender or Issuing Bank or the </w:t>
      </w:r>
      <w:r>
        <w:rPr>
          <w:rFonts w:ascii="Times New Roman" w:cs="Times New Roman" w:eastAsia="Times New Roman" w:hAnsi="Times New Roman"/>
          <w:sz w:val="20"/>
          <w:szCs w:val="20"/>
          <w:color w:val="FF0000"/>
          <w:strike w:val="1"/>
        </w:rPr>
        <w:t>London interbank</w:t>
      </w:r>
      <w:r>
        <w:rPr>
          <w:rFonts w:ascii="Times New Roman" w:cs="Times New Roman" w:eastAsia="Times New Roman" w:hAnsi="Times New Roman"/>
          <w:sz w:val="20"/>
          <w:szCs w:val="20"/>
          <w:u w:val="single" w:color="auto"/>
          <w:color w:val="0000FF"/>
        </w:rPr>
        <w:t>relevant benchmark</w:t>
      </w:r>
      <w:r>
        <w:rPr>
          <w:rFonts w:ascii="Times New Roman" w:cs="Times New Roman" w:eastAsia="Times New Roman" w:hAnsi="Times New Roman"/>
          <w:sz w:val="20"/>
          <w:szCs w:val="20"/>
          <w:color w:val="auto"/>
        </w:rPr>
        <w:t xml:space="preserve"> market any other condition, cost or expense (other than Taxes) affecting this Agreement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made by any Lender or any Letter of Credit or participation therein;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and the result of any of the foregoing is to increase the cost to the relevant Lender of making or maintaining any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of maintaining its obligation to make any such Loan) or to increase the cost to such Lender or Issuing Bank of participating in, issuing or maintaining any Letter of Credit or to reduce the amount of any sum received or receivable by such Lender or Issuing Bank hereunder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(whether of principal, interest or otherwise) in respect of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or Letter of Credit in an amount deemed by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 or Issuing Bank to be material, then, within 30 days after the Borrower’s receipt of the certificate contemplated by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Borrower will pay (or cause to be paid) to such Lender or Issuing Bank, as applicable, such additional amount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amounts as will compensate such Lender or Issuing Bank, as applicable, for such additional costs incurred or reduction suffered; </w:t>
      </w:r>
      <w:r>
        <w:rPr>
          <w:rFonts w:ascii="Times New Roman" w:cs="Times New Roman" w:eastAsia="Times New Roman" w:hAnsi="Times New Roman"/>
          <w:sz w:val="20"/>
          <w:szCs w:val="20"/>
          <w:u w:val="single" w:color="auto"/>
          <w:color w:val="auto"/>
        </w:rPr>
        <w:t>provided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that the Borrower shall not be liable for such compensation if (x) the relevant Change in Law occurs on a date prior to the date such Lender becomes a party hereto, (y) such Lender invokes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(z) in the case of requests for reimbursement under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resulting from a market disruption, (A) the relevant circumstances do not generally affect the banking market or (B) the applicable request has not been made by Lenders constituting Required Lenders.</w:t>
      </w:r>
    </w:p>
    <w:p>
      <w:pPr>
        <w:spacing w:after="0" w:line="41" w:lineRule="exact"/>
        <w:rPr>
          <w:sz w:val="20"/>
          <w:szCs w:val="20"/>
          <w:color w:val="auto"/>
        </w:rPr>
      </w:pPr>
    </w:p>
    <w:p>
      <w:pPr>
        <w:jc w:val="both"/>
        <w:ind w:firstLine="656"/>
        <w:spacing w:after="0" w:line="218" w:lineRule="auto"/>
        <w:tabs>
          <w:tab w:leader="none" w:pos="12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Issuing Bank’s policies and the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9"/>
          <w:szCs w:val="19"/>
          <w:color w:val="auto"/>
        </w:rPr>
        <w:t>of such Lender’s or such Issuing Bank’s holding company with respect to liquidity or capital adequacy), then within 30 days of receipt by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Borrower of the certificate contemplated by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the Borrower will pay (or cause to be paid) to such Lender or such Issuing Bank, as applicable, such additional amount or amounts as will compensate such Lender or such Issuing Bank or such Lender’s</w:t>
      </w:r>
    </w:p>
    <w:p>
      <w:pPr>
        <w:spacing w:after="0"/>
        <w:rPr>
          <w:sz w:val="20"/>
          <w:szCs w:val="20"/>
          <w:color w:val="auto"/>
        </w:rPr>
      </w:pPr>
      <w:r>
        <w:rPr>
          <w:rFonts w:ascii="Times New Roman" w:cs="Times New Roman" w:eastAsia="Times New Roman" w:hAnsi="Times New Roman"/>
          <w:sz w:val="20"/>
          <w:szCs w:val="20"/>
          <w:color w:val="auto"/>
        </w:rPr>
        <w:t>or such Issuing Bank’s holding company for any such reduction suffered.</w:t>
      </w:r>
    </w:p>
    <w:p>
      <w:pPr>
        <w:spacing w:after="0" w:line="167" w:lineRule="exact"/>
        <w:rPr>
          <w:sz w:val="20"/>
          <w:szCs w:val="20"/>
          <w:color w:val="auto"/>
        </w:rPr>
      </w:pPr>
    </w:p>
    <w:p>
      <w:pPr>
        <w:jc w:val="both"/>
        <w:ind w:firstLine="656"/>
        <w:spacing w:after="0" w:line="217" w:lineRule="auto"/>
        <w:tabs>
          <w:tab w:leader="none" w:pos="128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or Issuing Bank requesting compensation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required to deliver a certificate to the Borrower that (i) sets forth the amount or amounts necessary to compensate such Lender or Issuing Bank or the holding company thereof, as applicable,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not be required to compensate any Lender or an Issuing Bank pursuant to this Section for any increased costs or reductions incurred more than six months prior to the date that such Lender or Issuing Bank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six month period referred to above shall be extended to include the period of retroactive effect thereof.</w:t>
      </w:r>
    </w:p>
    <w:p>
      <w:pPr>
        <w:spacing w:after="0" w:line="16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16. Break Funding Payments. Subject to Section 9.05(f), in the event of (a) the conversion or prepayment of any principal of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other than on the last day of an Interest Period applicable thereto (whether voluntary,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mandatory, automatic, by reason of acceleration or otherwise), (b) the failure to borrow, convert, continue or prepay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on the date or in the amount specified in any notice delivered pursuant hereto or (c) the assignment of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p>
    <w:p>
      <w:pPr>
        <w:spacing w:after="0" w:line="223" w:lineRule="auto"/>
        <w:rPr>
          <w:sz w:val="20"/>
          <w:szCs w:val="20"/>
          <w:color w:val="auto"/>
        </w:rPr>
      </w:pP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 of any Lender other than on the last day of the Interest Period applicable thereto as a result of a request by the Borrower pursuant</w:t>
      </w:r>
    </w:p>
    <w:p>
      <w:pPr>
        <w:spacing w:after="0" w:line="215" w:lineRule="auto"/>
        <w:rPr>
          <w:sz w:val="20"/>
          <w:szCs w:val="20"/>
          <w:color w:val="auto"/>
        </w:rPr>
      </w:pPr>
      <w:r>
        <w:rPr>
          <w:rFonts w:ascii="Times New Roman" w:cs="Times New Roman" w:eastAsia="Times New Roman" w:hAnsi="Times New Roman"/>
          <w:sz w:val="19"/>
          <w:szCs w:val="19"/>
          <w:color w:val="auto"/>
        </w:rPr>
        <w:t>to Section 2.19, then, in any such event, the Borrower shall compensate each Lender for the actual amount of any actual out-of-pocket loss, expense and/or liability (including any actual out-of-pocket loss, expense or liability incurred by reason of the liquidation or reemployment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deposits or other funds required by such Lender to fund or maintain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but excluding loss of anticipated profit)</w:t>
      </w:r>
    </w:p>
    <w:p>
      <w:pPr>
        <w:spacing w:after="0" w:line="204" w:lineRule="auto"/>
        <w:rPr>
          <w:sz w:val="20"/>
          <w:szCs w:val="20"/>
          <w:color w:val="auto"/>
        </w:rPr>
      </w:pPr>
      <w:r>
        <w:rPr>
          <w:rFonts w:ascii="Times New Roman" w:cs="Times New Roman" w:eastAsia="Times New Roman" w:hAnsi="Times New Roman"/>
          <w:sz w:val="20"/>
          <w:szCs w:val="20"/>
          <w:color w:val="auto"/>
        </w:rPr>
        <w:t>that such Lender has incurred or sustained as a result of such event. Any Lender requesting compensation under this Section 2.16 shall be required to deliver a certificate to the Borrower that (A) sets forth any amount or amounts that such Lender is entitled to receive pursuant to</w:t>
      </w:r>
    </w:p>
    <w:p>
      <w:pPr>
        <w:spacing w:after="0" w:line="223" w:lineRule="auto"/>
        <w:rPr>
          <w:sz w:val="20"/>
          <w:szCs w:val="20"/>
          <w:color w:val="auto"/>
        </w:rPr>
      </w:pPr>
      <w:r>
        <w:rPr>
          <w:rFonts w:ascii="Times New Roman" w:cs="Times New Roman" w:eastAsia="Times New Roman" w:hAnsi="Times New Roman"/>
          <w:sz w:val="19"/>
          <w:szCs w:val="19"/>
          <w:color w:val="auto"/>
        </w:rPr>
        <w:t>this Section, the basis therefor and, in reasonable detail, the manner in which such amount or amounts were determined and (B) certifies that</w:t>
      </w:r>
    </w:p>
    <w:p>
      <w:pPr>
        <w:ind w:right="20"/>
        <w:spacing w:after="0" w:line="221" w:lineRule="auto"/>
        <w:rPr>
          <w:sz w:val="20"/>
          <w:szCs w:val="20"/>
          <w:color w:val="auto"/>
        </w:rPr>
      </w:pPr>
      <w:r>
        <w:rPr>
          <w:rFonts w:ascii="Times New Roman" w:cs="Times New Roman" w:eastAsia="Times New Roman" w:hAnsi="Times New Roman"/>
          <w:sz w:val="20"/>
          <w:szCs w:val="20"/>
          <w:color w:val="auto"/>
        </w:rPr>
        <w:t>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8"/>
          <w:szCs w:val="18"/>
          <w:color w:val="auto"/>
        </w:rPr>
        <w:t>Taxes.</w:t>
      </w:r>
    </w:p>
    <w:p>
      <w:pPr>
        <w:spacing w:after="0" w:line="189" w:lineRule="exact"/>
        <w:rPr>
          <w:sz w:val="20"/>
          <w:szCs w:val="20"/>
          <w:color w:val="auto"/>
        </w:rPr>
      </w:pPr>
    </w:p>
    <w:p>
      <w:pPr>
        <w:jc w:val="both"/>
        <w:ind w:firstLine="656"/>
        <w:spacing w:after="0" w:line="213" w:lineRule="auto"/>
        <w:tabs>
          <w:tab w:leader="none" w:pos="128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payment by or on account of any obligation of any Loan Party under any Loan Document shall be made without deduction or withholding for any Taxes, except as required by applicable Law. If any applicable Law (as determined in the good faith of the applicable withholding agent) requires the deduction or withholding of any Tax from any such payment, then (i) if such Tax is an Indemnified Tax and/or Other Tax, the amount payable by the applicable Loan Party shall be increased as necessary so that after such deduction or withholding has been made (including such deductions or withholdings applicable to additional sums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be entitled to make such withholding or deductions and (iii) the applicable withholding agent shall timely pay the full amount withheld or deducted to the relevant Governmental Authority in accordance with applicable Requirements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5" w:name="page216"/>
    <w:bookmarkEnd w:id="215"/>
    <w:p>
      <w:pPr>
        <w:jc w:val="both"/>
        <w:ind w:firstLine="656"/>
        <w:spacing w:after="0" w:line="226" w:lineRule="auto"/>
        <w:tabs>
          <w:tab w:leader="none" w:pos="12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In addition, the Loan Parties shall pay any Other Taxes to the relevant Governmental Authority in accordance with applicable Requirements of Law or at the option of the Administrative Agent timely reimburse it for the payment of Other Taxes.</w:t>
      </w:r>
    </w:p>
    <w:p>
      <w:pPr>
        <w:spacing w:after="0" w:line="160"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xml:space="preserve">.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other than any penalties determined by a final and non-appealable judgment of a court of competent jurisdiction (or documented in any settlement agreement) to have resulted from the gross negligence, bad faith or willful misconduct of the Administrative Agent or such Lender, and, in each case, any reasonable expenses arising therefrom or with respect thereto, whether or not such Taxes were correctly or legally imposed or asserted;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 </w:t>
      </w:r>
      <w:r>
        <w:rPr>
          <w:rFonts w:ascii="Times New Roman" w:cs="Times New Roman" w:eastAsia="Times New Roman" w:hAnsi="Times New Roman"/>
          <w:sz w:val="20"/>
          <w:szCs w:val="20"/>
          <w:u w:val="single" w:color="auto"/>
          <w:color w:val="auto"/>
        </w:rPr>
        <w:t>Section 2.17(g)</w:t>
      </w:r>
      <w:r>
        <w:rPr>
          <w:rFonts w:ascii="Times New Roman" w:cs="Times New Roman" w:eastAsia="Times New Roman" w:hAnsi="Times New Roman"/>
          <w:sz w:val="20"/>
          <w:szCs w:val="20"/>
          <w:color w:val="auto"/>
        </w:rPr>
        <w:t xml:space="preserve">)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no Borrower shall be required to indemnify the Administrative Agent or any Lender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any Taxes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any withholding Tax with respect to any payment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paragraphs (f)(ii)(A)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6" w:name="page217"/>
    <w:bookmarkEnd w:id="216"/>
    <w:p>
      <w:pPr>
        <w:ind w:left="1960" w:hanging="656"/>
        <w:spacing w:after="0"/>
        <w:tabs>
          <w:tab w:leader="none" w:pos="19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US Person shall deliver to the Borrower and the Administrative Agent on or prior to the date on which it becomes a Lender under this Agreement (and from time to time thereafter upon the reasonable request of the Borrower or the Administrative Agent), two executed copies of IRS Form W-9 certifying that such Lender is exempt from US federal backup withholding;</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44"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Lender claiming the benefits of an income tax treaty to which the US is a party, two executed copies of IRS Form W-8BEN or W-8BEN-E, as applicable, establishing any available exemption from, or reduction of, US federal withholding Tax;</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executed copies of IRS Form W-8ECI (or any successor forms);</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44"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Foreign Lender claiming the benefits of the exemption for portfolio interest under Section 871(h) or 881(c) of the Code, (x) two executed copies of a certificate substantially in the form of </w:t>
      </w:r>
      <w:r>
        <w:rPr>
          <w:rFonts w:ascii="Times New Roman" w:cs="Times New Roman" w:eastAsia="Times New Roman" w:hAnsi="Times New Roman"/>
          <w:sz w:val="20"/>
          <w:szCs w:val="20"/>
          <w:u w:val="single" w:color="auto"/>
          <w:color w:val="auto"/>
        </w:rPr>
        <w:t>Exhibit O-1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w:t>
      </w:r>
      <w:r>
        <w:rPr>
          <w:rFonts w:ascii="Times New Roman" w:cs="Times New Roman" w:eastAsia="Times New Roman" w:hAnsi="Times New Roman"/>
          <w:sz w:val="20"/>
          <w:szCs w:val="20"/>
          <w:u w:val="single" w:color="auto"/>
          <w:color w:val="auto"/>
        </w:rPr>
        <w:t>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two executed copies of IRS Form W-8BEN or W-8BEN-E, as applicable (or any successor forms); or</w:t>
      </w:r>
    </w:p>
    <w:p>
      <w:pPr>
        <w:spacing w:after="0" w:line="158"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44"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Foreign Lender is not the beneficial owner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where the Foreign Lender is a partnership or participating Lender), two executed copies of IRS Form W-8IMY (or any successor forms), accompanied by IRS Form W-8ECI, IRS Form W-8BEN or W-8BEN-E, a Tax Compliance Certificate substantially in the form of </w:t>
      </w:r>
      <w:r>
        <w:rPr>
          <w:rFonts w:ascii="Times New Roman" w:cs="Times New Roman" w:eastAsia="Times New Roman" w:hAnsi="Times New Roman"/>
          <w:sz w:val="20"/>
          <w:szCs w:val="20"/>
          <w:u w:val="single" w:color="auto"/>
          <w:color w:val="auto"/>
        </w:rPr>
        <w:t>Exhibit O-2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O-4</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w:t>
      </w:r>
      <w:r>
        <w:rPr>
          <w:rFonts w:ascii="Times New Roman" w:cs="Times New Roman" w:eastAsia="Times New Roman" w:hAnsi="Times New Roman"/>
          <w:sz w:val="20"/>
          <w:szCs w:val="20"/>
          <w:u w:val="single" w:color="auto"/>
          <w:color w:val="auto"/>
        </w:rPr>
        <w:t>Exhibit O-3</w:t>
      </w:r>
      <w:r>
        <w:rPr>
          <w:rFonts w:ascii="Times New Roman" w:cs="Times New Roman" w:eastAsia="Times New Roman" w:hAnsi="Times New Roman"/>
          <w:sz w:val="20"/>
          <w:szCs w:val="20"/>
          <w:color w:val="auto"/>
        </w:rPr>
        <w:t xml:space="preserve"> on behalf of each such direct or indirect partner(s);</w:t>
      </w:r>
    </w:p>
    <w:p>
      <w:pPr>
        <w:spacing w:after="0" w:line="166"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ind w:left="1300" w:right="20" w:firstLine="652"/>
        <w:spacing w:after="0" w:line="233" w:lineRule="auto"/>
        <w:tabs>
          <w:tab w:leader="none" w:pos="2587"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any Lender under any Loan Document would be subject to US federal withholding Tax imposed by FATCA if such Lender were to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7" w:name="page218"/>
    <w:bookmarkEnd w:id="217"/>
    <w:p>
      <w:pPr>
        <w:ind w:left="1300"/>
        <w:spacing w:after="0"/>
        <w:rPr>
          <w:sz w:val="20"/>
          <w:szCs w:val="20"/>
          <w:color w:val="auto"/>
        </w:rPr>
      </w:pPr>
      <w:r>
        <w:rPr>
          <w:rFonts w:ascii="Times New Roman" w:cs="Times New Roman" w:eastAsia="Times New Roman" w:hAnsi="Times New Roman"/>
          <w:sz w:val="20"/>
          <w:szCs w:val="20"/>
          <w:color w:val="auto"/>
        </w:rPr>
        <w:t>comply with the applicable reporting requirements of FATCA (including those contained in Section 1471(b) or 1472(b) of</w:t>
      </w:r>
    </w:p>
    <w:p>
      <w:pPr>
        <w:ind w:left="1300"/>
        <w:spacing w:after="0" w:line="204" w:lineRule="auto"/>
        <w:rPr>
          <w:sz w:val="20"/>
          <w:szCs w:val="20"/>
          <w:color w:val="auto"/>
        </w:rPr>
      </w:pPr>
      <w:r>
        <w:rPr>
          <w:rFonts w:ascii="Times New Roman" w:cs="Times New Roman" w:eastAsia="Times New Roman" w:hAnsi="Times New Roman"/>
          <w:sz w:val="20"/>
          <w:szCs w:val="20"/>
          <w:color w:val="auto"/>
        </w:rPr>
        <w:t>the Code, as applicable), such Lender shall deliver to the Borrower and the Administrative Agent at the time or times prescribed by applicable Requirements of Law and at such time or times reasonably requested by the Borrower or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Administrative Agent such documentation as is prescribed by applicable Requirements of Law (including as prescribed by</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Section 1471(b)(3)(C)(i) of the Code) as may be necessary for the Borrower and the Administrative Agent to comply with their obligations under FATCA, to determine whether such Lender has complied with such Lender’s obligations under</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 xml:space="preserve">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Each Lender agrees that if any documentation it previously delivered expires or becomes obsolete or inaccurate in any respect (including any specific documentation required above in this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it shall deliver to the Borrower and the Administrative Agent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49" w:lineRule="exact"/>
        <w:rPr>
          <w:sz w:val="20"/>
          <w:szCs w:val="20"/>
          <w:color w:val="auto"/>
        </w:rPr>
      </w:pPr>
    </w:p>
    <w:p>
      <w:pPr>
        <w:jc w:val="both"/>
        <w:ind w:firstLine="656"/>
        <w:spacing w:after="0" w:line="209"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the Administrative Agent or any Lender determines, in its sole discretion, that it has received a refund (whether received in cash or applied as a credit against any cash taxes payable) of any Indemnified Taxes or Other Taxes as to which it has been indemnified by the Borrower or with respect to which any Loan Party has paid additional amounts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it shall pay over such refund to the applicable Loan Party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upon the request of the Administrative Agent or such Lender, agrees to repay the amount paid over to such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in no event will the Administrative Agent or any Lender be required to pay any amount to the applicable Loan Party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in no event will the Administrative Agent or any Lender be required to pay any amount to the Borrower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not be construed to require the Administrative Agent or any Lender to make available its Tax returns (or any other information relating to its Taxes which it deems confidential) to the relevant Loan Party or any other Person.</w:t>
      </w:r>
    </w:p>
    <w:p>
      <w:pPr>
        <w:spacing w:after="0" w:line="175"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9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“Lender”</w:t>
      </w:r>
      <w:r>
        <w:rPr>
          <w:rFonts w:ascii="Times New Roman" w:cs="Times New Roman" w:eastAsia="Times New Roman" w:hAnsi="Times New Roman"/>
          <w:sz w:val="20"/>
          <w:szCs w:val="20"/>
          <w:color w:val="auto"/>
        </w:rPr>
        <w:t xml:space="preserve">. For the avoidance of doubt, the term “Lender” shall, for all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include any Issuing Bank and the Swingline Lender.</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Documentation</w:t>
      </w:r>
      <w:r>
        <w:rPr>
          <w:rFonts w:ascii="Times New Roman" w:cs="Times New Roman" w:eastAsia="Times New Roman" w:hAnsi="Times New Roman"/>
          <w:sz w:val="20"/>
          <w:szCs w:val="20"/>
          <w:color w:val="auto"/>
        </w:rPr>
        <w:t>. On or before the date on which the Administrative Agent becomes a party to this Agreement, the Administrative Agent shall deliver to the Borrower whichever of the following is applicable: (i) if the Administrative Agent is a US Person, two executed copies of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9"/>
          <w:szCs w:val="19"/>
          <w:color w:val="auto"/>
        </w:rPr>
        <w:t>Form W-9 certifying that such Administrative Agent is exempt from US federal backup withholding or (ii) if the Administrative Agent is not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 US Person, (A) with respect to payments received for its own account, two executed copies of IRS Form W-8ECI or W-8BEN-E, as applicable and (ii) with respect to payments received on account of any Lender, two executed copies of IRS Form W-8IMY (together with all</w:t>
      </w:r>
    </w:p>
    <w:p>
      <w:pPr>
        <w:spacing w:after="0" w:line="222" w:lineRule="auto"/>
        <w:rPr>
          <w:sz w:val="20"/>
          <w:szCs w:val="20"/>
          <w:color w:val="auto"/>
        </w:rPr>
      </w:pPr>
      <w:r>
        <w:rPr>
          <w:rFonts w:ascii="Times New Roman" w:cs="Times New Roman" w:eastAsia="Times New Roman" w:hAnsi="Times New Roman"/>
          <w:sz w:val="19"/>
          <w:szCs w:val="19"/>
          <w:color w:val="auto"/>
        </w:rPr>
        <w:t>required accompanying documentation) certifying that the Administrative Agent is either a US branch and may be treated as a US person for</w:t>
      </w:r>
    </w:p>
    <w:p>
      <w:pPr>
        <w:spacing w:after="0" w:line="215" w:lineRule="auto"/>
        <w:rPr>
          <w:sz w:val="20"/>
          <w:szCs w:val="20"/>
          <w:color w:val="auto"/>
        </w:rPr>
      </w:pPr>
      <w:r>
        <w:rPr>
          <w:rFonts w:ascii="Times New Roman" w:cs="Times New Roman" w:eastAsia="Times New Roman" w:hAnsi="Times New Roman"/>
          <w:sz w:val="19"/>
          <w:szCs w:val="19"/>
          <w:color w:val="auto"/>
        </w:rPr>
        <w:t>purposes of applicable US federal withholding Tax or a qualified intermediary. At any time thereafter, the Administrative Agent shall provide updated documentation previously provided (or a successor form thereto) when any documentation previously delivered has expired or</w:t>
      </w:r>
    </w:p>
    <w:p>
      <w:pPr>
        <w:spacing w:after="0" w:line="211" w:lineRule="auto"/>
        <w:rPr>
          <w:sz w:val="20"/>
          <w:szCs w:val="20"/>
          <w:color w:val="auto"/>
        </w:rPr>
      </w:pPr>
      <w:r>
        <w:rPr>
          <w:rFonts w:ascii="Times New Roman" w:cs="Times New Roman" w:eastAsia="Times New Roman" w:hAnsi="Times New Roman"/>
          <w:sz w:val="20"/>
          <w:szCs w:val="20"/>
          <w:color w:val="auto"/>
        </w:rPr>
        <w:t>become obsolete or invalid or otherwise upon the reasonable request of the Borrower. Notwithstanding anything to the contrary in this</w:t>
      </w: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2.17(j)</w:t>
      </w:r>
      <w:r>
        <w:rPr>
          <w:rFonts w:ascii="Times New Roman" w:cs="Times New Roman" w:eastAsia="Times New Roman" w:hAnsi="Times New Roman"/>
          <w:sz w:val="20"/>
          <w:szCs w:val="20"/>
          <w:color w:val="auto"/>
        </w:rPr>
        <w:t>, the Administrative Agent shall not be required to provide any documentation that the Administrative Agent is not legally able to deliver as a result of a Change in Law after the Closing Date.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19"/>
          <w:szCs w:val="19"/>
          <w:color w:val="auto"/>
        </w:rPr>
        <w:t>Payments Generally; Allocation of Proceeds; Sharing of Payments.</w:t>
      </w:r>
    </w:p>
    <w:p>
      <w:pPr>
        <w:spacing w:after="0" w:line="189" w:lineRule="exact"/>
        <w:rPr>
          <w:sz w:val="20"/>
          <w:szCs w:val="20"/>
          <w:color w:val="auto"/>
        </w:rPr>
      </w:pPr>
    </w:p>
    <w:p>
      <w:pPr>
        <w:jc w:val="both"/>
        <w:ind w:firstLine="656"/>
        <w:spacing w:after="0" w:line="209" w:lineRule="auto"/>
        <w:tabs>
          <w:tab w:leader="none" w:pos="128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specified, the Borrower shall make each payment required to be made by it hereunder (whether of principal, interest or fees, reimbursements of LC Disbursements, or of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otherwise) prior to 3:00 p.m. on the date when due. Each such payment shall be made in immediately available funds (or such other form of consideration as the relevant recipient may agree), without set-off or counterclaim. Any amount received after such time on any date may, in the discretion of the Administrative Agent, be deemed to have been received on the next succeeding Business Day for purposes of calculating interest thereon. Each such payment shall be made to the Administrative Agent to the applicable account designated by the Administrative Agent to the Borrower, except that payments pursuant to </w:t>
      </w:r>
      <w:r>
        <w:rPr>
          <w:rFonts w:ascii="Times New Roman" w:cs="Times New Roman" w:eastAsia="Times New Roman" w:hAnsi="Times New Roman"/>
          <w:sz w:val="20"/>
          <w:szCs w:val="20"/>
          <w:u w:val="single" w:color="auto"/>
          <w:color w:val="auto"/>
        </w:rPr>
        <w:t>Sections 2.12(b)(ii)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Times New Roman" w:cs="Times New Roman" w:eastAsia="Times New Roman" w:hAnsi="Times New Roman"/>
          <w:sz w:val="20"/>
          <w:szCs w:val="20"/>
          <w:u w:val="single" w:color="auto"/>
          <w:color w:val="auto"/>
        </w:rPr>
        <w:t>Sections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9.05</w:t>
      </w:r>
      <w:r>
        <w:rPr>
          <w:rFonts w:ascii="Times New Roman" w:cs="Times New Roman" w:eastAsia="Times New Roman" w:hAnsi="Times New Roman"/>
          <w:sz w:val="20"/>
          <w:szCs w:val="20"/>
          <w:color w:val="auto"/>
        </w:rPr>
        <w:t xml:space="preserve"> and/or any other express provision of this Agreement,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61"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in all respects to the provisions of any applicable Intercreditor Agreement, all proceeds of Collateral received by the Administrative Agent while an Event of Default exists and all or any portion of the Loans have been accelerated hereunder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shall be applied:</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954"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163"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5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on a pro rata basis, to pay any fees, indemnities or expense reimbursements constituting Secured Obligations then due to the Administrative Agent (other than those covered in clause first above) or to the Swingline Lender or any Issuing Bank from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19" w:name="page220"/>
    <w:bookmarkEnd w:id="219"/>
    <w:p>
      <w:pPr>
        <w:jc w:val="both"/>
        <w:ind w:left="660" w:firstLine="644"/>
        <w:spacing w:after="0" w:line="215" w:lineRule="auto"/>
        <w:tabs>
          <w:tab w:leader="none" w:pos="195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on such date, to be held in the LC Collateral Account as Cash collateral for such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Letter of Credit expires undrawn, then any Cash collateral held to secure the related LC Exposure shall be applied in accordance with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beginning with clause first above,</w:t>
      </w:r>
    </w:p>
    <w:p>
      <w:pPr>
        <w:spacing w:after="0" w:line="1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as provided in any applicable Intercreditor Agreement,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or at the direction of, the Borrower or as a court of competent jurisdiction may otherwise direct.</w:t>
      </w:r>
    </w:p>
    <w:p>
      <w:pPr>
        <w:spacing w:after="0" w:line="188"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obtains payment (whether voluntary, involuntary, through the exercise of any right of set-off or otherwise) in respect of any principal of or interest on any Loan of any Class or any participation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 is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the Borrower pursuant to and in accordance with the express terms of this Agreement or (B) any payment obtained by any Lender as consideration for the assignment of or sale of a participation in any Loan to any permitted assignee or participant, including any payment made or deemed made in connection with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and will, in each case, notify the Lenders following any such purchase or repayment. Each Lender that purchases a participation pursuant to this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5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the case may be, the amount due.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or (3) the Administrative Agent has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20" w:name="page221"/>
    <w:bookmarkEnd w:id="220"/>
    <w:p>
      <w:pPr>
        <w:ind w:left="660"/>
        <w:spacing w:after="0"/>
        <w:rPr>
          <w:sz w:val="20"/>
          <w:szCs w:val="20"/>
          <w:color w:val="auto"/>
        </w:rPr>
      </w:pPr>
      <w:r>
        <w:rPr>
          <w:rFonts w:ascii="Times New Roman" w:cs="Times New Roman" w:eastAsia="Times New Roman" w:hAnsi="Times New Roman"/>
          <w:sz w:val="20"/>
          <w:szCs w:val="20"/>
          <w:color w:val="auto"/>
        </w:rPr>
        <w:t>otherwise erroneously made such payment; then each of the Lenders or the applicable Issuing Bank, as the case may be, severally</w:t>
      </w:r>
    </w:p>
    <w:p>
      <w:pPr>
        <w:ind w:left="660"/>
        <w:spacing w:after="0" w:line="204" w:lineRule="auto"/>
        <w:rPr>
          <w:sz w:val="20"/>
          <w:szCs w:val="20"/>
          <w:color w:val="auto"/>
        </w:rPr>
      </w:pPr>
      <w:r>
        <w:rPr>
          <w:rFonts w:ascii="Times New Roman" w:cs="Times New Roman" w:eastAsia="Times New Roman" w:hAnsi="Times New Roman"/>
          <w:sz w:val="20"/>
          <w:szCs w:val="20"/>
          <w:color w:val="auto"/>
        </w:rPr>
        <w:t>agrees to repay to the Administrative Agent forthwith on demand the Rescindable Amount so distributed to such Lender or such Issuing Bank, in immediately available funds with interest thereon, for each day from and including the date such amount is</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49" w:lineRule="exact"/>
        <w:rPr>
          <w:sz w:val="20"/>
          <w:szCs w:val="20"/>
          <w:color w:val="auto"/>
        </w:rPr>
      </w:pPr>
    </w:p>
    <w:p>
      <w:pPr>
        <w:ind w:left="660" w:firstLine="644"/>
        <w:spacing w:after="0"/>
        <w:tabs>
          <w:tab w:leader="none" w:pos="1955"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notice from the Administrative Agent to any Lender with respect to any amount owing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be conclusive, absent manifest error.</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any payment required to be made by it pursuant to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2.18(d)</w:t>
      </w:r>
      <w:r>
        <w:rPr>
          <w:rFonts w:ascii="Times New Roman" w:cs="Times New Roman" w:eastAsia="Times New Roman" w:hAnsi="Times New Roman"/>
          <w:sz w:val="20"/>
          <w:szCs w:val="20"/>
          <w:color w:val="auto"/>
        </w:rPr>
        <w:t>,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19"/>
          <w:szCs w:val="19"/>
          <w:color w:val="auto"/>
        </w:rPr>
        <w:t>Mitigation Obligations; Replacement of Lenders.</w:t>
      </w:r>
    </w:p>
    <w:p>
      <w:pPr>
        <w:spacing w:after="0" w:line="189" w:lineRule="exact"/>
        <w:rPr>
          <w:sz w:val="20"/>
          <w:szCs w:val="20"/>
          <w:color w:val="auto"/>
        </w:rPr>
      </w:pPr>
    </w:p>
    <w:p>
      <w:pPr>
        <w:jc w:val="both"/>
        <w:ind w:firstLine="656"/>
        <w:spacing w:after="0" w:line="213" w:lineRule="auto"/>
        <w:tabs>
          <w:tab w:leader="none" w:pos="128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determines it can no longer make or maintain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2.20</w:t>
      </w:r>
      <w:r>
        <w:rPr>
          <w:rFonts w:ascii="Times New Roman" w:cs="Times New Roman" w:eastAsia="Times New Roman" w:hAnsi="Times New Roman"/>
          <w:sz w:val="20"/>
          <w:szCs w:val="20"/>
          <w:color w:val="000000"/>
        </w:rPr>
        <w:t>, or any Loan Party is required to pay any additional amount to or indemnify any Lender 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Governmental Authority for the account of any Lender pursuant to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000000"/>
        </w:rPr>
        <w:t>Section 2.15</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2.17</w:t>
      </w:r>
      <w:r>
        <w:rPr>
          <w:rFonts w:ascii="Times New Roman" w:cs="Times New Roman" w:eastAsia="Times New Roman" w:hAnsi="Times New Roman"/>
          <w:sz w:val="20"/>
          <w:szCs w:val="20"/>
          <w:color w:val="000000"/>
        </w:rPr>
        <w:t xml:space="preserve">, as applicable, in the future or mitigate the impact of </w:t>
      </w:r>
      <w:r>
        <w:rPr>
          <w:rFonts w:ascii="Times New Roman" w:cs="Times New Roman" w:eastAsia="Times New Roman" w:hAnsi="Times New Roman"/>
          <w:sz w:val="20"/>
          <w:szCs w:val="20"/>
          <w:u w:val="single" w:color="auto"/>
          <w:color w:val="000000"/>
        </w:rPr>
        <w:t>Section 2.20</w:t>
      </w:r>
      <w:r>
        <w:rPr>
          <w:rFonts w:ascii="Times New Roman" w:cs="Times New Roman" w:eastAsia="Times New Roman" w:hAnsi="Times New Roman"/>
          <w:sz w:val="20"/>
          <w:szCs w:val="20"/>
          <w:color w:val="000000"/>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161"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determines it can no longer make or maintain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2.20</w:t>
      </w:r>
      <w:r>
        <w:rPr>
          <w:rFonts w:ascii="Times New Roman" w:cs="Times New Roman" w:eastAsia="Times New Roman" w:hAnsi="Times New Roman"/>
          <w:sz w:val="20"/>
          <w:szCs w:val="20"/>
          <w:color w:val="000000"/>
        </w:rPr>
        <w:t>, (ii) any Loan Party is required to pay any additional amount to or indemnify any Lender 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Governmental Authority for the account of any Lender pursuant to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and/or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20"/>
          <w:szCs w:val="20"/>
          <w:u w:val="single" w:color="auto"/>
          <w:color w:val="000000"/>
        </w:rPr>
        <w:t>Section 9.05</w:t>
      </w:r>
      <w:r>
        <w:rPr>
          <w:rFonts w:ascii="Times New Roman" w:cs="Times New Roman" w:eastAsia="Times New Roman" w:hAnsi="Times New Roman"/>
          <w:sz w:val="20"/>
          <w:szCs w:val="20"/>
          <w:color w:val="000000"/>
        </w:rPr>
        <w:t xml:space="preserve">), all of its interests, rights and obligations under this Agreement to an Eligible Assignee that assumes such obligations (which Eligible Assignee may be another Lender, if any Lender accepts such assignment);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 such Lender has received payment of an amount equal to the outstanding principal amount of its Loans and, if applicable, participations in LC Disbursements or Swingline Loans, in each case of such Class of Loans and/or Commitments, accrued interest thereon, accrued fees and all other amounts payable to it under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color w:val="auto"/>
        </w:rPr>
        <w:t>Document with respect to such Class of Loans and/or Commitments, (B) in the case of any assignment resulting from a claim for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any payment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assignment would result in a reduction in such compensation or payment and (C) such assignment does not conflict with applicable Requirements of Law. No Lender (other than a</w:t>
      </w:r>
    </w:p>
    <w:p>
      <w:pPr>
        <w:spacing w:after="0" w:line="211" w:lineRule="auto"/>
        <w:rPr>
          <w:sz w:val="20"/>
          <w:szCs w:val="20"/>
          <w:color w:val="auto"/>
        </w:rPr>
      </w:pPr>
      <w:r>
        <w:rPr>
          <w:rFonts w:ascii="Times New Roman" w:cs="Times New Roman" w:eastAsia="Times New Roman" w:hAnsi="Times New Roman"/>
          <w:sz w:val="20"/>
          <w:szCs w:val="20"/>
          <w:color w:val="auto"/>
        </w:rPr>
        <w:t>Defaulting Lender) shall be required to make any such assignment and delegation, and the Borrower may not repay the Obligations of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it</w:t>
      </w:r>
    </w:p>
    <w:p>
      <w:pPr>
        <w:spacing w:after="0" w:line="211" w:lineRule="auto"/>
        <w:rPr>
          <w:sz w:val="20"/>
          <w:szCs w:val="20"/>
          <w:color w:val="auto"/>
        </w:rPr>
      </w:pPr>
      <w:r>
        <w:rPr>
          <w:rFonts w:ascii="Times New Roman" w:cs="Times New Roman" w:eastAsia="Times New Roman" w:hAnsi="Times New Roman"/>
          <w:sz w:val="20"/>
          <w:szCs w:val="20"/>
          <w:color w:val="auto"/>
        </w:rPr>
        <w:t>shall execute and deliver to the Administrative Agent an Assignment Agreement to evidence such sale and purchase and shall deliver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any Promissory Note (if the assigning Lender’s Loans are evidenced by one or more Promissory Notes) subject to such Assignment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replaced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to execute an Assignment Agreement</w:t>
      </w:r>
    </w:p>
    <w:p>
      <w:pPr>
        <w:spacing w:after="0" w:line="211" w:lineRule="auto"/>
        <w:rPr>
          <w:sz w:val="20"/>
          <w:szCs w:val="20"/>
          <w:color w:val="auto"/>
        </w:rPr>
      </w:pPr>
      <w:r>
        <w:rPr>
          <w:rFonts w:ascii="Times New Roman" w:cs="Times New Roman" w:eastAsia="Times New Roman" w:hAnsi="Times New Roman"/>
          <w:sz w:val="20"/>
          <w:szCs w:val="20"/>
          <w:color w:val="auto"/>
        </w:rPr>
        <w:t>or deliver any such Promissory Note shall not render such sale and purchase (and the corresponding assignment) invalid), such assignment</w:t>
      </w:r>
    </w:p>
    <w:p>
      <w:pPr>
        <w:spacing w:after="0" w:line="215" w:lineRule="auto"/>
        <w:rPr>
          <w:sz w:val="20"/>
          <w:szCs w:val="20"/>
          <w:color w:val="auto"/>
        </w:rPr>
      </w:pPr>
      <w:r>
        <w:rPr>
          <w:rFonts w:ascii="Times New Roman" w:cs="Times New Roman" w:eastAsia="Times New Roman" w:hAnsi="Times New Roman"/>
          <w:sz w:val="19"/>
          <w:szCs w:val="19"/>
          <w:color w:val="auto"/>
        </w:rPr>
        <w:t>shall be recorded in the Register and any such Promissory Note shall be deemed cancelled. Each Lender hereby irrevocably appoints the Administrative Agent (such appointment being coupled with an interest) as such Lender’s attorney-in-fact, with full authority in the place and</w:t>
      </w:r>
    </w:p>
    <w:p>
      <w:pPr>
        <w:spacing w:after="0" w:line="222" w:lineRule="auto"/>
        <w:rPr>
          <w:sz w:val="20"/>
          <w:szCs w:val="20"/>
          <w:color w:val="auto"/>
        </w:rPr>
      </w:pPr>
      <w:r>
        <w:rPr>
          <w:rFonts w:ascii="Times New Roman" w:cs="Times New Roman" w:eastAsia="Times New Roman" w:hAnsi="Times New Roman"/>
          <w:sz w:val="19"/>
          <w:szCs w:val="19"/>
          <w:color w:val="auto"/>
        </w:rPr>
        <w:t>stead of such Lender and in the name of such Lender, from time to time in the Administrative Agent’s discretion, with prior written notice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such Lender, to take any action and to execute any such Assignment Agreement or other instrument that the Administrative Agent may deem reasonably necessary to carry out the provisions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20.</w:t>
        <w:tab/>
        <w:t>Illegality. If any Lender reasonably determines that any Change in Law has made it unlawful, or that any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Governmental Authority has asserted after the Closing Date that it is unlawful, for such Lender or its applicable lending office to make, maintain or fund Loans whose interest is determined by reference to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or to determine or charge interest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rates based upon </w:t>
      </w:r>
      <w:r>
        <w:rPr>
          <w:rFonts w:ascii="Times New Roman" w:cs="Times New Roman" w:eastAsia="Times New Roman" w:hAnsi="Times New Roman"/>
          <w:sz w:val="20"/>
          <w:szCs w:val="20"/>
          <w:color w:val="FF0000"/>
          <w:strike w:val="1"/>
        </w:rPr>
        <w:t>the Published 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or any Governmental Authority has imposed material restrictions on the authority of such Lender to purchase or sell, or to take deposits of Dollars in the applicable interbank market, then, on notice thereof by such Lender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Borrower through the Administrative Agent, (i) any obligation of such Lender to make or continue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w:t>
      </w:r>
      <w:r>
        <w:rPr>
          <w:rFonts w:ascii="Times New Roman" w:cs="Times New Roman" w:eastAsia="Times New Roman" w:hAnsi="Times New Roman"/>
          <w:sz w:val="20"/>
          <w:szCs w:val="20"/>
          <w:color w:val="FF0000"/>
          <w:strike w:val="1"/>
        </w:rPr>
        <w:t>in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FF0000"/>
          <w:strike w:val="1"/>
        </w:rPr>
        <w:t>effected currency or currencies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to convert ABR Loans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shall be suspended and (ii) if such notice asserts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illegality of such Lender making or maintaining ABR Loans the interest rate on which is determined by reference to the </w:t>
      </w:r>
      <w:r>
        <w:rPr>
          <w:rFonts w:ascii="Times New Roman" w:cs="Times New Roman" w:eastAsia="Times New Roman" w:hAnsi="Times New Roman"/>
          <w:sz w:val="20"/>
          <w:szCs w:val="20"/>
          <w:color w:val="FF0000"/>
          <w:strike w:val="1"/>
        </w:rPr>
        <w:t>Published LIBO</w:t>
      </w:r>
    </w:p>
    <w:p>
      <w:pPr>
        <w:spacing w:after="0" w:line="211" w:lineRule="auto"/>
        <w:rPr>
          <w:sz w:val="20"/>
          <w:szCs w:val="20"/>
          <w:color w:val="auto"/>
        </w:rPr>
      </w:pP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component of the Alternate Base Rate, the interest rate on which ABR Loans of such Lender, shall, if necessary to avoid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illegality, be determined by the Administrative Agent without reference to the </w:t>
      </w:r>
      <w:r>
        <w:rPr>
          <w:rFonts w:ascii="Times New Roman" w:cs="Times New Roman" w:eastAsia="Times New Roman" w:hAnsi="Times New Roman"/>
          <w:sz w:val="20"/>
          <w:szCs w:val="20"/>
          <w:color w:val="FF0000"/>
          <w:strike w:val="1"/>
        </w:rPr>
        <w:t>Published 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component of the Alternate Base Rate, in each case until such Lender notifies the Administrative Agent and the Borrower that the circumstances giving rise to</w:t>
      </w:r>
    </w:p>
    <w:p>
      <w:pPr>
        <w:spacing w:after="0" w:line="211" w:lineRule="auto"/>
        <w:rPr>
          <w:sz w:val="20"/>
          <w:szCs w:val="20"/>
          <w:color w:val="auto"/>
        </w:rPr>
      </w:pPr>
      <w:r>
        <w:rPr>
          <w:rFonts w:ascii="Times New Roman" w:cs="Times New Roman" w:eastAsia="Times New Roman" w:hAnsi="Times New Roman"/>
          <w:sz w:val="20"/>
          <w:szCs w:val="20"/>
          <w:color w:val="auto"/>
        </w:rPr>
        <w:t>such determination no longer exist (which notice such Lender agrees to give promptly). Upon receipt of such notice, (x) the Borrower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upon demand from the relevant Lender (with a copy to the Administrative Agent), at its election, prepay or, if applicable, convert all of such Lender’s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to ABR Loans (the interest rate on which ABR Loans of such Lender shall, if necessary to avoid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illegality, be determined by the Administrative Agent without reference to the </w:t>
      </w:r>
      <w:r>
        <w:rPr>
          <w:rFonts w:ascii="Times New Roman" w:cs="Times New Roman" w:eastAsia="Times New Roman" w:hAnsi="Times New Roman"/>
          <w:sz w:val="20"/>
          <w:szCs w:val="20"/>
          <w:color w:val="FF0000"/>
          <w:strike w:val="1"/>
        </w:rPr>
        <w:t>Published 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component of the Alternate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Base Rate); and (y) if such notice asserts the illegality of such Lender determining or charging interest rates based upon </w:t>
      </w:r>
      <w:r>
        <w:rPr>
          <w:rFonts w:ascii="Times New Roman" w:cs="Times New Roman" w:eastAsia="Times New Roman" w:hAnsi="Times New Roman"/>
          <w:sz w:val="20"/>
          <w:szCs w:val="20"/>
          <w:color w:val="FF0000"/>
          <w:strike w:val="1"/>
        </w:rPr>
        <w:t>the Published 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the Administrative Agent shall during the period of such suspension compute the Alternate Base Rate applicable to such</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Lender without reference to the </w:t>
      </w:r>
      <w:r>
        <w:rPr>
          <w:rFonts w:ascii="Times New Roman" w:cs="Times New Roman" w:eastAsia="Times New Roman" w:hAnsi="Times New Roman"/>
          <w:sz w:val="19"/>
          <w:szCs w:val="19"/>
          <w:color w:val="FF0000"/>
          <w:strike w:val="1"/>
        </w:rPr>
        <w:t>Published 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component thereof until the Administrative Agent is advised in writing by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such Lender that it is no longer illegal for such Lender to determine or charge interest rates based upon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Upon any such prepayment or conversion, the Borrower shall also pay accrued interest on the amount so prepaid or converted. Each Lender</w:t>
      </w:r>
    </w:p>
    <w:p>
      <w:pPr>
        <w:spacing w:after="0" w:line="228" w:lineRule="auto"/>
        <w:rPr>
          <w:sz w:val="20"/>
          <w:szCs w:val="20"/>
          <w:color w:val="auto"/>
        </w:rPr>
      </w:pPr>
      <w:r>
        <w:rPr>
          <w:rFonts w:ascii="Times New Roman" w:cs="Times New Roman" w:eastAsia="Times New Roman" w:hAnsi="Times New Roman"/>
          <w:sz w:val="20"/>
          <w:szCs w:val="20"/>
          <w:color w:val="auto"/>
        </w:rPr>
        <w:t>agrees to designate a different lending office if such designation will avoid the need for such notice and will not, in the determination of such Lender, otherwise be materially disadvantageous to such Lender.</w:t>
      </w:r>
    </w:p>
    <w:p>
      <w:pPr>
        <w:spacing w:after="0" w:line="1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21.</w:t>
        <w:tab/>
        <w:t>Defaulting Lenders. Notwithstanding any provision of this Agreement to the contrary, if any Person becomes a</w:t>
      </w: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Person is a Defaulting Lender:</w:t>
      </w:r>
    </w:p>
    <w:p>
      <w:pPr>
        <w:spacing w:after="0" w:line="167" w:lineRule="exact"/>
        <w:rPr>
          <w:sz w:val="20"/>
          <w:szCs w:val="20"/>
          <w:color w:val="auto"/>
        </w:rPr>
      </w:pPr>
    </w:p>
    <w:p>
      <w:pPr>
        <w:ind w:firstLine="656"/>
        <w:spacing w:after="0" w:line="233"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Fees shall cease to accrue on the unfunded portion of any Commitment of such Defaulting Lender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clause (d)(iv)</w:t>
      </w:r>
      <w:r>
        <w:rPr>
          <w:rFonts w:ascii="Times New Roman" w:cs="Times New Roman" w:eastAsia="Times New Roman" w:hAnsi="Times New Roman"/>
          <w:sz w:val="20"/>
          <w:szCs w:val="20"/>
          <w:color w:val="auto"/>
        </w:rPr>
        <w:t xml:space="preserve"> below, on the participation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0"/>
          <w:szCs w:val="20"/>
          <w:color w:val="auto"/>
        </w:rPr>
        <w:t xml:space="preserve">such Defaulting Lender in Letters of Credit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and pursuant to any other provision of this Agreement or any other Loan Document.</w:t>
      </w:r>
    </w:p>
    <w:p>
      <w:pPr>
        <w:spacing w:after="0" w:line="148" w:lineRule="exact"/>
        <w:rPr>
          <w:sz w:val="20"/>
          <w:szCs w:val="20"/>
          <w:color w:val="auto"/>
        </w:rPr>
      </w:pPr>
    </w:p>
    <w:p>
      <w:pPr>
        <w:jc w:val="both"/>
        <w:ind w:firstLine="656"/>
        <w:spacing w:after="0" w:line="215" w:lineRule="auto"/>
        <w:tabs>
          <w:tab w:leader="none" w:pos="128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requiring the consent of all Lenders or each affected Lender which (i) increases the Commitment of such Defaulting Lender hereunder, (ii) reduces the principal amount of any amount owing to such Defaulting Lender or (iii) affects such Defaulting Lender disproportionately and adversely relative to other affected Lenders shall require the consent of such Defaulting Lender.</w:t>
      </w:r>
    </w:p>
    <w:p>
      <w:pPr>
        <w:spacing w:after="0" w:line="164"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any Defaulting Lender (whether voluntary or mandatory, at maturity,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or otherwise, and including any amount made available to the Administrative Agent by such Defaulting Lender pursuant to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shall be applied at such time or times as may be determined by the Administrative Agent and, where relevant, the Borrower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 owing by such Defaulting Lender to any applicable Issuing Bank and/or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as the Administrative Agent or the Borrower may elect, to be held in a Deposit Account and released in order to satisfy obligations of such Defaulting Lender to fund Loans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 owing to the non-Defaulting Lenders, Issuing Banks or the Swingline Lender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to the payment of any amount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any amount owed by any Defaulting Lender or to post Cash collateral pursuant to this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any Lender becomes a Defaulting Lender then:</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Exposure and LC Exposure of such Defaulting Lender shall be reallocated among the non-Defaulting Lenders under the Revolving Facility (the “</w:t>
      </w:r>
      <w:r>
        <w:rPr>
          <w:rFonts w:ascii="Times New Roman" w:cs="Times New Roman" w:eastAsia="Times New Roman" w:hAnsi="Times New Roman"/>
          <w:sz w:val="20"/>
          <w:szCs w:val="20"/>
          <w:u w:val="single" w:color="auto"/>
          <w:color w:val="auto"/>
        </w:rPr>
        <w:t>Non-Defaulting Revolving Lenders</w:t>
      </w:r>
      <w:r>
        <w:rPr>
          <w:rFonts w:ascii="Times New Roman" w:cs="Times New Roman" w:eastAsia="Times New Roman" w:hAnsi="Times New Roman"/>
          <w:sz w:val="20"/>
          <w:szCs w:val="20"/>
          <w:color w:val="auto"/>
        </w:rPr>
        <w:t>”) in accordance with their respective Applicable Revolving Credit Percentages but only to the extent that (A) 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it being understood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20"/>
          <w:szCs w:val="20"/>
          <w:color w:val="auto"/>
        </w:rPr>
        <w:t xml:space="preserve">that, subject to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 no reallocation hereunder shall constitute a waiver or release of any claim of any party hereunder</w:t>
      </w:r>
    </w:p>
    <w:p>
      <w:pPr>
        <w:ind w:left="660"/>
        <w:spacing w:after="0" w:line="221" w:lineRule="auto"/>
        <w:rPr>
          <w:sz w:val="20"/>
          <w:szCs w:val="20"/>
          <w:color w:val="auto"/>
        </w:rPr>
      </w:pPr>
      <w:r>
        <w:rPr>
          <w:rFonts w:ascii="Times New Roman" w:cs="Times New Roman" w:eastAsia="Times New Roman" w:hAnsi="Times New Roman"/>
          <w:sz w:val="20"/>
          <w:szCs w:val="20"/>
          <w:color w:val="auto"/>
        </w:rPr>
        <w:t>against any Defaulting Lender arising from such Lender’s having become a Defaulting Lender, including any claim of any Non-Defaulting Lender as a result of such Non-Defaulting Lender’s increased exposure following such reallocation;</w:t>
      </w:r>
    </w:p>
    <w:p>
      <w:pPr>
        <w:spacing w:after="0" w:line="162" w:lineRule="exact"/>
        <w:rPr>
          <w:sz w:val="20"/>
          <w:szCs w:val="20"/>
          <w:color w:val="auto"/>
        </w:rPr>
      </w:pPr>
    </w:p>
    <w:p>
      <w:pPr>
        <w:jc w:val="both"/>
        <w:ind w:left="660" w:firstLine="644"/>
        <w:spacing w:after="0" w:line="220" w:lineRule="auto"/>
        <w:tabs>
          <w:tab w:leader="none" w:pos="1955"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reallocation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 of such Defaulting Lender to fund any participation in any Swingline Exposure (after giving effect to any partial reallocation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and any Cash collateral provided by such Defaulting Lender or pursuant to </w:t>
      </w:r>
      <w:r>
        <w:rPr>
          <w:rFonts w:ascii="Times New Roman" w:cs="Times New Roman" w:eastAsia="Times New Roman" w:hAnsi="Times New Roman"/>
          <w:sz w:val="19"/>
          <w:szCs w:val="19"/>
          <w:u w:val="single" w:color="auto"/>
          <w:color w:val="auto"/>
        </w:rPr>
        <w:t>Section 2.21(c)</w:t>
      </w:r>
      <w:r>
        <w:rPr>
          <w:rFonts w:ascii="Times New Roman" w:cs="Times New Roman" w:eastAsia="Times New Roman" w:hAnsi="Times New Roman"/>
          <w:sz w:val="19"/>
          <w:szCs w:val="19"/>
          <w:color w:val="auto"/>
        </w:rPr>
        <w:t xml:space="preserve"> above) or make other arrangements reasonably satisfactory to the Administrative Agent and to the applicable Issuing Bank and/or the Swingline Lender with respect to such LC Exposure and/or Swingline Exposure and any obligation to fund any participation therein.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or</w:t>
      </w:r>
    </w:p>
    <w:p>
      <w:pPr>
        <w:spacing w:after="0" w:line="3" w:lineRule="exact"/>
        <w:rPr>
          <w:rFonts w:ascii="Times New Roman" w:cs="Times New Roman" w:eastAsia="Times New Roman" w:hAnsi="Times New Roman"/>
          <w:sz w:val="19"/>
          <w:szCs w:val="19"/>
          <w:color w:val="auto"/>
        </w:rPr>
      </w:pPr>
    </w:p>
    <w:p>
      <w:pPr>
        <w:jc w:val="both"/>
        <w:ind w:left="660" w:hanging="4"/>
        <w:spacing w:after="0" w:line="218" w:lineRule="auto"/>
        <w:tabs>
          <w:tab w:leader="none" w:pos="101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Agent’s good faith determination that there exists excess Cash collateral (including as a result of any subsequent reallocation of Swingline Exposure and/or LC Exposure among the non-Defaulting Lenders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Exposure of the non-Defaulting Lenders is reallocated pursuant to this </w:t>
      </w:r>
      <w:r>
        <w:rPr>
          <w:rFonts w:ascii="Times New Roman" w:cs="Times New Roman" w:eastAsia="Times New Roman" w:hAnsi="Times New Roman"/>
          <w:sz w:val="20"/>
          <w:szCs w:val="20"/>
          <w:u w:val="single" w:color="auto"/>
          <w:color w:val="auto"/>
        </w:rPr>
        <w:t>Section 2.21(d)</w:t>
      </w:r>
      <w:r>
        <w:rPr>
          <w:rFonts w:ascii="Times New Roman" w:cs="Times New Roman" w:eastAsia="Times New Roman" w:hAnsi="Times New Roman"/>
          <w:sz w:val="20"/>
          <w:szCs w:val="20"/>
          <w:color w:val="auto"/>
        </w:rPr>
        <w:t xml:space="preserve">, then the fees payable to the applicable Lenders pursuant to </w:t>
      </w:r>
      <w:r>
        <w:rPr>
          <w:rFonts w:ascii="Times New Roman" w:cs="Times New Roman" w:eastAsia="Times New Roman" w:hAnsi="Times New Roman"/>
          <w:sz w:val="20"/>
          <w:szCs w:val="20"/>
          <w:u w:val="single" w:color="auto"/>
          <w:color w:val="auto"/>
        </w:rPr>
        <w:t>Sections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the case may be, shall be adjusted to give effect to such reallocation;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Defaulting Lender’s LC Exposure is not Cash collateralized, prepaid or reallocated pursuant to this </w:t>
      </w:r>
      <w:r>
        <w:rPr>
          <w:rFonts w:ascii="Times New Roman" w:cs="Times New Roman" w:eastAsia="Times New Roman" w:hAnsi="Times New Roman"/>
          <w:sz w:val="20"/>
          <w:szCs w:val="20"/>
          <w:u w:val="single" w:color="auto"/>
          <w:color w:val="auto"/>
        </w:rPr>
        <w:t>Section 2.21(d)</w:t>
      </w:r>
      <w:r>
        <w:rPr>
          <w:rFonts w:ascii="Times New Roman" w:cs="Times New Roman" w:eastAsia="Times New Roman" w:hAnsi="Times New Roman"/>
          <w:sz w:val="20"/>
          <w:szCs w:val="20"/>
          <w:color w:val="auto"/>
        </w:rPr>
        <w:t xml:space="preserve">, then, without prejudice to any rights or remedies of the applicable Issuing Bank or any Revolving Lender hereunder, all letter of credit fees payable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shall be payable to the applicable Issuing Bank until such Defaulting Lender’s LC Exposure is Cash collateralized or reallocated.</w:t>
      </w:r>
    </w:p>
    <w:p>
      <w:pPr>
        <w:spacing w:after="0" w:line="162" w:lineRule="exact"/>
        <w:rPr>
          <w:sz w:val="20"/>
          <w:szCs w:val="20"/>
          <w:color w:val="auto"/>
        </w:rPr>
      </w:pPr>
    </w:p>
    <w:p>
      <w:pPr>
        <w:jc w:val="both"/>
        <w:ind w:firstLine="656"/>
        <w:spacing w:after="0" w:line="215" w:lineRule="auto"/>
        <w:tabs>
          <w:tab w:leader="none" w:pos="128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Revolving Lender is a Defaulting Lender, the Swingline Lender shall not be required to fund any Swingline Loan, and no Issuing Bank shall be required to issue, extend, create, incur, amend or increase any Letter of Credit unless the relevant Issuing Banks, as applicable, are reasonably satisfied that the related exposure will be 100% covered by the Revolving Credit Commitments of the non-Defaulting Revolving Lenders, Cash collateral provided pursuant to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and/or Cash collateral provided in accordance with </w:t>
      </w:r>
      <w:r>
        <w:rPr>
          <w:rFonts w:ascii="Times New Roman" w:cs="Times New Roman" w:eastAsia="Times New Roman" w:hAnsi="Times New Roman"/>
          <w:sz w:val="20"/>
          <w:szCs w:val="20"/>
          <w:u w:val="single" w:color="auto"/>
          <w:color w:val="auto"/>
        </w:rPr>
        <w:t>Section 2.21(d)</w:t>
      </w:r>
      <w:r>
        <w:rPr>
          <w:rFonts w:ascii="Times New Roman" w:cs="Times New Roman" w:eastAsia="Times New Roman" w:hAnsi="Times New Roman"/>
          <w:sz w:val="20"/>
          <w:szCs w:val="20"/>
          <w:color w:val="auto"/>
        </w:rPr>
        <w:t xml:space="preserve">, and participating interest in any such newly issued, extended or created Letter of Credit or newly made Swingline Loan shall be allocated among Non-Defaulting Revolving Lenders in a manner consistent with </w:t>
      </w:r>
      <w:r>
        <w:rPr>
          <w:rFonts w:ascii="Times New Roman" w:cs="Times New Roman" w:eastAsia="Times New Roman" w:hAnsi="Times New Roman"/>
          <w:sz w:val="20"/>
          <w:szCs w:val="20"/>
          <w:u w:val="single" w:color="auto"/>
          <w:color w:val="auto"/>
        </w:rPr>
        <w:t>Section 2.21(d)(i)</w:t>
      </w:r>
      <w:r>
        <w:rPr>
          <w:rFonts w:ascii="Times New Roman" w:cs="Times New Roman" w:eastAsia="Times New Roman" w:hAnsi="Times New Roman"/>
          <w:sz w:val="20"/>
          <w:szCs w:val="20"/>
          <w:color w:val="auto"/>
        </w:rPr>
        <w:t xml:space="preserve"> (it being understood that Defaulting Lenders shall not participate therein).</w:t>
      </w:r>
    </w:p>
    <w:p>
      <w:pPr>
        <w:spacing w:after="0" w:line="164" w:lineRule="exact"/>
        <w:rPr>
          <w:rFonts w:ascii="Times New Roman" w:cs="Times New Roman" w:eastAsia="Times New Roman" w:hAnsi="Times New Roman"/>
          <w:sz w:val="20"/>
          <w:szCs w:val="20"/>
          <w:color w:val="auto"/>
        </w:rPr>
      </w:pPr>
    </w:p>
    <w:p>
      <w:pPr>
        <w:jc w:val="both"/>
        <w:ind w:firstLine="656"/>
        <w:spacing w:after="0" w:line="212" w:lineRule="auto"/>
        <w:tabs>
          <w:tab w:leader="none" w:pos="129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and the Borrower agree that any Defaulting Lender has adequately remedied all matters that caused such Person to be a Defaulting Lender, then the Applicable Revolving Credit Percentage of LC Exposure and the Swingline Exposure of the Revolving Lenders shall be readjusted to reflect the inclusion of such Person’s Revolving Credit Commitment, and on such date such Revolving Lender shall purchase at par such of the Revolving Loans of the applicable Class of the other Revolving Lenders (other than any Swingline Loan)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 (x) no adjustment will be made retroactively with respect to fees accrued or payments made by or on behalf of the Borrower while such Lender was a Defaulting Lender and (y) except to the extent otherwise expressly agreed by the affected parties, no change hereunder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color w:val="auto"/>
        </w:rPr>
        <w:t>Defaulting Lender to Lender will constitute a waiver or release of any claim of any party hereunder arising from such Person’s having been a Defaulting Lender.</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color w:val="auto"/>
        </w:rPr>
        <w:t>Incremental Credit Extensions.</w:t>
      </w:r>
    </w:p>
    <w:p>
      <w:pPr>
        <w:spacing w:after="0" w:line="189" w:lineRule="exact"/>
        <w:rPr>
          <w:sz w:val="20"/>
          <w:szCs w:val="20"/>
          <w:color w:val="auto"/>
        </w:rPr>
      </w:pPr>
    </w:p>
    <w:p>
      <w:pPr>
        <w:jc w:val="both"/>
        <w:ind w:firstLine="656"/>
        <w:spacing w:after="0" w:line="226" w:lineRule="auto"/>
        <w:tabs>
          <w:tab w:leader="none" w:pos="1286"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at any time, on one or more occasions pursuant to an Incremental Facility Amendment (x) add one or more new Classes of term facilities and/or increase the principal amount of the Term Loans of any existing Class by requesting new commitments to provide such Term Loans (any such new Class or increase, an “</w:t>
      </w:r>
      <w:r>
        <w:rPr>
          <w:rFonts w:ascii="Times New Roman" w:cs="Times New Roman" w:eastAsia="Times New Roman" w:hAnsi="Times New Roman"/>
          <w:sz w:val="19"/>
          <w:szCs w:val="19"/>
          <w:u w:val="single" w:color="auto"/>
          <w:color w:val="auto"/>
        </w:rPr>
        <w:t>Incremental Term Facility</w:t>
      </w:r>
      <w:r>
        <w:rPr>
          <w:rFonts w:ascii="Times New Roman" w:cs="Times New Roman" w:eastAsia="Times New Roman" w:hAnsi="Times New Roman"/>
          <w:sz w:val="19"/>
          <w:szCs w:val="19"/>
          <w:color w:val="auto"/>
        </w:rPr>
        <w:t>” and any loan made pursuant to an Incremental Term Facility,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and/or (y) increase the aggregate amount of the Revolving Credit Commitments of any existing Class (any such increase, an “</w:t>
      </w:r>
      <w:r>
        <w:rPr>
          <w:rFonts w:ascii="Times New Roman" w:cs="Times New Roman" w:eastAsia="Times New Roman" w:hAnsi="Times New Roman"/>
          <w:sz w:val="19"/>
          <w:szCs w:val="19"/>
          <w:u w:val="single" w:color="auto"/>
          <w:color w:val="auto"/>
        </w:rPr>
        <w:t>Incremental Revolving Facility</w:t>
      </w:r>
      <w:r>
        <w:rPr>
          <w:rFonts w:ascii="Times New Roman" w:cs="Times New Roman" w:eastAsia="Times New Roman" w:hAnsi="Times New Roman"/>
          <w:sz w:val="19"/>
          <w:szCs w:val="19"/>
          <w:color w:val="auto"/>
        </w:rPr>
        <w:t>” and, together with any Incremental Term Facility,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Facilities</w:t>
      </w:r>
      <w:r>
        <w:rPr>
          <w:rFonts w:ascii="Times New Roman" w:cs="Times New Roman" w:eastAsia="Times New Roman" w:hAnsi="Times New Roman"/>
          <w:sz w:val="19"/>
          <w:szCs w:val="19"/>
          <w:color w:val="auto"/>
        </w:rPr>
        <w:t>”; and the loans thereunder, “</w:t>
      </w:r>
      <w:r>
        <w:rPr>
          <w:rFonts w:ascii="Times New Roman" w:cs="Times New Roman" w:eastAsia="Times New Roman" w:hAnsi="Times New Roman"/>
          <w:sz w:val="19"/>
          <w:szCs w:val="19"/>
          <w:u w:val="single" w:color="auto"/>
          <w:color w:val="auto"/>
        </w:rPr>
        <w:t>Incremental Revolving Loans</w:t>
      </w:r>
      <w:r>
        <w:rPr>
          <w:rFonts w:ascii="Times New Roman" w:cs="Times New Roman" w:eastAsia="Times New Roman" w:hAnsi="Times New Roman"/>
          <w:sz w:val="19"/>
          <w:szCs w:val="19"/>
          <w:color w:val="auto"/>
        </w:rPr>
        <w:t>” and any Incremental Revolving Loans, together with any Incremental Term Loans, the “</w:t>
      </w:r>
      <w:r>
        <w:rPr>
          <w:rFonts w:ascii="Times New Roman" w:cs="Times New Roman" w:eastAsia="Times New Roman" w:hAnsi="Times New Roman"/>
          <w:sz w:val="19"/>
          <w:szCs w:val="19"/>
          <w:u w:val="single" w:color="auto"/>
          <w:color w:val="auto"/>
        </w:rPr>
        <w:t>Incremental Loans</w:t>
      </w:r>
      <w:r>
        <w:rPr>
          <w:rFonts w:ascii="Times New Roman" w:cs="Times New Roman" w:eastAsia="Times New Roman" w:hAnsi="Times New Roman"/>
          <w:sz w:val="19"/>
          <w:szCs w:val="19"/>
          <w:color w:val="auto"/>
        </w:rPr>
        <w:t xml:space="preserve">”) in an aggregate outstanding principal amount not to exceed the Incremental Cap;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6" w:lineRule="exact"/>
        <w:rPr>
          <w:rFonts w:ascii="Times New Roman" w:cs="Times New Roman" w:eastAsia="Times New Roman" w:hAnsi="Times New Roman"/>
          <w:sz w:val="19"/>
          <w:szCs w:val="19"/>
          <w:color w:val="auto"/>
        </w:rPr>
      </w:pPr>
    </w:p>
    <w:p>
      <w:pPr>
        <w:ind w:left="660" w:firstLine="644"/>
        <w:spacing w:after="0" w:line="233" w:lineRule="auto"/>
        <w:tabs>
          <w:tab w:leader="none" w:pos="195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Incremental Commitment in respect of any Incremental Term Facility may be in an amount that is less than $5,000,000 (or such lesser amount to which the Administrative Agent may reasonably agree);</w:t>
      </w:r>
    </w:p>
    <w:p>
      <w:pPr>
        <w:spacing w:after="0" w:line="160" w:lineRule="exact"/>
        <w:rPr>
          <w:rFonts w:ascii="Times New Roman" w:cs="Times New Roman" w:eastAsia="Times New Roman" w:hAnsi="Times New Roman"/>
          <w:sz w:val="20"/>
          <w:szCs w:val="20"/>
          <w:color w:val="auto"/>
        </w:rPr>
      </w:pPr>
    </w:p>
    <w:p>
      <w:pPr>
        <w:jc w:val="both"/>
        <w:ind w:left="660" w:right="20" w:firstLine="644"/>
        <w:spacing w:after="0" w:line="222" w:lineRule="auto"/>
        <w:tabs>
          <w:tab w:leader="none" w:pos="195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Borrower and any Lender may separately agree, no Lender shall be obligated to provide any Incremental Commitment, and the determination to provide any Incremental Commitment shall be within the sole and absolute discretion of such Lender (it being agreed that the Borrower shall not be obligated to offer the opportunity to any Lender to participate in any Incremental Facility);</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permitted herein (including with respect to currency, pricing (including any “MFN” or other pricing term), interest rate margins, rate floors, fees, premiums (including prepayment premiums), funding discounts, maturity and amortization):</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87"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Incremental Term Facility, if not substantially consistent with those applicable to any then-existing Class of Term Loans, must be reasonably acceptable to the Administrative Agent; it being agreed that any terms applicable to such Incremental Term Facility that (1) are applicable only after the then-existing Latest Term Loan Maturity Date, (2) are, taken as a whole, in the good faith determination of the Borrower, not more favorable to the lenders or the agent of such Incremental Term Facility than those contained in the Loan Documents, (3) are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by conforming or adding a term to the then-outstanding Term Loans pursuant to the applicable Incremental Facility Amendment) and/or (4) taken as a whole, reflect then current market terms and conditions at the time of the incurrence or issuance of such Incremental Term Facility (as determined by the Borrower in good faith), shall, in each case, be deemed to be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any Incremental Term Facility may be structured as a “delayed draw” facility with such conditions to borrowing thereunder as the Borrower and the relevant Incremental Lenders may agree; and</w:t>
      </w:r>
    </w:p>
    <w:p>
      <w:pPr>
        <w:spacing w:after="0" w:line="166" w:lineRule="exact"/>
        <w:rPr>
          <w:rFonts w:ascii="Times New Roman" w:cs="Times New Roman" w:eastAsia="Times New Roman" w:hAnsi="Times New Roman"/>
          <w:sz w:val="20"/>
          <w:szCs w:val="20"/>
          <w:color w:val="auto"/>
        </w:rPr>
      </w:pPr>
    </w:p>
    <w:p>
      <w:pPr>
        <w:jc w:val="both"/>
        <w:ind w:left="1300" w:right="20" w:firstLine="652"/>
        <w:spacing w:after="0" w:line="226" w:lineRule="auto"/>
        <w:tabs>
          <w:tab w:leader="none" w:pos="2590"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Incremental Revolving Facility (for the avoidance of doubt, other than any arrangement, commitment, structuring, underwriting, ticking and/or amendment fee paid or to be paid in connection with the implementation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25" w:name="page226"/>
    <w:bookmarkEnd w:id="225"/>
    <w:p>
      <w:pPr>
        <w:ind w:left="1300"/>
        <w:spacing w:after="0"/>
        <w:rPr>
          <w:sz w:val="20"/>
          <w:szCs w:val="20"/>
          <w:color w:val="auto"/>
        </w:rPr>
      </w:pPr>
      <w:r>
        <w:rPr>
          <w:rFonts w:ascii="Times New Roman" w:cs="Times New Roman" w:eastAsia="Times New Roman" w:hAnsi="Times New Roman"/>
          <w:sz w:val="20"/>
          <w:szCs w:val="20"/>
          <w:color w:val="auto"/>
        </w:rPr>
        <w:t>Incremental Revolving Facility) shall be consistent with the terms of a then-existing Revolving Facility (if any);</w:t>
      </w:r>
    </w:p>
    <w:p>
      <w:pPr>
        <w:spacing w:after="0" w:line="189" w:lineRule="exact"/>
        <w:rPr>
          <w:sz w:val="20"/>
          <w:szCs w:val="20"/>
          <w:color w:val="auto"/>
        </w:rPr>
      </w:pPr>
    </w:p>
    <w:p>
      <w:pPr>
        <w:jc w:val="both"/>
        <w:ind w:left="660" w:firstLine="644"/>
        <w:spacing w:after="0" w:line="222" w:lineRule="auto"/>
        <w:tabs>
          <w:tab w:leader="none" w:pos="194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currency, pricing (including any “MFN” or other pricing term), interest rate margins, rate floors, fees, premiums (including any prepayment premium), funding discounts and, subject to </w:t>
      </w:r>
      <w:r>
        <w:rPr>
          <w:rFonts w:ascii="Times New Roman" w:cs="Times New Roman" w:eastAsia="Times New Roman" w:hAnsi="Times New Roman"/>
          <w:sz w:val="20"/>
          <w:szCs w:val="20"/>
          <w:u w:val="single" w:color="auto"/>
          <w:color w:val="auto"/>
        </w:rPr>
        <w:t>clauses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below, the maturity and amortization schedule applicable to any Incremental Facility shall be determined by the Borrower and the lender or lenders providing such Incremental Facility;</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5"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any Incremental Term Facility consisting of Indebtedness in the form of Customary Bridge Loans, the final maturity date with respect to any Class of Incremental Term Loan shall be no earlier than the then-existing Latest Term Loan Maturity Date, it being understood and agreed for the avoidance of doubt that any undrawn commitment in respect of any Incremental Term Facility may terminate at such time as the Borrower and the lenders providing the relevant Incremental Term Facility may agree;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any Incremental Term Facility consisting of Indebtedness in the form of Customary Bridge Loans, the Weighted Average Life to Maturity of any Incremental Term Facility shall be no shorter than the remaining Weighted Average Life to Maturity of any then-existing tranche of Term Loans (without giving effect to any prepayment thereof that would otherwise modify the Weighted Average Life to Maturity thereof);</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4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above, any Incremental Term Facility may otherwise have an amortization schedule as determined by the Borrower and the lenders providing such Incremental Term Facility;</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above, to the extent applicable, any fee payable in connection with any Incremental Facility shall be determined by the Borrower and the arrangers and/or lenders providing such Incremental Facility;</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Incremental Term Facility may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Class of Term Loans in right of payment and/or security or may be unsecured (and to the extent the relevant Incremental Facility is secured on a junior lien basis or subordinated in right of payment, it shall be subject to an Intercreditor Agreement) and (B) no Incremental Facility may be</w:t>
      </w:r>
    </w:p>
    <w:p>
      <w:pPr>
        <w:spacing w:after="0" w:line="1" w:lineRule="exact"/>
        <w:rPr>
          <w:rFonts w:ascii="Times New Roman" w:cs="Times New Roman" w:eastAsia="Times New Roman" w:hAnsi="Times New Roman"/>
          <w:sz w:val="20"/>
          <w:szCs w:val="20"/>
          <w:color w:val="auto"/>
        </w:rPr>
      </w:pPr>
    </w:p>
    <w:p>
      <w:pPr>
        <w:jc w:val="both"/>
        <w:ind w:left="660" w:hanging="4"/>
        <w:spacing w:after="0" w:line="212" w:lineRule="auto"/>
        <w:tabs>
          <w:tab w:leader="none" w:pos="94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guaranteed by any subsidiary that is not a Loan Party (it being understood and agreed that the obligations of any subsidiary with respect to any escrow arrangement into which the proceeds of such Incremental Term Facility are deposited shall not constitute a guarantee by any subsidiary that is not a Loan Party) or (y) secured by any asset that does not constitute Collateral; it being understood that any Incremental Facility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Term Facility may participate (A) in any voluntary prepayment of Term Loans as set forth in </w:t>
      </w:r>
      <w:r>
        <w:rPr>
          <w:rFonts w:ascii="Times New Roman" w:cs="Times New Roman" w:eastAsia="Times New Roman" w:hAnsi="Times New Roman"/>
          <w:sz w:val="20"/>
          <w:szCs w:val="20"/>
          <w:u w:val="single" w:color="auto"/>
          <w:color w:val="auto"/>
        </w:rPr>
        <w:t>Section 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 in each case, to the extent provided in such Sections;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effectiveness of any Incremental Facility permitted in reliance on the Fixed Incremental Amount shall be subject to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on a Pro Forma Basis as of the last day of the most recently ended Test Period prior to the incurrence of such Incremental Facility;</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any Incremental Facility may be used for working capital needs and other general corporate purposes and any other use not prohibited by this Agreement;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9"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the Borrowing of any Incremental Term Loans that will be of the same Class as any then-existing Class of Term Loans, and notwithstanding anything to the contrary set forth in </w:t>
      </w:r>
      <w:r>
        <w:rPr>
          <w:rFonts w:ascii="Times New Roman" w:cs="Times New Roman" w:eastAsia="Times New Roman" w:hAnsi="Times New Roman"/>
          <w:sz w:val="20"/>
          <w:szCs w:val="20"/>
          <w:u w:val="single" w:color="auto"/>
          <w:color w:val="auto"/>
        </w:rPr>
        <w:t>Sections 2.08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above, such Incremental Term Loans shall be added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20"/>
          <w:szCs w:val="20"/>
          <w:color w:val="auto"/>
        </w:rPr>
        <w:t>(and constitute a part of, be of the same Type as and, at the election of the Borrower, have the same Interest Period as) each</w:t>
      </w:r>
    </w:p>
    <w:p>
      <w:pPr>
        <w:ind w:left="660"/>
        <w:spacing w:after="0" w:line="215" w:lineRule="auto"/>
        <w:rPr>
          <w:sz w:val="20"/>
          <w:szCs w:val="20"/>
          <w:color w:val="auto"/>
        </w:rPr>
      </w:pPr>
      <w:r>
        <w:rPr>
          <w:rFonts w:ascii="Times New Roman" w:cs="Times New Roman" w:eastAsia="Times New Roman" w:hAnsi="Times New Roman"/>
          <w:sz w:val="19"/>
          <w:szCs w:val="19"/>
          <w:color w:val="auto"/>
        </w:rPr>
        <w:t>Borrowing of outstanding Term Loans of such Class on a pro rata basis (based on the relative sizes of such Borrowings), so that each Term Lender providing such Incremental Term Loans will participate proportionately in each then-outstanding Borrowing of Term</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Loans of such Class; it being acknowledged that the application of this </w:t>
      </w:r>
      <w:r>
        <w:rPr>
          <w:rFonts w:ascii="Times New Roman" w:cs="Times New Roman" w:eastAsia="Times New Roman" w:hAnsi="Times New Roman"/>
          <w:sz w:val="20"/>
          <w:szCs w:val="20"/>
          <w:u w:val="single" w:color="auto"/>
          <w:color w:val="auto"/>
        </w:rPr>
        <w:t>clause (a)(xiv)</w:t>
      </w:r>
      <w:r>
        <w:rPr>
          <w:rFonts w:ascii="Times New Roman" w:cs="Times New Roman" w:eastAsia="Times New Roman" w:hAnsi="Times New Roman"/>
          <w:sz w:val="20"/>
          <w:szCs w:val="20"/>
          <w:color w:val="auto"/>
        </w:rPr>
        <w:t xml:space="preserve"> may result in new Incremental Term Loans</w:t>
      </w: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having an Interest Period (the duration of which may be less than one month) that begin during an Interest Period then applicable to outstanding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of the relevant Class and which end on the last day of such Interest Period; and</w:t>
      </w:r>
    </w:p>
    <w:p>
      <w:pPr>
        <w:spacing w:after="0" w:line="158" w:lineRule="exact"/>
        <w:rPr>
          <w:sz w:val="20"/>
          <w:szCs w:val="20"/>
          <w:color w:val="auto"/>
        </w:rPr>
      </w:pPr>
    </w:p>
    <w:p>
      <w:pPr>
        <w:jc w:val="both"/>
        <w:ind w:left="660" w:firstLine="644"/>
        <w:spacing w:after="0" w:line="220" w:lineRule="auto"/>
        <w:tabs>
          <w:tab w:leader="none" w:pos="194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of any Incremental Facility does not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Class of Term Loans or Revolving Loans, as applicable, in right of payment and security or is unsecured, such Incremental Facility will be documented pursuant to separate documentation from this Agreement (it being understood and agreed that any “last out” facility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Class of Term Loans or Revolving Loans, as applicable, in right of security but which is “last out” with respect to payment priority may be documented hereunder).</w:t>
      </w:r>
    </w:p>
    <w:p>
      <w:pPr>
        <w:spacing w:after="0" w:line="15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Commitments may be provided by any existing Lender, or by any other Eligible Assignee (any such other lender being called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in the case of any Incremental Revolving Facility, the Swingline Lender and any Issuing Bank) shall have a right to consent (such consent not to be unreasonably withheld, conditioned or delayed) to the relevant Incremental Lender’s provision of Incremental Commitments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such Incremental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Incremental Lender that is an Affiliated Lender shall be subject to the provisions of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same extent as if the relevant Incremental Commitments and related Obligations had been acquired by such Lender by way of assignment.</w:t>
      </w:r>
    </w:p>
    <w:p>
      <w:pPr>
        <w:spacing w:after="0" w:line="16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conditions precedent to the effectiveness of any Incremental Facility or the making of any Incremental Loan:</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request, the Administrative Agent shall be entitled to receive customary written opinions of counsel with respect to the Borrower, as well as such reaffirmation agreements, supplements and/or amendments as it may reasonably require;</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55"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receive, from each Incremental Lender, an Administrative Questionnaire and such other documents as it may reasonably require from such Incremental Lender;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56"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2.22(h)</w:t>
      </w:r>
      <w:r>
        <w:rPr>
          <w:rFonts w:ascii="Times New Roman" w:cs="Times New Roman" w:eastAsia="Times New Roman" w:hAnsi="Times New Roman"/>
          <w:sz w:val="20"/>
          <w:szCs w:val="20"/>
          <w:color w:val="auto"/>
        </w:rPr>
        <w:t xml:space="preserve">, the Administrative Agent shall have received a Borrowing Request as if the relevant Incremental Loans were subject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another written request the form of which is reasonably acceptable to the Administrative Agent (it being understood and agreed that the requirement to deliver a Borrowing Request shall not result in the imposition of any condition precedent to the availability of the relevant Incremental Loans (including with respect to the absence of a Default or Event of Default and/or the accuracy of any representation and/or warranty));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27" w:name="page228"/>
    <w:bookmarkEnd w:id="227"/>
    <w:p>
      <w:pPr>
        <w:jc w:val="both"/>
        <w:ind w:firstLine="656"/>
        <w:spacing w:after="0" w:line="226" w:lineRule="auto"/>
        <w:tabs>
          <w:tab w:leader="none" w:pos="128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in any other provision of any Loan Document, the conditions to the availability or funding of any Incremental Facility shall be determined by the relevant Incremental Lenders providing such Incremental Facility and the Borrower.</w:t>
      </w:r>
    </w:p>
    <w:p>
      <w:pPr>
        <w:spacing w:after="0" w:line="160" w:lineRule="exact"/>
        <w:rPr>
          <w:rFonts w:ascii="Times New Roman" w:cs="Times New Roman" w:eastAsia="Times New Roman" w:hAnsi="Times New Roman"/>
          <w:sz w:val="20"/>
          <w:szCs w:val="20"/>
          <w:color w:val="auto"/>
        </w:rPr>
      </w:pPr>
    </w:p>
    <w:p>
      <w:pPr>
        <w:jc w:val="both"/>
        <w:ind w:firstLine="656"/>
        <w:spacing w:after="0" w:line="210" w:lineRule="auto"/>
        <w:tabs>
          <w:tab w:leader="none" w:pos="1291"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implementation of any Incremental Revolving Facility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such participations, all of the Revolving Lenders’ (including each Incremental Revolving Facility Lender) (A) participations hereunder in Letters of Credit and (B) participations hereunder in Swingline Loans shall,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 held on a pro rata basis on the basis of their respective Revolving Credit Commitments (after giving effect to any increase in the Revolving Credit Commitment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of such Class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effectiveness of any Incremental Revolving Facility, the Letter of Credit Sublimit and/or the maximum amount of Swingline Loans, as applicable, permitted hereunder shall increase by an amount, if any, agreed upon by the Borrower, the Administrative Agent and the relevant Issuing Bank and/or the Swingline Lender, as applicable; it being understood and agreed that the Borrower and any Lender providing any Incremental Revolving Facility may agree that such Lender will provide a portion of the Letter of Credit Sublimit in excess of its Applicable Percentage thereof.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irrevocably authorize the Administrative Agent to, and the Administrative Agent shall (without the consent of any Lender (other than any Lender providing the applicable Incremental Facility)), enter into any Incremental Facility Amendment and/or any amendment to any other Loan Document as may be necessary, appropriate or advisable in order to establish any Incremental Facility (including any new Class or sub-Class in respect of Loans or commitments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including</w:t>
      </w:r>
    </w:p>
    <w:p>
      <w:pPr>
        <w:spacing w:after="0" w:line="2" w:lineRule="exact"/>
        <w:rPr>
          <w:rFonts w:ascii="Times New Roman" w:cs="Times New Roman" w:eastAsia="Times New Roman" w:hAnsi="Times New Roman"/>
          <w:sz w:val="20"/>
          <w:szCs w:val="20"/>
          <w:color w:val="auto"/>
        </w:rPr>
      </w:pPr>
    </w:p>
    <w:p>
      <w:pPr>
        <w:jc w:val="both"/>
        <w:ind w:firstLine="8"/>
        <w:spacing w:after="0" w:line="210" w:lineRule="auto"/>
        <w:tabs>
          <w:tab w:leader="none" w:pos="26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technical amendments as may be necessary, appropriate or advisable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and/or (ii) any other amendment contemplated by </w:t>
      </w:r>
      <w:r>
        <w:rPr>
          <w:rFonts w:ascii="Times New Roman" w:cs="Times New Roman" w:eastAsia="Times New Roman" w:hAnsi="Times New Roman"/>
          <w:sz w:val="20"/>
          <w:szCs w:val="20"/>
          <w:u w:val="single" w:color="auto"/>
          <w:color w:val="auto"/>
        </w:rPr>
        <w:t>Section 9.02(d)(ii)</w:t>
      </w:r>
      <w:r>
        <w:rPr>
          <w:rFonts w:ascii="Times New Roman" w:cs="Times New Roman" w:eastAsia="Times New Roman" w:hAnsi="Times New Roman"/>
          <w:sz w:val="20"/>
          <w:szCs w:val="20"/>
          <w:color w:val="auto"/>
        </w:rPr>
        <w:t>. In addition, the Incremental Facility Amendment with respect to any Incremental Term Facility may, without the consent of any Lender (other than any Lender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Class of Term Loans (including by modifying the amortization schedule and/or extending the time period during which any prepayment premium applies).</w:t>
      </w:r>
    </w:p>
    <w:p>
      <w:pPr>
        <w:spacing w:after="0" w:line="16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to the contrary.</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color w:val="auto"/>
        </w:rPr>
        <w:t>Extensions of Loans and Revolving Credit Commitments.</w:t>
      </w:r>
    </w:p>
    <w:p>
      <w:pPr>
        <w:spacing w:after="0" w:line="175" w:lineRule="exact"/>
        <w:rPr>
          <w:sz w:val="20"/>
          <w:szCs w:val="20"/>
          <w:color w:val="auto"/>
        </w:rPr>
      </w:pPr>
    </w:p>
    <w:p>
      <w:pPr>
        <w:jc w:val="both"/>
        <w:ind w:firstLine="656"/>
        <w:spacing w:after="0" w:line="222" w:lineRule="auto"/>
        <w:tabs>
          <w:tab w:leader="none" w:pos="128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individual Lender who accepts the terms contained in the relevant Extension Offer to extend the Maturity Date of all or a portion of such</w:t>
      </w:r>
    </w:p>
    <w:p>
      <w:pPr>
        <w:spacing w:after="0" w:line="215" w:lineRule="auto"/>
        <w:rPr>
          <w:sz w:val="20"/>
          <w:szCs w:val="20"/>
          <w:color w:val="auto"/>
        </w:rPr>
      </w:pPr>
      <w:r>
        <w:rPr>
          <w:rFonts w:ascii="Times New Roman" w:cs="Times New Roman" w:eastAsia="Times New Roman" w:hAnsi="Times New Roman"/>
          <w:sz w:val="19"/>
          <w:szCs w:val="19"/>
          <w:color w:val="auto"/>
        </w:rPr>
        <w:t>Lender’s Loans and/or Commitments of such Class and otherwise modify the terms of all or a portion of such Loans and/or Commitments pursuant to the terms of the relevant Extension Offer (including by increasing the interest rate or fees payable in respect of such Loans and/or</w:t>
      </w:r>
    </w:p>
    <w:p>
      <w:pPr>
        <w:spacing w:after="0" w:line="222" w:lineRule="auto"/>
        <w:rPr>
          <w:sz w:val="20"/>
          <w:szCs w:val="20"/>
          <w:color w:val="auto"/>
        </w:rPr>
      </w:pPr>
      <w:r>
        <w:rPr>
          <w:rFonts w:ascii="Times New Roman" w:cs="Times New Roman" w:eastAsia="Times New Roman" w:hAnsi="Times New Roman"/>
          <w:sz w:val="19"/>
          <w:szCs w:val="19"/>
          <w:color w:val="auto"/>
        </w:rPr>
        <w:t>Commitments (and related outstandings) and/or modifying the amortization schedule, if any, in respect of such Loans)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w:t>
      </w:r>
    </w:p>
    <w:p>
      <w:pPr>
        <w:spacing w:after="0" w:line="204" w:lineRule="auto"/>
        <w:rPr>
          <w:sz w:val="20"/>
          <w:szCs w:val="20"/>
          <w:color w:val="auto"/>
        </w:rPr>
      </w:pPr>
      <w:r>
        <w:rPr>
          <w:rFonts w:ascii="Times New Roman" w:cs="Times New Roman" w:eastAsia="Times New Roman" w:hAnsi="Times New Roman"/>
          <w:sz w:val="20"/>
          <w:szCs w:val="20"/>
          <w:color w:val="auto"/>
        </w:rPr>
        <w:t>it being understood that any Extended Term Loans shall constitute a separate Class of Loans from the Class of Loans from which they were converted and any Extended Revolving Credit Commitments shall constitute a separate Class of Revolving Credit Commitments from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of Revolving Credit Commitments from which they were converted), so long as the following terms are satisfied:</w:t>
      </w:r>
    </w:p>
    <w:p>
      <w:pPr>
        <w:spacing w:after="0" w:line="167" w:lineRule="exact"/>
        <w:rPr>
          <w:sz w:val="20"/>
          <w:szCs w:val="20"/>
          <w:color w:val="auto"/>
        </w:rPr>
      </w:pPr>
    </w:p>
    <w:p>
      <w:pPr>
        <w:jc w:val="both"/>
        <w:ind w:left="660" w:firstLine="644"/>
        <w:spacing w:after="0" w:line="225" w:lineRule="auto"/>
        <w:tabs>
          <w:tab w:leader="none" w:pos="1954"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to (A) currency, pricing (including any “MFN” or other pricing terms), interest rate margins, rate floors, fees, premiums (including prepayment premiums), funding discounts, maturity and amortization (which shall, subject to the immediately succeeding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taken as a whole, in the good faith determination of the Borrower,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by conforming or adding a term to the then-outstanding Revolving Loans pursuant to the applicable Extension Amendment), (C) terms, taken as a whole, that reflect then current market terms and conditions, taken as a whole, at the time of incurrence or issuance (as determined by the Borrower) and (D) any covenant or other provision applicable only after the Latest Revolving Credit Maturity Date, the Revolving Credit Commitment of any Lender who agrees to an extension with respect to such Commitment (an “</w:t>
      </w:r>
      <w:r>
        <w:rPr>
          <w:rFonts w:ascii="Times New Roman" w:cs="Times New Roman" w:eastAsia="Times New Roman" w:hAnsi="Times New Roman"/>
          <w:sz w:val="19"/>
          <w:szCs w:val="19"/>
          <w:u w:val="single" w:color="auto"/>
          <w:color w:val="auto"/>
        </w:rPr>
        <w:t>Extended Revolving Credit Commitment</w:t>
      </w:r>
      <w:r>
        <w:rPr>
          <w:rFonts w:ascii="Times New Roman" w:cs="Times New Roman" w:eastAsia="Times New Roman" w:hAnsi="Times New Roman"/>
          <w:sz w:val="19"/>
          <w:szCs w:val="19"/>
          <w:color w:val="auto"/>
        </w:rPr>
        <w:t>”; and the Loans thereunder, “</w:t>
      </w:r>
      <w:r>
        <w:rPr>
          <w:rFonts w:ascii="Times New Roman" w:cs="Times New Roman" w:eastAsia="Times New Roman" w:hAnsi="Times New Roman"/>
          <w:sz w:val="19"/>
          <w:szCs w:val="19"/>
          <w:u w:val="single" w:color="auto"/>
          <w:color w:val="auto"/>
        </w:rPr>
        <w:t>Extended Revolving Loans</w:t>
      </w:r>
      <w:r>
        <w:rPr>
          <w:rFonts w:ascii="Times New Roman" w:cs="Times New Roman" w:eastAsia="Times New Roman" w:hAnsi="Times New Roman"/>
          <w:sz w:val="19"/>
          <w:szCs w:val="19"/>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more than one Revolving Facility exists after giving effect to any such Extension, (x) the borrowing and repayment of Revolving Loans with respect to any Revolving Facility after the effective date of such Extended Revolving Credit Commitments shall be made on a pro rata basis or a non-pro rata basis with all other Revolving Facilities (it being understood that any Revolving Facility that participates in borrowings on a pro rata basis with other Revolving Facilities shall participate in repayments on a pro rata basis with such Revolving Facilities and that in the event of any Revolving Facility that must participate in borrowings on a less than pro rata basis as compared to other Revolving Facilities, such Revolving Facility shall participate in repayments on a less than pro rata basis as compared to such other Revolving Facilities (in each case, except, in any event,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xml:space="preserve"> below))), (y) all Swingline Loans and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a non-pro rata basis with all other Revolving Facilities (it being understood that a Revolving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Revolving Facility that must participate in borrowings on a less than pro rata basis as compared to other Revolving Facilities, such other Revolving Facility shall participate in permanent repayments of Revolving Loans with respect to, and reduction and termination of Revolving Credit Commitments under, such Revolving Facility on a less than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9"/>
          <w:szCs w:val="19"/>
          <w:color w:val="auto"/>
        </w:rPr>
        <w:t xml:space="preserve">rata basis as compared to such other Revolving Facilities;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each case, that notwithstanding the foregoing, to the extent any</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such Revolving Commitments are terminated in full and refinanced or replaced with a Revolver Replacement Facility or Replacement Debt, such Revolving Commitments may be terminated on a greater than pro rata basis);</w:t>
      </w:r>
    </w:p>
    <w:p>
      <w:pPr>
        <w:spacing w:after="0" w:line="162" w:lineRule="exact"/>
        <w:rPr>
          <w:sz w:val="20"/>
          <w:szCs w:val="20"/>
          <w:color w:val="auto"/>
        </w:rPr>
      </w:pPr>
    </w:p>
    <w:p>
      <w:pPr>
        <w:jc w:val="both"/>
        <w:ind w:left="660" w:firstLine="644"/>
        <w:spacing w:after="0" w:line="211" w:lineRule="auto"/>
        <w:tabs>
          <w:tab w:leader="none" w:pos="195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to (A) currency, pricing (including any “MFN” or other pricing term), interest rate margins, rate floors, fees, funding discounts, amortization, final maturity date, premiums (including prepayment premiums), required prepayment dates and participation in prepayments (which shall, subject to immediately succeeding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be determined by the Borrower and any Lender who agrees to an Extension of its Term Loans and set forth in the relevant Extension Offer), (B) terms applicable to such Extended Term Loans (as defined below) that are, taken as a whole, in the good faith determination of the Borrower,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 Agent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by conforming or adding a term to the then-outstanding Term Loans of the applicable Class pursuant to the applicable Extension Amendment), (C) terms, taken as a whole, that reflect then current market terms and conditions, taken as a whole, at the time of incurrence or issuance (as determined by the Borrower) and (D) any covenant or other provision applicable only to any period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shall have substantially consistent terms (or terms not less favorable to existing Lenders) as the tranche of Term Loans subject to the relevant Extension Offer;</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Class of Extended Term Loans shall be no shorter than the remaining Weighted Average Life to Maturity of any then-existing Term Loans;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any Extended Term Loans may otherwise have an amortization schedule as determined by the Borrower and the Lenders providing such Extended Term Loans;</w:t>
      </w:r>
    </w:p>
    <w:p>
      <w:pPr>
        <w:spacing w:after="0" w:line="161"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4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Extended Term Loans may participate (A) in any voluntary prepayment of Term Loans as set forth in </w:t>
      </w:r>
      <w:r>
        <w:rPr>
          <w:rFonts w:ascii="Times New Roman" w:cs="Times New Roman" w:eastAsia="Times New Roman" w:hAnsi="Times New Roman"/>
          <w:sz w:val="20"/>
          <w:szCs w:val="20"/>
          <w:u w:val="single" w:color="auto"/>
          <w:color w:val="auto"/>
        </w:rPr>
        <w:t>Section 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 in each case, to the extent provided in such Sections;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otherwise agrees, any Extension must be in a minimum amount of $5,000,000;</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Minimum Extension Condition must be satisfied or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0" w:name="page231"/>
    <w:bookmarkEnd w:id="230"/>
    <w:p>
      <w:pPr>
        <w:ind w:left="1940" w:hanging="636"/>
        <w:spacing w:after="0"/>
        <w:tabs>
          <w:tab w:leader="none" w:pos="1940"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documentation in respect of any Extension shall be consistent with the foregoing; and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5"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Extension of any Revolving Facility shall be effective as to the obligations of the Swingline Lender to make any Swingline Loan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the Swingline Lender or such Issuing Bank, as applicable, without giving effect to such Extension).</w:t>
      </w:r>
    </w:p>
    <w:p>
      <w:pPr>
        <w:spacing w:after="0" w:line="161" w:lineRule="exact"/>
        <w:rPr>
          <w:rFonts w:ascii="Times New Roman" w:cs="Times New Roman" w:eastAsia="Times New Roman" w:hAnsi="Times New Roman"/>
          <w:sz w:val="20"/>
          <w:szCs w:val="20"/>
          <w:color w:val="auto"/>
        </w:rPr>
      </w:pPr>
    </w:p>
    <w:p>
      <w:pPr>
        <w:jc w:val="both"/>
        <w:ind w:firstLine="656"/>
        <w:spacing w:after="0" w:line="225" w:lineRule="auto"/>
        <w:tabs>
          <w:tab w:leader="none" w:pos="1284"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No Extension consummated in reliance on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constitute a voluntary or mandatory prepayment for purposes of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(ii) the scheduled amortization payments (insofar as such schedule affects payments due to Lenders participating in the relevant Class) set forth in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shall be adjusted to give effect to any Extension of any Class of Loans and/or Commitments and</w:t>
      </w:r>
    </w:p>
    <w:p>
      <w:pPr>
        <w:spacing w:after="0" w:line="1" w:lineRule="exact"/>
        <w:rPr>
          <w:rFonts w:ascii="Times New Roman" w:cs="Times New Roman" w:eastAsia="Times New Roman" w:hAnsi="Times New Roman"/>
          <w:sz w:val="19"/>
          <w:szCs w:val="19"/>
          <w:color w:val="auto"/>
        </w:rPr>
      </w:pPr>
    </w:p>
    <w:p>
      <w:pPr>
        <w:jc w:val="both"/>
        <w:ind w:firstLine="8"/>
        <w:spacing w:after="0" w:line="210" w:lineRule="auto"/>
        <w:tabs>
          <w:tab w:leader="none" w:pos="3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clause (a)(viii)</w:t>
      </w:r>
      <w:r>
        <w:rPr>
          <w:rFonts w:ascii="Times New Roman" w:cs="Times New Roman" w:eastAsia="Times New Roman" w:hAnsi="Times New Roman"/>
          <w:sz w:val="20"/>
          <w:szCs w:val="20"/>
          <w:color w:val="auto"/>
        </w:rPr>
        <w:t xml:space="preserve"> above,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or any other Loan Document that may otherwise prohibit any such Extension or any other transaction contemplated by this Section.</w:t>
      </w:r>
    </w:p>
    <w:p>
      <w:pPr>
        <w:spacing w:after="0" w:line="164"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consent required under </w:t>
      </w:r>
      <w:r>
        <w:rPr>
          <w:rFonts w:ascii="Times New Roman" w:cs="Times New Roman" w:eastAsia="Times New Roman" w:hAnsi="Times New Roman"/>
          <w:sz w:val="20"/>
          <w:szCs w:val="20"/>
          <w:u w:val="single" w:color="auto"/>
          <w:color w:val="auto"/>
        </w:rPr>
        <w:t>Section 2.23(a)(xi)</w:t>
      </w:r>
      <w:r>
        <w:rPr>
          <w:rFonts w:ascii="Times New Roman" w:cs="Times New Roman" w:eastAsia="Times New Roman" w:hAnsi="Times New Roman"/>
          <w:sz w:val="20"/>
          <w:szCs w:val="20"/>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all other applicable Secured Obligations under this Agreement and the other Loan Documents. The Lenders hereby irrevocably authorize the Administrative Agent to enter into any Extension Amendment and any amendment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3</w:t>
      </w:r>
    </w:p>
    <w:p>
      <w:pPr>
        <w:spacing w:after="0" w:line="1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On the dates and to the extent required pursuant to </w:t>
      </w:r>
      <w:r>
        <w:rPr>
          <w:rFonts w:ascii="Times New Roman" w:cs="Times New Roman" w:eastAsia="Times New Roman" w:hAnsi="Times New Roman"/>
          <w:sz w:val="20"/>
          <w:szCs w:val="20"/>
          <w:u w:val="single" w:color="auto"/>
          <w:color w:val="auto"/>
        </w:rPr>
        <w:t>Sections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as applicable, the Borrower hereby represents and warrants to the Lenders, the Issuing Banks and the Administrative Agent that:</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1. Organization; Powers. Holdings, the Borrower and each of its Restricted Subsidiaries (a) is (i) duly organized or incorporated (as applicable) and validly existing and (ii)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standing (to the extent such concept exists in the relevant jurisdiction) under the Requirements of Law of its jurisdiction of organization, (b)</w:t>
      </w:r>
    </w:p>
    <w:p>
      <w:pPr>
        <w:jc w:val="both"/>
        <w:spacing w:after="0" w:line="204" w:lineRule="auto"/>
        <w:rPr>
          <w:sz w:val="20"/>
          <w:szCs w:val="20"/>
          <w:color w:val="auto"/>
        </w:rPr>
      </w:pPr>
      <w:r>
        <w:rPr>
          <w:rFonts w:ascii="Times New Roman" w:cs="Times New Roman" w:eastAsia="Times New Roman" w:hAnsi="Times New Roman"/>
          <w:sz w:val="20"/>
          <w:szCs w:val="20"/>
          <w:color w:val="auto"/>
        </w:rPr>
        <w:t>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w:t>
      </w:r>
    </w:p>
    <w:p>
      <w:pPr>
        <w:spacing w:after="0" w:line="211" w:lineRule="auto"/>
        <w:rPr>
          <w:sz w:val="20"/>
          <w:szCs w:val="20"/>
          <w:color w:val="auto"/>
        </w:rPr>
      </w:pPr>
      <w:r>
        <w:rPr>
          <w:rFonts w:ascii="Times New Roman" w:cs="Times New Roman" w:eastAsia="Times New Roman" w:hAnsi="Times New Roman"/>
          <w:sz w:val="20"/>
          <w:szCs w:val="20"/>
          <w:color w:val="auto"/>
        </w:rPr>
        <w:t>lease or operation of its properties or conduct of its business requires such qualification, except, in each case referred to in this Section 3.01</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(other than clause (a)(i) and clause (b), in each case, with respect to the Borrower) where the failure to do so, individually or in the aggregate, would not reasonably be expected to result in a Material Adverse Effect.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Authorization; Enforceability. The execution, delivery and performance by each Loan Party of each Loan Document</w:t>
      </w:r>
    </w:p>
    <w:p>
      <w:pPr>
        <w:spacing w:after="0" w:line="204" w:lineRule="auto"/>
        <w:rPr>
          <w:sz w:val="20"/>
          <w:szCs w:val="20"/>
          <w:color w:val="auto"/>
        </w:rPr>
      </w:pPr>
      <w:r>
        <w:rPr>
          <w:rFonts w:ascii="Times New Roman" w:cs="Times New Roman" w:eastAsia="Times New Roman" w:hAnsi="Times New Roman"/>
          <w:sz w:val="20"/>
          <w:szCs w:val="20"/>
          <w:color w:val="auto"/>
        </w:rPr>
        <w:t>to which such Loan Party is a party (a) are within such Loan Party’s corporate or other organizational power and (b) have been duly authorized by all necessary corporate or other organizational action of such Loan Party. Each Loan Document to which any Loan Party is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party has been duly executed and delivered by such Loan Party and is a legal, valid and binding obligation of such Loan Party, enforceable in accordance with its terms, subject to the Legal Reservations.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3. Governmental Approvals; No Conflicts. The execution and delivery of each Loan Document by each Loan Party party thereto and the performance by such Loan Party of its obligations thereunder (a) do not require any consent or approval of, registration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filing with, or any other action by, any Governmental Authority, except (i) such as have been obtained or made and are in full force and effect, (ii) in connection with the Perfection Requirements and (iii) such consents, approvals, registrations, filings, or other actions the failure</w:t>
      </w:r>
    </w:p>
    <w:p>
      <w:pPr>
        <w:spacing w:after="0" w:line="222" w:lineRule="auto"/>
        <w:rPr>
          <w:sz w:val="20"/>
          <w:szCs w:val="20"/>
          <w:color w:val="auto"/>
        </w:rPr>
      </w:pPr>
      <w:r>
        <w:rPr>
          <w:rFonts w:ascii="Times New Roman" w:cs="Times New Roman" w:eastAsia="Times New Roman" w:hAnsi="Times New Roman"/>
          <w:sz w:val="19"/>
          <w:szCs w:val="19"/>
          <w:color w:val="auto"/>
        </w:rPr>
        <w:t>to obtain or make which would not be reasonably expected to have a Material Adverse Effect, (b) will not violate any (i) of such Loan Party’s</w:t>
      </w:r>
    </w:p>
    <w:p>
      <w:pPr>
        <w:spacing w:after="0" w:line="204" w:lineRule="auto"/>
        <w:rPr>
          <w:sz w:val="20"/>
          <w:szCs w:val="20"/>
          <w:color w:val="auto"/>
        </w:rPr>
      </w:pPr>
      <w:r>
        <w:rPr>
          <w:rFonts w:ascii="Times New Roman" w:cs="Times New Roman" w:eastAsia="Times New Roman" w:hAnsi="Times New Roman"/>
          <w:sz w:val="20"/>
          <w:szCs w:val="20"/>
          <w:color w:val="auto"/>
        </w:rPr>
        <w:t>Organizational Documents or (ii) Requirement of Law applicable to such Loan Party which violation, in the case of this clause (b)(ii), would reasonably be expected to have a Material Adverse Effect and (c) will not violate or result in a default under any material Contractual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Obligation to which such Loan Party is a party which violation, in the case of this clause (c), would reasonably be expected to result in a Material Adverse Effect.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Financial Condition; No Material Adverse Effect.</w:t>
      </w:r>
    </w:p>
    <w:p>
      <w:pPr>
        <w:spacing w:after="0" w:line="189" w:lineRule="exact"/>
        <w:rPr>
          <w:sz w:val="20"/>
          <w:szCs w:val="20"/>
          <w:color w:val="auto"/>
        </w:rPr>
      </w:pPr>
    </w:p>
    <w:p>
      <w:pPr>
        <w:jc w:val="both"/>
        <w:ind w:firstLine="656"/>
        <w:spacing w:after="0" w:line="217" w:lineRule="auto"/>
        <w:tabs>
          <w:tab w:leader="none" w:pos="128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most recently provided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present fairly, in all material respects, the financial position and results of operations and cash flows of the Borrower on a consolidated basis as of such dates and for such periods in accordance with GAAP, (i) except as otherwise expressly noted herein, (ii) subject, in the case of quarterly financial statements, to the absence of footnotes and normal year-end adjustments and (iii) if applicable, except as may be necessary to reflect any differing entities and/or organizational structure prior to giving effect to the Transactions.</w:t>
      </w:r>
    </w:p>
    <w:p>
      <w:pPr>
        <w:spacing w:after="0" w:line="161"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 there have been no events, developments or circumstances that have had, or would reasonably be expected to have, individually or in the aggregate, a Material Adverse Effect that is continuing.</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Properties.</w:t>
      </w:r>
    </w:p>
    <w:p>
      <w:pPr>
        <w:spacing w:after="0" w:line="189"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its Restricted Subsidiaries have good and valid fee simple title to or rights to purchase, or valid leasehold interests in,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Permitted Lien, or (iii) where the failure to have such title would not reasonably be expected to have a Material Adverse Effect.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own or otherwise have a license or right to use all rights in Patents, Trademarks, Copyrights and other rights in works of authorship (including all Copyrights embodied in software) and all other intellectual property rights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0"/>
          <w:szCs w:val="20"/>
          <w:color w:val="auto"/>
        </w:rPr>
        <w:t>reasonably necessary to conduct their respective businesses as presently conducted without, to the knowledge of the Borrower, any</w:t>
      </w:r>
    </w:p>
    <w:p>
      <w:pPr>
        <w:spacing w:after="0" w:line="204" w:lineRule="auto"/>
        <w:rPr>
          <w:sz w:val="20"/>
          <w:szCs w:val="20"/>
          <w:color w:val="auto"/>
        </w:rPr>
      </w:pPr>
      <w:r>
        <w:rPr>
          <w:rFonts w:ascii="Times New Roman" w:cs="Times New Roman" w:eastAsia="Times New Roman" w:hAnsi="Times New Roman"/>
          <w:sz w:val="20"/>
          <w:szCs w:val="20"/>
          <w:color w:val="auto"/>
        </w:rPr>
        <w:t>infringement or misappropriation of the IP Rights of third parties, except to the extent the failure to own or license or have rights to use would not, or where such infringement or misappropriation would not reasonably be expected to have, individually or in the aggregate,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Adverse Effect.</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Litigation and Environmental Matters.</w:t>
      </w:r>
    </w:p>
    <w:p>
      <w:pPr>
        <w:spacing w:after="0" w:line="175" w:lineRule="exact"/>
        <w:rPr>
          <w:sz w:val="20"/>
          <w:szCs w:val="20"/>
          <w:color w:val="auto"/>
        </w:rPr>
      </w:pPr>
    </w:p>
    <w:p>
      <w:pPr>
        <w:jc w:val="both"/>
        <w:ind w:firstLine="656"/>
        <w:spacing w:after="0" w:line="230"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spacing w:after="0" w:line="148"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matters that, individually or in the aggregate, would not reasonably be expected to result in a Material Adverse Effect, (i) 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 (ii) neither the Borrower nor any of its Restricted Subsidiaries has failed to comply with any Environmental Law or to obtain, maintain or comply with any Governmental Authorization, permit, license or other approval required under any Environmental Law.</w:t>
      </w:r>
    </w:p>
    <w:p>
      <w:pPr>
        <w:spacing w:after="0" w:line="15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Holdings,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Compliance with Laws. Each of Holdings, the Borrower and each of its Restricted Subsidiaries is in compliance with</w:t>
      </w:r>
    </w:p>
    <w:p>
      <w:pPr>
        <w:spacing w:after="0" w:line="215" w:lineRule="auto"/>
        <w:rPr>
          <w:sz w:val="20"/>
          <w:szCs w:val="20"/>
          <w:color w:val="auto"/>
        </w:rPr>
      </w:pPr>
      <w:r>
        <w:rPr>
          <w:rFonts w:ascii="Times New Roman" w:cs="Times New Roman" w:eastAsia="Times New Roman" w:hAnsi="Times New Roman"/>
          <w:sz w:val="19"/>
          <w:szCs w:val="19"/>
          <w:color w:val="auto"/>
        </w:rPr>
        <w:t>all Requirements of Law applicable to it or its property, except, in each case where the failure to do so, individually or in the aggregate, would not reasonably be expected to result in a Material Adverse Effect; it being understood and agreed that this Section 3.07 shall not apply</w:t>
      </w:r>
    </w:p>
    <w:p>
      <w:pPr>
        <w:spacing w:after="0"/>
        <w:rPr>
          <w:sz w:val="20"/>
          <w:szCs w:val="20"/>
          <w:color w:val="auto"/>
        </w:rPr>
      </w:pPr>
      <w:r>
        <w:rPr>
          <w:rFonts w:ascii="Times New Roman" w:cs="Times New Roman" w:eastAsia="Times New Roman" w:hAnsi="Times New Roman"/>
          <w:sz w:val="20"/>
          <w:szCs w:val="20"/>
          <w:color w:val="auto"/>
        </w:rPr>
        <w:t>to the Requirements of Law covered by Section 3.17.</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SECTION 8. Investment Company Status. No Loan Party is an “investment company” as defined in, or is required to be registered under, the Investment Company Act of 1940.</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tab/>
        <w:t>Taxes. Each of Holdings, the Borrower and each of its Restricted Subsidiaries has timely filed or caused to be filed</w:t>
      </w:r>
    </w:p>
    <w:p>
      <w:pPr>
        <w:spacing w:after="0" w:line="215" w:lineRule="auto"/>
        <w:rPr>
          <w:sz w:val="20"/>
          <w:szCs w:val="20"/>
          <w:color w:val="auto"/>
        </w:rPr>
      </w:pPr>
      <w:r>
        <w:rPr>
          <w:rFonts w:ascii="Times New Roman" w:cs="Times New Roman" w:eastAsia="Times New Roman" w:hAnsi="Times New Roman"/>
          <w:sz w:val="19"/>
          <w:szCs w:val="19"/>
          <w:color w:val="auto"/>
        </w:rPr>
        <w:t>all Tax returns and reports required to have been filed by or with respect to it and has paid or caused to be paid all Taxes required to have been paid by it that are due and payable (including in its capacity as a withholding agent), except (a) Taxes that are not required to be paid in</w:t>
      </w:r>
    </w:p>
    <w:p>
      <w:pPr>
        <w:spacing w:after="0" w:line="222" w:lineRule="auto"/>
        <w:rPr>
          <w:sz w:val="20"/>
          <w:szCs w:val="20"/>
          <w:color w:val="auto"/>
        </w:rPr>
      </w:pPr>
      <w:r>
        <w:rPr>
          <w:rFonts w:ascii="Times New Roman" w:cs="Times New Roman" w:eastAsia="Times New Roman" w:hAnsi="Times New Roman"/>
          <w:sz w:val="19"/>
          <w:szCs w:val="19"/>
          <w:color w:val="auto"/>
        </w:rPr>
        <w:t>accordance with Section 5.03, (b) Taxes (or any requirement to file Tax returns with respect thereto) that are being contested in good faith by</w:t>
      </w:r>
    </w:p>
    <w:p>
      <w:pPr>
        <w:spacing w:after="0" w:line="204" w:lineRule="auto"/>
        <w:rPr>
          <w:sz w:val="20"/>
          <w:szCs w:val="20"/>
          <w:color w:val="auto"/>
        </w:rPr>
      </w:pPr>
      <w:r>
        <w:rPr>
          <w:rFonts w:ascii="Times New Roman" w:cs="Times New Roman" w:eastAsia="Times New Roman" w:hAnsi="Times New Roman"/>
          <w:sz w:val="20"/>
          <w:szCs w:val="20"/>
          <w:color w:val="auto"/>
        </w:rPr>
        <w:t>appropriate proceedings and for which Holdings, the Borrower or such Restricted Subsidiary, as applicable, has set aside on its books adequate reserves in accordance with GAAP or (c) to the extent that the failure to do so, individually or in the aggregate, would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reasonably be expected to result in a Material Adverse Effect.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ERISA.</w:t>
      </w:r>
    </w:p>
    <w:p>
      <w:pPr>
        <w:spacing w:after="0" w:line="175" w:lineRule="exact"/>
        <w:rPr>
          <w:sz w:val="20"/>
          <w:szCs w:val="20"/>
          <w:color w:val="auto"/>
        </w:rPr>
      </w:pPr>
    </w:p>
    <w:p>
      <w:pPr>
        <w:ind w:firstLine="656"/>
        <w:spacing w:after="0"/>
        <w:tabs>
          <w:tab w:leader="none" w:pos="128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161" w:lineRule="exact"/>
        <w:rPr>
          <w:rFonts w:ascii="Times New Roman" w:cs="Times New Roman" w:eastAsia="Times New Roman" w:hAnsi="Times New Roman"/>
          <w:sz w:val="20"/>
          <w:szCs w:val="20"/>
          <w:color w:val="auto"/>
        </w:rPr>
      </w:pPr>
    </w:p>
    <w:p>
      <w:pPr>
        <w:jc w:val="both"/>
        <w:ind w:right="20" w:firstLine="656"/>
        <w:spacing w:after="0" w:line="226" w:lineRule="auto"/>
        <w:tabs>
          <w:tab w:leader="none" w:pos="12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five-year period prior to the date on which this representation is made or deemed made, no ERISA Event has occurred and is continuing that, when taken together with all other such ERISA Events for which liability is reasonably expected to occur,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33" w:name="page234"/>
    <w:bookmarkEnd w:id="233"/>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Disclosure.</w:t>
      </w:r>
    </w:p>
    <w:p>
      <w:pPr>
        <w:spacing w:after="0" w:line="189" w:lineRule="exact"/>
        <w:rPr>
          <w:sz w:val="20"/>
          <w:szCs w:val="20"/>
          <w:color w:val="auto"/>
        </w:rPr>
      </w:pPr>
    </w:p>
    <w:p>
      <w:pPr>
        <w:jc w:val="both"/>
        <w:ind w:firstLine="656"/>
        <w:spacing w:after="0" w:line="222" w:lineRule="auto"/>
        <w:tabs>
          <w:tab w:leader="none" w:pos="1286"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Date, with respect to information relating to the Borrower and its subsidiaries, to the knowledge of the Borrower, all written information (other than the Projections, forecasts, financial estimates, other forward-looking information and/or projected information, information of a general economic or industry-specific nature and/or any third party report and/or memorandum (but not the written information (other than Projections, forecasts, financial estimates, other forward looking information and/or projected information and/or general economic or industry-specific information) on which such third party report and/or memorandum was based, if such written information was provided to any Initial Lender, any Arranger or the Administrative Agent)) concerning Holdings, the Borrower and its subsidiaries that was prepared by or on behalf of Holdings, the Borrower or its subsidiaries or their respective representatives and made available to any Initial Lender, any Arranger or the Administrative Agent in connection with the Transactions on or before the Closing Date (collectively, the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(after giving effect to all supplements and updates thereto from time to time).</w:t>
      </w:r>
    </w:p>
    <w:p>
      <w:pPr>
        <w:spacing w:after="0" w:line="166" w:lineRule="exact"/>
        <w:rPr>
          <w:rFonts w:ascii="Times New Roman" w:cs="Times New Roman" w:eastAsia="Times New Roman" w:hAnsi="Times New Roman"/>
          <w:sz w:val="19"/>
          <w:szCs w:val="19"/>
          <w:color w:val="auto"/>
        </w:rPr>
      </w:pPr>
    </w:p>
    <w:p>
      <w:pPr>
        <w:jc w:val="both"/>
        <w:ind w:firstLine="656"/>
        <w:spacing w:after="0" w:line="222" w:lineRule="auto"/>
        <w:tabs>
          <w:tab w:leader="none" w:pos="12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12. Solvency. As of the Closing Date, after giving effect to the Transactions and the incurrence of the Indebtedness and obligations being incurred in connection with this Agreement on the Closing Date, (i) the sum of the debt (including contingent liabilities) of</w:t>
      </w:r>
    </w:p>
    <w:p>
      <w:pPr>
        <w:spacing w:after="0" w:line="204" w:lineRule="auto"/>
        <w:rPr>
          <w:sz w:val="20"/>
          <w:szCs w:val="20"/>
          <w:color w:val="auto"/>
        </w:rPr>
      </w:pPr>
      <w:r>
        <w:rPr>
          <w:rFonts w:ascii="Times New Roman" w:cs="Times New Roman" w:eastAsia="Times New Roman" w:hAnsi="Times New Roman"/>
          <w:sz w:val="20"/>
          <w:szCs w:val="20"/>
          <w:color w:val="auto"/>
        </w:rPr>
        <w:t>the Borrower and its Restricted Subsidiaries, taken as a whole, does not exceed the fair value of the assets of the Borrower and its Restricted Subsidiaries, taken as a whole, (ii) the capital of the Borrower and its Restricted Subsidiaries, taken as a whole, is not unreasonably small in</w:t>
      </w:r>
    </w:p>
    <w:p>
      <w:pPr>
        <w:spacing w:after="0" w:line="211" w:lineRule="auto"/>
        <w:rPr>
          <w:sz w:val="20"/>
          <w:szCs w:val="20"/>
          <w:color w:val="auto"/>
        </w:rPr>
      </w:pPr>
      <w:r>
        <w:rPr>
          <w:rFonts w:ascii="Times New Roman" w:cs="Times New Roman" w:eastAsia="Times New Roman" w:hAnsi="Times New Roman"/>
          <w:sz w:val="20"/>
          <w:szCs w:val="20"/>
          <w:color w:val="auto"/>
        </w:rPr>
        <w:t>relation to the business of the Borrower and its Restricted Subsidiaries, taken as a whole, contemplated as of the Closing Date; and (iii)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and its Restricted Subsidiaries, taken as a whole, do not intend to incur, or believe that they will incur, debts (including current obligations and contingent liabilities) beyond their ability to pay such debts as they mature in accordance with their terms. For purposes of</w:t>
      </w:r>
    </w:p>
    <w:p>
      <w:pPr>
        <w:spacing w:after="0" w:line="211" w:lineRule="auto"/>
        <w:rPr>
          <w:sz w:val="20"/>
          <w:szCs w:val="20"/>
          <w:color w:val="auto"/>
        </w:rPr>
      </w:pPr>
      <w:r>
        <w:rPr>
          <w:rFonts w:ascii="Times New Roman" w:cs="Times New Roman" w:eastAsia="Times New Roman" w:hAnsi="Times New Roman"/>
          <w:sz w:val="20"/>
          <w:szCs w:val="20"/>
          <w:color w:val="auto"/>
        </w:rPr>
        <w:t>this Section 3.12, (A) it is assumed that the Indebtedness and other obligations under the Credit Facilities will come due at their respective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maturities and (B)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Subsidiaries. Schedule 3.13 sets forth, in each case as of the Closing Date, (a) a correct and complete list of the name</w:t>
      </w:r>
    </w:p>
    <w:p>
      <w:pPr>
        <w:spacing w:after="0" w:line="221" w:lineRule="auto"/>
        <w:rPr>
          <w:sz w:val="20"/>
          <w:szCs w:val="20"/>
          <w:color w:val="auto"/>
        </w:rPr>
      </w:pPr>
      <w:r>
        <w:rPr>
          <w:rFonts w:ascii="Times New Roman" w:cs="Times New Roman" w:eastAsia="Times New Roman" w:hAnsi="Times New Roman"/>
          <w:sz w:val="20"/>
          <w:szCs w:val="20"/>
          <w:color w:val="auto"/>
        </w:rPr>
        <w:t>of Holdings, the Borrower, each subsidiary of the Borrower and the ownership interest therein held by Holdings, the Borrower or its applicable subsidiary, and (b) the type of entity of Holdings, the Borrower and each of its subsidiaries.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auto"/>
        </w:rPr>
        <w:t>Security Interest in Collateral. Subject to the terms of the final paragraph of Section 4.01, the Legal Reservations, the</w:t>
      </w:r>
    </w:p>
    <w:p>
      <w:pPr>
        <w:spacing w:after="0" w:line="215" w:lineRule="auto"/>
        <w:rPr>
          <w:sz w:val="20"/>
          <w:szCs w:val="20"/>
          <w:color w:val="auto"/>
        </w:rPr>
      </w:pPr>
      <w:r>
        <w:rPr>
          <w:rFonts w:ascii="Times New Roman" w:cs="Times New Roman" w:eastAsia="Times New Roman" w:hAnsi="Times New Roman"/>
          <w:sz w:val="19"/>
          <w:szCs w:val="19"/>
          <w:color w:val="auto"/>
        </w:rPr>
        <w:t>Perfection Requirements and the provisions, limitations and/or exceptions set forth in this Agreement and/or any other Loan Document, the Collateral Documents create legal, valid and enforceable Liens on all of the Collateral in favor of the Administrative Agent, for the benefit of</w:t>
      </w:r>
    </w:p>
    <w:p>
      <w:pPr>
        <w:spacing w:after="0" w:line="211" w:lineRule="auto"/>
        <w:rPr>
          <w:sz w:val="20"/>
          <w:szCs w:val="20"/>
          <w:color w:val="auto"/>
        </w:rPr>
      </w:pPr>
      <w:r>
        <w:rPr>
          <w:rFonts w:ascii="Times New Roman" w:cs="Times New Roman" w:eastAsia="Times New Roman" w:hAnsi="Times New Roman"/>
          <w:sz w:val="20"/>
          <w:szCs w:val="20"/>
          <w:color w:val="auto"/>
        </w:rPr>
        <w:t>itself and the other Secured Parties, and upon the satisfaction of the applicable Perfection Requirements and/or any other perfection action</w:t>
      </w:r>
    </w:p>
    <w:p>
      <w:pPr>
        <w:spacing w:after="0" w:line="215" w:lineRule="auto"/>
        <w:rPr>
          <w:sz w:val="20"/>
          <w:szCs w:val="20"/>
          <w:color w:val="auto"/>
        </w:rPr>
      </w:pPr>
      <w:r>
        <w:rPr>
          <w:rFonts w:ascii="Times New Roman" w:cs="Times New Roman" w:eastAsia="Times New Roman" w:hAnsi="Times New Roman"/>
          <w:sz w:val="19"/>
          <w:szCs w:val="19"/>
          <w:color w:val="auto"/>
        </w:rPr>
        <w:t>required under the terms of any Loan Document, such Liens constitute perfected Liens (with the priority that such Liens are expressed to have under the relevant Collateral Documents, unless otherwise permitted hereunder or under any Collateral Document) on the Collateral (to</w:t>
      </w:r>
    </w:p>
    <w:p>
      <w:pPr>
        <w:ind w:right="20"/>
        <w:spacing w:after="0" w:line="228" w:lineRule="auto"/>
        <w:rPr>
          <w:sz w:val="20"/>
          <w:szCs w:val="20"/>
          <w:color w:val="auto"/>
        </w:rPr>
      </w:pPr>
      <w:r>
        <w:rPr>
          <w:rFonts w:ascii="Times New Roman" w:cs="Times New Roman" w:eastAsia="Times New Roman" w:hAnsi="Times New Roman"/>
          <w:sz w:val="20"/>
          <w:szCs w:val="20"/>
          <w:color w:val="auto"/>
        </w:rPr>
        <w:t>the extent such Liens are then required to be perfected under the terms of the Loan Documents) securing the Secured Obligations, in each case as and to the extent set forth therein.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For the avoidance of doubt, notwithstanding anything herein or in any other Loan Document to the contrary, neither the Borrower nor any other Loan Party makes any representation or warranty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4" w:name="page235"/>
    <w:bookmarkEnd w:id="234"/>
    <w:p>
      <w:pPr>
        <w:jc w:val="both"/>
        <w:ind w:firstLine="8"/>
        <w:spacing w:after="0" w:line="215" w:lineRule="auto"/>
        <w:tabs>
          <w:tab w:leader="none" w:pos="33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 of perfection or non-perfection, the priority or the enforceability of any pledge of or security 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the pledge or creation of any security interest, or the effects of perfection or non-perfection, the priority or enforceability of any pledge or security interest to the extent the same is not required on the Closing Date.</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15. Labor Disputes. Except as individually or in the aggregate would not reasonably be expected to have a Material Adverse Effect, (a) there are no strikes, lockouts or slowdowns against Holdings, the Borrower or any of its Restricted Subsidiaries pending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to the knowledge of Holdings, the Borrower or any of its Restricted Subsidiaries, threatened and (b) the hours worked by and payments made to employees of Holdings, the Borrower and its Restricted Subsidiaries have not been in violation of the Fair Labor Standards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other applicable Requirement of Law dealing with such matters.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16. Federal Reserve Regulations. No part of the proceeds of any Loan or any Letter of Credit have been used, whether directly or indirectly, and whether immediately or incidentally or ultimately, for any purpose that results in a violation of the provisions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 U.</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9"/>
          <w:szCs w:val="19"/>
          <w:color w:val="auto"/>
        </w:rPr>
        <w:t>Sanctions; PATRIOT ACT and FCPA.</w:t>
      </w:r>
    </w:p>
    <w:p>
      <w:pPr>
        <w:spacing w:after="0" w:line="175" w:lineRule="exact"/>
        <w:rPr>
          <w:sz w:val="20"/>
          <w:szCs w:val="20"/>
          <w:color w:val="auto"/>
        </w:rPr>
      </w:pPr>
    </w:p>
    <w:p>
      <w:pPr>
        <w:jc w:val="both"/>
        <w:ind w:firstLine="656"/>
        <w:spacing w:after="0" w:line="220" w:lineRule="auto"/>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None of Holdings, the Borrower nor any of its Restricted Subsidiaries nor, to the knowledge of the Borrower, any director, officer or employee of any of the foregoing is a Sanctioned Person; and (ii) the Borrower will not directly or, to its knowledge, indirectly, use the proceeds of the Loans or Letters of Credit or otherwise make available such proceeds to any Person for the purpose of financing the activities of any Person that is the subject or target of any applicable Sanctions, except to the extent licensed or otherwise approved by OFAC or in compliance with applicable exemption, licenses or other approvals.</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Loan Party is in compliance, in all material respects, with the USA PATRIOT Act.</w:t>
      </w:r>
    </w:p>
    <w:p>
      <w:pPr>
        <w:spacing w:after="0" w:line="18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Neither Holdings, the Borrower nor any of its Restricted Subsidiaries nor, to the knowledge of the Borrower, any director, officer, or employee of Holdings, the Borrower or any Restricted Subsidiary, nor, to the knowledge of the Borrower, any agent (solely to the extent acting in its capacity as an agent for Holdings, the Borrower or any of its subsidiaries), has taken any action, directly or, to its knowledge, indirectly, that would result in a material violation by any such Person of the U.S. Foreign Corrupt Practices Act of 1977, as amended (the “</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including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(ii) the Borrower will not directly or, to its knowledge, indirectly, used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spacing w:after="0" w:line="15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The representations and warranties set forth in </w:t>
      </w:r>
      <w:r>
        <w:rPr>
          <w:rFonts w:ascii="Times New Roman" w:cs="Times New Roman" w:eastAsia="Times New Roman" w:hAnsi="Times New Roman"/>
          <w:sz w:val="19"/>
          <w:szCs w:val="19"/>
          <w:u w:val="single" w:color="auto"/>
          <w:color w:val="auto"/>
        </w:rPr>
        <w:t>Section 3.17</w:t>
      </w:r>
      <w:r>
        <w:rPr>
          <w:rFonts w:ascii="Times New Roman" w:cs="Times New Roman" w:eastAsia="Times New Roman" w:hAnsi="Times New Roman"/>
          <w:sz w:val="19"/>
          <w:szCs w:val="19"/>
          <w:color w:val="auto"/>
        </w:rPr>
        <w:t xml:space="preserve"> above made by or on behalf of any Foreign Subsidiary are subject to and limited by any Requirement of Law applicable to such Foreign Subsidiary; it being understood and agreed that to the extent that any Foreign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Subsidiary is unable to make any such representation or warranty set forth in </w:t>
      </w:r>
      <w:r>
        <w:rPr>
          <w:rFonts w:ascii="Times New Roman" w:cs="Times New Roman" w:eastAsia="Times New Roman" w:hAnsi="Times New Roman"/>
          <w:sz w:val="19"/>
          <w:szCs w:val="19"/>
          <w:u w:val="single" w:color="auto"/>
          <w:color w:val="auto"/>
        </w:rPr>
        <w:t>Section 3.17</w:t>
      </w:r>
      <w:r>
        <w:rPr>
          <w:rFonts w:ascii="Times New Roman" w:cs="Times New Roman" w:eastAsia="Times New Roman" w:hAnsi="Times New Roman"/>
          <w:sz w:val="19"/>
          <w:szCs w:val="19"/>
          <w:color w:val="auto"/>
        </w:rPr>
        <w:t xml:space="preserve"> as a result of the application of this sentence, such Foreign Subsidiary shall be deemed to have represented and warranted that it is in compliance, in all material respects, with any equivalent</w:t>
      </w:r>
    </w:p>
    <w:p>
      <w:pPr>
        <w:spacing w:after="0" w:line="228" w:lineRule="auto"/>
        <w:rPr>
          <w:sz w:val="20"/>
          <w:szCs w:val="20"/>
          <w:color w:val="auto"/>
        </w:rPr>
      </w:pPr>
      <w:r>
        <w:rPr>
          <w:rFonts w:ascii="Times New Roman" w:cs="Times New Roman" w:eastAsia="Times New Roman" w:hAnsi="Times New Roman"/>
          <w:sz w:val="20"/>
          <w:szCs w:val="20"/>
          <w:color w:val="auto"/>
        </w:rPr>
        <w:t>Requirement of Law relating to sanctions, anti-terrorism, anti-corruption or anti-money laundering that is applicable to such Foreign Subsidiary in its relevant local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5" w:name="page236"/>
    <w:bookmarkEnd w:id="235"/>
    <w:p>
      <w:pPr>
        <w:ind w:left="4980"/>
        <w:spacing w:after="0"/>
        <w:rPr>
          <w:sz w:val="20"/>
          <w:szCs w:val="20"/>
          <w:color w:val="auto"/>
        </w:rPr>
      </w:pPr>
      <w:r>
        <w:rPr>
          <w:rFonts w:ascii="Times New Roman" w:cs="Times New Roman" w:eastAsia="Times New Roman" w:hAnsi="Times New Roman"/>
          <w:sz w:val="20"/>
          <w:szCs w:val="20"/>
          <w:color w:val="auto"/>
        </w:rPr>
        <w:t>ARTICLE 4</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CONDITIONS</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tab/>
        <w:t>Closing Date. The obligations of (i) each Lender to make Loans and (ii) any Issuing Bank to issue Letters of Credit,</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each case, on the Closing Date, shall not become effective until the date on which each of the following conditions is satisfied (or waived in accordance with Section 9.02):</w:t>
      </w:r>
    </w:p>
    <w:p>
      <w:pPr>
        <w:spacing w:after="0" w:line="162" w:lineRule="exact"/>
        <w:rPr>
          <w:sz w:val="20"/>
          <w:szCs w:val="20"/>
          <w:color w:val="auto"/>
        </w:rPr>
      </w:pPr>
    </w:p>
    <w:p>
      <w:pPr>
        <w:jc w:val="both"/>
        <w:ind w:firstLine="656"/>
        <w:spacing w:after="0" w:line="220" w:lineRule="auto"/>
        <w:tabs>
          <w:tab w:leader="none" w:pos="128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xml:space="preserve">. The Administrative Agent (or its counsel) shall have received from the Borrower and each Loan Party, to the extent party thereto, (i) a counterpart signed by the Borrower or such Loan Party (or written evidence reasonably satisfactory to the Administrative Agent (which may include a copy transmitted by facsimile or other electronic method) that such party has signed a counterpart) of (A) this Agreement and (B) each Promissory Note requested by a Lender at least three Business Days prior to the Closing Date and (ii) a Borrowing Request as required by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(or its counsel) shall have received, on behalf of itself, the Lenders and each Issuing Bank on the Closing Date, a customary written opinion of Weil, Gotshal &amp; Manges LLP, in its capacity as special counsel for Holdings and the Loan Parties, dated the Closing Date and addressed to the Administrative Agent, the Lenders and each Issuing Bank.</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Administrative Agent shall have received:</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 of the Borrower for the Fiscal Year ended on December 27, 2020 and the audited consolidated statements of income and cash flows of the Borrower for the Fiscal Year then ended; and</w:t>
      </w:r>
    </w:p>
    <w:p>
      <w:pPr>
        <w:spacing w:after="0" w:line="147" w:lineRule="exact"/>
        <w:rPr>
          <w:rFonts w:ascii="Times New Roman" w:cs="Times New Roman" w:eastAsia="Times New Roman" w:hAnsi="Times New Roman"/>
          <w:sz w:val="20"/>
          <w:szCs w:val="20"/>
          <w:color w:val="auto"/>
        </w:rPr>
      </w:pPr>
    </w:p>
    <w:p>
      <w:pPr>
        <w:ind w:left="660" w:right="20" w:firstLine="644"/>
        <w:spacing w:after="0"/>
        <w:tabs>
          <w:tab w:leader="none" w:pos="195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consolidated balance sheet and the unaudited consolidated statements of income and cash flows of the Borrower for the Fiscal Quarters ended on March 28, 2021 and June 27, 2021.</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 and Good Standing Certificates of Loan Parties</w:t>
      </w:r>
      <w:r>
        <w:rPr>
          <w:rFonts w:ascii="Times New Roman" w:cs="Times New Roman" w:eastAsia="Times New Roman" w:hAnsi="Times New Roman"/>
          <w:sz w:val="20"/>
          <w:szCs w:val="20"/>
          <w:color w:val="auto"/>
        </w:rPr>
        <w:t>. The Administrative Agent (or its counsel) shall have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Loan Party on the Closing Date, dated the Closing Date and executed by a Responsible Officer,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shall:</w:t>
      </w:r>
    </w:p>
    <w:p>
      <w:pPr>
        <w:spacing w:after="0" w:line="166"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7"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the Loan Documents to which it is a party and, in the case of the Borrower, the borrowings hereunder, and that such resolutions or written consents have not been modified, rescinded or amended and are in full force and effect,</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0"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by name and title and bear the signatures of the Responsible Officer or authorized signatory of such Loan Party on the Closing Date that is authorized to sign the Loan Documents to which it is a party on the Closing Date, as applicable, and</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8" w:lineRule="auto"/>
        <w:tabs>
          <w:tab w:leader="none" w:pos="2590"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6" w:name="page237"/>
    <w:bookmarkEnd w:id="236"/>
    <w:p>
      <w:pPr>
        <w:ind w:left="660" w:right="20" w:firstLine="644"/>
        <w:spacing w:after="0"/>
        <w:tabs>
          <w:tab w:leader="none" w:pos="1955"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Loan Parties set forth in this Agreement and the other Loan Documents shall be true and correct in all material respects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9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Prior to or substantially concurrently with the funding of the Initial Term Loans hereunder, the Administrative Agent shall have received (i) all fees required to be paid by the Borrower on the Closing Date pursuant to the Engagement Letter and/or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Substantially concurrently with the initial funding of the Loans hereunder, including by use of the proceeds thereof, the Closing Date Refinancing shall be consummated and the Administrative Agent shall have received a customary payoff letter providing for the release of liens securing the obligations under the Existing Credit Agreement (to the extent required by the definition of “Closing Date Refinancing”) upon the consummation of the Closing Date Refinancing.</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At the time of and immediately after giving effect to the making of the Loans to be made on the Closing Date, no Default or Event of Default has occurred and is continuing.</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The Administrative Agent (or its counsel) shall have received a certificate in substantially the form of </w:t>
      </w:r>
      <w:r>
        <w:rPr>
          <w:rFonts w:ascii="Times New Roman" w:cs="Times New Roman" w:eastAsia="Times New Roman" w:hAnsi="Times New Roman"/>
          <w:sz w:val="20"/>
          <w:szCs w:val="20"/>
          <w:u w:val="single" w:color="auto"/>
          <w:color w:val="auto"/>
        </w:rPr>
        <w:t>Exhibit P</w:t>
      </w:r>
      <w:r>
        <w:rPr>
          <w:rFonts w:ascii="Times New Roman" w:cs="Times New Roman" w:eastAsia="Times New Roman" w:hAnsi="Times New Roman"/>
          <w:sz w:val="20"/>
          <w:szCs w:val="20"/>
          <w:color w:val="auto"/>
        </w:rPr>
        <w:t xml:space="preserve"> from a Responsible Officer of the Borrower dated as of the Closing Date and certifying as to the matters set forth therein.</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The Administrative Agent (or its counsel) shall have received a completed Perfection Certificate dated the Closing Date and signed by a Responsible Officer of the Borrower, together with all attachments contemplated thereby.</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xml:space="preserve">. Subject to the final paragraph of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and except as may otherwise be agreed by the Administrative Agent, the requirements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“Collateral and Guarantee Requirement” shall be satisfied.</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9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Prior to, or substantially concurrently with, the initial funding of the Loans hereunder, the IPO shall be consummated and the Borrower shall have received gross proceeds in connection therewith in an amount not less than $150,000,000.</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December 27, 2020, there shall not have occurred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No later than three Business Days in advance of the Closing Date, the Administrative Agent shall have received all documentation and other information reasonably requested with respect to any Loan Party in writing by any Initial Lender at least 10 Business Days in advance of the Closing Date, which documentation or other information is required by regulatory authorities under applicable “know your customer” and anti-money laundering rules and regulations, including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7" w:name="page238"/>
    <w:bookmarkEnd w:id="237"/>
    <w:p>
      <w:pPr>
        <w:jc w:val="both"/>
        <w:ind w:firstLine="656"/>
        <w:spacing w:after="0" w:line="222" w:lineRule="auto"/>
        <w:tabs>
          <w:tab w:leader="none" w:pos="12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To the extent the Borrower qualifies as a “legal entity customer” under the Beneficial Ownership Regulation, no later than three Business Days in advance of the Closing Date, the Administrative Agent shall have received a Beneficial Ownership Certification in relation to the Borrower to the extent reasonably requested by it at least 10 Business Days in advance of the Closing Date.</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Administrative Agent shall have received a certificate from a Responsible Officer of the Borrower certifying the satisfaction of the conditions precedent set forth in </w:t>
      </w:r>
      <w:r>
        <w:rPr>
          <w:rFonts w:ascii="Times New Roman" w:cs="Times New Roman" w:eastAsia="Times New Roman" w:hAnsi="Times New Roman"/>
          <w:sz w:val="20"/>
          <w:szCs w:val="20"/>
          <w:u w:val="single" w:color="auto"/>
          <w:color w:val="auto"/>
        </w:rPr>
        <w:t>Sections 4.01(e)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For purposes of determining whether the conditions specified in this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have been satisfied on the Closing Date, by funding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Loans hereunder or issuing a Letter of Credit on the Closing Date, the Administrative Agent, each Lender and each Issuing Bank, as applicable, shall be deemed to have consented to, approved or accepted, or to be satisfied with, each document or other matter required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hereunder to be consented to or approved by or acceptable or satisfactory to the Administrative Agent, such Lender or such Issuing Bank, as the case may be.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Notwithstanding the foregoing, to the extent that the Lien on any Collateral is not or cannot be created or perfected on the Closing Date (other than, to the extent required herein or in the other Loan Documents, the creation and perfection of a Lien on Collateral that is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type that may be perfected by the filing of a Form UCC-1 financing statement under the UCC), then the creation and/or perfection of such Lien shall not constitute a condition precedent to the availability or initial funding of the Credit Facilities on the Closing Date, but may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instead be delivered or perfected within the time period set forth in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(or such later date as the Administrative Agent may reasonably agree).</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2. Each Credit Extension. After the Closing Date, the obligation of each Revolving Lender and each Issuing Bank to make any Credit Extension is subject to the satisfaction of the following conditions:</w:t>
      </w:r>
    </w:p>
    <w:p>
      <w:pPr>
        <w:spacing w:after="0" w:line="148" w:lineRule="exact"/>
        <w:rPr>
          <w:sz w:val="20"/>
          <w:szCs w:val="20"/>
          <w:color w:val="auto"/>
        </w:rPr>
      </w:pPr>
    </w:p>
    <w:p>
      <w:pPr>
        <w:jc w:val="both"/>
        <w:ind w:firstLine="656"/>
        <w:spacing w:after="0" w:line="222" w:lineRule="auto"/>
        <w:tabs>
          <w:tab w:leader="none" w:pos="12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 the case of any Borrowing, the Administrative Agent shall have received a Borrowing Request as required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(ii) in the case of the issuance of any Letter of Credit, the applicable Issuing Bank and the Administrative Agent shall have received a Letter of Credit Request or (iii) in the case of any Borrowing of Swingline Loans, the Swingline Lender and the Administrative Agent shall have received Borrowing Request as required by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any representation and warranty specifically refers to a given date or period, it shall be true and correct in all material respects as of such date or for such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164" w:lineRule="exact"/>
        <w:rPr>
          <w:rFonts w:ascii="Times New Roman" w:cs="Times New Roman" w:eastAsia="Times New Roman" w:hAnsi="Times New Roman"/>
          <w:sz w:val="19"/>
          <w:szCs w:val="19"/>
          <w:color w:val="auto"/>
        </w:rPr>
      </w:pPr>
    </w:p>
    <w:p>
      <w:pPr>
        <w:ind w:firstLine="656"/>
        <w:spacing w:after="0"/>
        <w:tabs>
          <w:tab w:leader="none" w:pos="12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the applicable Credit Extension, no Default or Event of Default has occurred and is continuing.</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Each Credit Extension after the Closing Date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the avoidance of doubt,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conditions set forth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shall not apply to (A) any Incremental Loan and/or (B) any Credit Extension under any Refinancing Amendment and/or Extension Amendment, unless, in each case, the lenders in respect thereof have required satisfaction of the same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Incremental Facility Amendment, Refinancing Amendment or Extension Amendment,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8" w:name="page239"/>
    <w:bookmarkEnd w:id="238"/>
    <w:p>
      <w:pPr>
        <w:ind w:left="4980"/>
        <w:spacing w:after="0"/>
        <w:rPr>
          <w:sz w:val="20"/>
          <w:szCs w:val="20"/>
          <w:color w:val="auto"/>
        </w:rPr>
      </w:pPr>
      <w:r>
        <w:rPr>
          <w:rFonts w:ascii="Times New Roman" w:cs="Times New Roman" w:eastAsia="Times New Roman" w:hAnsi="Times New Roman"/>
          <w:sz w:val="20"/>
          <w:szCs w:val="20"/>
          <w:color w:val="auto"/>
        </w:rPr>
        <w:t>ARTICLE 5</w:t>
      </w:r>
    </w:p>
    <w:p>
      <w:pPr>
        <w:spacing w:after="0" w:line="1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From the Closing Date until the date on which all Revolving Credit Commitments have expired or terminated and the principal of</w:t>
      </w:r>
    </w:p>
    <w:p>
      <w:pPr>
        <w:spacing w:after="0" w:line="215" w:lineRule="auto"/>
        <w:rPr>
          <w:sz w:val="20"/>
          <w:szCs w:val="20"/>
          <w:color w:val="auto"/>
        </w:rPr>
      </w:pPr>
      <w:r>
        <w:rPr>
          <w:rFonts w:ascii="Times New Roman" w:cs="Times New Roman" w:eastAsia="Times New Roman" w:hAnsi="Times New Roman"/>
          <w:sz w:val="19"/>
          <w:szCs w:val="19"/>
          <w:color w:val="auto"/>
        </w:rPr>
        <w:t>and interest on each Loan and all fees, expenses and other amounts payable under any Loan Document (other than (i) contingent indemnification obligations for which no claim or demand has been made and (ii) for the avoidance of doubt, obligations and liabilities under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Banking Services Obligations and Secured Hedging Obligations) have been paid in full in the manner prescribed by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all</w:t>
      </w:r>
    </w:p>
    <w:p>
      <w:pPr>
        <w:spacing w:after="0" w:line="215" w:lineRule="auto"/>
        <w:rPr>
          <w:sz w:val="20"/>
          <w:szCs w:val="20"/>
          <w:color w:val="auto"/>
        </w:rPr>
      </w:pPr>
      <w:r>
        <w:rPr>
          <w:rFonts w:ascii="Times New Roman" w:cs="Times New Roman" w:eastAsia="Times New Roman" w:hAnsi="Times New Roman"/>
          <w:sz w:val="19"/>
          <w:szCs w:val="19"/>
          <w:color w:val="auto"/>
        </w:rPr>
        <w:t>Letters of Credit have expired or have been terminated (or have been made subject to Letter of Credit Support) and all LC Disbursements have been reimbursed (such date, the “</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Holdings (solely to the extent applicable to it) and the Borrower hereby covenant</w:t>
      </w:r>
    </w:p>
    <w:p>
      <w:pPr>
        <w:spacing w:after="0"/>
        <w:rPr>
          <w:sz w:val="20"/>
          <w:szCs w:val="20"/>
          <w:color w:val="auto"/>
        </w:rPr>
      </w:pPr>
      <w:r>
        <w:rPr>
          <w:rFonts w:ascii="Times New Roman" w:cs="Times New Roman" w:eastAsia="Times New Roman" w:hAnsi="Times New Roman"/>
          <w:sz w:val="20"/>
          <w:szCs w:val="20"/>
          <w:color w:val="auto"/>
        </w:rPr>
        <w:t>and agree with the Lenders, the Issuing Banks and the Administrative Agent that:</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tab/>
        <w:t>Financial Statements and Other Reports. The Borrower will deliver to the Administrative Agent for delivery by the</w:t>
      </w:r>
    </w:p>
    <w:p>
      <w:pPr>
        <w:spacing w:after="0"/>
        <w:rPr>
          <w:sz w:val="20"/>
          <w:szCs w:val="20"/>
          <w:color w:val="auto"/>
        </w:rPr>
      </w:pPr>
      <w:r>
        <w:rPr>
          <w:rFonts w:ascii="Times New Roman" w:cs="Times New Roman" w:eastAsia="Times New Roman" w:hAnsi="Times New Roman"/>
          <w:sz w:val="20"/>
          <w:szCs w:val="20"/>
          <w:color w:val="auto"/>
        </w:rPr>
        <w:t>Administrative Agent, subject to Section 9.05(f), to each Lender:</w:t>
      </w:r>
    </w:p>
    <w:p>
      <w:pPr>
        <w:spacing w:after="0" w:line="167" w:lineRule="exact"/>
        <w:rPr>
          <w:sz w:val="20"/>
          <w:szCs w:val="20"/>
          <w:color w:val="auto"/>
        </w:rPr>
      </w:pPr>
    </w:p>
    <w:p>
      <w:pPr>
        <w:jc w:val="both"/>
        <w:ind w:firstLine="656"/>
        <w:spacing w:after="0" w:line="215" w:lineRule="auto"/>
        <w:tabs>
          <w:tab w:leader="none" w:pos="128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Within 45 days after the end of each of the first three Fiscal Quarters of each Fiscal Year, commencing with the Fiscal Quarter ending on September 26, 2021, the consolidated balance sheet of the Borrower as at the end of such Fiscal Quarter and the related consolidated statements of income or operations and cash flows of the Borrower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comparison against the corresponding figures from the corresponding period in any prior Fiscal Year may reflect the financial results of any applicable predecessor entity;</w:t>
      </w:r>
    </w:p>
    <w:p>
      <w:pPr>
        <w:spacing w:after="0" w:line="150"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Within 90 days after the end of each Fiscal Year ending after the Closing Date, (i) the consolidated balance sheet of the Borrower as at the end of such Fiscal Year and the related consolidated statements of income or operations and cash flows of the Borrower for such Fiscal Year and setting forth, in reasonable detail, in comparative form the corresponding figures for the previous Fiscal Year (it being understood and agreed that no such comparison shall be required if (A) the relevant independent certified public accountant is not willing to provide the same or (B) the corresponding figures from the previous Fiscal Year are not available) and (ii) with respect to such consolidated financial statements, a report thereon of an independent certified public accountant of recognized national standing (which report shall not be subject to (A) a “going concern” qualification (but not a “going concern” explanatory paragraph or like statement) (except as resulting from, in the good faith determination of the Borrower, (1) the impending maturity of any Indebtedness, (2) the breach or anticipated breach of any financial covenant and/or (3) the activities, operations, financial results, assets or liabilities of any Unrestricted Subsidiary) or (B) a qualification as to the scope of the relevant audit), and shall state that such consolidated financial statements fairly present, in all material respects, the consolidated financial position of the Borrower as at the dates indicated and its results of operations and cash flows for the periods indicated in conformity with GAAP;</w:t>
      </w:r>
    </w:p>
    <w:p>
      <w:pPr>
        <w:spacing w:after="0" w:line="15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pursuant to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a duly executed and completed Compliance Certificate and (ii)(A) a summary of the pro forma adjustments (if any) necessary to eliminate the accounts of Unrestricted Subsidiaries (if any) from such financial statements and (B) a list identifying each Unrestricted Subsidiary as of the last day of the Fiscal Quarter covered by such Compliance Certificate or confirmation that there is no change in such information since the later of the Closing Date and the date of the last such list delivered pursuant to this </w:t>
      </w:r>
      <w:r>
        <w:rPr>
          <w:rFonts w:ascii="Times New Roman" w:cs="Times New Roman" w:eastAsia="Times New Roman" w:hAnsi="Times New Roman"/>
          <w:sz w:val="20"/>
          <w:szCs w:val="20"/>
          <w:u w:val="single" w:color="auto"/>
          <w:color w:val="auto"/>
        </w:rPr>
        <w:t>clause (ii)(B)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Notice of Material Adverse Effect</w:t>
      </w:r>
      <w:r>
        <w:rPr>
          <w:rFonts w:ascii="Times New Roman" w:cs="Times New Roman" w:eastAsia="Times New Roman" w:hAnsi="Times New Roman"/>
          <w:sz w:val="20"/>
          <w:szCs w:val="20"/>
          <w:color w:val="auto"/>
        </w:rPr>
        <w:t>. Promptly upon any Responsible Officer of the Borrower obtaining knowledge of (i) any Default or Event of Default or (ii) the occurrence of any event or change that has caused or evidences or would reasonably be expected to cause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0"/>
          <w:szCs w:val="20"/>
          <w:color w:val="auto"/>
        </w:rPr>
        <w:t>evidence, either individually or in the aggregate, a Material Adverse Effect, a reasonably-detailed written notice specifying the nature and</w:t>
      </w:r>
    </w:p>
    <w:p>
      <w:pPr>
        <w:spacing w:after="0" w:line="221" w:lineRule="auto"/>
        <w:rPr>
          <w:sz w:val="20"/>
          <w:szCs w:val="20"/>
          <w:color w:val="auto"/>
        </w:rPr>
      </w:pPr>
      <w:r>
        <w:rPr>
          <w:rFonts w:ascii="Times New Roman" w:cs="Times New Roman" w:eastAsia="Times New Roman" w:hAnsi="Times New Roman"/>
          <w:sz w:val="20"/>
          <w:szCs w:val="20"/>
          <w:color w:val="auto"/>
        </w:rPr>
        <w:t>period of existence of such condition, event or change and what action the Borrower has taken, is taking and proposes to take with respect thereto;</w:t>
      </w:r>
    </w:p>
    <w:p>
      <w:pPr>
        <w:spacing w:after="0" w:line="162" w:lineRule="exact"/>
        <w:rPr>
          <w:sz w:val="20"/>
          <w:szCs w:val="20"/>
          <w:color w:val="auto"/>
        </w:rPr>
      </w:pPr>
    </w:p>
    <w:p>
      <w:pPr>
        <w:jc w:val="both"/>
        <w:ind w:firstLine="656"/>
        <w:spacing w:after="0" w:line="220" w:lineRule="auto"/>
        <w:tabs>
          <w:tab w:leader="none" w:pos="129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147"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upon any Responsible Officer of the Borrower becoming aware of the occurrence of any ERISA Event that would reasonably be expected to have a Material Adverse Effect, a written notice specifying the nature thereof from the Borrower;</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Plan</w:t>
      </w:r>
      <w:r>
        <w:rPr>
          <w:rFonts w:ascii="Times New Roman" w:cs="Times New Roman" w:eastAsia="Times New Roman" w:hAnsi="Times New Roman"/>
          <w:sz w:val="20"/>
          <w:szCs w:val="20"/>
          <w:color w:val="auto"/>
        </w:rPr>
        <w:t>. Within 90 days after the beginning of any Fiscal Year (commencing with the Fiscal Year ending December 31, 2023), an annual consolidated financial budget for such Fiscal Year prepared by management of the Borrower;</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Within 90 days of the relevant change (or such later date to which the Administrative Agent may agree in its reasonable discretion), written notice (i) with respect to Holdings, the Borrower or any other Loan Party that is a Domestic Subsidiary, of any change in (A) such Loan Party’s legal name, (B) such Loan Party’s type of organization, (C) such Loan Party’s jurisdiction of organization or (D) such Loan Party’s organizational identification number,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 and (ii) with respect to any Loan Party that is a Discretionary Guarantor, such types of changes affecting the perfection or priority of the Administrative Agent’s security interest in the applicable Collateral of such Discretionary Guarantor as the Borrower and the Administrative Agent have agreed in connection with such Loan Party becoming a Discretionary Guarantor; and</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Reports.</w:t>
      </w:r>
      <w:r>
        <w:rPr>
          <w:rFonts w:ascii="Times New Roman" w:cs="Times New Roman" w:eastAsia="Times New Roman" w:hAnsi="Times New Roman"/>
          <w:sz w:val="20"/>
          <w:szCs w:val="20"/>
          <w:color w:val="auto"/>
        </w:rPr>
        <w:t xml:space="preserve"> Promptly upon their becoming available and without duplication of any obligation with respect to any such information that is otherwise required to be delivered under the provisions of any Loan Document, copies of (i) all financial statements, reports, notices and proxy statements sent or made available generally by the Borrower, Holdings or its applicable Parent Company to all of its security holders acting in such capacity and (ii) all regular and periodic reports and all registration statements (other than on Form S-8 or a similar form) and prospectuses, if any, publicly filed by the Borrower, Holdings or its applicable Parent Company with any securities exchange or with the SEC or any analogous Governmental Authority or private regulatory authority with jurisdiction over matters relating to securities, in each case other than any prospectus relating to any equity plan; and</w:t>
      </w:r>
    </w:p>
    <w:p>
      <w:pPr>
        <w:spacing w:after="0" w:line="15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Such customary additional information (financial or otherwise) that is readily available to the Borrower as the Administrative Agent may reasonably request from time to time regarding the financial condition or business of the Borrower and its Restricted Subsidiaries.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may be delivered electronically and if so delivered, shall be deemed to have been delivered on the earliest to occur of the date (i) on which the Borrower (or a representative thereof) (A) posts such documents or</w:t>
      </w:r>
    </w:p>
    <w:p>
      <w:pPr>
        <w:spacing w:after="0" w:line="1" w:lineRule="exact"/>
        <w:rPr>
          <w:sz w:val="20"/>
          <w:szCs w:val="20"/>
          <w:color w:val="auto"/>
        </w:rPr>
      </w:pPr>
    </w:p>
    <w:p>
      <w:pPr>
        <w:jc w:val="both"/>
        <w:ind w:firstLine="8"/>
        <w:spacing w:after="0" w:line="212" w:lineRule="auto"/>
        <w:tabs>
          <w:tab w:leader="none" w:pos="32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provides a link thereto, in each case, at the website address listed on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(which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may be updated from time to time), (ii)(A) on which such documents are delivered by the Borrower to the Administrative Agent for posting on behalf of the Borrower on IntraLinks/SyndTrak or another relevant website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if any, to which each Lender and the Administrative Agent have access (whether a commercial, third-party website or whether sponsored by the Administrative Agent) or (B) on which the relevant documents are electronically mailed or otherwise transmitted to the Administrative Agent in a manner to which the Administrative Agent may reasonably agree or (iii) in respect of the items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on which such items have been made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0"/>
          <w:szCs w:val="20"/>
          <w:color w:val="auto"/>
        </w:rPr>
        <w:t>on the SEC website or the website of the relevant analogous governmental or private regulatory authority or securities exchange (including, for the avoidance of doubt, by way of “EDGAR”).</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may instead be satisfied with respect to any relevant information of the Borrower by furnishing (i) the applicable financial statements or other information required by such clauses of Holdings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(or any other Parent Company) or (ii) in the case of </w:t>
      </w:r>
      <w:r>
        <w:rPr>
          <w:rFonts w:ascii="Times New Roman" w:cs="Times New Roman" w:eastAsia="Times New Roman" w:hAnsi="Times New Roman"/>
          <w:sz w:val="19"/>
          <w:szCs w:val="19"/>
          <w:u w:val="single" w:color="auto"/>
          <w:color w:val="auto"/>
        </w:rPr>
        <w:t>Sections 5.01(a)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the Borrower’s or Holdings’ (or any other Parent Company thereof), as applicable, Form 10-K or 10-Q, as applicable, filed with the SEC or any securities exchange, in each case, within the time periods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specified in such paragraphs and without any requirement to provide notice of such filing to the Administrative Agent or any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 to the extent (x) such financial statements relate to any Parent Company and</w:t>
      </w:r>
    </w:p>
    <w:p>
      <w:pPr>
        <w:spacing w:after="0" w:line="1" w:lineRule="exact"/>
        <w:rPr>
          <w:sz w:val="20"/>
          <w:szCs w:val="20"/>
          <w:color w:val="auto"/>
        </w:rPr>
      </w:pPr>
    </w:p>
    <w:p>
      <w:pPr>
        <w:jc w:val="both"/>
        <w:ind w:firstLine="8"/>
        <w:spacing w:after="0" w:line="209" w:lineRule="auto"/>
        <w:tabs>
          <w:tab w:leader="none" w:pos="2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(1)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(2) there are material differences (in the good faith determination of the Borrower) between the financial statements of such Parent Company and its consolidated subsidiaries, on the one hand, and the Borrower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the Borrower and its consolidated subsidiaries on a consolidated stand-alone basis, on the other hand (other than any such difference relating to shareholders’ equity), and (B) to the extent such financial statements are in lieu of statements required to be provided under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such statements shall be accompanied by a report and opinion with respect to the financial statements of the applicable Parent Company of an independent registered public accounting firm of nationally recognized standing, which report and opinion shall satisfy the applicable requirements set forth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 financial statement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required to include any acquisition</w:t>
      </w:r>
    </w:p>
    <w:p>
      <w:pPr>
        <w:spacing w:after="0" w:line="221" w:lineRule="auto"/>
        <w:rPr>
          <w:sz w:val="20"/>
          <w:szCs w:val="20"/>
          <w:color w:val="auto"/>
        </w:rPr>
      </w:pPr>
      <w:r>
        <w:rPr>
          <w:rFonts w:ascii="Times New Roman" w:cs="Times New Roman" w:eastAsia="Times New Roman" w:hAnsi="Times New Roman"/>
          <w:sz w:val="20"/>
          <w:szCs w:val="20"/>
          <w:color w:val="auto"/>
        </w:rPr>
        <w:t>accounting adjustment relating to the Transactions or any Permitted Acquisition or other Investment to the extent it is not practicable to include any such adjustment in such financial statement.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w:t>
        <w:tab/>
        <w:t>Existence. Except as otherwise permitted under Section 6.07 or Section 6.09, Holdings and the Borrower will, and</w:t>
      </w:r>
    </w:p>
    <w:p>
      <w:pPr>
        <w:spacing w:after="0" w:line="204" w:lineRule="auto"/>
        <w:rPr>
          <w:sz w:val="20"/>
          <w:szCs w:val="20"/>
          <w:color w:val="auto"/>
        </w:rPr>
      </w:pPr>
      <w:r>
        <w:rPr>
          <w:rFonts w:ascii="Times New Roman" w:cs="Times New Roman" w:eastAsia="Times New Roman" w:hAnsi="Times New Roman"/>
          <w:sz w:val="20"/>
          <w:szCs w:val="20"/>
          <w:color w:val="auto"/>
        </w:rPr>
        <w:t>the Borrower will cause each of its Restricted Subsidiaries to, at all times preserve and keep in full force and effect its existence and all rights, franchises, licenses and permits material to its business, except, other than with respect to the preservation of the existence of the</w:t>
      </w:r>
    </w:p>
    <w:p>
      <w:pPr>
        <w:spacing w:after="0" w:line="223" w:lineRule="auto"/>
        <w:rPr>
          <w:sz w:val="20"/>
          <w:szCs w:val="20"/>
          <w:color w:val="auto"/>
        </w:rPr>
      </w:pPr>
      <w:r>
        <w:rPr>
          <w:rFonts w:ascii="Times New Roman" w:cs="Times New Roman" w:eastAsia="Times New Roman" w:hAnsi="Times New Roman"/>
          <w:sz w:val="19"/>
          <w:szCs w:val="19"/>
          <w:color w:val="auto"/>
        </w:rPr>
        <w:t>Borrower, to the extent that the failure to do so could not reasonably be expected to result in a Material Adverse Effect; provided that neither</w:t>
      </w:r>
    </w:p>
    <w:p>
      <w:pPr>
        <w:spacing w:after="0" w:line="204" w:lineRule="auto"/>
        <w:rPr>
          <w:sz w:val="20"/>
          <w:szCs w:val="20"/>
          <w:color w:val="auto"/>
        </w:rPr>
      </w:pPr>
      <w:r>
        <w:rPr>
          <w:rFonts w:ascii="Times New Roman" w:cs="Times New Roman" w:eastAsia="Times New Roman" w:hAnsi="Times New Roman"/>
          <w:sz w:val="20"/>
          <w:szCs w:val="20"/>
          <w:color w:val="auto"/>
        </w:rPr>
        <w:t>Holdings, the Borrower nor any of the Borrower’s Restricted Subsidiaries shall be required to preserve any such existence (other than with respect to the preservation of existence of Holdings and the Borrower), right, franchise, license or permit if a Responsible Officer of such</w:t>
      </w:r>
    </w:p>
    <w:p>
      <w:pPr>
        <w:spacing w:after="0" w:line="211" w:lineRule="auto"/>
        <w:rPr>
          <w:sz w:val="20"/>
          <w:szCs w:val="20"/>
          <w:color w:val="auto"/>
        </w:rPr>
      </w:pPr>
      <w:r>
        <w:rPr>
          <w:rFonts w:ascii="Times New Roman" w:cs="Times New Roman" w:eastAsia="Times New Roman" w:hAnsi="Times New Roman"/>
          <w:sz w:val="20"/>
          <w:szCs w:val="20"/>
          <w:color w:val="auto"/>
        </w:rPr>
        <w:t>Person or such Person’s board of directors (or similar governing body) determines that the preservation thereof is no longer desirable in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conduct of the business of such Person, and that the loss thereof is not disadvantageous in any material respect to such Person or to the Lenders (taken as a whole).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tab/>
        <w:t>Payment of Taxes. Holdings and the Borrower will, and the Borrower will cause each of its Restricted Subsidiaries</w:t>
      </w:r>
    </w:p>
    <w:p>
      <w:pPr>
        <w:spacing w:after="0" w:line="204" w:lineRule="auto"/>
        <w:rPr>
          <w:sz w:val="20"/>
          <w:szCs w:val="20"/>
          <w:color w:val="auto"/>
        </w:rPr>
      </w:pPr>
      <w:r>
        <w:rPr>
          <w:rFonts w:ascii="Times New Roman" w:cs="Times New Roman" w:eastAsia="Times New Roman" w:hAnsi="Times New Roman"/>
          <w:sz w:val="20"/>
          <w:szCs w:val="20"/>
          <w:color w:val="auto"/>
        </w:rPr>
        <w:t>to, pay all Taxes imposed upon it or any of its properties or assets or in respect of any of its income or businesses or franchises before any penalty or fine accrues thereon; provided that no such Tax need be paid if (a) it is not more than 60 days overdue, (b) it is being contested in</w:t>
      </w:r>
    </w:p>
    <w:p>
      <w:pPr>
        <w:spacing w:after="0" w:line="211" w:lineRule="auto"/>
        <w:rPr>
          <w:sz w:val="20"/>
          <w:szCs w:val="20"/>
          <w:color w:val="auto"/>
        </w:rPr>
      </w:pPr>
      <w:r>
        <w:rPr>
          <w:rFonts w:ascii="Times New Roman" w:cs="Times New Roman" w:eastAsia="Times New Roman" w:hAnsi="Times New Roman"/>
          <w:sz w:val="20"/>
          <w:szCs w:val="20"/>
          <w:color w:val="auto"/>
        </w:rPr>
        <w:t>good faith by appropriate proceedings, so long as (i) adequate reserves or other appropriate provisions, as are required in conformity with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GAAP, have been made therefor and (ii) in the case of a Tax which has resulted or may result in the creation of a Lien on any of the Collateral, such contest proceedings conclusively operate to stay the sale of any portion of the Collateral to satisfy such Tax and/or (c) failure</w:t>
      </w:r>
    </w:p>
    <w:p>
      <w:pPr>
        <w:spacing w:after="0"/>
        <w:rPr>
          <w:sz w:val="20"/>
          <w:szCs w:val="20"/>
          <w:color w:val="auto"/>
        </w:rPr>
      </w:pPr>
      <w:r>
        <w:rPr>
          <w:rFonts w:ascii="Times New Roman" w:cs="Times New Roman" w:eastAsia="Times New Roman" w:hAnsi="Times New Roman"/>
          <w:sz w:val="20"/>
          <w:szCs w:val="20"/>
          <w:color w:val="auto"/>
        </w:rPr>
        <w:t>to pay or discharge the same could not reasonably be expected, individually or in the aggregate, to result in a Material Adverse Effect.</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SECTION 4. Maintenance of Properties. Holdings and the Borrower will, and will cause each of its Restricted Subsidiaries to, maintain or cause to be maintained in good repair, working order and condition, ordinary wear and tear and casualty and condemnation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excepted, all property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0"/>
          <w:szCs w:val="20"/>
          <w:color w:val="auto"/>
        </w:rPr>
        <w:t>necessary to the normal conduct of business of the Borrower and its Restricted Subsidiaries and from time to time will make or cause to be</w:t>
      </w:r>
    </w:p>
    <w:p>
      <w:pPr>
        <w:spacing w:after="0" w:line="204" w:lineRule="auto"/>
        <w:rPr>
          <w:sz w:val="20"/>
          <w:szCs w:val="20"/>
          <w:color w:val="auto"/>
        </w:rPr>
      </w:pPr>
      <w:r>
        <w:rPr>
          <w:rFonts w:ascii="Times New Roman" w:cs="Times New Roman" w:eastAsia="Times New Roman" w:hAnsi="Times New Roman"/>
          <w:sz w:val="20"/>
          <w:szCs w:val="20"/>
          <w:color w:val="auto"/>
        </w:rPr>
        <w:t>made all needed and appropriate repairs, renewals and replacements thereof, in each case except as expressly permitted by this Agreement or where the failure to maintain such properties or make such repairs, renewals or replacements could not reasonably be expected to have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Adverse Effect.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5. Insurance. (a) Except where the failure to do so would not reasonably be expected to have a Material Adverse Effect, the Borrower will maintain or cause to be maintained, with financially sound and reputable insurers, such insurance coverage with respect to</w:t>
      </w:r>
    </w:p>
    <w:p>
      <w:pPr>
        <w:spacing w:after="0" w:line="222" w:lineRule="auto"/>
        <w:rPr>
          <w:sz w:val="20"/>
          <w:szCs w:val="20"/>
          <w:color w:val="auto"/>
        </w:rPr>
      </w:pPr>
      <w:r>
        <w:rPr>
          <w:rFonts w:ascii="Times New Roman" w:cs="Times New Roman" w:eastAsia="Times New Roman" w:hAnsi="Times New Roman"/>
          <w:sz w:val="19"/>
          <w:szCs w:val="19"/>
          <w:color w:val="auto"/>
        </w:rPr>
        <w:t>liability, loss or damage in respect of the assets, properties and businesses of the Borrower and its Restricted Subsidiaries as may customarily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 carried or maintained under similar circumstances by Persons of established reputation engaged in similar businesses, in each case in such amounts (giving effect to self-insurance), with such deductibles, covering such risks and otherwise on such terms and conditions as shall be</w:t>
      </w:r>
    </w:p>
    <w:p>
      <w:pPr>
        <w:spacing w:after="0" w:line="211" w:lineRule="auto"/>
        <w:rPr>
          <w:sz w:val="20"/>
          <w:szCs w:val="20"/>
          <w:color w:val="auto"/>
        </w:rPr>
      </w:pPr>
      <w:r>
        <w:rPr>
          <w:rFonts w:ascii="Times New Roman" w:cs="Times New Roman" w:eastAsia="Times New Roman" w:hAnsi="Times New Roman"/>
          <w:sz w:val="20"/>
          <w:szCs w:val="20"/>
          <w:color w:val="auto"/>
        </w:rPr>
        <w:t>customary for such Persons. Each such policy of insurance shall, subject to Section 5.15, (i) name the Administrative Agent on behalf of the</w:t>
      </w:r>
    </w:p>
    <w:p>
      <w:pPr>
        <w:spacing w:after="0" w:line="215" w:lineRule="auto"/>
        <w:rPr>
          <w:sz w:val="20"/>
          <w:szCs w:val="20"/>
          <w:color w:val="auto"/>
        </w:rPr>
      </w:pPr>
      <w:r>
        <w:rPr>
          <w:rFonts w:ascii="Times New Roman" w:cs="Times New Roman" w:eastAsia="Times New Roman" w:hAnsi="Times New Roman"/>
          <w:sz w:val="19"/>
          <w:szCs w:val="19"/>
          <w:color w:val="auto"/>
        </w:rPr>
        <w:t>Secured Parties as an additional insured thereunder as its interests may appear and (ii) to the extent available from the relevant insurance carrier, in the case of each casualty insurance policy (excluding any business interruption insurance policy) (A) contain a lender loss payable</w:t>
      </w:r>
    </w:p>
    <w:p>
      <w:pPr>
        <w:spacing w:after="0" w:line="211" w:lineRule="auto"/>
        <w:rPr>
          <w:sz w:val="20"/>
          <w:szCs w:val="20"/>
          <w:color w:val="auto"/>
        </w:rPr>
      </w:pPr>
      <w:r>
        <w:rPr>
          <w:rFonts w:ascii="Times New Roman" w:cs="Times New Roman" w:eastAsia="Times New Roman" w:hAnsi="Times New Roman"/>
          <w:sz w:val="20"/>
          <w:szCs w:val="20"/>
          <w:color w:val="auto"/>
        </w:rPr>
        <w:t>clause or endorsement that names the Administrative Agent, on behalf of the Secured Parties as the lender loss payee thereunder and</w:t>
      </w:r>
    </w:p>
    <w:p>
      <w:pPr>
        <w:jc w:val="both"/>
        <w:ind w:firstLine="8"/>
        <w:spacing w:after="0" w:line="204" w:lineRule="auto"/>
        <w:tabs>
          <w:tab w:leader="none" w:pos="3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at least 30 days’ prior written notice to the Administrative Agent of any modification or cancellation of such policy (or 10 days’ prior written notice in the case of the failure to pay any premium thereunder); provided that, unless an Event of Default exists,</w:t>
      </w:r>
    </w:p>
    <w:p>
      <w:pPr>
        <w:ind w:right="20" w:firstLine="8"/>
        <w:spacing w:after="0" w:line="228" w:lineRule="auto"/>
        <w:tabs>
          <w:tab w:leader="none" w:pos="33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agrees that the Borrower and/or its applicable Restricted Subsidiary shall have the sole right to adjust or settle any claims under such insurance and (B) all proceeds from a casualty event shall be paid to the Borrower.</w:t>
      </w:r>
    </w:p>
    <w:p>
      <w:pPr>
        <w:spacing w:after="0" w:line="1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w:t>
        <w:tab/>
        <w:t>Inspections. The Borrower will, and the Borrower will cause each of its Restricted Subsidiaries to, permit any</w:t>
      </w:r>
    </w:p>
    <w:p>
      <w:pPr>
        <w:spacing w:after="0" w:line="204" w:lineRule="auto"/>
        <w:rPr>
          <w:sz w:val="20"/>
          <w:szCs w:val="20"/>
          <w:color w:val="auto"/>
        </w:rPr>
      </w:pPr>
      <w:r>
        <w:rPr>
          <w:rFonts w:ascii="Times New Roman" w:cs="Times New Roman" w:eastAsia="Times New Roman" w:hAnsi="Times New Roman"/>
          <w:sz w:val="20"/>
          <w:szCs w:val="20"/>
          <w:color w:val="auto"/>
        </w:rPr>
        <w:t>authorized representative designated by the Administrative Agent to visit and inspect any of the properties of the Borrower and any of its Restricted Subsidiaries at which the principal financial records and executive officers of the applicable Person are located, to inspect, copy</w:t>
      </w:r>
    </w:p>
    <w:p>
      <w:pPr>
        <w:spacing w:after="0" w:line="211" w:lineRule="auto"/>
        <w:rPr>
          <w:sz w:val="20"/>
          <w:szCs w:val="20"/>
          <w:color w:val="auto"/>
        </w:rPr>
      </w:pPr>
      <w:r>
        <w:rPr>
          <w:rFonts w:ascii="Times New Roman" w:cs="Times New Roman" w:eastAsia="Times New Roman" w:hAnsi="Times New Roman"/>
          <w:sz w:val="20"/>
          <w:szCs w:val="20"/>
          <w:color w:val="auto"/>
        </w:rPr>
        <w:t>and take extracts from its and their respective financial and accounting records, and to discuss its and their respective affairs, finances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accounts with its and their Responsible Officers and independent public accountants (provided that the Borrower (or any of its subsidiaries) may, if it so chooses, be present at or participate in any such discussion), all upon reasonable notice and at reasonable times during normal</w:t>
      </w:r>
    </w:p>
    <w:p>
      <w:pPr>
        <w:spacing w:after="0" w:line="223" w:lineRule="auto"/>
        <w:rPr>
          <w:sz w:val="20"/>
          <w:szCs w:val="20"/>
          <w:color w:val="auto"/>
        </w:rPr>
      </w:pPr>
      <w:r>
        <w:rPr>
          <w:rFonts w:ascii="Times New Roman" w:cs="Times New Roman" w:eastAsia="Times New Roman" w:hAnsi="Times New Roman"/>
          <w:sz w:val="19"/>
          <w:szCs w:val="19"/>
          <w:color w:val="auto"/>
        </w:rPr>
        <w:t>business hours; provided that (a) only the Administrative Agent on behalf of the Lenders may exercise the rights of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and the Lenders under this Section 5.06, (b) except as expressly set forth in clause (c) below during the continuance of an Event of Default under Section 7.01(a), (f) or (g), the Administrative Agent shall not exercise such rights more often than one time during any calendar year</w:t>
      </w:r>
    </w:p>
    <w:p>
      <w:pPr>
        <w:spacing w:after="0" w:line="211" w:lineRule="auto"/>
        <w:rPr>
          <w:sz w:val="20"/>
          <w:szCs w:val="20"/>
          <w:color w:val="auto"/>
        </w:rPr>
      </w:pPr>
      <w:r>
        <w:rPr>
          <w:rFonts w:ascii="Times New Roman" w:cs="Times New Roman" w:eastAsia="Times New Roman" w:hAnsi="Times New Roman"/>
          <w:sz w:val="20"/>
          <w:szCs w:val="20"/>
          <w:color w:val="auto"/>
        </w:rPr>
        <w:t>and (c) when an Event of Default under Section 7.01(a), (f) or (g) exists, the Administrative Agent (or any of its representatives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independent contractors) may do any of the foregoing at the expense of the Borrower at any time during normal business hours and upon reasonable advance notice.</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7.</w:t>
        <w:tab/>
        <w:t>Maintenance of Books and Records. The Borrower will, and will cause its Restricted Subsidiaries to, maintain</w:t>
      </w:r>
    </w:p>
    <w:p>
      <w:pPr>
        <w:spacing w:after="0" w:line="204" w:lineRule="auto"/>
        <w:rPr>
          <w:sz w:val="20"/>
          <w:szCs w:val="20"/>
          <w:color w:val="auto"/>
        </w:rPr>
      </w:pPr>
      <w:r>
        <w:rPr>
          <w:rFonts w:ascii="Times New Roman" w:cs="Times New Roman" w:eastAsia="Times New Roman" w:hAnsi="Times New Roman"/>
          <w:sz w:val="20"/>
          <w:szCs w:val="20"/>
          <w:color w:val="auto"/>
        </w:rPr>
        <w:t>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in accordance with GAAP.</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8. Compliance with Laws. The Borrower will comply, and the Borrower will cause each of its Restricted Subsidiaries to comply, with all applicable Requirements of Law (including applicable ERISA and all Environmental Laws, any Sanctions, the USA</w:t>
      </w:r>
    </w:p>
    <w:p>
      <w:pPr>
        <w:spacing w:after="0" w:line="212" w:lineRule="auto"/>
        <w:rPr>
          <w:sz w:val="20"/>
          <w:szCs w:val="20"/>
          <w:color w:val="auto"/>
        </w:rPr>
      </w:pPr>
      <w:r>
        <w:rPr>
          <w:rFonts w:ascii="Times New Roman" w:cs="Times New Roman" w:eastAsia="Times New Roman" w:hAnsi="Times New Roman"/>
          <w:sz w:val="20"/>
          <w:szCs w:val="20"/>
          <w:color w:val="auto"/>
        </w:rPr>
        <w:t>PATRIOT Act and the FCPA), except to the extent the failure of Holdings, the Borrower or the relevant Restricted Subsidiary to comply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could not reasonably be expected to have a Material Adverse Effect; provided that the requirements set forth in this Section 5.08, as they pertain to compliance by any Foreign Subsidiary with any Sanctions, the USA PATRIOT ACT and the FCPA, are subject to and limited by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Requirement of Law applicable to such Foreign Subsidiary in its relevant local jurisdiction and shall not apply to such Foreign Subsidiary to the extent the same conflict with relevant local Requirements of Law applicable to such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42" w:name="page243"/>
    <w:bookmarkEnd w:id="242"/>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tab/>
        <w:t>Environmental.</w:t>
      </w:r>
    </w:p>
    <w:p>
      <w:pPr>
        <w:spacing w:after="0" w:line="189" w:lineRule="exact"/>
        <w:rPr>
          <w:sz w:val="20"/>
          <w:szCs w:val="20"/>
          <w:color w:val="auto"/>
        </w:rPr>
      </w:pPr>
    </w:p>
    <w:p>
      <w:pPr>
        <w:jc w:val="both"/>
        <w:ind w:firstLine="656"/>
        <w:spacing w:after="0" w:line="227" w:lineRule="auto"/>
        <w:tabs>
          <w:tab w:leader="none" w:pos="1286"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Disclosure</w:t>
      </w:r>
      <w:r>
        <w:rPr>
          <w:rFonts w:ascii="Times New Roman" w:cs="Times New Roman" w:eastAsia="Times New Roman" w:hAnsi="Times New Roman"/>
          <w:sz w:val="19"/>
          <w:szCs w:val="19"/>
          <w:color w:val="auto"/>
        </w:rPr>
        <w:t>. The Borrower will deliver to the Administrative Agent as soon as practicable following the sending or receipt thereof by the Borrower or any of its Restricted Subsidiaries, a copy of any and all written communications with respect to</w:t>
      </w:r>
    </w:p>
    <w:p>
      <w:pPr>
        <w:ind w:left="340" w:hanging="332"/>
        <w:spacing w:after="0" w:line="211" w:lineRule="auto"/>
        <w:tabs>
          <w:tab w:leader="none" w:pos="34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that, individually or in the aggregate, would reasonably be expected to give rise to a Material Adverse Effect,</w:t>
      </w:r>
    </w:p>
    <w:p>
      <w:pPr>
        <w:jc w:val="both"/>
        <w:ind w:firstLine="8"/>
        <w:spacing w:after="0" w:line="212" w:lineRule="auto"/>
        <w:tabs>
          <w:tab w:leader="none" w:pos="32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Release required to be reported by the Borrower or any of its Restricted Subsidiaries to any federal, state or local governmental or regulatory agency or other Governmental Authority that would reasonably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 and (D) such other documents and information as from time to time may be reasonably requested by the Administrative Agent in relation to any matters disclosed pursuant to this </w:t>
      </w:r>
      <w:r>
        <w:rPr>
          <w:rFonts w:ascii="Times New Roman" w:cs="Times New Roman" w:eastAsia="Times New Roman" w:hAnsi="Times New Roman"/>
          <w:sz w:val="20"/>
          <w:szCs w:val="20"/>
          <w:u w:val="single" w:color="auto"/>
          <w:color w:val="auto"/>
        </w:rPr>
        <w:t>Section 5.09(a)</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Hazardous Materials Activities, Etc</w:t>
      </w:r>
      <w:r>
        <w:rPr>
          <w:rFonts w:ascii="Times New Roman" w:cs="Times New Roman" w:eastAsia="Times New Roman" w:hAnsi="Times New Roman"/>
          <w:sz w:val="20"/>
          <w:szCs w:val="20"/>
          <w:color w:val="auto"/>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would reasonably be expected to have, individually or in the aggregate, a Material Adverse Effect.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tab/>
        <w:t>Designation of Subsidiaries. The Borrower may at any time after the Closing Date designate (or re-designate) any</w:t>
      </w:r>
    </w:p>
    <w:p>
      <w:pPr>
        <w:spacing w:after="0" w:line="204" w:lineRule="auto"/>
        <w:rPr>
          <w:sz w:val="20"/>
          <w:szCs w:val="20"/>
          <w:color w:val="auto"/>
        </w:rPr>
      </w:pPr>
      <w:r>
        <w:rPr>
          <w:rFonts w:ascii="Times New Roman" w:cs="Times New Roman" w:eastAsia="Times New Roman" w:hAnsi="Times New Roman"/>
          <w:sz w:val="20"/>
          <w:szCs w:val="20"/>
          <w:color w:val="auto"/>
        </w:rPr>
        <w:t>subsidiary as an Unrestricted Subsidiary or any Unrestricted Subsidiary as a Restricted Subsidiary; provided that (a) immediately after giving effect to such designation (or re-designation), no Event of Default exists (including after giving effect to the reclassification of any</w:t>
      </w:r>
    </w:p>
    <w:p>
      <w:pPr>
        <w:spacing w:after="0" w:line="223" w:lineRule="auto"/>
        <w:rPr>
          <w:sz w:val="20"/>
          <w:szCs w:val="20"/>
          <w:color w:val="auto"/>
        </w:rPr>
      </w:pPr>
      <w:r>
        <w:rPr>
          <w:rFonts w:ascii="Times New Roman" w:cs="Times New Roman" w:eastAsia="Times New Roman" w:hAnsi="Times New Roman"/>
          <w:sz w:val="19"/>
          <w:szCs w:val="19"/>
          <w:color w:val="auto"/>
        </w:rPr>
        <w:t>Investment in, Indebtedness of and/or Lien on the assets of, the applicable Restricted Subsidiary or Unrestricted Subsidiary), (b) immediately</w:t>
      </w:r>
    </w:p>
    <w:p>
      <w:pPr>
        <w:spacing w:after="0" w:line="204" w:lineRule="auto"/>
        <w:rPr>
          <w:sz w:val="20"/>
          <w:szCs w:val="20"/>
          <w:color w:val="auto"/>
        </w:rPr>
      </w:pPr>
      <w:r>
        <w:rPr>
          <w:rFonts w:ascii="Times New Roman" w:cs="Times New Roman" w:eastAsia="Times New Roman" w:hAnsi="Times New Roman"/>
          <w:sz w:val="20"/>
          <w:szCs w:val="20"/>
          <w:color w:val="auto"/>
        </w:rPr>
        <w:t>after giving effect to such designation (or re-designation), the Borrower is in compliance with Section 6.10(a) and Section 6.10(b) on a Pro Forma Basis as of the last day of the most recently ended Test Period, (c) no Restricted Subsidiary may be designated as an Unrestricted</w:t>
      </w:r>
    </w:p>
    <w:p>
      <w:pPr>
        <w:spacing w:after="0" w:line="211" w:lineRule="auto"/>
        <w:rPr>
          <w:sz w:val="20"/>
          <w:szCs w:val="20"/>
          <w:color w:val="auto"/>
        </w:rPr>
      </w:pPr>
      <w:r>
        <w:rPr>
          <w:rFonts w:ascii="Times New Roman" w:cs="Times New Roman" w:eastAsia="Times New Roman" w:hAnsi="Times New Roman"/>
          <w:sz w:val="20"/>
          <w:szCs w:val="20"/>
          <w:color w:val="auto"/>
        </w:rPr>
        <w:t>Subsidiary if such Restricted Subsidiary owns any Material Intellectual Property as of the date of such designation and (d) as of the date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designation thereof, no Unrestricted Subsidiary shall own any Capital Stock in any Restricted Subsidiary of the Borrower (unless such Restricted Subsidiary is also designated as an Unrestricted Subsidiary). The designation of any subsidiary as an Unrestricted Subsidiary shall</w:t>
      </w:r>
    </w:p>
    <w:p>
      <w:pPr>
        <w:spacing w:after="0" w:line="222" w:lineRule="auto"/>
        <w:rPr>
          <w:sz w:val="20"/>
          <w:szCs w:val="20"/>
          <w:color w:val="auto"/>
        </w:rPr>
      </w:pPr>
      <w:r>
        <w:rPr>
          <w:rFonts w:ascii="Times New Roman" w:cs="Times New Roman" w:eastAsia="Times New Roman" w:hAnsi="Times New Roman"/>
          <w:sz w:val="19"/>
          <w:szCs w:val="19"/>
          <w:color w:val="auto"/>
        </w:rPr>
        <w:t>constitute an Investment by the Borrower (or its applicable Restricted Subsidiary) therein at the date of designation in an amount equal to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w:t>
      </w:r>
    </w:p>
    <w:p>
      <w:pPr>
        <w:spacing w:after="0" w:line="211" w:lineRule="auto"/>
        <w:rPr>
          <w:sz w:val="20"/>
          <w:szCs w:val="20"/>
          <w:color w:val="auto"/>
        </w:rPr>
      </w:pPr>
      <w:r>
        <w:rPr>
          <w:rFonts w:ascii="Times New Roman" w:cs="Times New Roman" w:eastAsia="Times New Roman" w:hAnsi="Times New Roman"/>
          <w:sz w:val="20"/>
          <w:szCs w:val="20"/>
          <w:color w:val="auto"/>
        </w:rPr>
        <w:t>is permitted under Section 6.06). The designation of any Unrestricted Subsidiary as a Restricted Subsidiary shall constitute the making,</w:t>
      </w:r>
    </w:p>
    <w:p>
      <w:pPr>
        <w:spacing w:after="0" w:line="204" w:lineRule="auto"/>
        <w:rPr>
          <w:sz w:val="20"/>
          <w:szCs w:val="20"/>
          <w:color w:val="auto"/>
        </w:rPr>
      </w:pPr>
      <w:r>
        <w:rPr>
          <w:rFonts w:ascii="Times New Roman" w:cs="Times New Roman" w:eastAsia="Times New Roman" w:hAnsi="Times New Roman"/>
          <w:sz w:val="20"/>
          <w:szCs w:val="20"/>
          <w:color w:val="auto"/>
        </w:rPr>
        <w:t>incurrence or granting, as applicable, at the time of designation of any then-existing Investment, Indebtedness or Lien of such subsidiary, as applicable; provided that, upon any re-designation of any Unrestricted Subsidiary as a Restricted Subsidiary, the Borrower (or its applicable</w:t>
      </w:r>
    </w:p>
    <w:p>
      <w:pPr>
        <w:spacing w:after="0" w:line="211" w:lineRule="auto"/>
        <w:rPr>
          <w:sz w:val="20"/>
          <w:szCs w:val="20"/>
          <w:color w:val="auto"/>
        </w:rPr>
      </w:pPr>
      <w:r>
        <w:rPr>
          <w:rFonts w:ascii="Times New Roman" w:cs="Times New Roman" w:eastAsia="Times New Roman" w:hAnsi="Times New Roman"/>
          <w:sz w:val="20"/>
          <w:szCs w:val="20"/>
          <w:color w:val="auto"/>
        </w:rPr>
        <w:t>Restricted Subsidiary) shall be deemed to continue to have an Investment in the resulting Restricted Subsidiary in an amount (if positive)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equal to (a) the Borrower’s (or its applicable Restricted Subsidiary’s) “Investment” in such Restricted Subsidiary at the time of such re-designation, less (b) the portion of the fair market value of the net assets of such Restricted Subsidiary attributable to the Borrower’s (or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Restricted Subsidiary’s) equity therein at the time of such re-designation as estimated by the Borrower in good faith.</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Use of Proceeds.</w:t>
      </w:r>
    </w:p>
    <w:p>
      <w:pPr>
        <w:spacing w:after="0" w:line="175" w:lineRule="exact"/>
        <w:rPr>
          <w:sz w:val="20"/>
          <w:szCs w:val="20"/>
          <w:color w:val="auto"/>
        </w:rPr>
      </w:pPr>
    </w:p>
    <w:p>
      <w:pPr>
        <w:jc w:val="both"/>
        <w:ind w:firstLine="656"/>
        <w:spacing w:after="0" w:line="230" w:lineRule="auto"/>
        <w:tabs>
          <w:tab w:leader="none" w:pos="128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the proceeds of the Revolving Loans (i) on the Closing Date, (A) to finance (or to replenish balance sheet cash used to finance) all or a portion of the Transactions (including the payment of Transaction Costs and other costs and expenses), (B) to finance other general corporate purposes, (C) to finance working capital needs and (D) to cash collateralize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9"/>
          <w:szCs w:val="19"/>
          <w:color w:val="auto"/>
        </w:rPr>
        <w:t>issued on behalf of the Borrower and its subsidiaries under the Existing Credit Agreement, and (ii) after the Closing Date, to finance working</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capital needs and other general corporate purposes of the Borrower and its subsidiaries and any other purpose not prohibited by the terms of the Loan Documents.</w:t>
      </w:r>
    </w:p>
    <w:p>
      <w:pPr>
        <w:spacing w:after="0" w:line="162" w:lineRule="exact"/>
        <w:rPr>
          <w:sz w:val="20"/>
          <w:szCs w:val="20"/>
          <w:color w:val="auto"/>
        </w:rPr>
      </w:pPr>
    </w:p>
    <w:p>
      <w:pPr>
        <w:jc w:val="both"/>
        <w:ind w:firstLine="656"/>
        <w:spacing w:after="0" w:line="226" w:lineRule="auto"/>
        <w:tabs>
          <w:tab w:leader="none" w:pos="128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the proceeds of the Swingline Loans made after the Closing Date to finance the working capital needs and other general corporate purposes of the Borrower and its subsidiaries and for any other purpose not prohibited by the terms of the Loan Documents.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the proceeds of the Initial Term Loans made on the Closing Date solely to (i) finance all or a portion of the Transactions (and the payment of Transaction Costs) and (ii) to the extent of any remaining proceeds, for general corporate purposes of the Borrower and its subsidiaries.</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may be issued (i) on the Closing Date in the ordinary course of business and to replace or provide credit support for any letter of credit, bank guarantee and/or surety, customs, performance or similar bond of the Borrower and its subsidiaries or any of their Affiliates and/or to replace cash collateral posted by any of the foregoing Persons and (ii) after the Closing Date, for general corporate purposes of the Borrower and its subsidiaries and any other purpose not prohibited by the terms of the Loan Documents.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Covenant to Guarantee Obligations and Provide Security.</w:t>
      </w:r>
    </w:p>
    <w:p>
      <w:pPr>
        <w:spacing w:after="0" w:line="175" w:lineRule="exact"/>
        <w:rPr>
          <w:sz w:val="20"/>
          <w:szCs w:val="20"/>
          <w:color w:val="auto"/>
        </w:rPr>
      </w:pPr>
    </w:p>
    <w:p>
      <w:pPr>
        <w:jc w:val="both"/>
        <w:ind w:firstLine="656"/>
        <w:spacing w:after="0" w:line="212" w:lineRule="auto"/>
        <w:tabs>
          <w:tab w:leader="none" w:pos="128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 the formation or acquisition after the Closing Date of any Restricted Subsidiary, (ii) the designation of any Unrestricted Subsidiary as a Restricted Subsidiary or (iii) any Restricted Subsidiary that was an Excluded Subsidiary ceasing to be an Excluded Subsidiary, on or before the date on which a Compliance Certificate is required to be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for the Fiscal Quarter in which the relevant formation, acquisition, designation or cessation occurred (or such longer period as the Administrative Agent may reasonably agree), the Borrower shall (A) cause such Restricted Subsidiary (other than any Excluded Subsidiary) to comply with the requirements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“Collateral and Guarantee Requirement” and (B) upon the reasonable request of the Administrative Agent, which request may not be made unless the Consolidated Total Assets of the relevant Restricted Subsidiary constitutes more than 10% of the Consolidated Total Assets of the Borrower and its Restricted Subsidiaries, taken as a whole, cause the relevant Restricted Subsidiary (other than any Excluded Subsidiary) to deliver to the Administrative Agent a signed copy of a customary opinion of counsel for such Restricted Subsidiary, addressed to the Administrative Agent, the Issuing Banks and the Lenders.</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14" w:lineRule="auto"/>
        <w:tabs>
          <w:tab w:leader="none" w:pos="128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Borrower may, in its sole discretion, elect to cause any Restricted Subsidiary and/or Parent Company (any such Person, a “</w:t>
      </w:r>
      <w:r>
        <w:rPr>
          <w:rFonts w:ascii="Times New Roman" w:cs="Times New Roman" w:eastAsia="Times New Roman" w:hAnsi="Times New Roman"/>
          <w:sz w:val="20"/>
          <w:szCs w:val="20"/>
          <w:u w:val="single" w:color="auto"/>
          <w:color w:val="auto"/>
        </w:rPr>
        <w:t>Discretionary Guarantor</w:t>
      </w:r>
      <w:r>
        <w:rPr>
          <w:rFonts w:ascii="Times New Roman" w:cs="Times New Roman" w:eastAsia="Times New Roman" w:hAnsi="Times New Roman"/>
          <w:sz w:val="20"/>
          <w:szCs w:val="20"/>
          <w:color w:val="auto"/>
        </w:rPr>
        <w:t xml:space="preserve">”) that is not otherwise required to be a Subsidiary Guarantor to provide a Loan Guaranty by causing such Person to execute a Joinder Agreement, and any such Person shall constitute a Loan Party and a Guarantor for all purposes hereunder; it being understood and agreed that such Person shall grant a security interest in such categories of assets pursuant to such documentation as the Borrower and the Administrative Agent may reasonably agree;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any Discretionary Guarantor that is a Foreign Subsidiary, the jurisdiction of such person is reasonably satisfactory to the Administrative Agent and (ii) the Administrative Agent shall have received at least two Business Days prior to such person becoming a Guarantor, all documentation and other information in respect of such person required under applicable “know your customer” and anti-money laundering rules and regulations (including the USA Patriot Act).</w:t>
      </w:r>
    </w:p>
    <w:p>
      <w:pPr>
        <w:spacing w:after="0" w:line="15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it is understood and agreed that: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grant extensions of time (including after the expiration of any relevant period, which may apply retroactively) for the creation and perfection of security interests in, or obtaining of legal opinions or other deliverables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4" w:name="page245"/>
    <w:bookmarkEnd w:id="244"/>
    <w:p>
      <w:pPr>
        <w:ind w:left="660" w:right="20"/>
        <w:spacing w:after="0"/>
        <w:rPr>
          <w:sz w:val="20"/>
          <w:szCs w:val="20"/>
          <w:color w:val="auto"/>
        </w:rPr>
      </w:pPr>
      <w:r>
        <w:rPr>
          <w:rFonts w:ascii="Times New Roman" w:cs="Times New Roman" w:eastAsia="Times New Roman" w:hAnsi="Times New Roman"/>
          <w:sz w:val="20"/>
          <w:szCs w:val="20"/>
          <w:color w:val="auto"/>
        </w:rPr>
        <w:t>particular assets or the provision of any Loan Guaranty by any Restricted Subsidiary, and each Lender hereby consents to any such extension of time;</w:t>
      </w:r>
    </w:p>
    <w:p>
      <w:pPr>
        <w:spacing w:after="0" w:line="148" w:lineRule="exact"/>
        <w:rPr>
          <w:sz w:val="20"/>
          <w:szCs w:val="20"/>
          <w:color w:val="auto"/>
        </w:rPr>
      </w:pPr>
    </w:p>
    <w:p>
      <w:pPr>
        <w:jc w:val="both"/>
        <w:ind w:left="660" w:firstLine="644"/>
        <w:spacing w:after="0" w:line="230" w:lineRule="auto"/>
        <w:tabs>
          <w:tab w:leader="none" w:pos="1955"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required to be granted from time to time pursuant to the definition of “Collateral and Guarantee Requirement” and/or any action requested in connection therewith shall be subject to the exceptions and limitations set forth in this Agreement and the Collateral Documents;</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perfection by control shall not be required with respect to assets requiring perfection through control agreements or other control arrangements, including Deposit Accounts, securities accounts and commodities accounts (other than control of</w:t>
      </w:r>
    </w:p>
    <w:p>
      <w:pPr>
        <w:spacing w:after="0" w:line="1" w:lineRule="exact"/>
        <w:rPr>
          <w:rFonts w:ascii="Times New Roman" w:cs="Times New Roman" w:eastAsia="Times New Roman" w:hAnsi="Times New Roman"/>
          <w:sz w:val="20"/>
          <w:szCs w:val="20"/>
          <w:color w:val="auto"/>
        </w:rPr>
      </w:pPr>
    </w:p>
    <w:p>
      <w:pPr>
        <w:ind w:left="980" w:hanging="324"/>
        <w:spacing w:after="0" w:line="197" w:lineRule="auto"/>
        <w:tabs>
          <w:tab w:leader="none" w:pos="9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pledged Capital Stock of the Borrower or any material first tier Restricted Subsidiary that is a Wholly-Owned Subsidiary and/or</w:t>
      </w:r>
    </w:p>
    <w:p>
      <w:pPr>
        <w:ind w:left="980" w:hanging="324"/>
        <w:spacing w:after="0" w:line="211" w:lineRule="auto"/>
        <w:tabs>
          <w:tab w:leader="none" w:pos="98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Debt Instrument owing from any Person that is not a Loan Party, in each case, to the extent the same otherwise</w:t>
      </w:r>
    </w:p>
    <w:p>
      <w:pPr>
        <w:ind w:left="660"/>
        <w:spacing w:after="0"/>
        <w:rPr>
          <w:sz w:val="20"/>
          <w:szCs w:val="20"/>
          <w:color w:val="auto"/>
        </w:rPr>
      </w:pPr>
      <w:r>
        <w:rPr>
          <w:rFonts w:ascii="Times New Roman" w:cs="Times New Roman" w:eastAsia="Times New Roman" w:hAnsi="Times New Roman"/>
          <w:sz w:val="20"/>
          <w:szCs w:val="20"/>
          <w:color w:val="auto"/>
        </w:rPr>
        <w:t>constitute Collateral);</w:t>
      </w:r>
    </w:p>
    <w:p>
      <w:pPr>
        <w:spacing w:after="0" w:line="167" w:lineRule="exact"/>
        <w:rPr>
          <w:sz w:val="20"/>
          <w:szCs w:val="20"/>
          <w:color w:val="auto"/>
        </w:rPr>
      </w:pPr>
    </w:p>
    <w:p>
      <w:pPr>
        <w:ind w:left="660" w:firstLine="644"/>
        <w:spacing w:after="0" w:line="233" w:lineRule="auto"/>
        <w:tabs>
          <w:tab w:leader="none" w:pos="194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be required to seek any landlord lien waiver, bailee letter, estoppel, warehouseman waiver or other collateral access or similar letter or agreement;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(other than any Discretionary Guarantor that is organized under the laws of a jurisdiction outside of the US) will be required to (A) take any action to grant or perfect a security interest in any asset located outside of the US or (B) execute any security agreement, pledge agreement, mortgage, deed, charge or other collateral document governed by the laws of any jurisdiction other than the US, any state thereof or the District of Columbia; it being understood and agreed that no Loan Party (including any Discretionary Guarantor) will be required to take any action to perfect a security interest in the Collateral in any jurisdiction other than the jurisdiction in which such Loan Party is organized (other than with respect to the required pledge of the Capital Stock of any Discretionary Guarantor that is not organized under the laws of the United States or any state thereof, the jurisdiction of organization of such Discretionary Guarantor);</w:t>
      </w:r>
    </w:p>
    <w:p>
      <w:pPr>
        <w:spacing w:after="0" w:line="162"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(A) the Collateral include any Excluded Asset or (B) any Excluded Subsidiary be required to become a Subsidiary Guarantor;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below, no action shall be required to perfect any Lien with respect to (A) any vehicle or other asset subject to a certificate of title, (B) any Letter-of-Credit Right, (C) the Capital Stock of any Immaterial Subsidiary (other than any Immaterial Subsidiary that is a Loan Party), (D) the Capital Stock of any Person that is not a subsidiary, which Person, if a subsidiary, would constitute an Immaterial Subsidiary and/or (E) any aircraft, in each case, except to the extent that a security interest therein can be perfected by filing a Form UCC-1 (or similar) financing statement under the UCC (without the requirement to list a “VIN” or similar number);</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 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5" w:name="page246"/>
    <w:bookmarkEnd w:id="245"/>
    <w:p>
      <w:pPr>
        <w:ind w:left="660"/>
        <w:spacing w:after="0"/>
        <w:rPr>
          <w:sz w:val="20"/>
          <w:szCs w:val="20"/>
          <w:color w:val="auto"/>
        </w:rPr>
      </w:pPr>
      <w:r>
        <w:rPr>
          <w:rFonts w:ascii="Times New Roman" w:cs="Times New Roman" w:eastAsia="Times New Roman" w:hAnsi="Times New Roman"/>
          <w:sz w:val="20"/>
          <w:szCs w:val="20"/>
          <w:color w:val="auto"/>
        </w:rPr>
        <w:t>deemed effective under the UCC or other applicable Requirement of Law notwithstanding the relevant prohibition, violation or termination right;</w:t>
      </w:r>
    </w:p>
    <w:p>
      <w:pPr>
        <w:spacing w:after="0" w:line="148" w:lineRule="exact"/>
        <w:rPr>
          <w:sz w:val="20"/>
          <w:szCs w:val="20"/>
          <w:color w:val="auto"/>
        </w:rPr>
      </w:pPr>
    </w:p>
    <w:p>
      <w:pPr>
        <w:jc w:val="both"/>
        <w:ind w:left="660" w:firstLine="644"/>
        <w:spacing w:after="0" w:line="230" w:lineRule="auto"/>
        <w:tabs>
          <w:tab w:leader="none" w:pos="1945"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Loan Party shall be required to perfect a Lien in any asset to the extent the perfection of a security interest in such asset would be prohibited under any applicable Requirement of Law and (B) it is understood and agreed, for the avoidance of doubt, that no Loan Party shall be required to comply with the Federal Assignment of Claims Act or any similar statute;</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Joinder Agreement, any Collateral Document and/or any other Loan Document executed by any Restricted Subsidiary that is required to become (or otherwise becomes) a Loan Party pursuant to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5"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secured amount is disproportionate to the cost of such fees, taxes and duties;</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7"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require the taking of a Lien on, or require the perfection of any Lien granted in, any asset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and the Administrative Agent;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49"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Discretionary Guarantor that is organized under the laws of a jurisdiction outside the US, no Loan Party shall be required, and the Administrative Agent shall not be authorized, to perfect any security interest by means other than (A) filings pursuant to the Uniform Commercial Code in the office of the secretary of state (or similar central filing office) of any Loan Party’s jurisdiction of organization, (B) filings with the US federal government offices with respect to IP Rights as expressly required by the Security Agreement (to the extent a security interest can be perfected by such filings), or (C) delivery to the Administrative Agent, for its possession (subject to the terms of any applicable Intercreditor Agreement), of any Collateral consisting of pledged Capital Stock held by any Loan Party in the Borrower or any Restricted Subsidiary that is a Wholly-Owned Subsidiary and/or any Material Debt Instrument issued to the Borrower or another Loan Party, in each case, to the extent required by the Security Agreement; and</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8"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Collateral Document executed and delivered after the Closing Date will impose any commercial obligation on any Loan Party or contain any representation, warranty or undertaking that is not required for the creation and/or perfection of a security interest in the relevant asset and (B) to the extent the subject matter of any representation, warranty or undertaking in any Collateral Document executed and delivered after the Closing Date is the same as any representation, warranty or covenant in the Credit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w:t>
      </w:r>
    </w:p>
    <w:p>
      <w:pPr>
        <w:spacing w:after="0" w:line="164"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for the avoidance of doubt that the Borrower may elect to join any Domestic Subsidiary that is not required to be or become a Subsidiary Guarantor solely because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0"/>
          <w:szCs w:val="20"/>
          <w:color w:val="auto"/>
        </w:rPr>
        <w:t>Restricted Subsidiary is an Immaterial Subsidiary without (i) the consent of the Administrative Agent or (ii) delivery of an opinion of counsel.</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[Reserved].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tab/>
        <w:t>Further Assurances. Promptly upon request of the Administrative Agent and subject to the limitations described in</w:t>
      </w:r>
    </w:p>
    <w:p>
      <w:pPr>
        <w:spacing w:after="0"/>
        <w:rPr>
          <w:sz w:val="20"/>
          <w:szCs w:val="20"/>
          <w:color w:val="auto"/>
        </w:rPr>
      </w:pPr>
      <w:r>
        <w:rPr>
          <w:rFonts w:ascii="Times New Roman" w:cs="Times New Roman" w:eastAsia="Times New Roman" w:hAnsi="Times New Roman"/>
          <w:sz w:val="20"/>
          <w:szCs w:val="20"/>
          <w:color w:val="auto"/>
        </w:rPr>
        <w:t>Section 5.12:</w:t>
      </w:r>
    </w:p>
    <w:p>
      <w:pPr>
        <w:spacing w:after="0" w:line="153" w:lineRule="exact"/>
        <w:rPr>
          <w:sz w:val="20"/>
          <w:szCs w:val="20"/>
          <w:color w:val="auto"/>
        </w:rPr>
      </w:pPr>
    </w:p>
    <w:p>
      <w:pPr>
        <w:jc w:val="both"/>
        <w:ind w:firstLine="656"/>
        <w:spacing w:after="0" w:line="220" w:lineRule="auto"/>
        <w:tabs>
          <w:tab w:leader="none" w:pos="128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other Loan Party to, execute any and all further documents, financing statements, agreements, instruments, notices and acknowledgments and take all such further actions (including the filing and recordation of financing statements and/or amendments thereto and other documents), that may be required under any applicable Requirement of Law and which the Administrative Agent may reasonably request to ensure the creation, perfection and priority of the Liens created or intended to be created under the Collateral Documents, all at the expense of the relevant Loan Parties; and</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as the Administrative Agent may reasonably request from time to time in order to ensure the creation, perfection and priority of the Liens created or intended to be created under the Collateral Documents.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15. Post-Closing Covenant. Take the actions required by Schedule 5.15 in each case within the time periods specified therein (or, in each case, such longer period to which the Administrative Agent may reasonably agree).</w:t>
      </w:r>
    </w:p>
    <w:p>
      <w:pPr>
        <w:spacing w:after="0" w:line="14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16.</w:t>
        <w:tab/>
        <w:t>Transactions with Affiliates. The Borrower shall, and shall cause its Restricted Subsidiaries to, consummate any</w:t>
      </w:r>
    </w:p>
    <w:p>
      <w:pPr>
        <w:spacing w:after="0" w:line="204" w:lineRule="auto"/>
        <w:rPr>
          <w:sz w:val="20"/>
          <w:szCs w:val="20"/>
          <w:color w:val="auto"/>
        </w:rPr>
      </w:pPr>
      <w:r>
        <w:rPr>
          <w:rFonts w:ascii="Times New Roman" w:cs="Times New Roman" w:eastAsia="Times New Roman" w:hAnsi="Times New Roman"/>
          <w:sz w:val="20"/>
          <w:szCs w:val="20"/>
          <w:color w:val="auto"/>
        </w:rPr>
        <w:t>transaction with any Affiliate thereof that involves payment in excess of the greater of $12,000,000 and 20% of Consolidated Adjusted EBITDA as of the last day of the most recently ended Test Period, on terms that are at least as favorable (as determined by the Borrower in</w:t>
      </w:r>
    </w:p>
    <w:p>
      <w:pPr>
        <w:spacing w:after="0" w:line="223" w:lineRule="auto"/>
        <w:rPr>
          <w:sz w:val="20"/>
          <w:szCs w:val="20"/>
          <w:color w:val="auto"/>
        </w:rPr>
      </w:pPr>
      <w:r>
        <w:rPr>
          <w:rFonts w:ascii="Times New Roman" w:cs="Times New Roman" w:eastAsia="Times New Roman" w:hAnsi="Times New Roman"/>
          <w:sz w:val="19"/>
          <w:szCs w:val="19"/>
          <w:color w:val="auto"/>
        </w:rPr>
        <w:t>good faith at the time of the execution of the definitive agreement relating thereto) to the Borrower or such Restricted Subsidiary, as the case</w:t>
      </w:r>
    </w:p>
    <w:p>
      <w:pPr>
        <w:spacing w:after="0" w:line="215" w:lineRule="auto"/>
        <w:rPr>
          <w:sz w:val="20"/>
          <w:szCs w:val="20"/>
          <w:color w:val="auto"/>
        </w:rPr>
      </w:pPr>
      <w:r>
        <w:rPr>
          <w:rFonts w:ascii="Times New Roman" w:cs="Times New Roman" w:eastAsia="Times New Roman" w:hAnsi="Times New Roman"/>
          <w:sz w:val="19"/>
          <w:szCs w:val="19"/>
          <w:color w:val="auto"/>
        </w:rPr>
        <w:t>may be, as those that might be obtained at the time in a comparable arm’s-length transaction from a Person who is not an Affiliate (or, if in the good faith judgment of Borrower, there is no comparable transaction on the basis of which to make the comparison described above, such</w:t>
      </w:r>
    </w:p>
    <w:p>
      <w:pPr>
        <w:spacing w:after="0" w:line="228" w:lineRule="auto"/>
        <w:rPr>
          <w:sz w:val="20"/>
          <w:szCs w:val="20"/>
          <w:color w:val="auto"/>
        </w:rPr>
      </w:pPr>
      <w:r>
        <w:rPr>
          <w:rFonts w:ascii="Times New Roman" w:cs="Times New Roman" w:eastAsia="Times New Roman" w:hAnsi="Times New Roman"/>
          <w:sz w:val="20"/>
          <w:szCs w:val="20"/>
          <w:color w:val="auto"/>
        </w:rPr>
        <w:t>transaction is fair to the Borrower or its applicable Restricted Subsidiary from a financial point of view); provided that the foregoing requirement shall not apply to:</w:t>
      </w:r>
    </w:p>
    <w:p>
      <w:pPr>
        <w:spacing w:after="0" w:line="149" w:lineRule="exact"/>
        <w:rPr>
          <w:sz w:val="20"/>
          <w:szCs w:val="20"/>
          <w:color w:val="auto"/>
        </w:rPr>
      </w:pPr>
    </w:p>
    <w:p>
      <w:pPr>
        <w:jc w:val="both"/>
        <w:ind w:firstLine="656"/>
        <w:spacing w:after="0" w:line="215" w:lineRule="auto"/>
        <w:tabs>
          <w:tab w:leader="none" w:pos="12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between or among Holdings, the Borrower and/or one or more Restricted Subsidiaries (or any entity that becomes a Restricted Subsidiary as a result of such transaction) to the extent permitted or not restricted by this Agreement (it being understood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not permit any Restricted Subsidiary that is not a Wholly-Owned Subsidiary to make a distribution to, or repurchase of its Capital Stock from, any Affiliate (other than Holdings, the Borrower and/or one or more Restricted Subsidiaries) to the extent the share of the foregoing made or paid to Holdings, the Borrower or any of the Restricted Subsidiaries is not at least pro rata to the percentage of such class of Capital Stock in such Restricted Subsidiary that is not a Wholly-Owned Subsidiary owned by the Borrower and its other Restricted Subsidiaries);</w:t>
      </w:r>
    </w:p>
    <w:p>
      <w:pPr>
        <w:spacing w:after="0" w:line="16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collective bargaining, employment or severance agreement or compensatory (including profit sharing) arrangement (including salary or guaranteed payment and bonuses) entered into by the Borrower or any of its Restricted Subsidiaries with their respective current or former officers, directors, members of management, managers, employees, consultants or independent contractors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0"/>
          <w:szCs w:val="20"/>
          <w:color w:val="auto"/>
        </w:rPr>
        <w:t>those of any Parent Company, (ii) any subscription agreement or similar agreement pertaining to the repurchase of Capital Stock pursuant to</w:t>
      </w:r>
    </w:p>
    <w:p>
      <w:pPr>
        <w:spacing w:after="0" w:line="215" w:lineRule="auto"/>
        <w:rPr>
          <w:sz w:val="20"/>
          <w:szCs w:val="20"/>
          <w:color w:val="auto"/>
        </w:rPr>
      </w:pPr>
      <w:r>
        <w:rPr>
          <w:rFonts w:ascii="Times New Roman" w:cs="Times New Roman" w:eastAsia="Times New Roman" w:hAnsi="Times New Roman"/>
          <w:sz w:val="19"/>
          <w:szCs w:val="19"/>
          <w:color w:val="auto"/>
        </w:rPr>
        <w:t>put/call rights or similar rights with current or former officers, directors, members of management, managers, employees, consultants or independent contractors and (iii) any transaction pursuant to any employee compensation, benefit plan, stock option plan or arrangement, any</w:t>
      </w:r>
    </w:p>
    <w:p>
      <w:pPr>
        <w:spacing w:after="0" w:line="228" w:lineRule="auto"/>
        <w:rPr>
          <w:sz w:val="20"/>
          <w:szCs w:val="20"/>
          <w:color w:val="auto"/>
        </w:rPr>
      </w:pPr>
      <w:r>
        <w:rPr>
          <w:rFonts w:ascii="Times New Roman" w:cs="Times New Roman" w:eastAsia="Times New Roman" w:hAnsi="Times New Roman"/>
          <w:sz w:val="20"/>
          <w:szCs w:val="20"/>
          <w:color w:val="auto"/>
        </w:rPr>
        <w:t>health, disability or similar insurance plan which covers current or former officers, directors, members of management, managers, employees, consultants or independent contractors or any employment contract or arrangement;</w:t>
      </w:r>
    </w:p>
    <w:p>
      <w:pPr>
        <w:spacing w:after="0" w:line="149" w:lineRule="exact"/>
        <w:rPr>
          <w:sz w:val="20"/>
          <w:szCs w:val="20"/>
          <w:color w:val="auto"/>
        </w:rPr>
      </w:pPr>
    </w:p>
    <w:p>
      <w:pPr>
        <w:ind w:firstLine="656"/>
        <w:spacing w:after="0"/>
        <w:tabs>
          <w:tab w:leader="none" w:pos="128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transactions permitted by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(ii) issuances of Capital Stock, equity contributions and issuances and incurrences of Indebtedness not otherwise restricted by this Agreement;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w:t>
      </w:r>
    </w:p>
    <w:p>
      <w:pPr>
        <w:spacing w:after="0" w:line="160" w:lineRule="exact"/>
        <w:rPr>
          <w:rFonts w:ascii="Times New Roman" w:cs="Times New Roman" w:eastAsia="Times New Roman" w:hAnsi="Times New Roman"/>
          <w:sz w:val="20"/>
          <w:szCs w:val="20"/>
          <w:color w:val="auto"/>
        </w:rPr>
      </w:pPr>
    </w:p>
    <w:p>
      <w:pPr>
        <w:jc w:val="both"/>
        <w:ind w:firstLine="656"/>
        <w:spacing w:after="0" w:line="214" w:lineRule="auto"/>
        <w:tabs>
          <w:tab w:leader="none" w:pos="1291"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then exists or would result therefrom, the payment of management, monitoring, consulting, transaction, oversight, advisory and similar fees to any Investor in an amount not to exceed the greater of $1,500,000 and 2% of Consolidated Adjusted EBITDA per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fees may continue to accrue during the</w:t>
      </w:r>
    </w:p>
    <w:p>
      <w:pPr>
        <w:spacing w:after="0" w:line="198" w:lineRule="auto"/>
        <w:rPr>
          <w:sz w:val="20"/>
          <w:szCs w:val="20"/>
          <w:color w:val="auto"/>
        </w:rPr>
      </w:pPr>
      <w:r>
        <w:rPr>
          <w:rFonts w:ascii="Times New Roman" w:cs="Times New Roman" w:eastAsia="Times New Roman" w:hAnsi="Times New Roman"/>
          <w:sz w:val="20"/>
          <w:szCs w:val="20"/>
          <w:color w:val="auto"/>
        </w:rPr>
        <w:t>pendency of any such Event of Default and shall become payable upon the waiver, termination or cure of the relevant Event of Default and</w:t>
      </w:r>
    </w:p>
    <w:p>
      <w:pPr>
        <w:jc w:val="both"/>
        <w:ind w:firstLine="8"/>
        <w:spacing w:after="0" w:line="223" w:lineRule="auto"/>
        <w:tabs>
          <w:tab w:leader="none" w:pos="29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or reimbursement of all indemnification obligations and expenses owed to any Investor and any of their respective directors, officers, members of management, managers, employees and consultants,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whether currently due or paid in respect of accruals from prior periods;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and the payment of Transaction Costs;</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compensation to, and reimbursement of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that are otherwise permitted (or not restricted)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148" w:lineRule="exact"/>
        <w:rPr>
          <w:rFonts w:ascii="Times New Roman" w:cs="Times New Roman" w:eastAsia="Times New Roman" w:hAnsi="Times New Roman"/>
          <w:sz w:val="20"/>
          <w:szCs w:val="20"/>
          <w:color w:val="auto"/>
        </w:rPr>
      </w:pPr>
    </w:p>
    <w:p>
      <w:pPr>
        <w:jc w:val="both"/>
        <w:ind w:firstLine="656"/>
        <w:spacing w:after="0" w:line="214" w:lineRule="auto"/>
        <w:tabs>
          <w:tab w:leader="none" w:pos="1294"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joint ventures, purchasers or sellers of goods or services or providers of employees or other labor entered into in the ordinary course of business, which are (i) fair to the Borrower and/or its applicable Restricted Subsidiary in the good faith determination of the Borrower (or its board of directors (or similar governing body) or senior management) or</w:t>
      </w:r>
    </w:p>
    <w:p>
      <w:pPr>
        <w:ind w:left="300" w:hanging="292"/>
        <w:spacing w:after="0"/>
        <w:tabs>
          <w:tab w:leader="none" w:pos="3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terms at least as favorable as might reasonably be obtained from a Person other than an Affiliate;</w:t>
      </w:r>
    </w:p>
    <w:p>
      <w:pPr>
        <w:spacing w:after="0" w:line="166" w:lineRule="exact"/>
        <w:rPr>
          <w:rFonts w:ascii="Times New Roman" w:cs="Times New Roman" w:eastAsia="Times New Roman" w:hAnsi="Times New Roman"/>
          <w:sz w:val="20"/>
          <w:szCs w:val="20"/>
          <w:color w:val="auto"/>
        </w:rPr>
      </w:pPr>
    </w:p>
    <w:p>
      <w:pPr>
        <w:ind w:firstLine="656"/>
        <w:spacing w:after="0"/>
        <w:tabs>
          <w:tab w:leader="none" w:pos="128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out-of-pocket costs and expenses related to registration rights and customary indemnities provided to shareholders under any shareholder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48" w:name="page249"/>
    <w:bookmarkEnd w:id="248"/>
    <w:p>
      <w:pPr>
        <w:ind w:firstLine="656"/>
        <w:spacing w:after="0"/>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purchase by Holdings of the Capital Stock of (or contribution to the equity capital of) the Borrower and (ii) any intercompany loan made by the Borrower to Holdings or any Restricted Subsidiary;</w:t>
      </w:r>
    </w:p>
    <w:p>
      <w:pPr>
        <w:spacing w:after="0" w:line="14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either (i) are no less favorable to the Borrower or the applicable Restricted Subsidiary than might be obtained at the time in a comparable arm’s length transaction from a Person who is not an Affiliate or (ii) fair to the Borrower or the relevant Restricted Subsidiary from a financial point of view;</w:t>
      </w:r>
    </w:p>
    <w:p>
      <w:pPr>
        <w:spacing w:after="0" w:line="15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 governing body) or a majority of the disinterested members of the board of directors (or similar governing body) of the Borrower in good faith;</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right="20" w:firstLine="656"/>
        <w:spacing w:after="0" w:line="233" w:lineRule="auto"/>
        <w:tabs>
          <w:tab w:leader="none" w:pos="1291"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pursuant to any tax sharing agreement or arrangement (whether written or as a matter of practice), that would otherwise be permitted as a distribution pursuant to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9"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of any IP Rights in the ordinary course of business to permit the commercial use of IP Rights between or among the Borrower and/or any subsidiary and/or Affiliate thereof;</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series of related transactions) approved by a majority of the disinterested directors (or members of any similar governing body) of the Borrower or an applicable Parent Company;</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any Investor or Parent Company in securities or Indebtedness of the Borrower and/or any Guarantor;</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not otherwise prohibited by this Agreement for the purpose of (i) forming a holding company and/or (ii) reincorporating the Borrower in a new jurisdiction;</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to or from, and/or any transaction with, any joint venture or Unrestricted Subsidiary in the ordinary course of business or consistent with past practice, industry practice or industry norms (including, any cash management activity related thereto);</w:t>
      </w:r>
    </w:p>
    <w:p>
      <w:pPr>
        <w:spacing w:after="0" w:line="161"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existence and performance of any agreement and/or transaction with any Unrestricted Subsidiary that was entered into or consummated prior to the designation of such subsidiary as an Unrestricted Subsidiary to the extent that such agreement or transaction was permitted at the time that it was entered into with such Restricted Subsidiary and/or (ii) any transaction entered into by any Unrestricted Subsidiary with any Affiliate prior to the re-designation of such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transaction was not entered into in contemplation of such designation or re-designation, as applicable;</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contribution (whether or not in exchange for the issuance of additional Capital Stock) or loan to any Unrestricted Subsidiary that is not otherwise prohibited by this Agreement;</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pursuant to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56"/>
        <w:spacing w:after="0" w:line="226" w:lineRule="auto"/>
        <w:tabs>
          <w:tab w:leader="none" w:pos="129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investment by any Affiliate in the Loans, loans, securities or other Indebtedness of the Borrower and/or any Restricted Subsidiary (and payment of reasonable out-of-pocket expenses incurred by such Affiliates in connection therewith) so long as the investment is being offered by the Borrower or such Restricted Subsidiary generally to other investors on the same or more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9"/>
          <w:szCs w:val="19"/>
          <w:color w:val="auto"/>
        </w:rPr>
        <w:t>and (ii) payments and/or distributions to Affiliates in respect of the Loans, loans, securities or Indebtedness of the Borrower or any Restricted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Subsidiary in connection with the securities and other Indebtedness contemplated in the foregoing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or that were acquired from Persons other than the Borrower and the Restricted Subsidiaries, in each case, in accordance with the terms of such securities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and/or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any transaction with any portfolio company of any Investor in the ordinary course of business.</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17. Fiscal Year. In the event that the Borrower elects to change the end date of its Fiscal Year to a date other than as described in the definition of “Fiscal Year”, the Borrower shall notify the Administrative Agent in writing, in which case the Borrower and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will, and are hereby authorized to, make any adjustment to this Agreement that is necessary to reflect such change in Fiscal Year.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tab/>
        <w:t>Nature of Business. From and after the Closing Date, the Borrower shall, and shall cause its Restricted Subsidiaries</w:t>
      </w:r>
    </w:p>
    <w:p>
      <w:pPr>
        <w:jc w:val="both"/>
        <w:spacing w:after="0" w:line="215" w:lineRule="auto"/>
        <w:rPr>
          <w:sz w:val="20"/>
          <w:szCs w:val="20"/>
          <w:color w:val="auto"/>
        </w:rPr>
      </w:pPr>
      <w:r>
        <w:rPr>
          <w:rFonts w:ascii="Times New Roman" w:cs="Times New Roman" w:eastAsia="Times New Roman" w:hAnsi="Times New Roman"/>
          <w:sz w:val="19"/>
          <w:szCs w:val="19"/>
          <w:color w:val="auto"/>
        </w:rPr>
        <w:t>to, ensure that any material line of business in which it engages is either (a) a business engaged in by the Borrower and/or any Restricted Subsidiary on the Closing Date or a similar, incidental, complementary, ancillary or related business or (b) another line of business to which,</w:t>
      </w:r>
    </w:p>
    <w:p>
      <w:pPr>
        <w:spacing w:after="0"/>
        <w:rPr>
          <w:sz w:val="20"/>
          <w:szCs w:val="20"/>
          <w:color w:val="auto"/>
        </w:rPr>
      </w:pPr>
      <w:r>
        <w:rPr>
          <w:rFonts w:ascii="Times New Roman" w:cs="Times New Roman" w:eastAsia="Times New Roman" w:hAnsi="Times New Roman"/>
          <w:sz w:val="20"/>
          <w:szCs w:val="20"/>
          <w:color w:val="auto"/>
        </w:rPr>
        <w:t>in the case of this clause (b), the Administrative Agent provides its consent.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19. Amendments or Waivers of Organizational Documents. The Borrower shall, and shall cause each Subsidiary Guarantor to, ensure that it does not, without the consent of the Administrative Agent, amend or modify its respective Organizational</w:t>
      </w:r>
    </w:p>
    <w:p>
      <w:pPr>
        <w:spacing w:after="0" w:line="224" w:lineRule="auto"/>
        <w:rPr>
          <w:sz w:val="20"/>
          <w:szCs w:val="20"/>
          <w:color w:val="auto"/>
        </w:rPr>
      </w:pPr>
      <w:r>
        <w:rPr>
          <w:rFonts w:ascii="Times New Roman" w:cs="Times New Roman" w:eastAsia="Times New Roman" w:hAnsi="Times New Roman"/>
          <w:sz w:val="19"/>
          <w:szCs w:val="19"/>
          <w:color w:val="auto"/>
        </w:rPr>
        <w:t>Documents in a manner that is, in the good faith determination of the Borrower, materially adverse to the Lenders (in their capacity as such),</w:t>
      </w:r>
    </w:p>
    <w:p>
      <w:pPr>
        <w:spacing w:after="0" w:line="221" w:lineRule="auto"/>
        <w:rPr>
          <w:sz w:val="20"/>
          <w:szCs w:val="20"/>
          <w:color w:val="auto"/>
        </w:rPr>
      </w:pPr>
      <w:r>
        <w:rPr>
          <w:rFonts w:ascii="Times New Roman" w:cs="Times New Roman" w:eastAsia="Times New Roman" w:hAnsi="Times New Roman"/>
          <w:sz w:val="20"/>
          <w:szCs w:val="20"/>
          <w:color w:val="auto"/>
        </w:rPr>
        <w:t>taken as a whole; provided that, for the avoidance of doubt, it is understood and agreed that the Borrower and/or any Subsidiary Guarantor may make any change to its organizational form and/or consummate any other transaction that is permitted under Section 6.07.</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6</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From the Closing Date until the Termination Date, the Borrower (and, solely in the case of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Holdings) covenants and agrees with the Lenders, the Issuing Banks and the Administrative Agent that:</w:t>
      </w:r>
    </w:p>
    <w:p>
      <w:pPr>
        <w:spacing w:after="0" w:line="16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SECTION 1. Indebtedness. The Borrower shall not, nor shall it permit any of its Restricted Subsidiaries to create, incur, assume or otherwise become or remain liable with respect to any Indebtedness, except:</w:t>
      </w:r>
    </w:p>
    <w:p>
      <w:pPr>
        <w:spacing w:after="0" w:line="148" w:lineRule="exact"/>
        <w:rPr>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w:t>
      </w:r>
    </w:p>
    <w:p>
      <w:pPr>
        <w:spacing w:after="0" w:line="18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Borrower to Holdings and/or any Restricted Subsidiary and/or (ii) any Restricted Subsidiary to Holdings, the Borrower and/or any 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 the case of any Indebtedness of any Restricted Subsidiary that is not a Loan Party owing to the Borrower or any Restricted Subsidiary that is a Loan Party, the related Investment is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and (B) any Indebtedness of any Loan Party owing to any Restricted Subsidiary that is not a Loan Party incurred in reliance on this clause (b) must be unsecured and expressly subordinated to the Obligations of such Loan Party on terms that are reasonably acceptable to the Administrative Agent (it being understood that the subordination terms set forth in the Intercompany Note are acceptable to the Administrative Agent);</w:t>
      </w:r>
    </w:p>
    <w:p>
      <w:pPr>
        <w:spacing w:after="0" w:line="1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arising from any agreement providing for indemnification, adjustment of purchase price or similar obligations (including contingent earn-out obligations) incurred in connection with the Transactions, any Disposition permitted hereunder, any acquisition or other Investment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0"/>
          <w:szCs w:val="20"/>
          <w:color w:val="auto"/>
        </w:rPr>
        <w:t>hereunder or consummated prior to the Closing Date or any other purchase of assets or Capital Stock or any other Investment, and (ii)</w:t>
      </w:r>
    </w:p>
    <w:p>
      <w:pPr>
        <w:spacing w:after="0" w:line="221" w:lineRule="auto"/>
        <w:rPr>
          <w:sz w:val="20"/>
          <w:szCs w:val="20"/>
          <w:color w:val="auto"/>
        </w:rPr>
      </w:pPr>
      <w:r>
        <w:rPr>
          <w:rFonts w:ascii="Times New Roman" w:cs="Times New Roman" w:eastAsia="Times New Roman" w:hAnsi="Times New Roman"/>
          <w:sz w:val="20"/>
          <w:szCs w:val="20"/>
          <w:color w:val="auto"/>
        </w:rPr>
        <w:t>Indebtedness arising from guaranties, letters of credit, bank guaranties, surety bonds, performance bonds or similar instruments securing the performance of the Borrower or any such Restricted Subsidiary pursuant to any such agreement;</w:t>
      </w:r>
    </w:p>
    <w:p>
      <w:pPr>
        <w:spacing w:after="0" w:line="162" w:lineRule="exact"/>
        <w:rPr>
          <w:sz w:val="20"/>
          <w:szCs w:val="20"/>
          <w:color w:val="auto"/>
        </w:rPr>
      </w:pPr>
    </w:p>
    <w:p>
      <w:pPr>
        <w:jc w:val="both"/>
        <w:ind w:firstLine="656"/>
        <w:spacing w:after="0" w:line="220" w:lineRule="auto"/>
        <w:tabs>
          <w:tab w:leader="none" w:pos="128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or pursuant to self-insurance obligations and not in connection with debt for borrowed money and (ii) in respect of letters of credit, bank guaranties, surety bonds, performance bonds or similar instruments to support any of the foregoing items;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in respect of Banking Services and/or otherwise in connection with Cash management and Deposit Accounts;</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guaranties by the Borrower and/or any Restricted Subsidiary of the obligations of suppliers, customers, franchisees and licensees in the ordinary course of business in an aggregate outstanding principal amount not to exceed the greater of $2,500,000 and 5% of Consolidated Adjusted EBITDA,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162"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other obligations not prohibited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Guarantee by any Loan Party of the obligations of any non-Loan Party, the related Investment is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existing, or pursuant to commitments existing,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or commitment having an outstanding principal amount in excess of $5,000,000 shall be described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Restricted Subsidiaries that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such Indebtedness shall not exceed the greater of $30,000,000 and 50% of Consolidated Adjusted EBITDA as of the last day of the most recently ended Test Period;</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consisting of obligations owing under incentive, supply, license or similar agreements entered into in the ordinary course of business;</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with respect to Capital Leases and purchase money Indebtedness in an aggregate outstanding principal amount not to exceed the greater of $30,000,000 and 50% of Consolidated Adjusted EBITDA as of the last day of the most recently ended Test Period;</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Restricted Subsidiary and/or Indebtedness assumed in connection with any acquisition or similar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(A) existed at the time such Person became a Restricted Subsidiary or the assets subject to such Indebtedness were acquired and (B) was not created or incurred in contemplation of the applicable acquisition or similar Investment,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51" w:name="page252"/>
    <w:bookmarkEnd w:id="251"/>
    <w:p>
      <w:pPr>
        <w:ind w:left="1960" w:hanging="656"/>
        <w:spacing w:after="0"/>
        <w:tabs>
          <w:tab w:leader="none" w:pos="196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Indebtedness on a Pro Forma Basis, 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refinancing, refunding or replacing any Indebtedness permitted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w:t>
      </w:r>
    </w:p>
    <w:p>
      <w:pPr>
        <w:spacing w:after="0" w:line="6" w:lineRule="exact"/>
        <w:rPr>
          <w:rFonts w:ascii="Times New Roman" w:cs="Times New Roman" w:eastAsia="Times New Roman" w:hAnsi="Times New Roman"/>
          <w:sz w:val="19"/>
          <w:szCs w:val="19"/>
          <w:color w:val="auto"/>
        </w:rPr>
      </w:pPr>
    </w:p>
    <w:p>
      <w:pPr>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(in any case, including any refinancing Indebtedness incurred in respect thereof,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and any subsequent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48" w:lineRule="exact"/>
        <w:rPr>
          <w:rFonts w:ascii="Times New Roman" w:cs="Times New Roman" w:eastAsia="Times New Roman" w:hAnsi="Times New Roman"/>
          <w:sz w:val="19"/>
          <w:szCs w:val="19"/>
          <w:color w:val="auto"/>
        </w:rPr>
      </w:pPr>
    </w:p>
    <w:p>
      <w:pPr>
        <w:jc w:val="both"/>
        <w:ind w:left="660" w:firstLine="644"/>
        <w:spacing w:after="0" w:line="212" w:lineRule="auto"/>
        <w:tabs>
          <w:tab w:leader="none" w:pos="1954"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 additional Indebtedness referenced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satisfies the other applicable requirements of this definition (with additional amounts incurred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660" w:firstLine="644"/>
        <w:spacing w:after="0" w:line="225" w:lineRule="auto"/>
        <w:tabs>
          <w:tab w:leader="none" w:pos="1955"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Refinancing Indebtedness with respect to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(z)</w:t>
      </w:r>
      <w:r>
        <w:rPr>
          <w:rFonts w:ascii="Times New Roman" w:cs="Times New Roman" w:eastAsia="Times New Roman" w:hAnsi="Times New Roman"/>
          <w:sz w:val="19"/>
          <w:szCs w:val="19"/>
          <w:color w:val="auto"/>
        </w:rPr>
        <w:t xml:space="preserve"> (other than Customary Bridge Loans), such Indebtedness (other than revolving indebtedness) has (A) a final maturity equal to or later than (and, in the case of revolving Indebtedness, does not require mandatory commitment reductions, if any, prior to) the Latest Term Loan Maturity Date and</w:t>
      </w:r>
    </w:p>
    <w:p>
      <w:pPr>
        <w:spacing w:after="0" w:line="1" w:lineRule="exact"/>
        <w:rPr>
          <w:rFonts w:ascii="Times New Roman" w:cs="Times New Roman" w:eastAsia="Times New Roman" w:hAnsi="Times New Roman"/>
          <w:sz w:val="19"/>
          <w:szCs w:val="19"/>
          <w:color w:val="auto"/>
        </w:rPr>
      </w:pPr>
    </w:p>
    <w:p>
      <w:pPr>
        <w:ind w:left="660" w:hanging="4"/>
        <w:spacing w:after="0" w:line="221" w:lineRule="auto"/>
        <w:tabs>
          <w:tab w:leader="none" w:pos="105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Weighted Average Life to Maturity equal to or greater than the Weighted Average Life to Maturity of the outstanding Term Loans at such time;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6"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any Replacement Debt with an original principal amount in excess of the Threshold Amount (excluding, to the extent applicable, pricing (including any “MFN” provision), fees, premiums, rate floors, optional prepayment, funding discounts, maturity, amortization schedule, redemption terms or subordination terms and security), are not, taken as a whole (as determined by the Borrower in good faith), more favorable to the lenders providing such Indebtedness than those applicable to the Indebtedness being refinanced, refunded or replaced (other than (A) any covenant or any other provision applicable only to periods after the applicable maturity date of the debt then being refinanced as of such date, (B) any covenant or provision which constitutes a then-current market term for the applicable type of Indebtedness (as determined by the Borrower in good faith), or (C) any covenant or other provision which is conformed (or added) to the Loan Documents for the benefit of the Lenders or, as applicable, the Administrative Agent, pursuant to an amendment to this Agreement effectuated in reliance on </w:t>
      </w:r>
      <w:r>
        <w:rPr>
          <w:rFonts w:ascii="Times New Roman" w:cs="Times New Roman" w:eastAsia="Times New Roman" w:hAnsi="Times New Roman"/>
          <w:sz w:val="20"/>
          <w:szCs w:val="20"/>
          <w:u w:val="single" w:color="auto"/>
          <w:color w:val="auto"/>
        </w:rPr>
        <w:t>Section 9.02(d)(ii)</w:t>
      </w:r>
      <w:r>
        <w:rPr>
          <w:rFonts w:ascii="Times New Roman" w:cs="Times New Roman" w:eastAsia="Times New Roman" w:hAnsi="Times New Roman"/>
          <w:sz w:val="20"/>
          <w:szCs w:val="20"/>
          <w:color w:val="auto"/>
        </w:rPr>
        <w:t xml:space="preserve">, it being understood and agreed that if any Refinancing Indebtedness that constitutes a revolving facility includes a financial covenant, the requirement set forth in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satisfied if such financial covenant is added to this Agreement for the benefit of the then-existing Revolving Facility but not any then-existing Term Facility);</w:t>
      </w:r>
    </w:p>
    <w:p>
      <w:pPr>
        <w:spacing w:after="0" w:line="16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Refinancing Indebtedness with respect to Indebtedness permitted under </w:t>
      </w:r>
      <w:r>
        <w:rPr>
          <w:rFonts w:ascii="Times New Roman" w:cs="Times New Roman" w:eastAsia="Times New Roman" w:hAnsi="Times New Roman"/>
          <w:sz w:val="19"/>
          <w:szCs w:val="19"/>
          <w:u w:val="single" w:color="auto"/>
          <w:color w:val="auto"/>
        </w:rPr>
        <w:t>clauses (j)</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(n)(ii)(C)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w:t>
      </w:r>
    </w:p>
    <w:p>
      <w:pPr>
        <w:spacing w:after="0" w:line="6" w:lineRule="exact"/>
        <w:rPr>
          <w:rFonts w:ascii="Times New Roman" w:cs="Times New Roman" w:eastAsia="Times New Roman" w:hAnsi="Times New Roman"/>
          <w:sz w:val="19"/>
          <w:szCs w:val="19"/>
          <w:color w:val="auto"/>
        </w:rPr>
      </w:pPr>
    </w:p>
    <w:p>
      <w:pPr>
        <w:jc w:val="both"/>
        <w:ind w:left="66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(solely as it relates to the Fixed Incremental Amount),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(solely as it relates to the Fixed Incremental Amount),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the incurrence thereof shall be without duplication of any amount outstanding in reliance on the relevant clause such that the amount available under the relevant clause shall be reduced by the amount of the applicable Refinancing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2" w:name="page253"/>
    <w:bookmarkEnd w:id="252"/>
    <w:p>
      <w:pPr>
        <w:jc w:val="both"/>
        <w:ind w:left="660" w:firstLine="644"/>
        <w:spacing w:after="0" w:line="210" w:lineRule="auto"/>
        <w:tabs>
          <w:tab w:leader="none" w:pos="194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Refinancing Indebtedness constituting Replacement Debt, (A)(1) such Indebtedness, if secured, is secured only by Permitted Liens at the time of such refinancing, refunding or replacement (it being understood that secured Indebtedness may be refinanced with unsecured Indebtedness), and (2) either (x)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determined by the Borrower in good faith), taken as a whole, to the Lenders than those (I) applicable to the Liens securing the Indebtedness being refinanced, refunded or replaced, taken as a whole, or (II) set forth in any relevant Intercreditor Agreement or</w:t>
      </w:r>
    </w:p>
    <w:p>
      <w:pPr>
        <w:spacing w:after="0" w:line="3" w:lineRule="exact"/>
        <w:rPr>
          <w:rFonts w:ascii="Times New Roman" w:cs="Times New Roman" w:eastAsia="Times New Roman" w:hAnsi="Times New Roman"/>
          <w:sz w:val="20"/>
          <w:szCs w:val="20"/>
          <w:color w:val="auto"/>
        </w:rPr>
      </w:pPr>
    </w:p>
    <w:p>
      <w:pPr>
        <w:jc w:val="both"/>
        <w:ind w:left="660" w:hanging="4"/>
        <w:spacing w:after="0" w:line="208" w:lineRule="auto"/>
        <w:tabs>
          <w:tab w:leader="none" w:pos="94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defeasance, redemption, repurchase, repayment, refinancing or other acquisition or retirement of such Indebtedness is permitted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6.04(b)(i)</w:t>
      </w:r>
      <w:r>
        <w:rPr>
          <w:rFonts w:ascii="Times New Roman" w:cs="Times New Roman" w:eastAsia="Times New Roman" w:hAnsi="Times New Roman"/>
          <w:sz w:val="20"/>
          <w:szCs w:val="20"/>
          <w:color w:val="auto"/>
        </w:rPr>
        <w:t xml:space="preserve">); it being understood that the proceeds of any such Refinancing Indebtedness may be funded into Escrow pursuant to customary (in the good faith determination of the Borrower) escrow arrangements, (B) such Indebtedness is incurred by the obligor or obligors in respect of the Indebtedness being refinanced, refunded or replaced, except to the extent otherwise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(it being understood that (1)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(2) the obligation of any Person with respect to any Escrow arrangement into which the proceeds of such Refinancing Indebtedness are deposited shall not constitute a Guarantee)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6.04(b)(i)</w:t>
      </w:r>
      <w:r>
        <w:rPr>
          <w:rFonts w:ascii="Times New Roman" w:cs="Times New Roman" w:eastAsia="Times New Roman" w:hAnsi="Times New Roman"/>
          <w:sz w:val="20"/>
          <w:szCs w:val="20"/>
          <w:color w:val="auto"/>
        </w:rPr>
        <w:t>); and</w:t>
      </w:r>
    </w:p>
    <w:p>
      <w:pPr>
        <w:spacing w:after="0" w:line="164" w:lineRule="exact"/>
        <w:rPr>
          <w:sz w:val="20"/>
          <w:szCs w:val="20"/>
          <w:color w:val="auto"/>
        </w:rPr>
      </w:pPr>
    </w:p>
    <w:p>
      <w:pPr>
        <w:jc w:val="both"/>
        <w:ind w:left="660" w:firstLine="644"/>
        <w:spacing w:after="0" w:line="224" w:lineRule="auto"/>
        <w:tabs>
          <w:tab w:leader="none" w:pos="1945"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Refinancing Indebtedness constituting Replacement Debt, (A) such Indebtedness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in right of payment and secured by the Collateral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basis with respect to the remaining Obligations hereunder, or is unsecured;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Refinancing Indebtedness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with respect to the Collateral shall be subject to an Intercreditor Agreement, (B) if the Indebtedness being refinanced, refunded or replaced is secured, it is not secured by any asset that does not constitute Collateral; it being understood that the proceeds of any such Refinancing Indebtedness may be funded into Escrow pursuant to customary (in the good faith determination of the Borrower) escrow arrangements, (C) if the Indebtedness being refinanced, refunded or replaced is Guaranteed, it shall not be Guaranteed by any Restricted Subsidiary of the Borrower other than one or more Loan Parties (it being understood that the obligation of any Person with respect to any Escrow arrangement into which the proceeds of such Refinancing Indebtedness are deposited shall not constitute a Guarantee) and (D) such Refinancing Indebtedness is incurred under (and pursuant to) documentation other than this Agreement;</w:t>
      </w:r>
    </w:p>
    <w:p>
      <w:pPr>
        <w:spacing w:after="0" w:line="165"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9"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under any Derivative Transaction not entered into for speculative purposes;</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3" w:name="page254"/>
    <w:bookmarkEnd w:id="253"/>
    <w:p>
      <w:pPr>
        <w:ind w:firstLine="656"/>
        <w:spacing w:after="0"/>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in an aggregate outstanding principal amount not to exceed the greater of $30,000,000 and 50% of Consolidated Adjusted EBITDA as of the last day of the most recently ended Test Period;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(any Indebtedness incurred pursuant to this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so long as: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thereto, including the application of the proceeds thereof (in each case, without “netting” the cash proceeds of the applicable Indebtedness being incurred), the outstanding principal thereof does not exceed an amount equal to the sum of (x) the Fixed Incremental Amount, (y)(A) the Incremental Prepayment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amount of any Incremental Facility and/or Incremental Equivalent Debt incurred or implemented in reliance on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“Incremental Cap” and (z) an additional unlimited amount, so long as, in the case of this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on a Pro Forma Basis:</w:t>
      </w:r>
    </w:p>
    <w:p>
      <w:pPr>
        <w:spacing w:after="0" w:line="160" w:lineRule="exact"/>
        <w:rPr>
          <w:rFonts w:ascii="Times New Roman" w:cs="Times New Roman" w:eastAsia="Times New Roman" w:hAnsi="Times New Roman"/>
          <w:sz w:val="20"/>
          <w:szCs w:val="20"/>
          <w:color w:val="auto"/>
        </w:rPr>
      </w:pPr>
    </w:p>
    <w:p>
      <w:pPr>
        <w:ind w:left="1300" w:firstLine="652"/>
        <w:spacing w:after="0" w:line="233" w:lineRule="auto"/>
        <w:tabs>
          <w:tab w:leader="none" w:pos="2587"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constitutes First Lien Debt, the First Lien Rent Adjusted Net Leverage Ratio does not exceed 4.50:1.00;</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constitutes Junior Lien Debt, the Secured Rent Adjusted Net Leverage Ratio does not exceed 5.00:1.00; or</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is not secured by the Collateral or is unsecured, the Total Rent Adjusted Net Leverage Ratio does not exceed 5.25:1.00;</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principal amount of Ratio Debt incurred in reliance on this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by Restricted Subsidiaries that are not Loan Parties shall not, at any time, exceed an amount equal to the greater of $30,000,000 and 50% of Consolidated Adjusted EBITDA as of the last day of the most recently ended Test Period; and</w:t>
      </w:r>
    </w:p>
    <w:p>
      <w:pPr>
        <w:spacing w:after="0" w:line="146"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is issued or incurred by any Loan Party and consists of third party Indebtedness for borrowed money (other than Indebtedness among the Borrower and its Restricted Subsidiaries):</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87"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such Indebtedness (other than revolving loans) is no earlier than the Latest Term Loan Maturity Date on the date of the issuance or incurrence thereof,</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applicable to such Indebtedness (other than revolving loans) is no shorter than the Weighted Average Life to Maturity of the then-existing Term Loans, and</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constitutes revolving loans, such Indebtedness will not mature or have any mandatory commitment reductions prior to the Initial Revolving Credit Maturity Date;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incurred in connection with any Sale and Lease-Back Transaction permitted 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Equivalent Debt;</w:t>
      </w:r>
    </w:p>
    <w:p>
      <w:pPr>
        <w:spacing w:after="0" w:line="175" w:lineRule="exact"/>
        <w:rPr>
          <w:sz w:val="20"/>
          <w:szCs w:val="20"/>
          <w:color w:val="auto"/>
        </w:rPr>
      </w:pPr>
    </w:p>
    <w:p>
      <w:pPr>
        <w:jc w:val="both"/>
        <w:ind w:firstLine="656"/>
        <w:spacing w:after="0" w:line="230" w:lineRule="auto"/>
        <w:tabs>
          <w:tab w:leader="none" w:pos="1293"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obligations in respect of letters of credit, bank guarantees, bankers’ acceptances, surety bonds, performance bonds or similar instruments with respect to such Indebtedness) incurred by the Borrower and/or any Restricted Subsidiary in respect of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0"/>
          <w:szCs w:val="20"/>
          <w:color w:val="auto"/>
        </w:rPr>
        <w:t>compensation claims, unemployment, property, casualty or liability insurance (including premiums related thereto) or self-insurance, other</w:t>
      </w:r>
    </w:p>
    <w:p>
      <w:pPr>
        <w:spacing w:after="0" w:line="221" w:lineRule="auto"/>
        <w:rPr>
          <w:sz w:val="20"/>
          <w:szCs w:val="20"/>
          <w:color w:val="auto"/>
        </w:rPr>
      </w:pPr>
      <w:r>
        <w:rPr>
          <w:rFonts w:ascii="Times New Roman" w:cs="Times New Roman" w:eastAsia="Times New Roman" w:hAnsi="Times New Roman"/>
          <w:sz w:val="20"/>
          <w:szCs w:val="20"/>
          <w:color w:val="auto"/>
        </w:rPr>
        <w:t>reimbursement-type obligations regarding workers’ compensation claims, other types of social security, pension obligations, vacation pay or health, disability or other employee benefits;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Indebtedness representing (i) deferred compensation to current or former directors, officers, employees, members of</w:t>
      </w:r>
    </w:p>
    <w:p>
      <w:pPr>
        <w:spacing w:after="0" w:line="204" w:lineRule="auto"/>
        <w:rPr>
          <w:sz w:val="20"/>
          <w:szCs w:val="20"/>
          <w:color w:val="auto"/>
        </w:rPr>
      </w:pPr>
      <w:r>
        <w:rPr>
          <w:rFonts w:ascii="Times New Roman" w:cs="Times New Roman" w:eastAsia="Times New Roman" w:hAnsi="Times New Roman"/>
          <w:sz w:val="20"/>
          <w:szCs w:val="20"/>
          <w:color w:val="auto"/>
        </w:rPr>
        <w:t>management, managers and consultants of any Parent Company, the Borrower or any Subsidiary in the ordinary course of business and (ii) deferred compensation or other similar arrangements in connection with the Transactions, any acquisition or any other Investment permitted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hereby;</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(ac) Indebtedness of the Borrower and/or any Restricted Subsidiary in respect of any letter of credit or bank guarantee issued in favor of any Issuing Bank or the Swingline Lender to support any Defaulting Lender’s participation in Letters of Credit issued, or Swingline</w:t>
      </w:r>
    </w:p>
    <w:p>
      <w:pPr>
        <w:spacing w:after="0"/>
        <w:rPr>
          <w:sz w:val="20"/>
          <w:szCs w:val="20"/>
          <w:color w:val="auto"/>
        </w:rPr>
      </w:pPr>
      <w:r>
        <w:rPr>
          <w:rFonts w:ascii="Times New Roman" w:cs="Times New Roman" w:eastAsia="Times New Roman" w:hAnsi="Times New Roman"/>
          <w:sz w:val="20"/>
          <w:szCs w:val="20"/>
          <w:color w:val="auto"/>
        </w:rPr>
        <w:t>Loans made, hereunder;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(ad)</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Indebtedness of the Borrower or any Restricted Subsidiary supported by any Letter of Credit or any other letter of credit,</w:t>
            </w:r>
          </w:p>
        </w:tc>
      </w:tr>
      <w:tr>
        <w:trPr>
          <w:trHeight w:val="203"/>
        </w:trPr>
        <w:tc>
          <w:tcPr>
            <w:tcW w:w="1124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auto"/>
              </w:rPr>
              <w:t>bank guarantee or similar instrument permitted by this Section 6.01;</w:t>
            </w: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41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(ae)</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unfunded pension fund and other employee benefit plan obligations and liabilities incurred by the Borrower and/or any</w:t>
            </w:r>
          </w:p>
        </w:tc>
      </w:tr>
    </w:tbl>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Restricted Subsidiary in the ordinary course of business to the extent that the unfunded amounts would not otherwise cause an Event of Default under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(af) customer deposits and advance payments received in the ordinary course of business from customers for goods and services purchased in the ordinary course of business;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(ag)</w:t>
      </w:r>
      <w:r>
        <w:rPr>
          <w:sz w:val="20"/>
          <w:szCs w:val="20"/>
          <w:color w:val="auto"/>
        </w:rPr>
        <w:tab/>
      </w:r>
      <w:r>
        <w:rPr>
          <w:rFonts w:ascii="Times New Roman" w:cs="Times New Roman" w:eastAsia="Times New Roman" w:hAnsi="Times New Roman"/>
          <w:sz w:val="19"/>
          <w:szCs w:val="19"/>
          <w:color w:val="auto"/>
        </w:rPr>
        <w:t>without duplication of any other Indebtedness, all premiums (if any), interest (including post-petition interest and payment in</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kind interest), accretion or amortization of original issue discount, fees, expenses and charges with respect to Indebtedness of the Borrower and/or any Restricted Subsidiary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(ah)</w:t>
      </w:r>
      <w:r>
        <w:rPr>
          <w:sz w:val="20"/>
          <w:szCs w:val="20"/>
          <w:color w:val="auto"/>
        </w:rPr>
        <w:tab/>
      </w:r>
      <w:r>
        <w:rPr>
          <w:rFonts w:ascii="Times New Roman" w:cs="Times New Roman" w:eastAsia="Times New Roman" w:hAnsi="Times New Roman"/>
          <w:sz w:val="20"/>
          <w:szCs w:val="20"/>
          <w:color w:val="auto"/>
        </w:rPr>
        <w:t>Indebtedness in respect of Commercial Letters of Credit (and reimbursement obligations with respect thereto) in an</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aggregate outstanding principal amount not to exceed the greater of $6,000,000 and 10% of Consolidated Adjusted EBITDA as of the last day of the most recently ended Test Period;</w:t>
      </w:r>
    </w:p>
    <w:p>
      <w:pPr>
        <w:sectPr>
          <w:pgSz w:w="11900" w:h="16838" w:orient="portrait"/>
          <w:cols w:equalWidth="0" w:num="1">
            <w:col w:w="11240"/>
          </w:cols>
          <w:pgMar w:left="320" w:top="1394"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ectPr>
          <w:pgSz w:w="11900" w:h="16838" w:orient="portrait"/>
          <w:cols w:equalWidth="0" w:num="2">
            <w:col w:w="940" w:space="360"/>
            <w:col w:w="9940"/>
          </w:cols>
          <w:pgMar w:left="320" w:top="1394" w:right="339" w:bottom="1440" w:gutter="0" w:footer="0" w:header="0"/>
          <w:type w:val="continuous"/>
        </w:sect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(aj) Indebtedness owed on a short-term basis to banks and other financial institutions in the ordinary course of business to manage cash balances; and</w:t>
      </w:r>
    </w:p>
    <w:p>
      <w:pPr>
        <w:sectPr>
          <w:pgSz w:w="11900" w:h="16838" w:orient="portrait"/>
          <w:cols w:equalWidth="0" w:num="1">
            <w:col w:w="11240"/>
          </w:cols>
          <w:pgMar w:left="320" w:top="1394" w:right="339" w:bottom="1440" w:gutter="0" w:footer="0" w:header="0"/>
          <w:type w:val="continuous"/>
        </w:sectPr>
      </w:pP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(ak)</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in respect of earn-outs, seller notes or similar deferred purchase price obligations incurred in connection with</w:t>
      </w:r>
    </w:p>
    <w:p>
      <w:pPr>
        <w:spacing w:after="0" w:line="1" w:lineRule="exact"/>
        <w:rPr>
          <w:sz w:val="20"/>
          <w:szCs w:val="20"/>
          <w:color w:val="auto"/>
        </w:rPr>
      </w:pPr>
    </w:p>
    <w:p>
      <w:pPr>
        <w:sectPr>
          <w:pgSz w:w="11900" w:h="16838" w:orient="portrait"/>
          <w:cols w:equalWidth="0" w:num="2">
            <w:col w:w="980" w:space="320"/>
            <w:col w:w="9940"/>
          </w:cols>
          <w:pgMar w:left="320" w:top="139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any acquisition or other Investment permitted hereby.</w:t>
      </w:r>
    </w:p>
    <w:p>
      <w:pPr>
        <w:spacing w:after="0" w:line="14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SECTION 2. Liens.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149" w:lineRule="exact"/>
        <w:rPr>
          <w:sz w:val="20"/>
          <w:szCs w:val="20"/>
          <w:color w:val="auto"/>
        </w:rPr>
      </w:pPr>
    </w:p>
    <w:p>
      <w:pPr>
        <w:ind w:left="1300" w:hanging="644"/>
        <w:spacing w:after="0"/>
        <w:tabs>
          <w:tab w:leader="none" w:pos="130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Secured Obligations;</w:t>
      </w:r>
    </w:p>
    <w:p>
      <w:pPr>
        <w:spacing w:after="0" w:line="188"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which (i) are not then due, (ii) if due, are not at such time required to be paid pursuant to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(iii) are being contested in accordance with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and that are being contested in good faith by appropriate proceedings, so long as any reserves or other appropriate provisions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type w:val="continuous"/>
        </w:sectPr>
      </w:pPr>
    </w:p>
    <w:bookmarkStart w:id="255" w:name="page256"/>
    <w:bookmarkEnd w:id="255"/>
    <w:p>
      <w:pPr>
        <w:ind w:right="20"/>
        <w:spacing w:after="0"/>
        <w:rPr>
          <w:sz w:val="20"/>
          <w:szCs w:val="20"/>
          <w:color w:val="auto"/>
        </w:rPr>
      </w:pPr>
      <w:r>
        <w:rPr>
          <w:rFonts w:ascii="Times New Roman" w:cs="Times New Roman" w:eastAsia="Times New Roman" w:hAnsi="Times New Roman"/>
          <w:sz w:val="20"/>
          <w:szCs w:val="20"/>
          <w:color w:val="auto"/>
        </w:rPr>
        <w:t>GAAP have been made for any such contested amounts or (iii) for amounts with respect to which the failure to make payment would not reasonably be expected to have a Material Adverse Effect;</w:t>
      </w:r>
    </w:p>
    <w:p>
      <w:pPr>
        <w:spacing w:after="0" w:line="148" w:lineRule="exact"/>
        <w:rPr>
          <w:sz w:val="20"/>
          <w:szCs w:val="20"/>
          <w:color w:val="auto"/>
        </w:rPr>
      </w:pPr>
    </w:p>
    <w:p>
      <w:pPr>
        <w:jc w:val="both"/>
        <w:ind w:firstLine="656"/>
        <w:spacing w:after="0" w:line="215" w:lineRule="auto"/>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or arising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the Borrower and its subsidiaries or (B)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survey exceptions, easements, rights-of-way, restrictions, encroachments, servitudes for railways, sewers, drains, gas and oil and other pipelines, gas and water mains, electric light and power and telecommunication, telephone or telegraph or cable television conduits, poles, wires and cables,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 (iv) subordination of the interest of the lessee or sub-lessee under such lease to any restriction or encumbrance referred to in the preceding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solely on any Cash earnest money deposits and/or arising in connection with any escrow arrangement made by the Borrower and/or any of its Restricted Subsidiaries in connection with any letter of intent or purchase agreement with respect to any Investment permitted hereunder and (ii) consisting of (A) an agreement to Dispose of any property in a Disposition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and/or (B) the pledge of Cash as part of an escrow arrangement required in any Disposition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purported Liens evidenced by the filing of UCC financing statements or similar financing statements under applicable Requirements of Law relating solely to operating leases or consignment or bailee arrangements entered into in the ordinary course of business, (ii) Liens arising from precautionary UCC financing statements or similar filings and (iii) any Lien relating to the sale of accounts receivable for which a UCC financing statement or similar financing statement is required;</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(solely with respect to the permitted refinancing of (1) secured Indebtedness permitted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and (2) Indebtedness that is secured in reliance on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granting of the relevant Lien shall be without duplication of any Lien outstanding under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such that the amount available under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shall be reduced by the amount secured by the applicable Lien granted in reliance on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extends to any asset not covered by the Lien securing (or permitted to secure) the Indebtedness that is being refinanced (it being understood that individual financings of the type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provided by any lender may be cross-collateralized to other financings of such type provided by such lender or its affiliates),</w:t>
      </w:r>
    </w:p>
    <w:p>
      <w:pPr>
        <w:spacing w:after="0" w:line="6" w:lineRule="exact"/>
        <w:rPr>
          <w:sz w:val="20"/>
          <w:szCs w:val="20"/>
          <w:color w:val="auto"/>
        </w:rPr>
      </w:pPr>
    </w:p>
    <w:p>
      <w:pPr>
        <w:jc w:val="both"/>
        <w:ind w:firstLine="8"/>
        <w:spacing w:after="0" w:line="215" w:lineRule="auto"/>
        <w:tabs>
          <w:tab w:leader="none" w:pos="334"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w:t>
      </w:r>
    </w:p>
    <w:p>
      <w:pPr>
        <w:jc w:val="both"/>
        <w:ind w:firstLine="8"/>
        <w:spacing w:after="0" w:line="223" w:lineRule="auto"/>
        <w:tabs>
          <w:tab w:leader="none" w:pos="355"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another provision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no such Lien shall be senior in priority as compared to the Lien securing the Indebtedness being refinanced and (iv) subject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any such Lien may be subject to an Intercreditor Agreement to the extent the Lien securing the Indebtedness being refinanced was permitted to be subject to an Intercreditor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14" w:lineRule="auto"/>
        <w:tabs>
          <w:tab w:leader="none" w:pos="129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Closing Date and any modification, replacement, refinancing, renewal or extension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securing Indebtedness having an aggregate principal amount outstanding on the Closing Date in excess of $5,000,000 shall be described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 no such Lien extends to any additional property other than</w:t>
      </w:r>
    </w:p>
    <w:p>
      <w:pPr>
        <w:jc w:val="both"/>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(A) after-acquired property that is affixed or incorporated into the property covered by such Lien or financed by Indebtedness permitted under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and (B) proceeds and products thereof, replacements thereof, accessions or additions thereto and improvements thereon (it being understood that individual financings of the type permitted under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out of Sale and Lease-Back Transactions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provided by any lender may be cross-collateralized to other financings of such type provided by such lender or its affiliates);</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on the relevant acquired assets or on the Capital Stock and assets of the relevant newly acquired Restricted Subsidiary and/or any future subsidiary of such Restricted Subsidiary (including, for the avoidance of doubt, any after-acquired property of any such newly acquired subsidiary and/or any such subsidiary of such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(i) extends to or covers any other assets (other than the proceeds or products thereof, replacements thereof, accessions or additions thereto and improvements thereon) (it being understood that (A) individual financings of the type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provided by any lender may be cross collateralized to other financings of such type provided by such lender or its affiliates and (B) any such Lien may extend to after-acquired property of any such Person) or (ii) was created in contemplation of the applicable acquisition of assets or Capital Stock;</w:t>
      </w:r>
    </w:p>
    <w:p>
      <w:pPr>
        <w:spacing w:after="0" w:line="162"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4"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55"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0"/>
          <w:szCs w:val="20"/>
          <w:color w:val="auto"/>
        </w:rPr>
        <w:t>of such proceeds to finance such transaction and (vii) any general banking Lien over any bank account arising in the ordinary course of business;</w:t>
      </w:r>
    </w:p>
    <w:p>
      <w:pPr>
        <w:spacing w:after="0" w:line="148" w:lineRule="exact"/>
        <w:rPr>
          <w:sz w:val="20"/>
          <w:szCs w:val="20"/>
          <w:color w:val="auto"/>
        </w:rPr>
      </w:pPr>
    </w:p>
    <w:p>
      <w:pPr>
        <w:ind w:firstLine="656"/>
        <w:spacing w:after="0"/>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owned by, and/or Capital Stock of, Restricted Subsidiaries that are not Loan Parties (including Capital Stock owned by such Persons) securing Indebtedness of Restricted Subsidiaries that are not Loan Parties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1"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in reliance on, and subject to the provisions set forth in, </w:t>
      </w:r>
      <w:r>
        <w:rPr>
          <w:rFonts w:ascii="Times New Roman" w:cs="Times New Roman" w:eastAsia="Times New Roman" w:hAnsi="Times New Roman"/>
          <w:sz w:val="20"/>
          <w:szCs w:val="20"/>
          <w:u w:val="single" w:color="auto"/>
          <w:color w:val="auto"/>
        </w:rPr>
        <w:t>Sections 6.01(w)</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Lien that is granted on the Collateral in reliance on this </w:t>
      </w:r>
      <w:r>
        <w:rPr>
          <w:rFonts w:ascii="Times New Roman" w:cs="Times New Roman" w:eastAsia="Times New Roman" w:hAnsi="Times New Roman"/>
          <w:sz w:val="20"/>
          <w:szCs w:val="20"/>
          <w:u w:val="single" w:color="auto"/>
          <w:color w:val="auto"/>
        </w:rPr>
        <w:t>clause (s)</w:t>
      </w:r>
      <w:r>
        <w:rPr>
          <w:rFonts w:ascii="Times New Roman" w:cs="Times New Roman" w:eastAsia="Times New Roman" w:hAnsi="Times New Roman"/>
          <w:sz w:val="20"/>
          <w:szCs w:val="20"/>
          <w:color w:val="auto"/>
        </w:rPr>
        <w:t xml:space="preserve"> shall be subject to an Intercreditor Agreement unless, in the case of any Lien granted to secure Indebtedness incurred in reliance on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the holders of such Indebtedness and the Administrative Agent have not requested or required an intercreditor arrangement;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securing Indebtedness or other obligations in an aggregate principal amount at any time outstanding not to exceed the greater of $30,000,000 and 50% of Consolidated Adjusted EBITDA as of the last day of the most recently ended Test Period, in each case, subject, in the case of any Lien on the Collateral, at the request of the relevant lender, to an Intercreditor Agreement;</w:t>
      </w:r>
    </w:p>
    <w:p>
      <w:pPr>
        <w:spacing w:after="0" w:line="144" w:lineRule="exact"/>
        <w:rPr>
          <w:rFonts w:ascii="Times New Roman" w:cs="Times New Roman" w:eastAsia="Times New Roman" w:hAnsi="Times New Roman"/>
          <w:sz w:val="20"/>
          <w:szCs w:val="20"/>
          <w:color w:val="auto"/>
        </w:rPr>
      </w:pPr>
    </w:p>
    <w:p>
      <w:pPr>
        <w:jc w:val="both"/>
        <w:ind w:firstLine="656"/>
        <w:spacing w:after="0" w:line="232" w:lineRule="auto"/>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on assets securing judgments, awards, attachments and/or decrees and notices of </w:t>
      </w:r>
      <w:r>
        <w:rPr>
          <w:rFonts w:ascii="Times New Roman" w:cs="Times New Roman" w:eastAsia="Times New Roman" w:hAnsi="Times New Roman"/>
          <w:sz w:val="20"/>
          <w:szCs w:val="20"/>
          <w:i w:val="1"/>
          <w:iCs w:val="1"/>
          <w:color w:val="auto"/>
        </w:rPr>
        <w:t>lis pendens</w:t>
      </w:r>
      <w:r>
        <w:rPr>
          <w:rFonts w:ascii="Times New Roman" w:cs="Times New Roman" w:eastAsia="Times New Roman" w:hAnsi="Times New Roman"/>
          <w:sz w:val="20"/>
          <w:szCs w:val="20"/>
          <w:color w:val="auto"/>
        </w:rPr>
        <w:t xml:space="preserve"> and associated rights relating to litigation being contested in good faith not constituting an Event of Default under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and (ii) any pledge and/or deposit securing any settlement of litigation;</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leases, licenses, subleases or sublicenses (including with respect to IP Rights) in the ordinary course of business which do not secure any Indebtedness and (ii) ground leases in respect of real property on which facilities owned or leased by the Borrower or any of its subsidiaries are located;</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Securities that are the subject of repurchase agreements constituting Investments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arising out of such repurchase transaction;</w:t>
      </w:r>
    </w:p>
    <w:p>
      <w:pPr>
        <w:spacing w:after="0" w:line="147"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20"/>
          <w:szCs w:val="20"/>
          <w:u w:val="single" w:color="auto"/>
          <w:color w:val="auto"/>
        </w:rPr>
        <w:t>Sections 6.01(d)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(cc)</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60" w:lineRule="exact"/>
        <w:rPr>
          <w:sz w:val="20"/>
          <w:szCs w:val="20"/>
          <w:color w:val="auto"/>
        </w:rPr>
      </w:pPr>
    </w:p>
    <w:p>
      <w:pPr>
        <w:jc w:val="both"/>
        <w:ind w:firstLine="656"/>
        <w:spacing w:after="0" w:line="226" w:lineRule="auto"/>
        <w:tabs>
          <w:tab w:leader="none" w:pos="129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in favor of any Loan Party and/or (ii) granted by any non-Loan Party in favor of any Restricted Subsidiary that is not a Loan Party,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securing intercompany Indebtedness permitted (or not restricted) under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9" w:right="33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(ab)</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Liens on insurance policies and the proceeds thereof securing the financing of the premiums with respect thereto;</w:t>
      </w:r>
    </w:p>
    <w:p>
      <w:pPr>
        <w:spacing w:after="0" w:line="187" w:lineRule="exact"/>
        <w:rPr>
          <w:sz w:val="20"/>
          <w:szCs w:val="20"/>
          <w:color w:val="auto"/>
        </w:rPr>
      </w:pPr>
    </w:p>
    <w:p>
      <w:pPr>
        <w:sectPr>
          <w:pgSz w:w="11900" w:h="16838" w:orient="portrait"/>
          <w:cols w:equalWidth="0" w:num="2">
            <w:col w:w="980" w:space="320"/>
            <w:col w:w="9940"/>
          </w:cols>
          <w:pgMar w:left="320" w:top="1399"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 receipt of progress payments and advances from customers in the ordinary course of business to the extent the same</w:t>
      </w:r>
    </w:p>
    <w:p>
      <w:pPr>
        <w:spacing w:after="0" w:line="1" w:lineRule="exact"/>
        <w:rPr>
          <w:sz w:val="20"/>
          <w:szCs w:val="20"/>
          <w:color w:val="auto"/>
        </w:rPr>
      </w:pPr>
    </w:p>
    <w:p>
      <w:pPr>
        <w:sectPr>
          <w:pgSz w:w="11900" w:h="16838" w:orient="portrait"/>
          <w:cols w:equalWidth="0" w:num="2">
            <w:col w:w="960" w:space="340"/>
            <w:col w:w="9940"/>
          </w:cols>
          <w:pgMar w:left="320" w:top="1399" w:right="339" w:bottom="1440" w:gutter="0" w:footer="0" w:header="0"/>
          <w:type w:val="continuous"/>
        </w:sectPr>
      </w:pPr>
    </w:p>
    <w:p>
      <w:pPr>
        <w:spacing w:after="0" w:line="205" w:lineRule="auto"/>
        <w:rPr>
          <w:sz w:val="20"/>
          <w:szCs w:val="20"/>
          <w:color w:val="auto"/>
        </w:rPr>
      </w:pPr>
      <w:r>
        <w:rPr>
          <w:rFonts w:ascii="Times New Roman" w:cs="Times New Roman" w:eastAsia="Times New Roman" w:hAnsi="Times New Roman"/>
          <w:sz w:val="20"/>
          <w:szCs w:val="20"/>
          <w:color w:val="auto"/>
        </w:rPr>
        <w:t>creates a Lien on the related inventory and proceeds thereof and (ii) Liens on specific items of inventory or other goods and the proceeds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thereof securing the relevant Person’s obligations in respect of documentary letters of credit or banker’s acceptances issued or created for the account of such Person to facilitate the purchase, shipment or storage of such inventory or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type w:val="continuous"/>
        </w:sectPr>
      </w:pPr>
    </w:p>
    <w:bookmarkStart w:id="258" w:name="page259"/>
    <w:bookmarkEnd w:id="258"/>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w:t>
            </w:r>
          </w:p>
        </w:tc>
        <w:tc>
          <w:tcPr>
            <w:tcW w:w="101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Liens securing (i) obligations of the type described in Section 6.01(f) and/or (ii) obligations of the type described in Section</w:t>
            </w:r>
          </w:p>
        </w:tc>
      </w:tr>
      <w:tr>
        <w:trPr>
          <w:trHeight w:val="183"/>
        </w:trPr>
        <w:tc>
          <w:tcPr>
            <w:tcW w:w="11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6.01(s);</w:t>
            </w:r>
          </w:p>
        </w:tc>
        <w:tc>
          <w:tcPr>
            <w:tcW w:w="45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8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398"/>
        </w:trPr>
        <w:tc>
          <w:tcPr>
            <w:tcW w:w="560" w:type="dxa"/>
            <w:vAlign w:val="bottom"/>
            <w:tcBorders>
              <w:top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(ae)</w:t>
            </w:r>
          </w:p>
        </w:tc>
        <w:tc>
          <w:tcPr>
            <w:tcW w:w="101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(i) Liens on Capital Stock of (A) joint ventures securing capital contributions to, or obligations of, such Persons and/or (B)</w:t>
            </w:r>
          </w:p>
        </w:tc>
      </w:tr>
    </w:tbl>
    <w:p>
      <w:pPr>
        <w:jc w:val="both"/>
        <w:spacing w:after="0" w:line="228" w:lineRule="auto"/>
        <w:rPr>
          <w:sz w:val="20"/>
          <w:szCs w:val="20"/>
          <w:color w:val="auto"/>
        </w:rPr>
      </w:pPr>
      <w:r>
        <w:rPr>
          <w:rFonts w:ascii="Times New Roman" w:cs="Times New Roman" w:eastAsia="Times New Roman" w:hAnsi="Times New Roman"/>
          <w:sz w:val="20"/>
          <w:szCs w:val="20"/>
          <w:color w:val="auto"/>
        </w:rPr>
        <w:t>Unrestricted Subsidiaries and (ii) customary rights of first refusal and tag, drag and similar rights in joint venture agreements and agreements with respect to non-Wholly-Owned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(af)</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Liens on cash or Cash Equivalents arising in connection with the defeasance, discharge or redemption of Indebtedness;</w:t>
            </w: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(ag)</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Liens consisting of the prior rights of consignees and their lenders under consignment arrangements entered into in the</w:t>
            </w:r>
          </w:p>
        </w:tc>
      </w:tr>
      <w:tr>
        <w:trPr>
          <w:trHeight w:val="258"/>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ordinary course of business;</w:t>
            </w:r>
          </w:p>
        </w:tc>
      </w:tr>
      <w:tr>
        <w:trPr>
          <w:trHeight w:val="3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(ah)</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Liens securing obligations under Section 6.01(hh), in each case, subject, in the case of any Lien on the Collateral, at the</w:t>
            </w:r>
          </w:p>
        </w:tc>
      </w:tr>
      <w:tr>
        <w:trPr>
          <w:trHeight w:val="20"/>
        </w:trPr>
        <w:tc>
          <w:tcPr>
            <w:tcW w:w="404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52"/>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request of the relevant issuing bank, to an Intercreditor Agreement;</w:t>
            </w:r>
          </w:p>
        </w:tc>
        <w:tc>
          <w:tcPr>
            <w:tcW w:w="5880" w:type="dxa"/>
            <w:vAlign w:val="bottom"/>
          </w:tcPr>
          <w:p>
            <w:pPr>
              <w:spacing w:after="0"/>
              <w:rPr>
                <w:sz w:val="21"/>
                <w:szCs w:val="21"/>
                <w:color w:val="auto"/>
              </w:rPr>
            </w:pPr>
          </w:p>
        </w:tc>
      </w:tr>
      <w:tr>
        <w:trPr>
          <w:trHeight w:val="33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(ai)</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the Borrower or any of its Subsidiaries are</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located;</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80" w:type="dxa"/>
            <w:vAlign w:val="bottom"/>
          </w:tcPr>
          <w:p>
            <w:pPr>
              <w:spacing w:after="0"/>
              <w:rPr>
                <w:sz w:val="22"/>
                <w:szCs w:val="22"/>
                <w:color w:val="auto"/>
              </w:rPr>
            </w:pPr>
          </w:p>
        </w:tc>
      </w:tr>
      <w:tr>
        <w:trPr>
          <w:trHeight w:val="375"/>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(aj)</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Liens consisting of (i) any reservation, limitation, proviso and/or condition, if any, expressed in any original grant from the</w:t>
            </w:r>
          </w:p>
        </w:tc>
      </w:tr>
    </w:tbl>
    <w:p>
      <w:pPr>
        <w:jc w:val="both"/>
        <w:spacing w:after="0" w:line="221" w:lineRule="auto"/>
        <w:rPr>
          <w:sz w:val="20"/>
          <w:szCs w:val="20"/>
          <w:color w:val="auto"/>
        </w:rPr>
      </w:pPr>
      <w:r>
        <w:rPr>
          <w:rFonts w:ascii="Times New Roman" w:cs="Times New Roman" w:eastAsia="Times New Roman" w:hAnsi="Times New Roman"/>
          <w:sz w:val="20"/>
          <w:szCs w:val="20"/>
          <w:color w:val="auto"/>
        </w:rPr>
        <w:t>Crown of any real property or any interest therein and/or (ii) any right of expropriation, access, or user or any other right conferred or vested by statutes of Canada or any applicable province;</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(ak) Liens that do not secure Indebtedness for borrowed money and are customary in the operation of the business of the Borrower and its Restricted Subsidiaries;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(al)</w:t>
      </w:r>
      <w:r>
        <w:rPr>
          <w:sz w:val="20"/>
          <w:szCs w:val="20"/>
          <w:color w:val="auto"/>
        </w:rPr>
        <w:tab/>
      </w:r>
      <w:r>
        <w:rPr>
          <w:rFonts w:ascii="Times New Roman" w:cs="Times New Roman" w:eastAsia="Times New Roman" w:hAnsi="Times New Roman"/>
          <w:sz w:val="20"/>
          <w:szCs w:val="20"/>
          <w:color w:val="auto"/>
        </w:rPr>
        <w:t>Liens on specific items of inventory or other goods and the proceeds thereof securing the relevant Person’s obligations in</w:t>
      </w:r>
    </w:p>
    <w:p>
      <w:pPr>
        <w:spacing w:after="0" w:line="221" w:lineRule="auto"/>
        <w:rPr>
          <w:sz w:val="20"/>
          <w:szCs w:val="20"/>
          <w:color w:val="auto"/>
        </w:rPr>
      </w:pPr>
      <w:r>
        <w:rPr>
          <w:rFonts w:ascii="Times New Roman" w:cs="Times New Roman" w:eastAsia="Times New Roman" w:hAnsi="Times New Roman"/>
          <w:sz w:val="20"/>
          <w:szCs w:val="20"/>
          <w:color w:val="auto"/>
        </w:rPr>
        <w:t>respect of documentary letters of credit or banker’s acceptances issued or created for the account of such Person to facilitate the purchase, shipment or storage of such inventory or goods;</w:t>
      </w:r>
    </w:p>
    <w:p>
      <w:pPr>
        <w:sectPr>
          <w:pgSz w:w="11900" w:h="16838" w:orient="portrait"/>
          <w:cols w:equalWidth="0" w:num="1">
            <w:col w:w="11240"/>
          </w:cols>
          <w:pgMar w:left="320" w:top="138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 and</w:t>
      </w:r>
    </w:p>
    <w:p>
      <w:pPr>
        <w:spacing w:after="0" w:line="200" w:lineRule="exact"/>
        <w:rPr>
          <w:sz w:val="20"/>
          <w:szCs w:val="20"/>
          <w:color w:val="auto"/>
        </w:rPr>
      </w:pPr>
    </w:p>
    <w:p>
      <w:pPr>
        <w:sectPr>
          <w:pgSz w:w="11900" w:h="16838" w:orient="portrait"/>
          <w:cols w:equalWidth="0" w:num="2">
            <w:col w:w="1020" w:space="280"/>
            <w:col w:w="9940"/>
          </w:cols>
          <w:pgMar w:left="320" w:top="1381"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Liens arising in connection with escrow arrangements established in connection with the Transactions.</w:t>
      </w:r>
    </w:p>
    <w:p>
      <w:pPr>
        <w:spacing w:after="0" w:line="187" w:lineRule="exact"/>
        <w:rPr>
          <w:sz w:val="20"/>
          <w:szCs w:val="20"/>
          <w:color w:val="auto"/>
        </w:rPr>
      </w:pPr>
    </w:p>
    <w:p>
      <w:pPr>
        <w:sectPr>
          <w:pgSz w:w="11900" w:h="16838" w:orient="portrait"/>
          <w:cols w:equalWidth="0" w:num="2">
            <w:col w:w="980" w:space="320"/>
            <w:col w:w="9940"/>
          </w:cols>
          <w:pgMar w:left="320" w:top="1381" w:right="339" w:bottom="1440" w:gutter="0" w:footer="0" w:header="0"/>
          <w:type w:val="continuous"/>
        </w:sect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if the proceeds of any Indebtedness the Liens securing which are required or permitted to be subject to an Intercreditor Agreement are funded into Escrow, at the election of the Borrower, either (x)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relevant Intercreditor Agreement shall not be required to be entered into or become effective until the release and/or termination of the relevant Escrow arrangement, so long as, prior to such release and/or termination, the relevant Indebtedness is secured only by a Lien on such</w:t>
      </w:r>
    </w:p>
    <w:p>
      <w:pPr>
        <w:spacing w:after="0" w:line="228" w:lineRule="auto"/>
        <w:rPr>
          <w:sz w:val="20"/>
          <w:szCs w:val="20"/>
          <w:color w:val="auto"/>
        </w:rPr>
      </w:pPr>
      <w:r>
        <w:rPr>
          <w:rFonts w:ascii="Times New Roman" w:cs="Times New Roman" w:eastAsia="Times New Roman" w:hAnsi="Times New Roman"/>
          <w:sz w:val="20"/>
          <w:szCs w:val="20"/>
          <w:color w:val="auto"/>
        </w:rPr>
        <w:t>proceeds so funded into Escrow or (y) the property subject to the applicable Escrow arrangement is not required to be subject to the relevant Intercreditor Agreement.</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[Reserved].</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Restricted Payments; Restricted Debt Payments.</w:t>
      </w:r>
    </w:p>
    <w:p>
      <w:pPr>
        <w:spacing w:after="0" w:line="189" w:lineRule="exact"/>
        <w:rPr>
          <w:sz w:val="20"/>
          <w:szCs w:val="20"/>
          <w:color w:val="auto"/>
        </w:rPr>
      </w:pPr>
    </w:p>
    <w:p>
      <w:pPr>
        <w:ind w:left="1300" w:hanging="644"/>
        <w:spacing w:after="0"/>
        <w:tabs>
          <w:tab w:leader="none" w:pos="130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pay or make any Restricted Payment, except that:</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directly or indirectly, Restricted Payments to the extent necessary to permit any Parent</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66" w:lineRule="exact"/>
        <w:rPr>
          <w:rFonts w:ascii="Times New Roman" w:cs="Times New Roman" w:eastAsia="Times New Roman" w:hAnsi="Times New Roman"/>
          <w:sz w:val="20"/>
          <w:szCs w:val="20"/>
          <w:color w:val="auto"/>
        </w:rPr>
      </w:pPr>
    </w:p>
    <w:p>
      <w:pPr>
        <w:ind w:left="1300" w:right="20" w:firstLine="652"/>
        <w:spacing w:after="0" w:line="233" w:lineRule="auto"/>
        <w:tabs>
          <w:tab w:leader="none" w:pos="2587" w:val="left"/>
        </w:tabs>
        <w:numPr>
          <w:ilvl w:val="2"/>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general administrative and operating costs and expenses (including corporate overhead, legal or similar expenses and customary salary, bonus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81" w:right="339" w:bottom="1440" w:gutter="0" w:footer="0" w:header="0"/>
          <w:type w:val="continuous"/>
        </w:sectPr>
      </w:pPr>
    </w:p>
    <w:bookmarkStart w:id="259" w:name="page260"/>
    <w:bookmarkEnd w:id="259"/>
    <w:p>
      <w:pPr>
        <w:ind w:left="1300"/>
        <w:spacing w:after="0"/>
        <w:rPr>
          <w:sz w:val="20"/>
          <w:szCs w:val="20"/>
          <w:color w:val="auto"/>
        </w:rPr>
      </w:pPr>
      <w:r>
        <w:rPr>
          <w:rFonts w:ascii="Times New Roman" w:cs="Times New Roman" w:eastAsia="Times New Roman" w:hAnsi="Times New Roman"/>
          <w:sz w:val="20"/>
          <w:szCs w:val="20"/>
          <w:color w:val="auto"/>
        </w:rPr>
        <w:t>other benefits payable to any director, officer, employee, member of management, manager and/or consultant of any Parent</w:t>
      </w:r>
    </w:p>
    <w:p>
      <w:pPr>
        <w:ind w:left="1300"/>
        <w:spacing w:after="0" w:line="204" w:lineRule="auto"/>
        <w:rPr>
          <w:sz w:val="20"/>
          <w:szCs w:val="20"/>
          <w:color w:val="auto"/>
        </w:rPr>
      </w:pPr>
      <w:r>
        <w:rPr>
          <w:rFonts w:ascii="Times New Roman" w:cs="Times New Roman" w:eastAsia="Times New Roman" w:hAnsi="Times New Roman"/>
          <w:sz w:val="20"/>
          <w:szCs w:val="20"/>
          <w:color w:val="auto"/>
        </w:rPr>
        <w:t>Company) and franchise Taxes, and similar fees and expenses required to maintain the organizational existence or qualification to do business of such Parent Company, in each case, which are reasonable and customary and incurred in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 xml:space="preserve">ordinary course of business,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any reasonable and customary indemnification claim made by any director,</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officer, member of management, manager, employee and/or consultant of any Parent Company, in each case, to the extent attributable to the ownership or operations of any Parent Company and/or its subsidiaries (but excluding, for the avoidance</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of doubt, the portion of any such amount, if any, that is attributable to the ownership or operations of any subsidiary of any Parent Company other than Holdings, the Borrower and/or its subsidiaries);</w:t>
      </w:r>
    </w:p>
    <w:p>
      <w:pPr>
        <w:spacing w:after="0" w:line="149" w:lineRule="exact"/>
        <w:rPr>
          <w:sz w:val="20"/>
          <w:szCs w:val="20"/>
          <w:color w:val="auto"/>
        </w:rPr>
      </w:pPr>
    </w:p>
    <w:p>
      <w:pPr>
        <w:jc w:val="both"/>
        <w:ind w:left="1300" w:firstLine="652"/>
        <w:spacing w:after="0" w:line="212" w:lineRule="auto"/>
        <w:tabs>
          <w:tab w:leader="none" w:pos="259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distribution to Holdings to pay (or to make any distribution to any direct or indirect parent of Holdings to pay) the aggregate amount of consolidated, combined, unitary or similar group tax liabilities attributable to the income of Holdings, the Borrower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payments does not exceed the amounts that Holdings, the Borrower, and its subsidiaries would have been required to pay had Holdings, the Borrower, and its subsidiaries been a stand-alone group for applicable tax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amounts distributed in respect of any taxes attributable to the income of Unrestricted Subsidiaries may be made only to the extent that (x) such subsidiaries have made cash payments to any Loan Party or Restricted Subsidiary in at least the amount of such taxes or (y) the Borrower and its Restricted Subsidiaries with respect to making such a distribution are treated as deemed to have made an Investment in the amount of such taxes in the relevant Unrestricted Subsidiary and such Investment complies with the requirements of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audit and other accounting and reporting expenses of any Parent Company to the extent such expenses are attributable to such Parent Company, the Borrower and its subsidiaries (but excluding, for the avoidance of doubt, the portion of any such expenses, if any, that is attributable to the ownership or operations of any subsidiary of any Parent Company other than Holdings, the Borrower and/or its subsidiaries);</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payment of any insurance premium that is payable by or attributable to any Parent Company, the Borrower and/or its subsidiaries (but excluding, for the avoidance of doubt, the portion of any such premium, if any, that is attributable to the ownership or operations of any subsidiary of any Parent Company other than Holdings, the Borrower and/or its subsidiaries);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(1) any fee and/or expense related to any debt and/or equity offering and/or the IPO, investment or acquisition (whether or not consummated) and/or any expense of, or indemnification obligation in favor of, any trustee, agent, arranger, underwriter or similar role, and (2) Public Company Costs;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9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finance any Investment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Restricted Payment under this </w:t>
      </w:r>
      <w:r>
        <w:rPr>
          <w:rFonts w:ascii="Times New Roman" w:cs="Times New Roman" w:eastAsia="Times New Roman" w:hAnsi="Times New Roman"/>
          <w:sz w:val="20"/>
          <w:szCs w:val="20"/>
          <w:u w:val="single" w:color="auto"/>
          <w:color w:val="auto"/>
        </w:rPr>
        <w:t>clause (a)(i)(F)</w:t>
      </w:r>
      <w:r>
        <w:rPr>
          <w:rFonts w:ascii="Times New Roman" w:cs="Times New Roman" w:eastAsia="Times New Roman" w:hAnsi="Times New Roman"/>
          <w:sz w:val="20"/>
          <w:szCs w:val="20"/>
          <w:color w:val="auto"/>
        </w:rPr>
        <w:t xml:space="preserve"> shall be made substantially concurrently with the closing of such Investment (except with respect to any deferred purchase price or other contingent consideration, the Restricted Payments in respect of which may be made after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as if the relevant Investment was undertaken as a direct Investment by the Borrower or the relevant Restricted Subsidiary);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60" w:name="page261"/>
    <w:bookmarkEnd w:id="260"/>
    <w:p>
      <w:pPr>
        <w:jc w:val="both"/>
        <w:ind w:left="1300" w:firstLine="652"/>
        <w:spacing w:after="0" w:line="222" w:lineRule="auto"/>
        <w:tabs>
          <w:tab w:leader="none" w:pos="2587"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Borrower and/or its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each case, so long as such Parent Company applies the amount of any such Restricted Payment for such purpose;</w:t>
      </w:r>
    </w:p>
    <w:p>
      <w:pPr>
        <w:spacing w:after="0" w:line="175" w:lineRule="exact"/>
        <w:rPr>
          <w:sz w:val="20"/>
          <w:szCs w:val="20"/>
          <w:color w:val="auto"/>
        </w:rPr>
      </w:pPr>
    </w:p>
    <w:p>
      <w:pPr>
        <w:jc w:val="both"/>
        <w:ind w:left="660" w:firstLine="644"/>
        <w:spacing w:after="0" w:line="222" w:lineRule="auto"/>
        <w:tabs>
          <w:tab w:leader="none" w:pos="195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7"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$12,000,000 and 20% of Consolidated Adjusted EBITDA as of the last day of the most recently ended Test Period, in each case, which, if not used in such Fiscal Year, shall be carried forward to the next Fiscal Year (but not to any succeeding Fiscal Years to the extent not fully utilized in the immediately succeeding Fiscal Year; it being understood and agreed that such carried forward amounts shall be deemed utilized first in any Fiscal Year prior to utilization of the indicative amount for such Fiscal Year);</w:t>
      </w:r>
    </w:p>
    <w:p>
      <w:pPr>
        <w:spacing w:after="0" w:line="155"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proceeds of any sale or issuance of, or any capital contribution in respect of, the Capital Stock of the Borrower or any Parent Company that are Not Otherwise Applied (to the extent such proceeds are contributed in respect of Qualified Capital Stock to the Borrower or any Restricted Subsidiary); and/or</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net proceeds of any key-man life insurance policy;</w:t>
      </w:r>
    </w:p>
    <w:p>
      <w:pPr>
        <w:spacing w:after="0" w:line="188"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5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an amount not to exceed (A) the portion, if any, of the Available Amount on such date that the Borrower elects to apply to this </w:t>
      </w:r>
      <w:r>
        <w:rPr>
          <w:rFonts w:ascii="Times New Roman" w:cs="Times New Roman" w:eastAsia="Times New Roman" w:hAnsi="Times New Roman"/>
          <w:sz w:val="20"/>
          <w:szCs w:val="20"/>
          <w:u w:val="single" w:color="auto"/>
          <w:color w:val="auto"/>
        </w:rPr>
        <w:t>clause (iii)(A)</w:t>
      </w:r>
      <w:r>
        <w:rPr>
          <w:rFonts w:ascii="Times New Roman" w:cs="Times New Roman" w:eastAsia="Times New Roman" w:hAnsi="Times New Roman"/>
          <w:sz w:val="20"/>
          <w:szCs w:val="20"/>
          <w:color w:val="auto"/>
        </w:rPr>
        <w:t xml:space="preserve"> and/or (B) 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(iii)(B)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87"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9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consisting of (1) payments made or expected to be made in respect of withholding or similar Taxes payable by any future, present or former officers, directors, employees, members of management, managers or consultants of the Borrower, any subsidiary of the Borrower or Parent Company or any of their respective Immediate Family Members, (2) payments or other adjustments to outstanding Capital Stock in accordance with any management equity plan, stock option plan or any other similar employee benefit or incentive plan, agreement or arrangement in connection with any Restricted Payment and/or (3) repurchases of Capital Stock in consideration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61" w:name="page262"/>
    <w:bookmarkEnd w:id="261"/>
    <w:p>
      <w:pPr>
        <w:ind w:left="1300"/>
        <w:spacing w:after="0"/>
        <w:rPr>
          <w:sz w:val="20"/>
          <w:szCs w:val="20"/>
          <w:color w:val="auto"/>
        </w:rPr>
      </w:pPr>
      <w:r>
        <w:rPr>
          <w:rFonts w:ascii="Times New Roman" w:cs="Times New Roman" w:eastAsia="Times New Roman" w:hAnsi="Times New Roman"/>
          <w:sz w:val="20"/>
          <w:szCs w:val="20"/>
          <w:color w:val="auto"/>
        </w:rPr>
        <w:t xml:space="preserve">payments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including demand repurchases, in connection with the exercise or vesting of stock options, restricted stock units or similar incentive interests;</w:t>
      </w:r>
    </w:p>
    <w:p>
      <w:pPr>
        <w:spacing w:after="0" w:line="148" w:lineRule="exact"/>
        <w:rPr>
          <w:sz w:val="20"/>
          <w:szCs w:val="20"/>
          <w:color w:val="auto"/>
        </w:rPr>
      </w:pPr>
    </w:p>
    <w:p>
      <w:pPr>
        <w:jc w:val="both"/>
        <w:ind w:left="660" w:firstLine="644"/>
        <w:spacing w:after="0" w:line="222"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the proceeds of which are applied (A) to effect the consummation of the Transactions and (B) to pay Transaction Costs;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7"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(i) redeem, repurchase, retire or otherwise acquire any (A) Capital Stock (“</w:t>
      </w:r>
      <w:r>
        <w:rPr>
          <w:rFonts w:ascii="Times New Roman" w:cs="Times New Roman" w:eastAsia="Times New Roman" w:hAnsi="Times New Roman"/>
          <w:sz w:val="20"/>
          <w:szCs w:val="20"/>
          <w:u w:val="single" w:color="auto"/>
          <w:color w:val="auto"/>
        </w:rPr>
        <w:t>Treasury Capital Stock</w:t>
      </w:r>
      <w:r>
        <w:rPr>
          <w:rFonts w:ascii="Times New Roman" w:cs="Times New Roman" w:eastAsia="Times New Roman" w:hAnsi="Times New Roman"/>
          <w:sz w:val="20"/>
          <w:szCs w:val="20"/>
          <w:color w:val="auto"/>
        </w:rPr>
        <w:t xml:space="preserve">”) of the Borrower and/or any Restricted Subsidiary or (B) Capital Stock of any Parent Company, in the case of each of </w:t>
      </w:r>
      <w:r>
        <w:rPr>
          <w:rFonts w:ascii="Times New Roman" w:cs="Times New Roman" w:eastAsia="Times New Roman" w:hAnsi="Times New Roman"/>
          <w:sz w:val="20"/>
          <w:szCs w:val="20"/>
          <w:u w:val="single" w:color="auto"/>
          <w:color w:val="auto"/>
        </w:rPr>
        <w:t>subclauses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Times New Roman" w:cs="Times New Roman" w:eastAsia="Times New Roman" w:hAnsi="Times New Roman"/>
          <w:sz w:val="20"/>
          <w:szCs w:val="20"/>
          <w:u w:val="single" w:color="auto"/>
          <w:color w:val="auto"/>
        </w:rPr>
        <w:t>Refunding Capital Stock</w:t>
      </w:r>
      <w:r>
        <w:rPr>
          <w:rFonts w:ascii="Times New Roman" w:cs="Times New Roman" w:eastAsia="Times New Roman" w:hAnsi="Times New Roman"/>
          <w:sz w:val="20"/>
          <w:szCs w:val="20"/>
          <w:color w:val="auto"/>
        </w:rPr>
        <w:t>”) to the extent such proceeds are Not Otherwise Applied and (ii) declare and pay dividends on any Treasury Capital Stock out of the proceeds of the substantially concurrent sale (other than to the Borrower or a Restricted Subsidiary) of any Refunding Capital Stock;</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Restricted Payment, the Borrower may consummate any transaction permitted by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5.16(d)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6.06(j)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6.07(g)</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the Borrower may make Restricted Payments in an aggregate amount not to exceed the greater of $21,000,000 and 35% of Consolidated Adjusted EBITDA as of the last day of the most recently ended Test Period;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the Borrower may make Restricted Payments so long as the Total Rent Adjusted Net Leverage Ratio, calculated on a Pro Forma Basis, would not exceed 3.50:1.00 as of the last day of the most recently ended Test Period;</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declare and make dividend payments or other Restricted Payments payable solely in the Capital Stock of the Borrower or of any Parent Company;</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7"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(other than in the form of Cash and Cash Equivalents) in connection with and/or relating to any internal reorganization or restructuring activities (including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activities do not result in any Capital Stock of the Borrower becoming an Excluded Asset;</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4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payments or distributions to satisfy dissenters’ or appraisal rights, pursuant to or in connection with a consolidation, amalgamation, merger or transfer of assets that complies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and/or</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5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in connection with (or to allow the Parent to make any payment in connection with) (A) any Permitted Bond Hedge Transaction and/or (B) the settlement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62" w:name="page263"/>
    <w:bookmarkEnd w:id="262"/>
    <w:p>
      <w:pPr>
        <w:ind w:left="660"/>
        <w:spacing w:after="0"/>
        <w:rPr>
          <w:sz w:val="20"/>
          <w:szCs w:val="20"/>
          <w:color w:val="auto"/>
        </w:rPr>
      </w:pPr>
      <w:r>
        <w:rPr>
          <w:rFonts w:ascii="Times New Roman" w:cs="Times New Roman" w:eastAsia="Times New Roman" w:hAnsi="Times New Roman"/>
          <w:sz w:val="20"/>
          <w:szCs w:val="20"/>
          <w:color w:val="auto"/>
        </w:rPr>
        <w:t>Permitted Warrant Transaction by (1) delivery of shares of the Parent’s common equity upon settlement thereof or (2) by (x) set-off</w:t>
      </w:r>
    </w:p>
    <w:p>
      <w:pPr>
        <w:ind w:left="660"/>
        <w:spacing w:after="0" w:line="221" w:lineRule="auto"/>
        <w:rPr>
          <w:sz w:val="20"/>
          <w:szCs w:val="20"/>
          <w:color w:val="auto"/>
        </w:rPr>
      </w:pPr>
      <w:r>
        <w:rPr>
          <w:rFonts w:ascii="Times New Roman" w:cs="Times New Roman" w:eastAsia="Times New Roman" w:hAnsi="Times New Roman"/>
          <w:sz w:val="20"/>
          <w:szCs w:val="20"/>
          <w:color w:val="auto"/>
        </w:rPr>
        <w:t>against the related Permitted Bond Hedge Transaction or (y) payment of an early termination amount in common equity upon any early termination thereof, in each case, shall be permitted.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It is understood and agreed that, for purposes of this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any determination of the value of any asset other than Cash shall be made by the Borrower in good faith.</w:t>
      </w:r>
    </w:p>
    <w:p>
      <w:pPr>
        <w:spacing w:after="0" w:line="148" w:lineRule="exact"/>
        <w:rPr>
          <w:sz w:val="20"/>
          <w:szCs w:val="20"/>
          <w:color w:val="auto"/>
        </w:rPr>
      </w:pPr>
    </w:p>
    <w:p>
      <w:pPr>
        <w:jc w:val="both"/>
        <w:ind w:firstLine="656"/>
        <w:spacing w:after="0" w:line="222" w:lineRule="auto"/>
        <w:tabs>
          <w:tab w:leader="none" w:pos="128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nor shall it permit any Restricted Subsidiary to make any voluntary prepayment in respect of principal outstanding of Restricted Debt, including any sinking fund or similar deposit, on account of the voluntary prepayment, repurchase, purchase, redemption, retirement, acquisition, cancellation or termination of any Restricted Debt, in each case, more than one year prior to the scheduled maturity date thereof (collectively, “</w:t>
      </w:r>
      <w:r>
        <w:rPr>
          <w:rFonts w:ascii="Times New Roman" w:cs="Times New Roman" w:eastAsia="Times New Roman" w:hAnsi="Times New Roman"/>
          <w:sz w:val="20"/>
          <w:szCs w:val="20"/>
          <w:u w:val="single" w:color="auto"/>
          <w:color w:val="auto"/>
        </w:rPr>
        <w:t>Restricted Debt Payments</w:t>
      </w:r>
      <w:r>
        <w:rPr>
          <w:rFonts w:ascii="Times New Roman" w:cs="Times New Roman" w:eastAsia="Times New Roman" w:hAnsi="Times New Roman"/>
          <w:sz w:val="20"/>
          <w:szCs w:val="20"/>
          <w:color w:val="auto"/>
        </w:rPr>
        <w:t>”), except: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purchase, defeasance, redemption, refinancing repurchase, repayment or other acquisition or retirement thereof made by exchange for, or out of the proceeds of,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constitutes Restricted Debt;</w:t>
      </w:r>
    </w:p>
    <w:p>
      <w:pPr>
        <w:spacing w:after="0" w:line="16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an applicable high yield discount obligation catch-up payment;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regularly scheduled principal or regularly scheduled interest (including any penalty interest, if applicable) and payments of fees, expenses and indemnification obligations as and when due (other than payments that are prohibited by the subordination provisions thereof);</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5"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Restricted Debt Payments in an aggregate amount not to exceed (A) the greater of $21,000,000 and 35% of Consolidated Adjusted EBITDA as of the last day of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at the election of the Borrower, the amount of Restricted Payments then permitted to be made by the Borrower in reliance on </w:t>
      </w:r>
      <w:r>
        <w:rPr>
          <w:rFonts w:ascii="Times New Roman" w:cs="Times New Roman" w:eastAsia="Times New Roman" w:hAnsi="Times New Roman"/>
          <w:sz w:val="20"/>
          <w:szCs w:val="20"/>
          <w:u w:val="single" w:color="auto"/>
          <w:color w:val="auto"/>
        </w:rPr>
        <w:t>Section 6.04(a)(x)</w:t>
      </w:r>
      <w:r>
        <w:rPr>
          <w:rFonts w:ascii="Times New Roman" w:cs="Times New Roman" w:eastAsia="Times New Roman" w:hAnsi="Times New Roman"/>
          <w:sz w:val="20"/>
          <w:szCs w:val="20"/>
          <w:color w:val="auto"/>
        </w:rPr>
        <w:t xml:space="preserve"> (it being understood that any amount utilized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make a Restricted Debt Payment shall result in a reduction in the amount available under </w:t>
      </w:r>
      <w:r>
        <w:rPr>
          <w:rFonts w:ascii="Times New Roman" w:cs="Times New Roman" w:eastAsia="Times New Roman" w:hAnsi="Times New Roman"/>
          <w:sz w:val="20"/>
          <w:szCs w:val="20"/>
          <w:u w:val="single" w:color="auto"/>
          <w:color w:val="auto"/>
        </w:rPr>
        <w:t>Section 6.04(a)(x)</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Restricted Debt Payments in exchange for, or with proceeds of any issuance of, Capital Stock of any Parent Company or Qualified Capital Stock of the Borrower and/or any capital contribution in respect of Qualified Capital Stock of the Borrower in each case, that are Not Otherwise Applied, (B) Restricted Debt Payments as a result of the conversion of all or any portion of any Restricted Debt into Qualified Capital Stock of the Borrower or the Capital Stock of any Parent Company and (C) to the extent constituting a Restricted Debt Payment, payment-in-kind interest with respect to any Restricted Debt that is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Debt Payments in an aggregate amount not to exceed (A) the portion, if any, of the Available Amount on such date that the Borrower elects to apply to this </w:t>
      </w:r>
      <w:r>
        <w:rPr>
          <w:rFonts w:ascii="Times New Roman" w:cs="Times New Roman" w:eastAsia="Times New Roman" w:hAnsi="Times New Roman"/>
          <w:sz w:val="20"/>
          <w:szCs w:val="20"/>
          <w:u w:val="single" w:color="auto"/>
          <w:color w:val="auto"/>
        </w:rPr>
        <w:t>clause (vi)(A)</w:t>
      </w:r>
      <w:r>
        <w:rPr>
          <w:rFonts w:ascii="Times New Roman" w:cs="Times New Roman" w:eastAsia="Times New Roman" w:hAnsi="Times New Roman"/>
          <w:sz w:val="20"/>
          <w:szCs w:val="20"/>
          <w:color w:val="auto"/>
        </w:rPr>
        <w:t xml:space="preserve"> and/or (B) 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(vi)(B)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Restricted Debt Payments in an unlimited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thereto the Total Rent Adjusted Net Leverage Ratio, calculated on a Pro Forma Basis, would not exceed 3.75:1.00 as of the last day of the most recently ended Test Period; and/or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7"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mandatory prepayments of Restricted Debt (and related payments of interest) made with Declined Proceeds (it being understood that any Declined Proceeds applied to make Restricted Debt Payments in reliance on this </w:t>
      </w:r>
      <w:r>
        <w:rPr>
          <w:rFonts w:ascii="Times New Roman" w:cs="Times New Roman" w:eastAsia="Times New Roman" w:hAnsi="Times New Roman"/>
          <w:sz w:val="20"/>
          <w:szCs w:val="20"/>
          <w:u w:val="single" w:color="auto"/>
          <w:color w:val="auto"/>
        </w:rPr>
        <w:t>Section 6.04(b)(viii)</w:t>
      </w:r>
      <w:r>
        <w:rPr>
          <w:rFonts w:ascii="Times New Roman" w:cs="Times New Roman" w:eastAsia="Times New Roman" w:hAnsi="Times New Roman"/>
          <w:sz w:val="20"/>
          <w:szCs w:val="20"/>
          <w:color w:val="auto"/>
        </w:rPr>
        <w:t xml:space="preserve"> shall not increase the amount available under </w:t>
      </w:r>
      <w:r>
        <w:rPr>
          <w:rFonts w:ascii="Times New Roman" w:cs="Times New Roman" w:eastAsia="Times New Roman" w:hAnsi="Times New Roman"/>
          <w:sz w:val="20"/>
          <w:szCs w:val="20"/>
          <w:u w:val="single" w:color="auto"/>
          <w:color w:val="auto"/>
        </w:rPr>
        <w:t>clause (a)(ix)</w:t>
      </w:r>
      <w:r>
        <w:rPr>
          <w:rFonts w:ascii="Times New Roman" w:cs="Times New Roman" w:eastAsia="Times New Roman" w:hAnsi="Times New Roman"/>
          <w:sz w:val="20"/>
          <w:szCs w:val="20"/>
          <w:color w:val="auto"/>
        </w:rPr>
        <w:t xml:space="preserve"> of the definition of “Available Amount” to the extent so applied).</w:t>
      </w:r>
    </w:p>
    <w:p>
      <w:pPr>
        <w:spacing w:after="0" w:line="16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SECTION 5. Burdensome Agreements. Except as provided herein or in any other Loan Document, any document with respect to any Incremental Equivalent Debt and/or in any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0"/>
          <w:szCs w:val="20"/>
          <w:color w:val="auto"/>
        </w:rPr>
        <w:t>respect to any refinancing, renewal or replacement of any such Indebtedness that is permitted by Section 6.01, the Borrower shall not, nor</w:t>
      </w:r>
    </w:p>
    <w:p>
      <w:pPr>
        <w:ind w:right="20"/>
        <w:spacing w:after="0" w:line="215" w:lineRule="auto"/>
        <w:rPr>
          <w:sz w:val="20"/>
          <w:szCs w:val="20"/>
          <w:color w:val="auto"/>
        </w:rPr>
      </w:pPr>
      <w:r>
        <w:rPr>
          <w:rFonts w:ascii="Times New Roman" w:cs="Times New Roman" w:eastAsia="Times New Roman" w:hAnsi="Times New Roman"/>
          <w:sz w:val="19"/>
          <w:szCs w:val="19"/>
          <w:color w:val="auto"/>
        </w:rPr>
        <w:t>shall it permit any of its Restricted Subsidiaries to, enter into or cause to exist any agreement (any such agreement, a “Burdensome Agreement”) restricting the ability of any Loan Party to create, permit or grant a Lien on any of its properties or assets to secure the Secured</w:t>
      </w:r>
    </w:p>
    <w:p>
      <w:pPr>
        <w:spacing w:after="0" w:line="228" w:lineRule="auto"/>
        <w:rPr>
          <w:sz w:val="20"/>
          <w:szCs w:val="20"/>
          <w:color w:val="auto"/>
        </w:rPr>
      </w:pPr>
      <w:r>
        <w:rPr>
          <w:rFonts w:ascii="Times New Roman" w:cs="Times New Roman" w:eastAsia="Times New Roman" w:hAnsi="Times New Roman"/>
          <w:sz w:val="20"/>
          <w:szCs w:val="20"/>
          <w:color w:val="auto"/>
        </w:rPr>
        <w:t>Obligations (after giving effect to the applicable anti-assignment provisions of the UCC and/or any other applicable Requirement of Law), except restrictions:</w:t>
      </w:r>
    </w:p>
    <w:p>
      <w:pPr>
        <w:spacing w:after="0" w:line="149" w:lineRule="exact"/>
        <w:rPr>
          <w:sz w:val="20"/>
          <w:szCs w:val="20"/>
          <w:color w:val="auto"/>
        </w:rPr>
      </w:pPr>
    </w:p>
    <w:p>
      <w:pPr>
        <w:jc w:val="both"/>
        <w:ind w:firstLine="656"/>
        <w:spacing w:after="0" w:line="220" w:lineRule="auto"/>
        <w:tabs>
          <w:tab w:leader="none" w:pos="128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in any agreement governing (i) Indebtedness of a Restricted Subsidiary that is not a Loan Party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(ii)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Times New Roman" w:cs="Times New Roman" w:eastAsia="Times New Roman" w:hAnsi="Times New Roman"/>
          <w:sz w:val="20"/>
          <w:szCs w:val="20"/>
          <w:u w:val="single" w:color="auto"/>
          <w:color w:val="auto"/>
        </w:rPr>
        <w:t>clauses (j)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(as it relates to Indebtedness in respect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or were created by virtue of any Lien granted upon, transfer of, agreement to transfer or grant of, any option or right with respect to any assets or Capital Stock not otherwise prohibited under this Agreement;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1"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provisions in agreements or instruments which prohibit the payment of dividends or the making of other distributions with respect to any class of Capital Stock of a Person other than on a pro rata basis;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imposed by customary provisions in partnership agreements, limited liability company organizational governance documents, joint venture agreements and other similar agreements;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documents which exist on the Closing Date;</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under or as a result of applicable Requirements of Law or the terms of any license, authorization, concession or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w:t>
      </w:r>
    </w:p>
    <w:p>
      <w:pPr>
        <w:spacing w:after="0" w:line="166"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in any Hedge Agreement and/or any agreement or arrangement relating to any Banking Services and/or any other obligation of the type permitted under </w:t>
      </w:r>
      <w:r>
        <w:rPr>
          <w:rFonts w:ascii="Times New Roman" w:cs="Times New Roman" w:eastAsia="Times New Roman" w:hAnsi="Times New Roman"/>
          <w:sz w:val="20"/>
          <w:szCs w:val="20"/>
          <w:u w:val="single" w:color="auto"/>
          <w:color w:val="auto"/>
        </w:rPr>
        <w:t>Section 6.01(f)</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5"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any asset (or all of the assets) of and/or the Capital Stock of the Borrower and/or any Restricted Subsidiary which is imposed pursuant to an agreement entered into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0"/>
          <w:szCs w:val="20"/>
          <w:color w:val="auto"/>
        </w:rPr>
        <w:t>any Disposition of such asset (or assets) and/or all or a portion of the Capital Stock of the relevant Person that is permitted or not restricted by this Agreement or that would result in the occurrence of the Termination Date;</w:t>
      </w:r>
    </w:p>
    <w:p>
      <w:pPr>
        <w:spacing w:after="0" w:line="148" w:lineRule="exact"/>
        <w:rPr>
          <w:sz w:val="20"/>
          <w:szCs w:val="20"/>
          <w:color w:val="auto"/>
        </w:rPr>
      </w:pPr>
    </w:p>
    <w:p>
      <w:pPr>
        <w:ind w:firstLine="656"/>
        <w:spacing w:after="0"/>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any agreement relating to any Permitted Lien that limits the right of the Borrower and/or any Restricted Subsidiary to Dispose of or encumber the assets subject thereto;</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subordination and/or subrogation provisions set forth in guaranty or similar documentation (not relating to Indebtedness for borrowed money) that is entered into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 created in connection with any factoring program implemented in the ordinary course of business, so long as in the case of any prohibition on Liens, the relevant restriction relates solely to assets subject to such factoring program and the Capital Stock of any Person participating in such factoring program; and/or</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imposed by any amendment, modification, restatement, renewal, increase, supplement, refunding, replacement or refinancing of any contract, instrument or obligation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4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w:t>
        <w:tab/>
        <w:t>Investments. The Borrower shall not, nor shall it permit any of its Restricted Subsidiaries to, make or own any</w:t>
      </w:r>
    </w:p>
    <w:p>
      <w:pPr>
        <w:spacing w:after="0"/>
        <w:rPr>
          <w:sz w:val="20"/>
          <w:szCs w:val="20"/>
          <w:color w:val="auto"/>
        </w:rPr>
      </w:pPr>
      <w:r>
        <w:rPr>
          <w:rFonts w:ascii="Times New Roman" w:cs="Times New Roman" w:eastAsia="Times New Roman" w:hAnsi="Times New Roman"/>
          <w:sz w:val="20"/>
          <w:szCs w:val="20"/>
          <w:color w:val="auto"/>
        </w:rPr>
        <w:t>Investment in any other Person except:</w:t>
      </w:r>
    </w:p>
    <w:p>
      <w:pPr>
        <w:spacing w:after="0" w:line="167"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Investments that were Cash Equivalents at the time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Investments existing on the Closing Date in the Borrower or in any subsidiary, (ii) Investments made after the Closing Date among the Borrower and/or one or more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outstanding amount of Investments by any Loan Party in any Restricted Subsidiary that is not a Loan Party in reliance on this </w:t>
      </w:r>
      <w:r>
        <w:rPr>
          <w:rFonts w:ascii="Times New Roman" w:cs="Times New Roman" w:eastAsia="Times New Roman" w:hAnsi="Times New Roman"/>
          <w:sz w:val="19"/>
          <w:szCs w:val="19"/>
          <w:u w:val="single" w:color="auto"/>
          <w:color w:val="auto"/>
        </w:rPr>
        <w:t>Section 6.06(b)(ii)</w:t>
      </w:r>
      <w:r>
        <w:rPr>
          <w:rFonts w:ascii="Times New Roman" w:cs="Times New Roman" w:eastAsia="Times New Roman" w:hAnsi="Times New Roman"/>
          <w:sz w:val="19"/>
          <w:szCs w:val="19"/>
          <w:color w:val="auto"/>
        </w:rPr>
        <w:t xml:space="preserve"> shall not exceed the greater of $15,000,000 and 25% of Consolidated Adjusted EBITDA as of the last day of the most recently ended Test Period, (iii) any Investment made</w:t>
      </w:r>
    </w:p>
    <w:p>
      <w:pPr>
        <w:spacing w:after="0" w:line="200" w:lineRule="auto"/>
        <w:rPr>
          <w:sz w:val="20"/>
          <w:szCs w:val="20"/>
          <w:color w:val="auto"/>
        </w:rPr>
      </w:pPr>
      <w:r>
        <w:rPr>
          <w:rFonts w:ascii="Times New Roman" w:cs="Times New Roman" w:eastAsia="Times New Roman" w:hAnsi="Times New Roman"/>
          <w:sz w:val="20"/>
          <w:szCs w:val="20"/>
          <w:color w:val="auto"/>
        </w:rPr>
        <w:t>after the Closing Date among the Borrower and/or one or more Restricted Subsidiaries in connection with cash management and</w:t>
      </w:r>
    </w:p>
    <w:p>
      <w:pPr>
        <w:jc w:val="both"/>
        <w:ind w:firstLine="8"/>
        <w:spacing w:after="0" w:line="216" w:lineRule="auto"/>
        <w:tabs>
          <w:tab w:leader="none" w:pos="3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Restricted Subsidiary in the form of any contribution or Disposition of the Capital Stock of any Person that is not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(x) there is a bona fide business purpose for such contribution or Disposition or (y) such contribution or Disposition is not consummated solely for the purpose of obtaining a release of the Collateral in respect of the Capital Stock in such Person, in the case of the foregoing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as determined in good faith by the Borrower;</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constituting deposits, prepayments, trade credits and/or credits to suppliers, (ii) made in connection with obtaining, maintaining or renewing client and customer contracts or (iii) made in distributors, suppliers, licensors and licensees, in each case, in the ordinary course of business or,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to the extent necessary to maintain the ordinary course of supplies to the Borrower or any Restricted Subsidiary;</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in joint ventures in an aggregate outstanding amount not to exceed the greater of $21,000,000 and 35% of Consolidated Adjusted EBITDA as of the last day of the most recently ended Test Period and (ii) 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Investments in Unrestricted Subsidiaries in an aggregate outstanding amount not to exceed the greater of $21,000,000 and 35% of Consolidated Adjusted EBITDA as of the last day of the most recently ended Test Period;</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Permitted Acquisitions and (ii) any Investment in any Restricted Subsidiary that is not a Loan Party in an amount required to permit such Restricted Subsidiary to directly, or indirectly through one or more other Restricted Subsidiaries, consummate a Permitted Acquisition, which amount is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65" w:name="page266"/>
    <w:bookmarkEnd w:id="265"/>
    <w:p>
      <w:pPr>
        <w:ind w:right="20"/>
        <w:spacing w:after="0"/>
        <w:rPr>
          <w:sz w:val="20"/>
          <w:szCs w:val="20"/>
          <w:color w:val="auto"/>
        </w:rPr>
      </w:pPr>
      <w:r>
        <w:rPr>
          <w:rFonts w:ascii="Times New Roman" w:cs="Times New Roman" w:eastAsia="Times New Roman" w:hAnsi="Times New Roman"/>
          <w:sz w:val="20"/>
          <w:szCs w:val="20"/>
          <w:color w:val="auto"/>
        </w:rPr>
        <w:t>by such Restricted Subsidiary, directly or indirectly, through one or more other Restricted Subsidiaries to consummate such Permitted Acquisition;</w:t>
      </w:r>
    </w:p>
    <w:p>
      <w:pPr>
        <w:spacing w:after="0" w:line="148" w:lineRule="exact"/>
        <w:rPr>
          <w:sz w:val="20"/>
          <w:szCs w:val="20"/>
          <w:color w:val="auto"/>
        </w:rPr>
      </w:pPr>
    </w:p>
    <w:p>
      <w:pPr>
        <w:jc w:val="both"/>
        <w:ind w:firstLine="656"/>
        <w:spacing w:after="0" w:line="220" w:lineRule="auto"/>
        <w:tabs>
          <w:tab w:leader="none" w:pos="129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or contractually committed to or contemplated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outstanding amount (or contractually committed or contemplated amount) of any such Investment on the Closing Date exceeds $5,000,000, such Investment is described on </w:t>
      </w:r>
      <w:r>
        <w:rPr>
          <w:rFonts w:ascii="Times New Roman" w:cs="Times New Roman" w:eastAsia="Times New Roman" w:hAnsi="Times New Roman"/>
          <w:sz w:val="20"/>
          <w:szCs w:val="20"/>
          <w:u w:val="single" w:color="auto"/>
          <w:color w:val="auto"/>
        </w:rPr>
        <w:t>Schedule 6.06</w:t>
      </w:r>
      <w:r>
        <w:rPr>
          <w:rFonts w:ascii="Times New Roman" w:cs="Times New Roman" w:eastAsia="Times New Roman" w:hAnsi="Times New Roman"/>
          <w:sz w:val="20"/>
          <w:szCs w:val="20"/>
          <w:color w:val="auto"/>
        </w:rPr>
        <w:t xml:space="preserve"> and (ii) any modification, replacement, renewal or extension of any Investment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so long as no such modification, renewal or extension increases the amount of such Investment except by the terms thereof or as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received in lieu of Cash in connection with any Disposition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or any other disposition of assets not constituting a Disposition;</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or the Borrower, either (i) in an aggregate principal amount not to exceed $2,000,000 at any one time outstanding or (ii) so long as the proceeds of such loan or advance are substantially contemporaneously contributed (or deemed to have been contributed) to the Borrower for the purchase of such Capital Stock;</w:t>
      </w:r>
    </w:p>
    <w:p>
      <w:pPr>
        <w:spacing w:after="0" w:line="162" w:lineRule="exact"/>
        <w:rPr>
          <w:rFonts w:ascii="Times New Roman" w:cs="Times New Roman" w:eastAsia="Times New Roman" w:hAnsi="Times New Roman"/>
          <w:sz w:val="20"/>
          <w:szCs w:val="20"/>
          <w:color w:val="auto"/>
        </w:rPr>
      </w:pPr>
    </w:p>
    <w:p>
      <w:pPr>
        <w:ind w:right="20" w:firstLine="656"/>
        <w:spacing w:after="0"/>
        <w:tabs>
          <w:tab w:leader="none" w:pos="129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(or resulting from)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Indebtedness permitted under </w:t>
      </w:r>
      <w:r>
        <w:rPr>
          <w:rFonts w:ascii="Times New Roman" w:cs="Times New Roman" w:eastAsia="Times New Roman" w:hAnsi="Times New Roman"/>
          <w:sz w:val="20"/>
          <w:szCs w:val="20"/>
          <w:u w:val="single" w:color="auto"/>
          <w:color w:val="auto"/>
        </w:rPr>
        <w:t>Sections 6.01(b)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Permitted Liens, Restricted Payments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6.04(a)(ix)</w:t>
      </w:r>
      <w:r>
        <w:rPr>
          <w:rFonts w:ascii="Times New Roman" w:cs="Times New Roman" w:eastAsia="Times New Roman" w:hAnsi="Times New Roman"/>
          <w:sz w:val="20"/>
          <w:szCs w:val="20"/>
          <w:color w:val="auto"/>
        </w:rPr>
        <w:t xml:space="preserve">), Restricted Debt Payments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mergers, consolidations, amalgamations, liquidations, windings up, dissolutions or Dispositions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6.07(a)</w:t>
      </w:r>
      <w:r>
        <w:rPr>
          <w:rFonts w:ascii="Times New Roman" w:cs="Times New Roman" w:eastAsia="Times New Roman" w:hAnsi="Times New Roman"/>
          <w:sz w:val="20"/>
          <w:szCs w:val="20"/>
          <w:color w:val="auto"/>
        </w:rPr>
        <w:t xml:space="preserve"> (if made in reliance on </w:t>
      </w:r>
      <w:r>
        <w:rPr>
          <w:rFonts w:ascii="Times New Roman" w:cs="Times New Roman" w:eastAsia="Times New Roman" w:hAnsi="Times New Roman"/>
          <w:sz w:val="20"/>
          <w:szCs w:val="20"/>
          <w:u w:val="single" w:color="auto"/>
          <w:color w:val="auto"/>
        </w:rPr>
        <w:t>subclause (ii)(B)</w:t>
      </w:r>
      <w:r>
        <w:rPr>
          <w:rFonts w:ascii="Times New Roman" w:cs="Times New Roman" w:eastAsia="Times New Roman" w:hAnsi="Times New Roman"/>
          <w:sz w:val="20"/>
          <w:szCs w:val="20"/>
          <w:color w:val="auto"/>
        </w:rPr>
        <w:t xml:space="preserve"> of the proviso thereto), </w:t>
      </w:r>
      <w:r>
        <w:rPr>
          <w:rFonts w:ascii="Times New Roman" w:cs="Times New Roman" w:eastAsia="Times New Roman" w:hAnsi="Times New Roman"/>
          <w:sz w:val="20"/>
          <w:szCs w:val="20"/>
          <w:u w:val="single" w:color="auto"/>
          <w:color w:val="auto"/>
        </w:rPr>
        <w:t>Section 6.07(c)(ii)</w:t>
      </w:r>
      <w:r>
        <w:rPr>
          <w:rFonts w:ascii="Times New Roman" w:cs="Times New Roman" w:eastAsia="Times New Roman" w:hAnsi="Times New Roman"/>
          <w:sz w:val="20"/>
          <w:szCs w:val="20"/>
          <w:color w:val="auto"/>
        </w:rPr>
        <w:t xml:space="preserve"> (if made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therein) and </w:t>
      </w:r>
      <w:r>
        <w:rPr>
          <w:rFonts w:ascii="Times New Roman" w:cs="Times New Roman" w:eastAsia="Times New Roman" w:hAnsi="Times New Roman"/>
          <w:sz w:val="20"/>
          <w:szCs w:val="20"/>
          <w:u w:val="single" w:color="auto"/>
          <w:color w:val="auto"/>
        </w:rPr>
        <w:t>Section 6.07(g)</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in the ordinary course of business consisting of endorsements for collection or deposit and customary trade arrangements with customers and/or (ii) in the ordinary course of business and/or consistent with industry practice consisting of loans or advances made to distributors;</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5"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to the extent that payment therefor is made with Capital Stock of any Parent Company or Qualified Capital Stock of the Borrower or any Restricted Subsidiary that are Not Otherwise Applied, in each case, to the extent not resulting in a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such Investment, any payment (or portion thereof) not made with Capital Stock of any Parent Company or Qualified Capital Stock of the Borrower or any Restricted Subsidiary must otherwise be permitted under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66" w:name="page267"/>
    <w:bookmarkEnd w:id="266"/>
    <w:p>
      <w:pPr>
        <w:jc w:val="both"/>
        <w:ind w:firstLine="656"/>
        <w:spacing w:after="0" w:line="215" w:lineRule="auto"/>
        <w:tabs>
          <w:tab w:leader="none" w:pos="128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6.06(o)</w:t>
      </w:r>
      <w:r>
        <w:rPr>
          <w:rFonts w:ascii="Times New Roman" w:cs="Times New Roman" w:eastAsia="Times New Roman" w:hAnsi="Times New Roman"/>
          <w:sz w:val="20"/>
          <w:szCs w:val="20"/>
          <w:color w:val="auto"/>
        </w:rPr>
        <w:t xml:space="preserve"> so long as no such modification, replacement, renewal or extension thereof increases the original amount of such Investment, except as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the Transactions;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the Borrower and/or any of its Restricted Subsidiaries in an aggregate amount at any time outstanding not to exceed: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Event of Default under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exists, (A) the greater of $21,000,000 and 35% of Consolidated Adjusted EBITDA as of the last day of the most recently ended Test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at the election of the Borrower, the amount of Restricted Payments then permitted to be made by the Borrower in reliance on </w:t>
      </w:r>
      <w:r>
        <w:rPr>
          <w:rFonts w:ascii="Times New Roman" w:cs="Times New Roman" w:eastAsia="Times New Roman" w:hAnsi="Times New Roman"/>
          <w:sz w:val="19"/>
          <w:szCs w:val="19"/>
          <w:u w:val="single" w:color="auto"/>
          <w:color w:val="auto"/>
        </w:rPr>
        <w:t>Section 6.04(a)(x)</w:t>
      </w:r>
      <w:r>
        <w:rPr>
          <w:rFonts w:ascii="Times New Roman" w:cs="Times New Roman" w:eastAsia="Times New Roman" w:hAnsi="Times New Roman"/>
          <w:sz w:val="19"/>
          <w:szCs w:val="19"/>
          <w:color w:val="auto"/>
        </w:rPr>
        <w:t xml:space="preserve"> (it being understood that any amount utilized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to make an Investment shall result in a reduction in the amount available under </w:t>
      </w:r>
      <w:r>
        <w:rPr>
          <w:rFonts w:ascii="Times New Roman" w:cs="Times New Roman" w:eastAsia="Times New Roman" w:hAnsi="Times New Roman"/>
          <w:sz w:val="19"/>
          <w:szCs w:val="19"/>
          <w:u w:val="single" w:color="auto"/>
          <w:color w:val="auto"/>
        </w:rPr>
        <w:t>Section 6.04(a)(x)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at the election of the Borrower, the amount of Restricted Debt Payments then permitted to be made by the Borrower or any Restricted Subsidiary in reliance on </w:t>
      </w:r>
      <w:r>
        <w:rPr>
          <w:rFonts w:ascii="Times New Roman" w:cs="Times New Roman" w:eastAsia="Times New Roman" w:hAnsi="Times New Roman"/>
          <w:sz w:val="19"/>
          <w:szCs w:val="19"/>
          <w:u w:val="single" w:color="auto"/>
          <w:color w:val="auto"/>
        </w:rPr>
        <w:t>Section 6.04(b)(iv)(A)</w:t>
      </w:r>
      <w:r>
        <w:rPr>
          <w:rFonts w:ascii="Times New Roman" w:cs="Times New Roman" w:eastAsia="Times New Roman" w:hAnsi="Times New Roman"/>
          <w:sz w:val="19"/>
          <w:szCs w:val="19"/>
          <w:color w:val="auto"/>
        </w:rPr>
        <w:t xml:space="preserve"> (it being understood that any amount utilized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to make an Investment shall result in a reduction in the amount available under </w:t>
      </w:r>
      <w:r>
        <w:rPr>
          <w:rFonts w:ascii="Times New Roman" w:cs="Times New Roman" w:eastAsia="Times New Roman" w:hAnsi="Times New Roman"/>
          <w:sz w:val="19"/>
          <w:szCs w:val="19"/>
          <w:u w:val="single" w:color="auto"/>
          <w:color w:val="auto"/>
        </w:rPr>
        <w:t>Section 6.04(b)(iv)(A)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p>
    <w:p>
      <w:pPr>
        <w:spacing w:after="0" w:line="152"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55"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cs="Times New Roman" w:eastAsia="Times New Roman" w:hAnsi="Times New Roman"/>
          <w:sz w:val="20"/>
          <w:szCs w:val="20"/>
          <w:u w:val="single" w:color="auto"/>
          <w:color w:val="auto"/>
        </w:rPr>
        <w:t>clause (r)(i)</w:t>
      </w:r>
      <w:r>
        <w:rPr>
          <w:rFonts w:ascii="Times New Roman" w:cs="Times New Roman" w:eastAsia="Times New Roman" w:hAnsi="Times New Roman"/>
          <w:sz w:val="20"/>
          <w:szCs w:val="20"/>
          <w:color w:val="auto"/>
        </w:rPr>
        <w:t xml:space="preserve"> and/or (ii) 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(r)(ii)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9"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Guarantees of leases (other than Capital Leases) or of other obligations of the Borrower and/or any Restricted Subsidiary not constituting Indebtedness and (ii) Guarantees of the lease obligations of suppliers, customers, franchisees and licensees of the Borrower and/or its Restricted Subsidiaries, in each case, in the ordinary course of business in an aggregate outstanding principal amount not to exceed the greater of $2,500,000 and 5% of Consolidated Adjusted EBITDA;</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Parent Company in amounts and for purposes for which Restricted Payments to such Parent Company are permitted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Investment made as provided above in lieu of any such Restricted Payment shall reduce availability under the applicable Restricted Payment basket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Similar Businesses in an aggregate outstanding amount not to exceed the greater of $21,000,000 and 35% of Consolidated Adjusted EBITDA as of the last day of the most recently ended Test Period;</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Borrower and/or any Restricted Subsidiary in connection with internal reorganizations and/or restructurings and/or activities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67" w:name="page268"/>
    <w:bookmarkEnd w:id="267"/>
    <w:p>
      <w:pPr>
        <w:ind w:left="1300" w:hanging="644"/>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under Derivative Transactions of the type permitted under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its subsidiaries and/or any joint venture;</w:t>
      </w:r>
    </w:p>
    <w:p>
      <w:pPr>
        <w:spacing w:after="0" w:line="160" w:lineRule="exact"/>
        <w:rPr>
          <w:sz w:val="20"/>
          <w:szCs w:val="20"/>
          <w:color w:val="auto"/>
        </w:rPr>
      </w:pPr>
    </w:p>
    <w:p>
      <w:pPr>
        <w:ind w:firstLine="656"/>
        <w:spacing w:after="0" w:line="233" w:lineRule="auto"/>
        <w:tabs>
          <w:tab w:leader="none" w:pos="129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Borrower, any Restricted Subsidiary and/or joint venture in connection with intercompany cash management arrangements and related activities in the ordinary course of business;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 xml:space="preserve">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any Investment so long as, after giving effect thereto</w:t>
      </w:r>
    </w:p>
    <w:p>
      <w:pPr>
        <w:spacing w:after="0" w:line="221" w:lineRule="auto"/>
        <w:rPr>
          <w:sz w:val="20"/>
          <w:szCs w:val="20"/>
          <w:color w:val="auto"/>
        </w:rPr>
      </w:pPr>
      <w:r>
        <w:rPr>
          <w:rFonts w:ascii="Times New Roman" w:cs="Times New Roman" w:eastAsia="Times New Roman" w:hAnsi="Times New Roman"/>
          <w:sz w:val="20"/>
          <w:szCs w:val="20"/>
          <w:color w:val="auto"/>
        </w:rPr>
        <w:t>on a Pro Forma Basis, the Total Rent Adjusted Net Leverage Ratio does not exceed 4.00:1.00 as of the last day of the most recently ended Test Period;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(ac)</w:t>
      </w:r>
      <w:r>
        <w:rPr>
          <w:sz w:val="20"/>
          <w:szCs w:val="20"/>
          <w:color w:val="auto"/>
        </w:rPr>
        <w:tab/>
      </w:r>
      <w:r>
        <w:rPr>
          <w:rFonts w:ascii="Times New Roman" w:cs="Times New Roman" w:eastAsia="Times New Roman" w:hAnsi="Times New Roman"/>
          <w:sz w:val="20"/>
          <w:szCs w:val="20"/>
          <w:color w:val="auto"/>
        </w:rPr>
        <w:t>any Investment made or committed to be made by any Unrestricted Subsidiary prior to the date on which such Unrestricted</w:t>
      </w:r>
    </w:p>
    <w:p>
      <w:pPr>
        <w:spacing w:after="0" w:line="221" w:lineRule="auto"/>
        <w:rPr>
          <w:sz w:val="20"/>
          <w:szCs w:val="20"/>
          <w:color w:val="auto"/>
        </w:rPr>
      </w:pPr>
      <w:r>
        <w:rPr>
          <w:rFonts w:ascii="Times New Roman" w:cs="Times New Roman" w:eastAsia="Times New Roman" w:hAnsi="Times New Roman"/>
          <w:sz w:val="20"/>
          <w:szCs w:val="20"/>
          <w:color w:val="auto"/>
        </w:rPr>
        <w:t>Subsidiary is designated as a Restricted Subsidiary so long as the relevant Investment was not made or committed to be made in contemplation of the designation of such Unrestricted Subsidiary as a Restricted Subsidiary;</w:t>
      </w:r>
    </w:p>
    <w:p>
      <w:pPr>
        <w:sectPr>
          <w:pgSz w:w="11900" w:h="16838" w:orient="portrait"/>
          <w:cols w:equalWidth="0" w:num="1">
            <w:col w:w="11240"/>
          </w:cols>
          <w:pgMar w:left="320" w:top="1399"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 consisting of the licensing, sublicensing or contribution of IP Rights, including pursuant to joint marketing,</w:t>
      </w:r>
    </w:p>
    <w:p>
      <w:pPr>
        <w:spacing w:after="0" w:line="12" w:lineRule="exact"/>
        <w:rPr>
          <w:sz w:val="20"/>
          <w:szCs w:val="20"/>
          <w:color w:val="auto"/>
        </w:rPr>
      </w:pPr>
    </w:p>
    <w:p>
      <w:pPr>
        <w:sectPr>
          <w:pgSz w:w="11900" w:h="16838" w:orient="portrait"/>
          <w:cols w:equalWidth="0" w:num="2">
            <w:col w:w="980" w:space="320"/>
            <w:col w:w="9940"/>
          </w:cols>
          <w:pgMar w:left="320" w:top="13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collaboration or joint development arrangements with other Persons in the ordinary course of business;</w:t>
      </w:r>
    </w:p>
    <w:p>
      <w:pPr>
        <w:sectPr>
          <w:pgSz w:w="11900" w:h="16838" w:orient="portrait"/>
          <w:cols w:equalWidth="0" w:num="1">
            <w:col w:w="11240"/>
          </w:cols>
          <w:pgMar w:left="320" w:top="1399" w:right="339" w:bottom="1440" w:gutter="0" w:footer="0" w:header="0"/>
          <w:type w:val="continuous"/>
        </w:sectPr>
      </w:pP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loan and/or advance to any Parent Company not in excess of the amount (after giving effect to any other loan, advance or</w:t>
      </w:r>
    </w:p>
    <w:p>
      <w:pPr>
        <w:spacing w:after="0" w:line="40" w:lineRule="exact"/>
        <w:rPr>
          <w:sz w:val="20"/>
          <w:szCs w:val="20"/>
          <w:color w:val="auto"/>
        </w:rPr>
      </w:pPr>
    </w:p>
    <w:p>
      <w:pPr>
        <w:sectPr>
          <w:pgSz w:w="11900" w:h="16838" w:orient="portrait"/>
          <w:cols w:equalWidth="0" w:num="2">
            <w:col w:w="960" w:space="340"/>
            <w:col w:w="9940"/>
          </w:cols>
          <w:pgMar w:left="320" w:top="1399" w:right="339" w:bottom="1440" w:gutter="0" w:footer="0" w:header="0"/>
          <w:type w:val="continuous"/>
        </w:sectPr>
      </w:pPr>
    </w:p>
    <w:p>
      <w:pPr>
        <w:spacing w:after="0" w:line="186" w:lineRule="auto"/>
        <w:rPr>
          <w:sz w:val="20"/>
          <w:szCs w:val="20"/>
          <w:color w:val="auto"/>
        </w:rPr>
      </w:pPr>
      <w:r>
        <w:rPr>
          <w:rFonts w:ascii="Times New Roman" w:cs="Times New Roman" w:eastAsia="Times New Roman" w:hAnsi="Times New Roman"/>
          <w:sz w:val="20"/>
          <w:szCs w:val="20"/>
          <w:color w:val="auto"/>
        </w:rPr>
        <w:t xml:space="preserve">Restricted Payment in respect thereof) of Restricted Payments that are permitted to be made to such Parent Company in accordance with </w:t>
      </w:r>
      <w:r>
        <w:rPr>
          <w:rFonts w:ascii="Times New Roman" w:cs="Times New Roman" w:eastAsia="Times New Roman" w:hAnsi="Times New Roman"/>
          <w:sz w:val="20"/>
          <w:szCs w:val="20"/>
          <w:u w:val="single" w:color="auto"/>
          <w:color w:val="auto"/>
        </w:rPr>
        <w:t>Section 6.04(a)(i)</w:t>
      </w:r>
      <w:r>
        <w:rPr>
          <w:rFonts w:ascii="Times New Roman" w:cs="Times New Roman" w:eastAsia="Times New Roman" w:hAnsi="Times New Roman"/>
          <w:sz w:val="20"/>
          <w:szCs w:val="20"/>
          <w:color w:val="auto"/>
        </w:rPr>
        <w:t xml:space="preserve">, such Investment being treated for purposes of the applicable provision of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including any limitation,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Payment made pursuant to such clause;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(af) Investments in franchisees in an aggregate outstanding amount not to exceed the greater of $5,000,000 and 9% of Consolidated Adjusted EBITDA as of the last day of the most recently ended Test Period, in which, if not used in such Fiscal Year, shall be</w:t>
      </w:r>
    </w:p>
    <w:p>
      <w:pPr>
        <w:spacing w:after="0" w:line="212" w:lineRule="auto"/>
        <w:rPr>
          <w:sz w:val="20"/>
          <w:szCs w:val="20"/>
          <w:color w:val="auto"/>
        </w:rPr>
      </w:pPr>
      <w:r>
        <w:rPr>
          <w:rFonts w:ascii="Times New Roman" w:cs="Times New Roman" w:eastAsia="Times New Roman" w:hAnsi="Times New Roman"/>
          <w:sz w:val="20"/>
          <w:szCs w:val="20"/>
          <w:color w:val="auto"/>
        </w:rPr>
        <w:t>carried forward to the next Fiscal Year (but not to any succeeding Fiscal Years to the extent not fully utilized in the immediately succeeding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Fiscal Year; it being understood and agreed that such carried forward amounts shall be deemed utilized first in any Fiscal Year prior to utilization of the indicative amount for such Fiscal Year);</w:t>
      </w:r>
    </w:p>
    <w:p>
      <w:pPr>
        <w:sectPr>
          <w:pgSz w:w="11900" w:h="16838" w:orient="portrait"/>
          <w:cols w:equalWidth="0" w:num="1">
            <w:col w:w="11240"/>
          </w:cols>
          <w:pgMar w:left="320" w:top="1399" w:right="3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ectPr>
          <w:pgSz w:w="11900" w:h="16838" w:orient="portrait"/>
          <w:cols w:equalWidth="0" w:num="2">
            <w:col w:w="980" w:space="320"/>
            <w:col w:w="9940"/>
          </w:cols>
          <w:pgMar w:left="320" w:top="1399" w:right="339" w:bottom="1440" w:gutter="0" w:footer="0" w:header="0"/>
          <w:type w:val="continuous"/>
        </w:sect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(ah)</w:t>
      </w:r>
      <w:r>
        <w:rPr>
          <w:sz w:val="20"/>
          <w:szCs w:val="20"/>
          <w:color w:val="auto"/>
        </w:rPr>
        <w:tab/>
      </w:r>
      <w:r>
        <w:rPr>
          <w:rFonts w:ascii="Times New Roman" w:cs="Times New Roman" w:eastAsia="Times New Roman" w:hAnsi="Times New Roman"/>
          <w:sz w:val="20"/>
          <w:szCs w:val="20"/>
          <w:color w:val="auto"/>
        </w:rPr>
        <w:t>Investments made by any Restricted Subsidiary that is not a Loan Party with the proceeds received by such Restricted</w:t>
      </w:r>
    </w:p>
    <w:p>
      <w:pPr>
        <w:sectPr>
          <w:pgSz w:w="11900" w:h="16838" w:orient="portrait"/>
          <w:cols w:equalWidth="0" w:num="1">
            <w:col w:w="11240"/>
          </w:cols>
          <w:pgMar w:left="320" w:top="1399" w:right="339" w:bottom="1440" w:gutter="0" w:footer="0" w:header="0"/>
          <w:type w:val="continuous"/>
        </w:sectPr>
      </w:pPr>
    </w:p>
    <w:p>
      <w:pPr>
        <w:spacing w:after="0" w:line="28"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0"/>
          <w:szCs w:val="20"/>
          <w:color w:val="auto"/>
        </w:rPr>
        <w:t xml:space="preserve">Subsidiary from an Investment permitted to be made by any Loan Party in such Restricted Subsidiary pursuant to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any Investment made pursuant to (x) </w:t>
      </w:r>
      <w:r>
        <w:rPr>
          <w:rFonts w:ascii="Times New Roman" w:cs="Times New Roman" w:eastAsia="Times New Roman" w:hAnsi="Times New Roman"/>
          <w:sz w:val="20"/>
          <w:szCs w:val="20"/>
          <w:u w:val="single" w:color="auto"/>
          <w:color w:val="auto"/>
        </w:rPr>
        <w:t>Section 6.06(b)(ii)</w:t>
      </w:r>
      <w:r>
        <w:rPr>
          <w:rFonts w:ascii="Times New Roman" w:cs="Times New Roman" w:eastAsia="Times New Roman" w:hAnsi="Times New Roman"/>
          <w:sz w:val="20"/>
          <w:szCs w:val="20"/>
          <w:color w:val="auto"/>
        </w:rPr>
        <w:t xml:space="preserve">, solely to the extent the proceeds thereof are to be used to make an Investment in any Unrestricted Subsidiary and/or (y) </w:t>
      </w:r>
      <w:r>
        <w:rPr>
          <w:rFonts w:ascii="Times New Roman" w:cs="Times New Roman" w:eastAsia="Times New Roman" w:hAnsi="Times New Roman"/>
          <w:sz w:val="20"/>
          <w:szCs w:val="20"/>
          <w:u w:val="single" w:color="auto"/>
          <w:color w:val="auto"/>
        </w:rPr>
        <w:t>Section 6.06(e)(ii)</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9" w:right="339" w:bottom="1440" w:gutter="0" w:footer="0" w:header="0"/>
          <w:type w:val="continuous"/>
        </w:sectPr>
      </w:pP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(ai)</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 in the ordinary course of business to secure performance of operating leases and other contractual obligations</w:t>
      </w:r>
    </w:p>
    <w:p>
      <w:pPr>
        <w:spacing w:after="0" w:line="12" w:lineRule="exact"/>
        <w:rPr>
          <w:sz w:val="20"/>
          <w:szCs w:val="20"/>
          <w:color w:val="auto"/>
        </w:rPr>
      </w:pPr>
    </w:p>
    <w:p>
      <w:pPr>
        <w:sectPr>
          <w:pgSz w:w="11900" w:h="16838" w:orient="portrait"/>
          <w:cols w:equalWidth="0" w:num="2">
            <w:col w:w="940" w:space="360"/>
            <w:col w:w="9940"/>
          </w:cols>
          <w:pgMar w:left="320" w:top="13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that do not constitute Indebtedness;</w:t>
      </w:r>
    </w:p>
    <w:p>
      <w:pPr>
        <w:sectPr>
          <w:pgSz w:w="11900" w:h="16838" w:orient="portrait"/>
          <w:cols w:equalWidth="0" w:num="1">
            <w:col w:w="11240"/>
          </w:cols>
          <w:pgMar w:left="320" w:top="1399" w:right="339" w:bottom="1440" w:gutter="0" w:footer="0" w:header="0"/>
          <w:type w:val="continuous"/>
        </w:sectPr>
      </w:pP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(aj)</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Permitted Bond Hedge Transaction;</w:t>
      </w:r>
    </w:p>
    <w:p>
      <w:pPr>
        <w:spacing w:after="0" w:line="211" w:lineRule="exact"/>
        <w:rPr>
          <w:sz w:val="20"/>
          <w:szCs w:val="20"/>
          <w:color w:val="auto"/>
        </w:rPr>
      </w:pPr>
    </w:p>
    <w:p>
      <w:pPr>
        <w:sectPr>
          <w:pgSz w:w="11900" w:h="16838" w:orient="portrait"/>
          <w:cols w:equalWidth="0" w:num="2">
            <w:col w:w="940" w:space="360"/>
            <w:col w:w="9940"/>
          </w:cols>
          <w:pgMar w:left="320" w:top="13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type w:val="continuous"/>
        </w:sectPr>
      </w:pPr>
    </w:p>
    <w:bookmarkStart w:id="268" w:name="page269"/>
    <w:bookmarkEnd w:id="268"/>
    <w:p>
      <w:pPr>
        <w:jc w:val="both"/>
        <w:ind w:firstLine="648"/>
        <w:spacing w:after="0"/>
        <w:rPr>
          <w:sz w:val="20"/>
          <w:szCs w:val="20"/>
          <w:color w:val="auto"/>
        </w:rPr>
      </w:pPr>
      <w:r>
        <w:rPr>
          <w:rFonts w:ascii="Times New Roman" w:cs="Times New Roman" w:eastAsia="Times New Roman" w:hAnsi="Times New Roman"/>
          <w:sz w:val="20"/>
          <w:szCs w:val="20"/>
          <w:color w:val="auto"/>
        </w:rPr>
        <w:t>(ak) Investments consisting of prepaid expenses, negotiable instruments held for collection and lease, utility and workers’ compensation, performance and other similar deposits;</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(al) Investments in receivables owing to the Borrower and/or any Restricted Subsidiary in the ordinary course of business on customary trade terms, including such concessionary trade terms as the Borrower or the relevant Restricted Subsidiary may deem reasonable under the applicable circumstances;</w:t>
      </w:r>
    </w:p>
    <w:p>
      <w:pPr>
        <w:sectPr>
          <w:pgSz w:w="11900" w:h="16838" w:orient="portrait"/>
          <w:cols w:equalWidth="0" w:num="1">
            <w:col w:w="11240"/>
          </w:cols>
          <w:pgMar w:left="320" w:top="1399" w:right="339" w:bottom="1440" w:gutter="0" w:footer="0" w:header="0"/>
        </w:sectPr>
      </w:pP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(am)</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contribution to a “rabbi” trust for the benefit of any employee, director, consultant, independent contractor or other</w:t>
      </w:r>
    </w:p>
    <w:p>
      <w:pPr>
        <w:spacing w:after="0" w:line="1" w:lineRule="exact"/>
        <w:rPr>
          <w:sz w:val="20"/>
          <w:szCs w:val="20"/>
          <w:color w:val="auto"/>
        </w:rPr>
      </w:pPr>
    </w:p>
    <w:p>
      <w:pPr>
        <w:sectPr>
          <w:pgSz w:w="11900" w:h="16838" w:orient="portrait"/>
          <w:cols w:equalWidth="0" w:num="2">
            <w:col w:w="1020" w:space="280"/>
            <w:col w:w="9940"/>
          </w:cols>
          <w:pgMar w:left="320" w:top="13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service provider or any other grantor trust; and/or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(an)</w:t>
      </w:r>
      <w:r>
        <w:rPr>
          <w:sz w:val="20"/>
          <w:szCs w:val="20"/>
          <w:color w:val="auto"/>
        </w:rPr>
        <w:tab/>
      </w:r>
      <w:r>
        <w:rPr>
          <w:rFonts w:ascii="Times New Roman" w:cs="Times New Roman" w:eastAsia="Times New Roman" w:hAnsi="Times New Roman"/>
          <w:sz w:val="20"/>
          <w:szCs w:val="20"/>
          <w:color w:val="auto"/>
        </w:rPr>
        <w:t>Investments to acquire and hold accounts receivable and/or notes receivable from franchisees in the ordinary course of</w:t>
      </w:r>
    </w:p>
    <w:p>
      <w:pPr>
        <w:sectPr>
          <w:pgSz w:w="11900" w:h="16838" w:orient="portrait"/>
          <w:cols w:equalWidth="0" w:num="1">
            <w:col w:w="11240"/>
          </w:cols>
          <w:pgMar w:left="320" w:top="1399" w:right="339" w:bottom="1440" w:gutter="0" w:footer="0" w:header="0"/>
          <w:type w:val="continuous"/>
        </w:sectPr>
      </w:pPr>
    </w:p>
    <w:p>
      <w:pPr>
        <w:spacing w:after="0" w:line="226" w:lineRule="auto"/>
        <w:rPr>
          <w:sz w:val="20"/>
          <w:szCs w:val="20"/>
          <w:color w:val="auto"/>
        </w:rPr>
      </w:pPr>
      <w:r>
        <w:rPr>
          <w:rFonts w:ascii="Times New Roman" w:cs="Times New Roman" w:eastAsia="Times New Roman" w:hAnsi="Times New Roman"/>
          <w:sz w:val="20"/>
          <w:szCs w:val="20"/>
          <w:color w:val="auto"/>
        </w:rPr>
        <w:t>business to prevent or limit loss.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Notwithstanding the foregoing, it is understood and agreed that this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xml:space="preserve"> shall not permit (x) an IP Separation Transaction or</w:t>
      </w:r>
    </w:p>
    <w:p>
      <w:pPr>
        <w:spacing w:after="0" w:line="6" w:lineRule="exact"/>
        <w:rPr>
          <w:sz w:val="20"/>
          <w:szCs w:val="20"/>
          <w:color w:val="auto"/>
        </w:rPr>
      </w:pPr>
    </w:p>
    <w:p>
      <w:pPr>
        <w:ind w:firstLine="8"/>
        <w:spacing w:after="0" w:line="221" w:lineRule="auto"/>
        <w:tabs>
          <w:tab w:leader="none" w:pos="31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Investment by the Borrower or any Restricted Subsidiary in the form of a contribution of the “First Watch” brand name to any Unrestricted Subsidiary.</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7.</w:t>
        <w:tab/>
        <w:t>Fundamental Changes; Disposition of Assets. The Borrower shall not, nor shall it permit any of its Restricted</w:t>
      </w:r>
    </w:p>
    <w:p>
      <w:pPr>
        <w:spacing w:after="0" w:line="204" w:lineRule="auto"/>
        <w:rPr>
          <w:sz w:val="20"/>
          <w:szCs w:val="20"/>
          <w:color w:val="auto"/>
        </w:rPr>
      </w:pPr>
      <w:r>
        <w:rPr>
          <w:rFonts w:ascii="Times New Roman" w:cs="Times New Roman" w:eastAsia="Times New Roman" w:hAnsi="Times New Roman"/>
          <w:sz w:val="20"/>
          <w:szCs w:val="20"/>
          <w:color w:val="auto"/>
        </w:rPr>
        <w:t>Subsidiaries to, merge, consolidate, amalgamate, or liquidate, wind up or dissolve themselves (or suffer any liquidation or dissolution), or make any voluntary Disposition of assets outside the ordinary course of business having a fair market value in excess of the greater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$6,000,000 and 10% of Consolidated Adjusted EBITDA as of the last day of the most recently ended Test Period in any single transaction or series of related transactions (including, in each case, pursuant to a Delaware LLC Division), except:</w:t>
      </w:r>
    </w:p>
    <w:p>
      <w:pPr>
        <w:spacing w:after="0" w:line="149" w:lineRule="exact"/>
        <w:rPr>
          <w:sz w:val="20"/>
          <w:szCs w:val="20"/>
          <w:color w:val="auto"/>
        </w:rPr>
      </w:pPr>
    </w:p>
    <w:p>
      <w:pPr>
        <w:jc w:val="both"/>
        <w:ind w:firstLine="656"/>
        <w:spacing w:after="0" w:line="226" w:lineRule="auto"/>
        <w:tabs>
          <w:tab w:leader="none" w:pos="1286"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Subsidiary Guarantor may be merged, consolidated or amalgamated with another Person or, if applicable, effect a Delaware LLC Division, or any Restricted Subsidiary may be merged, consolidated or amalgamated with or into the Borrower or any Restricted Subsidiary or, if applicable, effect a Delaware LLC Division;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4"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such merger, consolidation or amalgamation with or into the Borrower or any Delaware LLC Division relating to the Borrower, (A) the Borrower shall be the continuing or surviving Person or (B) if the Person formed by or surviving any such merger, consolidation, amalgamation or Delaware LLC Division is not the Borrower (any such Person, the “</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(1) the Successor Borrower shall be an entity organized or existing under the law of the US, any state thereof or the District of Columbia, (2) the Successor Borrower shall expressly assume the Obligations of the Borrower in a manner reasonably satisfactory to the Administrative Agent and (3)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are satisfied, the Successor Borrower will succeed to, and be substituted for, the Borrower under this Agreement and the other Loan Documents, and</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55"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merger, consolidation or amalgamation with or into any Subsidiary Guarantor or any Delaware LLC Division relating to any Subsidiary Guarantor, either (A) the Borrower or a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(including of Capital Stock) among the Borrower and/or any Restricted Subsidiary (upon voluntary liquidation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relevant Disposition is to a Restricted Subsidiary that is not a Loan Party, the relevant transaction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type w:val="continuous"/>
        </w:sectPr>
      </w:pPr>
    </w:p>
    <w:bookmarkStart w:id="269" w:name="page270"/>
    <w:bookmarkEnd w:id="269"/>
    <w:p>
      <w:pPr>
        <w:jc w:val="both"/>
        <w:ind w:firstLine="656"/>
        <w:spacing w:after="0" w:line="212" w:lineRule="auto"/>
        <w:tabs>
          <w:tab w:leader="none" w:pos="128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liquidation, dissolution or Delaware LLC Division of any Restricted Subsidiary if the Borrower determines in good faith that (A) such liquidation, dissolution or Delaware LLC Division is in the best interests of the Borrower and (B) is not materially disadvantageous to the Lenders (taken as a whole) and (ii) the Borrower or any Restricted Subsidiary receives the assets (if any) of the relevant liquidated, dissolved or divided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liquidation, dissolution or Delaware LLC Division of any Loan Party that results in a distribution of assets to any Restricted Subsidiary that is not a Loan Party, such distribution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in reliance on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thereof); (ii) any merger, amalgamation, dissolution, liquidation, consolidation or Delaware LLC Division, the purpose of which is to effect (A) any Disposition otherwise permitted under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or (B) any Investment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6.06(j)</w:t>
      </w:r>
      <w:r>
        <w:rPr>
          <w:rFonts w:ascii="Times New Roman" w:cs="Times New Roman" w:eastAsia="Times New Roman" w:hAnsi="Times New Roman"/>
          <w:sz w:val="20"/>
          <w:szCs w:val="20"/>
          <w:color w:val="auto"/>
        </w:rPr>
        <w:t>); and (iii) the conversion of the Borrower or any Restricted Subsidiary into another form of entity, so long as such conversion does not, in the good faith determination of the Borrower, adversely affect the value of the Loan Guaranty or Collateral, if any;</w:t>
      </w:r>
    </w:p>
    <w:p>
      <w:pPr>
        <w:spacing w:after="0" w:line="169"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inventory or equipment or immaterial assets in the ordinary course of business (including on an intercompany basis) and (ii) the leasing or subleasing of real property in the ordinary course of business;</w:t>
      </w:r>
    </w:p>
    <w:p>
      <w:pPr>
        <w:spacing w:after="0" w:line="160" w:lineRule="exact"/>
        <w:rPr>
          <w:rFonts w:ascii="Times New Roman" w:cs="Times New Roman" w:eastAsia="Times New Roman" w:hAnsi="Times New Roman"/>
          <w:sz w:val="20"/>
          <w:szCs w:val="20"/>
          <w:color w:val="auto"/>
        </w:rPr>
      </w:pPr>
    </w:p>
    <w:p>
      <w:pPr>
        <w:jc w:val="both"/>
        <w:ind w:right="20" w:firstLine="656"/>
        <w:spacing w:after="0" w:line="226" w:lineRule="auto"/>
        <w:tabs>
          <w:tab w:leader="none" w:pos="128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surplus, obsolete, used or worn out property or other property that, in the good faith judgment of the Borrower, is (i) no longer useful in its business (or in the business of any Restricted Subsidiary of the Borrower) or (ii) otherwise economically impracticable to maintain, including any property abandoned in connection with the termination of any lease;</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91"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and/or Cash Equivalents and/or other assets that were Cash Equivalents when the relevant original Investment was made;</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mergers, amalgamations, consolidations or conveyances that constitute (or would result in) (i) Investments permitted pursuant to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6.06(j)</w:t>
      </w:r>
      <w:r>
        <w:rPr>
          <w:rFonts w:ascii="Times New Roman" w:cs="Times New Roman" w:eastAsia="Times New Roman" w:hAnsi="Times New Roman"/>
          <w:sz w:val="20"/>
          <w:szCs w:val="20"/>
          <w:color w:val="auto"/>
        </w:rPr>
        <w:t xml:space="preserve">), (ii) Permitted Liens and (iii) Restricted Payments permitted by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6.04(a)(ix)</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for fair market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Disposition (other than any Permitted Asset Swap) with a purchase price in excess of the greater of $6,000,000 and 10% of Consolidated Adjusted EBITDA as of the last day of the most recently ended Test Period, at least 75% of the consideration for such Disposition (other than the portion of any such Disposition consisting of a Permitted Asset Swap) shall consist of Cash or Cash Equivalents;</w:t>
      </w:r>
    </w:p>
    <w:p>
      <w:pPr>
        <w:spacing w:after="0" w:line="14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75% Cash consideration requirement described immediately above:</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7"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Restricted Subsidiary have been validly released by all relevant creditors in writing,</w:t>
      </w:r>
    </w:p>
    <w:p>
      <w:pPr>
        <w:spacing w:after="0" w:line="162"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trade-in value applied to the purchase price of any replacement assets acquired in connection with such Disposition,</w:t>
      </w:r>
    </w:p>
    <w:p>
      <w:pPr>
        <w:spacing w:after="0" w:line="147" w:lineRule="exact"/>
        <w:rPr>
          <w:rFonts w:ascii="Times New Roman" w:cs="Times New Roman" w:eastAsia="Times New Roman" w:hAnsi="Times New Roman"/>
          <w:sz w:val="20"/>
          <w:szCs w:val="20"/>
          <w:color w:val="auto"/>
        </w:rPr>
      </w:pPr>
    </w:p>
    <w:p>
      <w:pPr>
        <w:ind w:left="1300" w:right="20" w:firstLine="652"/>
        <w:spacing w:after="0"/>
        <w:tabs>
          <w:tab w:leader="none" w:pos="2590"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received by the Borrower or any Restricted Subsidiary from such transferee that will be converted by such Person into Cash or Cash Equivalents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0" w:name="page271"/>
    <w:bookmarkEnd w:id="270"/>
    <w:p>
      <w:pPr>
        <w:ind w:left="1300"/>
        <w:spacing w:after="0"/>
        <w:rPr>
          <w:sz w:val="20"/>
          <w:szCs w:val="20"/>
          <w:color w:val="auto"/>
        </w:rPr>
      </w:pPr>
      <w:r>
        <w:rPr>
          <w:rFonts w:ascii="Times New Roman" w:cs="Times New Roman" w:eastAsia="Times New Roman" w:hAnsi="Times New Roman"/>
          <w:sz w:val="19"/>
          <w:szCs w:val="19"/>
          <w:color w:val="auto"/>
        </w:rPr>
        <w:t>the extent of the Cash or Cash Equivalents received) within 180 days following the closing of the applicable Disposition, and</w:t>
      </w:r>
    </w:p>
    <w:p>
      <w:pPr>
        <w:spacing w:after="0" w:line="200" w:lineRule="exact"/>
        <w:rPr>
          <w:sz w:val="20"/>
          <w:szCs w:val="20"/>
          <w:color w:val="auto"/>
        </w:rPr>
      </w:pPr>
    </w:p>
    <w:p>
      <w:pPr>
        <w:jc w:val="both"/>
        <w:ind w:left="1300" w:firstLine="652"/>
        <w:spacing w:after="0" w:line="222" w:lineRule="auto"/>
        <w:tabs>
          <w:tab w:leader="none" w:pos="2587"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that is at that time outstanding, not in excess of the greater of $12,000,000 and 20% of Consolidated Adjusted EBITDA as of the last day of the most recently ended Test Period,</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each case, shall be deemed to be Cash; and</w:t>
      </w:r>
    </w:p>
    <w:p>
      <w:pPr>
        <w:spacing w:after="0" w:line="189" w:lineRule="exact"/>
        <w:rPr>
          <w:sz w:val="20"/>
          <w:szCs w:val="20"/>
          <w:color w:val="auto"/>
        </w:rPr>
      </w:pPr>
    </w:p>
    <w:p>
      <w:pPr>
        <w:jc w:val="both"/>
        <w:ind w:left="660" w:firstLine="644"/>
        <w:spacing w:after="0" w:line="216" w:lineRule="auto"/>
        <w:tabs>
          <w:tab w:leader="none" w:pos="1956"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Dispositions made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together with the amount of Dispositions made pursuant to </w:t>
      </w:r>
      <w:r>
        <w:rPr>
          <w:rFonts w:ascii="Times New Roman" w:cs="Times New Roman" w:eastAsia="Times New Roman" w:hAnsi="Times New Roman"/>
          <w:sz w:val="20"/>
          <w:szCs w:val="20"/>
          <w:u w:val="single" w:color="auto"/>
          <w:color w:val="auto"/>
        </w:rPr>
        <w:t>Section 6.07(aa)</w:t>
      </w:r>
      <w:r>
        <w:rPr>
          <w:rFonts w:ascii="Times New Roman" w:cs="Times New Roman" w:eastAsia="Times New Roman" w:hAnsi="Times New Roman"/>
          <w:sz w:val="20"/>
          <w:szCs w:val="20"/>
          <w:color w:val="auto"/>
        </w:rPr>
        <w:t xml:space="preserve"> below, does not exceed the greater of $21,000,000 and 35% of Consolidated Adjusted EBITDA as of the last day of the most recently ended Test Period in any Fiscal Year, which, if not used in such Fiscal Year, shall be carried forward to the next Fiscal Year (but not to any succeeding Fiscal Years to the extent not fully utilized in the immediately succeeding Fiscal Year; it being understood and agreed that such carried forward amounts shall be deemed utilized first in any Fiscal Year prior to utilization of the indicative amount for such Fiscal Year);</w:t>
      </w:r>
    </w:p>
    <w:p>
      <w:pPr>
        <w:spacing w:after="0" w:line="162" w:lineRule="exact"/>
        <w:rPr>
          <w:rFonts w:ascii="Times New Roman" w:cs="Times New Roman" w:eastAsia="Times New Roman" w:hAnsi="Times New Roman"/>
          <w:sz w:val="20"/>
          <w:szCs w:val="20"/>
          <w:color w:val="auto"/>
        </w:rPr>
      </w:pPr>
    </w:p>
    <w:p>
      <w:pPr>
        <w:jc w:val="both"/>
        <w:ind w:firstLine="656"/>
        <w:spacing w:after="0" w:line="266" w:lineRule="auto"/>
        <w:tabs>
          <w:tab w:leader="none" w:pos="1294"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23" w:lineRule="exact"/>
        <w:rPr>
          <w:rFonts w:ascii="Times New Roman" w:cs="Times New Roman" w:eastAsia="Times New Roman" w:hAnsi="Times New Roman"/>
          <w:sz w:val="19"/>
          <w:szCs w:val="19"/>
          <w:color w:val="auto"/>
        </w:rPr>
      </w:pPr>
    </w:p>
    <w:p>
      <w:pPr>
        <w:ind w:firstLine="656"/>
        <w:spacing w:after="0"/>
        <w:tabs>
          <w:tab w:leader="none" w:pos="129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w:t>
      </w:r>
    </w:p>
    <w:p>
      <w:pPr>
        <w:spacing w:after="0" w:line="146"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(taken as a whole) or (ii) which relate to closed facilities or the discontinuation of any product line;</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foreclosure, casualty, eminent domain or condemnation proceedings (including in lieu thereof or any similar proceeding);</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consignments of equipment, inventory or other assets (including leasehold interests in real property) with respect to facilities that are temporarily not in use, held for sale or closed;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 determined by the Borrower in good faith) assets acquired in connection with any acquisition or other Investment permitted hereunder and sales of Real Estate Assets acquired in any acquisition or other Investment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on the date on which the definitive agreement governing the relevant Disposition is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1" w:name="page272"/>
    <w:bookmarkEnd w:id="271"/>
    <w:p>
      <w:pPr>
        <w:jc w:val="both"/>
        <w:ind w:firstLine="656"/>
        <w:spacing w:after="0" w:line="226" w:lineRule="auto"/>
        <w:tabs>
          <w:tab w:leader="none" w:pos="1291"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exchanges or swaps, including transactions covered by Section 1031 of the Code (or any comparable provision of any foreign jurisdiction), of assets so long as any such exchange or swap is made for fair value (as determined by the Borrower in good faith) for like assets (including Related Business Assets);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that do not constitute Collateral for fair market value;</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29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Disposition, licensing, sublicensing and/or cross-licensing arrangement involving any technology or IP Right of the Borrower or any Restricted Subsidiary in the ordinary course of business, and (ii) any Disposition, abandonment, cancellation or lapse of any IP Right, or any issuance or registration, or application for issuance or registration, of any IP Right, which, in the good faith determination of the Borrower is not material to the conduct of the business of the Borrower and its Restricted Subsidiaries, taken as a whole, or is no longer economical to maintain in light of its use;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termination or unwind of Derivative Transactions or Banking Services Obligations;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of, or sales of Indebtedness or other Securities of, Unrestricted Subsidiaries;</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made to comply with any order of any Governmental Authority or any applicable Requirement of Law (including as a condition to, or in connection with, the consummation of the Transactions);</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Disposition or conveyance the purpose of which is to reincorporate or reorganize (i) any Restricted Subsidiary in another jurisdiction in the US and/or (ii) any Foreign Subsidiary in the US or any other jurisdiction;</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motor vehicles and information technology equipment purchased at the end of an operating lease and resold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w:t>
      </w:r>
    </w:p>
    <w:p>
      <w:pPr>
        <w:spacing w:after="0" w:line="167" w:lineRule="exact"/>
        <w:rPr>
          <w:sz w:val="20"/>
          <w:szCs w:val="20"/>
          <w:color w:val="auto"/>
        </w:rPr>
      </w:pPr>
    </w:p>
    <w:p>
      <w:pPr>
        <w:jc w:val="both"/>
        <w:ind w:firstLine="656"/>
        <w:spacing w:after="0" w:line="216" w:lineRule="auto"/>
        <w:tabs>
          <w:tab w:leader="none" w:pos="129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involving assets having a fair market value in the aggregate, together with the amount of Dispositions made pursuant to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above, of not more than the greater of $21,000,000 and 35% of Consolidated Adjusted EBITDA as of the last day of the most recently ended Test Period in any Fiscal Year, which, if not used in such Fiscal Year, shall be carried forward to the next Fiscal Year (but not to any succeeding Fiscal Years to the extent not fully utilized in the immediately succeeding Fiscal Year; it being understood and agreed that such carried forward amounts shall be deemed utilized first in any Fiscal Year prior to utilization of the indicative amount for such Fiscal Year);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 xml:space="preserve">Dispositions in connection with reorganizations and/or restructurings and/or activities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21" w:lineRule="auto"/>
        <w:rPr>
          <w:sz w:val="20"/>
          <w:szCs w:val="20"/>
          <w:color w:val="auto"/>
        </w:rPr>
      </w:pPr>
      <w:r>
        <w:rPr>
          <w:rFonts w:ascii="Times New Roman" w:cs="Times New Roman" w:eastAsia="Times New Roman" w:hAnsi="Times New Roman"/>
          <w:sz w:val="20"/>
          <w:szCs w:val="20"/>
          <w:color w:val="auto"/>
        </w:rPr>
        <w:t>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(ac)</w:t>
      </w:r>
      <w:r>
        <w:rPr>
          <w:sz w:val="20"/>
          <w:szCs w:val="20"/>
          <w:color w:val="auto"/>
        </w:rPr>
        <w:tab/>
      </w:r>
      <w:r>
        <w:rPr>
          <w:rFonts w:ascii="Times New Roman" w:cs="Times New Roman" w:eastAsia="Times New Roman" w:hAnsi="Times New Roman"/>
          <w:sz w:val="20"/>
          <w:szCs w:val="20"/>
          <w:color w:val="auto"/>
        </w:rPr>
        <w:t>Dispositions of assets in connection with the closing or sale of an office in the ordinary course of business of the Borrower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the Restricted Subsidiaries, which consist of leasehold interests in the premises of such office, the equipment and fixtures located at such premises and the books and records relating exclusively and directly to the operations of such office;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sale shall be at a</w:t>
      </w:r>
    </w:p>
    <w:p>
      <w:pPr>
        <w:spacing w:after="0"/>
        <w:rPr>
          <w:sz w:val="20"/>
          <w:szCs w:val="20"/>
          <w:color w:val="auto"/>
        </w:rPr>
      </w:pPr>
      <w:r>
        <w:rPr>
          <w:rFonts w:ascii="Times New Roman" w:cs="Times New Roman" w:eastAsia="Times New Roman" w:hAnsi="Times New Roman"/>
          <w:sz w:val="20"/>
          <w:szCs w:val="20"/>
          <w:color w:val="auto"/>
        </w:rPr>
        <w:t>commercially reasonable price and on commercially reasonable terms in a bona fide arm’s-length transaction;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(ad)</w:t>
      </w:r>
      <w:r>
        <w:rPr>
          <w:sz w:val="20"/>
          <w:szCs w:val="20"/>
          <w:color w:val="auto"/>
        </w:rPr>
        <w:tab/>
      </w: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2" w:name="page273"/>
    <w:bookmarkEnd w:id="27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(ae)</w:t>
      </w:r>
      <w:r>
        <w:rPr>
          <w:sz w:val="20"/>
          <w:szCs w:val="20"/>
          <w:color w:val="auto"/>
        </w:rPr>
        <w:tab/>
      </w:r>
      <w:r>
        <w:rPr>
          <w:rFonts w:ascii="Times New Roman" w:cs="Times New Roman" w:eastAsia="Times New Roman" w:hAnsi="Times New Roman"/>
          <w:sz w:val="20"/>
          <w:szCs w:val="20"/>
          <w:color w:val="auto"/>
        </w:rPr>
        <w:t xml:space="preserve">Sale and 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fair market value of all property so Disposed of after the Closing</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Date shall not exceed the greater of $21,000,000 and 35% of Consolidated Adjusted EBITDA as of the last day of the most recently ended Test Period and (ii) the Borrower shall be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on a Pro Forma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(af)</w:t>
            </w:r>
          </w:p>
        </w:tc>
        <w:tc>
          <w:tcPr>
            <w:tcW w:w="1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19"/>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(ag)</w:t>
            </w:r>
          </w:p>
        </w:tc>
        <w:tc>
          <w:tcPr>
            <w:tcW w:w="1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(ah)</w:t>
            </w:r>
          </w:p>
        </w:tc>
        <w:tc>
          <w:tcPr>
            <w:tcW w:w="1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(ai)</w:t>
            </w:r>
          </w:p>
        </w:tc>
        <w:tc>
          <w:tcPr>
            <w:tcW w:w="1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settlement</w:t>
            </w:r>
          </w:p>
        </w:tc>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or early termination of</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any</w:t>
            </w:r>
          </w:p>
        </w:tc>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Permitted</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Bond Hedge Transaction and/or</w:t>
            </w: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any related</w:t>
            </w:r>
          </w:p>
        </w:tc>
        <w:tc>
          <w:tcPr>
            <w:tcW w:w="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Permitted</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4"/>
              </w:rPr>
              <w:t>Warrant</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Transaction;</w:t>
            </w:r>
          </w:p>
        </w:tc>
        <w:tc>
          <w:tcPr>
            <w:tcW w:w="14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05"/>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(aj)</w:t>
            </w:r>
          </w:p>
        </w:tc>
        <w:tc>
          <w:tcPr>
            <w:tcW w:w="850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Dispositions of any asset acquired with the proceeds of an Available Excluded Contribution Amount; and</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(ak)</w:t>
            </w:r>
          </w:p>
        </w:tc>
        <w:tc>
          <w:tcPr>
            <w:tcW w:w="1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granting of</w:t>
            </w:r>
          </w:p>
        </w:tc>
        <w:tc>
          <w:tcPr>
            <w:tcW w:w="2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franchises with respect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w:t>
            </w: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restaurants</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 Dispositions of property in</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connection</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therewith)</w:t>
            </w:r>
          </w:p>
        </w:tc>
        <w:tc>
          <w:tcPr>
            <w:tcW w:w="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made to</w:t>
            </w:r>
          </w:p>
        </w:tc>
      </w:tr>
    </w:tbl>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franchisees meeting the Borrower’s reasonable qualifications;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Dispositions are made for fair market value, (B) any such granting of a franchise with respect to a restaurant then owned by any Loan Party shall be subject to the absence of any Event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Default on the date on which such Disposition is consummated, (C) 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on a Pro Forma Basis, at the Borrower’s election, either (1) at the time of the execution of the definitive agreement governing such Disposition or (2) on the date on which such Disposition is consummated and (D) the aggregate amount of Dispositions made pursuant to this</w:t>
      </w:r>
    </w:p>
    <w:p>
      <w:pPr>
        <w:spacing w:after="0"/>
        <w:rPr>
          <w:sz w:val="20"/>
          <w:szCs w:val="20"/>
          <w:color w:val="auto"/>
        </w:rPr>
      </w:pPr>
      <w:r>
        <w:rPr>
          <w:rFonts w:ascii="Times New Roman" w:cs="Times New Roman" w:eastAsia="Times New Roman" w:hAnsi="Times New Roman"/>
          <w:sz w:val="20"/>
          <w:szCs w:val="20"/>
          <w:u w:val="single" w:color="auto"/>
          <w:color w:val="auto"/>
        </w:rPr>
        <w:t>clause (kk)</w:t>
      </w:r>
      <w:r>
        <w:rPr>
          <w:rFonts w:ascii="Times New Roman" w:cs="Times New Roman" w:eastAsia="Times New Roman" w:hAnsi="Times New Roman"/>
          <w:sz w:val="20"/>
          <w:szCs w:val="20"/>
          <w:color w:val="auto"/>
        </w:rPr>
        <w:t xml:space="preserve"> does not exceed the greater of $21,000,000 and 35% of Consolidated Adjusted EBITDA.</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It is understood and agreed that (a) to the extent that any Collateral is Disposed of as permitted by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such Collateral shall be Disposed of free and clear of the Liens created by the Loan Documents, which Liens shall be automatically released upon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consummation of such Disposition, and the Administrative Agent shall be authorized to take, and shall take, any action reasonably requested by the Borrower in order to effect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 Disposition made to any Loan Party, the relevant transferred</w:t>
      </w:r>
    </w:p>
    <w:p>
      <w:pPr>
        <w:spacing w:after="0" w:line="211" w:lineRule="auto"/>
        <w:rPr>
          <w:sz w:val="20"/>
          <w:szCs w:val="20"/>
          <w:color w:val="auto"/>
        </w:rPr>
      </w:pPr>
      <w:r>
        <w:rPr>
          <w:rFonts w:ascii="Times New Roman" w:cs="Times New Roman" w:eastAsia="Times New Roman" w:hAnsi="Times New Roman"/>
          <w:sz w:val="20"/>
          <w:szCs w:val="20"/>
          <w:color w:val="auto"/>
        </w:rPr>
        <w:t>assets shall become part of the Collateral of the transferee Loan Party (except to the extent such assets constitute Excluded Assets), (b)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determination of the fair market value of any asset other than Cash for purposes of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shall be made by the Borrower in good faith at its election either (1) at the time of the execution of the definitive agreement governing such Disposition or (2) the date on which such</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Disposition is consummated and (c) notwithstanding the foregoing provisions of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shall not permit (i) an IP</w:t>
      </w:r>
    </w:p>
    <w:p>
      <w:pPr>
        <w:jc w:val="both"/>
        <w:spacing w:after="0" w:line="221" w:lineRule="auto"/>
        <w:rPr>
          <w:sz w:val="20"/>
          <w:szCs w:val="20"/>
          <w:color w:val="auto"/>
        </w:rPr>
      </w:pPr>
      <w:r>
        <w:rPr>
          <w:rFonts w:ascii="Times New Roman" w:cs="Times New Roman" w:eastAsia="Times New Roman" w:hAnsi="Times New Roman"/>
          <w:sz w:val="20"/>
          <w:szCs w:val="20"/>
          <w:color w:val="auto"/>
        </w:rPr>
        <w:t>Separation Transaction or (ii) a Disposition by the Borrower or any Restricted Subsidiary of the “First Watch” brand name to any Unrestricted Subsidiary.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8.</w:t>
        <w:tab/>
        <w:t>Amendments of or Waivers with Respect to Restricted Debt. The Borrower shall not, nor shall it permit any of its</w:t>
      </w:r>
    </w:p>
    <w:p>
      <w:pPr>
        <w:jc w:val="both"/>
        <w:spacing w:after="0" w:line="204" w:lineRule="auto"/>
        <w:rPr>
          <w:sz w:val="20"/>
          <w:szCs w:val="20"/>
          <w:color w:val="auto"/>
        </w:rPr>
      </w:pPr>
      <w:r>
        <w:rPr>
          <w:rFonts w:ascii="Times New Roman" w:cs="Times New Roman" w:eastAsia="Times New Roman" w:hAnsi="Times New Roman"/>
          <w:sz w:val="20"/>
          <w:szCs w:val="20"/>
          <w:color w:val="auto"/>
        </w:rPr>
        <w:t>Restricted Subsidiaries to, amend or otherwise modify the subordination terms set forth in the documentation governing any Restricted Debt if the effect of such amendment or modification, together with all other amendments or modifications made, is, in the good faith</w:t>
      </w:r>
    </w:p>
    <w:p>
      <w:pPr>
        <w:spacing w:after="0" w:line="211" w:lineRule="auto"/>
        <w:rPr>
          <w:sz w:val="20"/>
          <w:szCs w:val="20"/>
          <w:color w:val="auto"/>
        </w:rPr>
      </w:pPr>
      <w:r>
        <w:rPr>
          <w:rFonts w:ascii="Times New Roman" w:cs="Times New Roman" w:eastAsia="Times New Roman" w:hAnsi="Times New Roman"/>
          <w:sz w:val="20"/>
          <w:szCs w:val="20"/>
          <w:color w:val="auto"/>
        </w:rPr>
        <w:t>determination of the Borrower, materially adverse to the interests of the Lenders (in their capacities as such); provided that, for purposes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clarity, it is understood and agreed that the foregoing limitation shall not otherwise prohibit any Refinancing Indebtedness or any other replacement, refinancing, amendment, supplement, modification, extension, renewal, restatement or refunding of any Restricted Debt,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case, that is otherwise permitted to be incurred under this Agreement in respect thereof.</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Holdings. Holdings shall not:</w:t>
      </w:r>
    </w:p>
    <w:p>
      <w:pPr>
        <w:spacing w:after="0" w:line="175" w:lineRule="exact"/>
        <w:rPr>
          <w:sz w:val="20"/>
          <w:szCs w:val="20"/>
          <w:color w:val="auto"/>
        </w:rPr>
      </w:pPr>
    </w:p>
    <w:p>
      <w:pPr>
        <w:jc w:val="both"/>
        <w:ind w:firstLine="656"/>
        <w:spacing w:after="0" w:line="222" w:lineRule="auto"/>
        <w:tabs>
          <w:tab w:leader="none" w:pos="128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or suffer to exist any Lien on any asset now owned or hereafter acquired by it other than (i) the Liens created under the Collateral Documents to which it is a party, (ii) any other Lien created in connection with the Transactions, (iii) Liens on the Collateral that are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with the Secured Obligations, so long as such Liens secure Guarantees of Indebtedness or other obligations of the Borrower and/or any Restricted Subsidiary that are otherwise permitted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9"/>
          <w:szCs w:val="19"/>
          <w:color w:val="auto"/>
        </w:rPr>
        <w:t xml:space="preserve">the underlying Indebtedness subject to such Guarantees is of the type permitted to be secured on the same basis pursuant to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and</w:t>
      </w:r>
    </w:p>
    <w:p>
      <w:pPr>
        <w:spacing w:after="0" w:line="6" w:lineRule="exact"/>
        <w:rPr>
          <w:sz w:val="20"/>
          <w:szCs w:val="20"/>
          <w:color w:val="auto"/>
        </w:rPr>
      </w:pPr>
    </w:p>
    <w:p>
      <w:pPr>
        <w:ind w:left="340" w:hanging="332"/>
        <w:spacing w:after="0"/>
        <w:tabs>
          <w:tab w:leader="none" w:pos="3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of the type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(other than in respect of Indebtedness for borrowed money); or</w:t>
      </w:r>
    </w:p>
    <w:p>
      <w:pPr>
        <w:spacing w:after="0" w:line="153"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 or amalgamate with, or merge with or into, or convey, sell or otherwise Dispose of all or substantially all of its assets to, any Person or dissolve or cancel its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Holdings may consolidate or amalgamate with, or merge with or into, any other Person so long as, to the extent after giving effect to such consolidation, amalgamation or merger (x) Holdings is the continuing or surviving Person or (y) if the Person formed by or surviving any such consolidation, amalgamation or merger is not Holdings and such Person is the direct Parent Company of the Borrower (any such surviving or successor Person, together with any Person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and any immediate Parent Company of the Borrower referred to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Successor Holdings</w:t>
      </w:r>
      <w:r>
        <w:rPr>
          <w:rFonts w:ascii="Times New Roman" w:cs="Times New Roman" w:eastAsia="Times New Roman" w:hAnsi="Times New Roman"/>
          <w:sz w:val="20"/>
          <w:szCs w:val="20"/>
          <w:color w:val="auto"/>
        </w:rPr>
        <w:t xml:space="preserve">”), (i) Successor Holdings shall be an entity organized or existing under the law of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 (B) Holdings may otherwise convey, sell or otherwise transfer all or substantially all of its assets to any other Person (other than the Borrower and any of its Subsidiaries) so long as (x) no Change of Control results therefrom, (y) Successor Holdings shall be an entity organized or existing under the law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and (C) Holdings may dissolve or otherwise cancel its existence, so long as the immediate Parent Company of the Borrower (if any) after giving effect to such dissolution or cancellation, becomes Successor Holdings and complies with the requirements of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applicable to Successor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(1) if the conditions set forth in the preceding proviso are satisfied, Successor Holdings will succeed to, and be substituted for, Holdings under this Agreement, (2) it is understood and agreed that Holdings may convert into another form of entity organized or existing under the law of the US, any state thereof or the District of Columbia so long as such conversion does not adversely affect the value of its Loan Guaranty or the Collateral.</w:t>
      </w:r>
    </w:p>
    <w:p>
      <w:pPr>
        <w:spacing w:after="0" w:line="14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Financial Covenants.</w:t>
      </w:r>
    </w:p>
    <w:p>
      <w:pPr>
        <w:spacing w:after="0" w:line="189" w:lineRule="exact"/>
        <w:rPr>
          <w:sz w:val="20"/>
          <w:szCs w:val="20"/>
          <w:color w:val="auto"/>
        </w:rPr>
      </w:pPr>
    </w:p>
    <w:p>
      <w:pPr>
        <w:jc w:val="both"/>
        <w:ind w:firstLine="656"/>
        <w:spacing w:after="0" w:line="212" w:lineRule="auto"/>
        <w:tabs>
          <w:tab w:leader="none" w:pos="128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Rent Adjusted Net Leverage Ratio</w:t>
      </w:r>
      <w:r>
        <w:rPr>
          <w:rFonts w:ascii="Times New Roman" w:cs="Times New Roman" w:eastAsia="Times New Roman" w:hAnsi="Times New Roman"/>
          <w:sz w:val="20"/>
          <w:szCs w:val="20"/>
          <w:color w:val="auto"/>
        </w:rPr>
        <w:t xml:space="preserve">. On the last day of any Test Period (commencing with the Test Period ending March 27, 2022), the Borrower shall not permit the Total Rent Adjusted Net Leverage Ratio to be greater than (A) from the Test Period ending on March 27, 2022 to and including the Test Period ending on December 25, 2022, 5.50:1.00, (B) from the Test Period ending on March 26, 2023 to and including the Test Period ending on December 31, 2023, 5.25:1.00, and (C) from the Test Period ending on March 31, 2024 and each Test Period ending thereafter, 5.00:1.00;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consummation of a Material Acquisition, for the Fiscal Quarter in which such Material Acquisition is consummated and the three full Fiscal Quarters ending immediately thereafter (such period, the “</w:t>
      </w:r>
      <w:r>
        <w:rPr>
          <w:rFonts w:ascii="Times New Roman" w:cs="Times New Roman" w:eastAsia="Times New Roman" w:hAnsi="Times New Roman"/>
          <w:sz w:val="20"/>
          <w:szCs w:val="20"/>
          <w:u w:val="single" w:color="auto"/>
          <w:color w:val="auto"/>
        </w:rPr>
        <w:t>Covenant Acquisition Increase Period</w:t>
      </w:r>
      <w:r>
        <w:rPr>
          <w:rFonts w:ascii="Times New Roman" w:cs="Times New Roman" w:eastAsia="Times New Roman" w:hAnsi="Times New Roman"/>
          <w:sz w:val="20"/>
          <w:szCs w:val="20"/>
          <w:color w:val="auto"/>
        </w:rPr>
        <w:t>”), the ratios set forth above applicable to each such Fiscal Quarter shall be increased by 0.50:1.00 (such increase, the “</w:t>
      </w:r>
      <w:r>
        <w:rPr>
          <w:rFonts w:ascii="Times New Roman" w:cs="Times New Roman" w:eastAsia="Times New Roman" w:hAnsi="Times New Roman"/>
          <w:sz w:val="20"/>
          <w:szCs w:val="20"/>
          <w:u w:val="single" w:color="auto"/>
          <w:color w:val="auto"/>
        </w:rPr>
        <w:t>Covenant Acquisition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notwithstanding the foregoing, there shall be at least one Fiscal Quarter in which no Covenant Acquisition Increase is in effect between successive Covenant Acquisition Increase Periods (which, for the avoidance of doubt, may result in the delay of the commencement of a Covenant Acquisition Increase Period with respect to any Material Acquisition that occurs during another Covenant Acquisition Increase Period or such one Fiscal Quarter period).</w:t>
      </w:r>
    </w:p>
    <w:p>
      <w:pPr>
        <w:spacing w:after="0" w:line="154"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On the last day of any Test Period (commencing with the Test Period ending March 27, 2022), the Borrower shall not permit the Fixed Charge Coverage Ratio to be less than 1.25:1.00.</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(including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upon any failure by the Borrower to comply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above for the Test Period ending on the last day of any Fiscal Quarter, the Borrower shall have the right (the “</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at any time during such Fiscal Quarter or thereafter until the date that is 15 Business Days after the date on which financial statements for such Fiscal Quarter are required to be delivered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to issue Qualified Capital Stock or other equity (such other equity to be on terms reasonably acceptable</w:t>
      </w:r>
    </w:p>
    <w:p>
      <w:pPr>
        <w:spacing w:after="0" w:line="204" w:lineRule="auto"/>
        <w:rPr>
          <w:sz w:val="20"/>
          <w:szCs w:val="20"/>
          <w:color w:val="auto"/>
        </w:rPr>
      </w:pPr>
      <w:r>
        <w:rPr>
          <w:rFonts w:ascii="Times New Roman" w:cs="Times New Roman" w:eastAsia="Times New Roman" w:hAnsi="Times New Roman"/>
          <w:sz w:val="20"/>
          <w:szCs w:val="20"/>
          <w:color w:val="auto"/>
        </w:rPr>
        <w:t>to the Administrative Agent) for Cash or otherwise receive Cash contributions in respect of its Qualified Capital Stock or other equity (such other equity to be on terms reasonably acceptable to the Administrative Agent)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and thereupon the Borrower’s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shall be recalculated giving effect to a pro forma increase in the amount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Consolidated Adjusted EBITDA in an amount equal to the Cure Amount (notwithstanding the absence of a related addback in the definition of “Consolidated Adjusted EBITDA”) solely for the purpose of determining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as</w:t>
      </w:r>
    </w:p>
    <w:p>
      <w:pPr>
        <w:spacing w:after="0" w:line="211" w:lineRule="auto"/>
        <w:rPr>
          <w:sz w:val="20"/>
          <w:szCs w:val="20"/>
          <w:color w:val="auto"/>
        </w:rPr>
      </w:pPr>
      <w:r>
        <w:rPr>
          <w:rFonts w:ascii="Times New Roman" w:cs="Times New Roman" w:eastAsia="Times New Roman" w:hAnsi="Times New Roman"/>
          <w:sz w:val="20"/>
          <w:szCs w:val="20"/>
          <w:color w:val="auto"/>
        </w:rPr>
        <w:t>applicable, as of the end of such Fiscal Quarter and for applicable subsequent periods that include such Fiscal Quarter. If, after giving effect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to the foregoing recalculation (but not, for the avoidance of doubt, taking into account any immediate repayment of Indebtedness in connection therewith), the requirements of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as applicable, would be satisfied, then the requirements of</w:t>
      </w:r>
    </w:p>
    <w:p>
      <w:pPr>
        <w:spacing w:after="0" w:line="222" w:lineRule="auto"/>
        <w:rPr>
          <w:sz w:val="20"/>
          <w:szCs w:val="20"/>
          <w:color w:val="auto"/>
        </w:rPr>
      </w:pP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as applicable, shall be deemed to have been satisfied as of the end of the relevant Fiscal Quarter (and Test</w:t>
      </w:r>
    </w:p>
    <w:p>
      <w:pPr>
        <w:spacing w:after="0" w:line="221" w:lineRule="auto"/>
        <w:rPr>
          <w:sz w:val="20"/>
          <w:szCs w:val="20"/>
          <w:color w:val="auto"/>
        </w:rPr>
      </w:pPr>
      <w:r>
        <w:rPr>
          <w:rFonts w:ascii="Times New Roman" w:cs="Times New Roman" w:eastAsia="Times New Roman" w:hAnsi="Times New Roman"/>
          <w:sz w:val="20"/>
          <w:szCs w:val="20"/>
          <w:color w:val="auto"/>
        </w:rPr>
        <w:t>Period) with the same effect as though there had been no failure to comply therewith at such date. Notwithstanding anything herein to the contrary:</w:t>
      </w:r>
    </w:p>
    <w:p>
      <w:pPr>
        <w:spacing w:after="0" w:line="162" w:lineRule="exact"/>
        <w:rPr>
          <w:sz w:val="20"/>
          <w:szCs w:val="20"/>
          <w:color w:val="auto"/>
        </w:rPr>
      </w:pPr>
    </w:p>
    <w:p>
      <w:pPr>
        <w:ind w:left="660" w:firstLine="644"/>
        <w:spacing w:after="0"/>
        <w:tabs>
          <w:tab w:leader="none" w:pos="195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each four consecutive Fiscal Quarter period there shall be at least two Fiscal Quarters in which the Cure Right is not exercised (it being understood that, subject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Cure Right may be exercised in consecutive Fiscal Quarters),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of this Agreement, the Cure Right shall not be exercised more than five times (it being understood and agreed that the exercise of a Cure Right in any Fiscal Quarter with respect to any failure to comply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shall constitute a single exercise of the Cure Right),</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Cure Amount shall be no greater than the amount required for the purpose of complying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as applicable,</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shall be no pro forma or other reduction of the amount of Indebtedness by the amount of any Cure Amount for purposes of determining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for the Fiscal Quarter in respect of which the Cure Right was exercised (other than, with respect to any future period, to the extent of any portion of such Cure Amount that is actually applied to prepay Indebtedness (including by way of buyback or repurchase)),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 forma adjustment to Consolidated Adjusted EBITDA resulting from any Cure Amount shall be disregarded for purposes of determining (A) whether any financial ratio-based condition to the availability of any carve-out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of this Agreement has been satisfied or (B) the Applicable Rate or the Commitment Fee Rate, in each case during each Fiscal Quarter in which the pro forma adjustment applies,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Revolving Lender or Issuing Bank shall be required to make any Revolving Loan or issue, amend or increase the face amount of any Letter of Credit from and after the date on which a Compliance Certificate demonstrating a failure to comply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for the Test Period ending on the last day of any Fiscal Quarter is (or would be required to be)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until the date on which the Borrower receives the relevant Cure Amount.</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7</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Events of Default. If any of the following events (each, an “Event of Default”) shall occur:</w:t>
      </w:r>
    </w:p>
    <w:p>
      <w:pPr>
        <w:spacing w:after="0" w:line="189" w:lineRule="exact"/>
        <w:rPr>
          <w:sz w:val="20"/>
          <w:szCs w:val="20"/>
          <w:color w:val="auto"/>
        </w:rPr>
      </w:pPr>
    </w:p>
    <w:p>
      <w:pPr>
        <w:jc w:val="both"/>
        <w:ind w:firstLine="656"/>
        <w:spacing w:after="0" w:line="226" w:lineRule="auto"/>
        <w:tabs>
          <w:tab w:leader="none" w:pos="128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75" w:name="page276"/>
    <w:bookmarkEnd w:id="275"/>
    <w:p>
      <w:pPr>
        <w:jc w:val="both"/>
        <w:ind w:firstLine="656"/>
        <w:spacing w:after="0" w:line="221" w:lineRule="auto"/>
        <w:tabs>
          <w:tab w:leader="none" w:pos="1284"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in Other Agreements</w:t>
      </w:r>
      <w:r>
        <w:rPr>
          <w:rFonts w:ascii="Times New Roman" w:cs="Times New Roman" w:eastAsia="Times New Roman" w:hAnsi="Times New Roman"/>
          <w:sz w:val="19"/>
          <w:szCs w:val="19"/>
          <w:color w:val="auto"/>
        </w:rPr>
        <w:t xml:space="preserve">. (i) Failure by the Borrower or any Restricted Subsidiary to pay when due any principal of or interest on or any other amount payable in respect of one or more items of Indebtedness for borrowed money of the Borrower or such Restricted Subsidiary (other than (x) Indebtedness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and (y) intercompany Indebtedness) with an individual outstanding principal amount exceeding the Threshold Amount, in each case beyond the grace period, if any, provided therefor; or (ii) breach or default by the Borrower or any Restricted Subsidiary with respect to any other term of (A) one or more items of third-party Indebtedness for borrowed money of the Borrower or such Restricted Subsidiary (other than (x) Indebtedness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and</w:t>
      </w:r>
    </w:p>
    <w:p>
      <w:pPr>
        <w:spacing w:after="0" w:line="2" w:lineRule="exact"/>
        <w:rPr>
          <w:rFonts w:ascii="Times New Roman" w:cs="Times New Roman" w:eastAsia="Times New Roman" w:hAnsi="Times New Roman"/>
          <w:sz w:val="19"/>
          <w:szCs w:val="19"/>
          <w:color w:val="auto"/>
        </w:rPr>
      </w:pPr>
    </w:p>
    <w:p>
      <w:pPr>
        <w:jc w:val="both"/>
        <w:ind w:firstLine="8"/>
        <w:spacing w:after="0" w:line="209" w:lineRule="auto"/>
        <w:tabs>
          <w:tab w:leader="none" w:pos="337"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with an individual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the Borrower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not apply to secured Indebtedness that becomes due as a result of the voluntary sale or transfer of the property securing such Indebtedness if such sale or transfer is permitted hereunder, (II) any failure described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is unremedied and is not waived by the holders of such Indebtedness prior to any termination of the Commitments or acceleration of the Loans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(III) [reserved] and (IV) it is understood and agreed that the occurrence of any event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or</w:t>
      </w:r>
    </w:p>
    <w:p>
      <w:pPr>
        <w:spacing w:after="0" w:line="148"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Failure of any Loan Party, as required by the relevant provision, to perform or comply with </w:t>
      </w:r>
      <w:r>
        <w:rPr>
          <w:rFonts w:ascii="Times New Roman" w:cs="Times New Roman" w:eastAsia="Times New Roman" w:hAnsi="Times New Roman"/>
          <w:sz w:val="20"/>
          <w:szCs w:val="20"/>
          <w:u w:val="single" w:color="auto"/>
          <w:color w:val="auto"/>
        </w:rPr>
        <w:t>Section 5.01(e)(i)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Event of Default arising from a failure to perform or comply with </w:t>
      </w:r>
      <w:r>
        <w:rPr>
          <w:rFonts w:ascii="Times New Roman" w:cs="Times New Roman" w:eastAsia="Times New Roman" w:hAnsi="Times New Roman"/>
          <w:sz w:val="20"/>
          <w:szCs w:val="20"/>
          <w:u w:val="single" w:color="auto"/>
          <w:color w:val="auto"/>
        </w:rPr>
        <w:t>Section 5.01(e)(i)</w:t>
      </w:r>
      <w:r>
        <w:rPr>
          <w:rFonts w:ascii="Times New Roman" w:cs="Times New Roman" w:eastAsia="Times New Roman" w:hAnsi="Times New Roman"/>
          <w:sz w:val="20"/>
          <w:szCs w:val="20"/>
          <w:color w:val="auto"/>
        </w:rPr>
        <w:t xml:space="preserve"> shall automatically be deemed to have been cured (and no longer continuing) immediately upon the earlier to occur of (x) the delivery of notice of the relevant Default or Event of Default and (y) the cessation of the existence of the underlying Default or Event of Default), in either case unless a Responsible Officer of the Borrower had knowledge of the underlying Default or Event of Default,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(as it applies to the preservation of the existence of the Borrower), 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is subject to cure as provided in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 and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5"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may arise under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until the 15th Business Day after the date on which financial statements are required to be delivered for the relevant Fiscal Quarter under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(unless the Cure Right has previously been exercised in excess of the aggregate cap on Cure Rights contemplated by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 xml:space="preserve"> over the life of this Agreement and/or the Cure Right has previously been exercised twice in the applicable four consecutive Fiscal Quarter period), and then only to the extent the Cure Amount has not been received on or prior to such date; or</w:t>
      </w:r>
    </w:p>
    <w:p>
      <w:pPr>
        <w:spacing w:after="0" w:line="147" w:lineRule="exact"/>
        <w:rPr>
          <w:rFonts w:ascii="Times New Roman" w:cs="Times New Roman" w:eastAsia="Times New Roman" w:hAnsi="Times New Roman"/>
          <w:sz w:val="20"/>
          <w:szCs w:val="20"/>
          <w:color w:val="auto"/>
        </w:rPr>
      </w:pPr>
    </w:p>
    <w:p>
      <w:pPr>
        <w:jc w:val="both"/>
        <w:ind w:firstLine="656"/>
        <w:spacing w:after="0" w:line="214" w:lineRule="auto"/>
        <w:tabs>
          <w:tab w:leader="none" w:pos="1284"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w:t>
      </w:r>
    </w:p>
    <w:p>
      <w:pPr>
        <w:jc w:val="both"/>
        <w:ind w:firstLine="8"/>
        <w:spacing w:after="0" w:line="216" w:lineRule="auto"/>
        <w:tabs>
          <w:tab w:leader="none" w:pos="261"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any representation, warranty or certification resulting from the failure of the Administrative Agent to file any Uniform Commercial Code financing statement, amendment and/or continuation statement or the failure of the Administrative Agent to maintain possession of any Collateral actually delivered to it shall not result in an Event of Default under this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 xml:space="preserve"> or any other provision of any Loan Document and (ii) if the relevant representation and warranty is capable of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9"/>
          <w:szCs w:val="19"/>
          <w:color w:val="auto"/>
        </w:rPr>
        <w:t>cured (including by the delivery of a restated certification or calculation or restated financial statements), no Default or Event of Default may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arise under this </w:t>
      </w:r>
      <w:r>
        <w:rPr>
          <w:rFonts w:ascii="Times New Roman" w:cs="Times New Roman" w:eastAsia="Times New Roman" w:hAnsi="Times New Roman"/>
          <w:sz w:val="19"/>
          <w:szCs w:val="19"/>
          <w:u w:val="single" w:color="auto"/>
          <w:color w:val="auto"/>
        </w:rPr>
        <w:t>Section 7.01(d)</w:t>
      </w:r>
      <w:r>
        <w:rPr>
          <w:rFonts w:ascii="Times New Roman" w:cs="Times New Roman" w:eastAsia="Times New Roman" w:hAnsi="Times New Roman"/>
          <w:sz w:val="19"/>
          <w:szCs w:val="19"/>
          <w:color w:val="auto"/>
        </w:rPr>
        <w:t xml:space="preserve"> with respect to such representation and warranty unless such representation and warranty remains incorrect in any material respect for a period of 30 days following the delivery of a written notice by the Administrative Agent of the relevant inaccuracy</w:t>
      </w:r>
    </w:p>
    <w:p>
      <w:pPr>
        <w:spacing w:after="0"/>
        <w:rPr>
          <w:sz w:val="20"/>
          <w:szCs w:val="20"/>
          <w:color w:val="auto"/>
        </w:rPr>
      </w:pPr>
      <w:r>
        <w:rPr>
          <w:rFonts w:ascii="Times New Roman" w:cs="Times New Roman" w:eastAsia="Times New Roman" w:hAnsi="Times New Roman"/>
          <w:sz w:val="20"/>
          <w:szCs w:val="20"/>
          <w:color w:val="auto"/>
        </w:rPr>
        <w:t>to the Borrower; or</w:t>
      </w:r>
    </w:p>
    <w:p>
      <w:pPr>
        <w:spacing w:after="0" w:line="167" w:lineRule="exact"/>
        <w:rPr>
          <w:sz w:val="20"/>
          <w:szCs w:val="20"/>
          <w:color w:val="auto"/>
        </w:rPr>
      </w:pPr>
    </w:p>
    <w:p>
      <w:pPr>
        <w:jc w:val="both"/>
        <w:ind w:firstLine="656"/>
        <w:spacing w:after="0" w:line="222" w:lineRule="auto"/>
        <w:tabs>
          <w:tab w:leader="none" w:pos="128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Default by any Loan Party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which default has not been remedied or waived within 30 days after receipt by the Borrower of written notice thereof from the Administrative Agent; or</w:t>
      </w:r>
    </w:p>
    <w:p>
      <w:pPr>
        <w:spacing w:after="0" w:line="148"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1"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Appointment of Receiver, Etc</w:t>
      </w:r>
      <w:r>
        <w:rPr>
          <w:rFonts w:ascii="Times New Roman" w:cs="Times New Roman" w:eastAsia="Times New Roman" w:hAnsi="Times New Roman"/>
          <w:sz w:val="20"/>
          <w:szCs w:val="20"/>
          <w:color w:val="auto"/>
        </w:rPr>
        <w:t xml:space="preserve">. (i) The entry by a court of competent jurisdiction of a decree or order for relief in respect of Holdings, the Borrower or any Restricted Subsidiary (other than any Immaterial Subsidiary) in an involuntary case under any Debtor Relief Law now or hereafter in effect, which decree or order is not stayed; or any other similar relief in respect of Holdings, the Borrower or any Restricted Subsidiary (other than any Immaterial Subsidiary) shall be granted under any applicable Requirements of Law, which relief is not stayed; or (ii) the commencement of an involuntary case against Holdings, the Borrower or any Restricted Subsidiary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Restricted Subsidiary (other than any Immaterial Subsidiary), or over all or a material part of its property; or the involuntary appointment of an interim receiver, trustee or other custodian of Holdings, the Borrower or any Restricted Subsidiary (other than any Immaterial Subsidiary) for all or a material part of its property, which remains, in any case under this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undismissed, unvacated, unbounded or unstayed pending appeal for 60 consecutive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the occurrence of any event described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will not result in a Default or Event of Default under this Agreement prior to the expiration of such 60 consecutive day period; or</w:t>
      </w:r>
    </w:p>
    <w:p>
      <w:pPr>
        <w:spacing w:after="0" w:line="166"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(i) The entry against Holdings, the Borrower or any Restricted Subsidiary (other than any Immaterial Subsidiary) of an order for relief in, or the commencement by Holdings, the Borrower or any Restricted Subsidiary (other than any Immaterial Subsidiary) of, a voluntary case under any Debtor Relief Law, or the consent by Holdings, the Borrower or any Restricted Subsidiary (other than any Immaterial Subsidiary) to the entry of an order for relief in an involuntary case or to the conversion of an involuntary case to a voluntary case, under any Debtor Relief Law, or the consent by Holdings, the Borrower or any Restricted Subsidiary (other than any Immaterial Subsidiary) to the appointment of or taking possession by a receiver, receiver and manager, insolvency receiver, liquidator, sequestrator, trustee, administrator, custodian or other like official for or in respect of itself or for all or a material part of the property of Holdings, the Borrower and any Restricted Subsidiary (other taken any Immaterial Subsidiary), taken as a whole or (ii) the making by Holdings, the Borrower or any Restricted Subsidiary (other than any Immaterial Subsidiary) of a general assignment for the benefit of creditors; or</w:t>
      </w:r>
    </w:p>
    <w:p>
      <w:pPr>
        <w:spacing w:after="0" w:line="155"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xml:space="preserve">. The entry or filing of one or more final money judgments, writs or warrants of attachment or similar process against the Borrower or any Restricted Subsidiary (other than any Immaterial Subsidiary) individually or any of its assets involving in the aggregate at any time an amount in excess of the Threshold Amount (in either case, to the extent not adequately covered by indemnity from a third party (including any escrow arrangement), by self-insurance (if applicable) or by insurance as to which, in the case of any such third party insurance, the relevant third party insurance company has been notified and not denied coverage), which judgment, writ, warrant or similar process remains unpaid, undischarged, unvacated, unbonded or unstayed pending appeal for a period of 60 consecutive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the occurrence of any event described in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will not result in a Default or Event of Default under this Agreement prior to the expiration of such 60 consecutive day period; or</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The occurrence of one or more ERISA Events with respect to the Borrower or any Restricted Subsidiary (other than any Immaterial Subsidiary), which individually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7" w:name="page278"/>
    <w:bookmarkEnd w:id="277"/>
    <w:p>
      <w:pPr>
        <w:ind w:right="20"/>
        <w:spacing w:after="0"/>
        <w:rPr>
          <w:sz w:val="20"/>
          <w:szCs w:val="20"/>
          <w:color w:val="auto"/>
        </w:rPr>
      </w:pPr>
      <w:r>
        <w:rPr>
          <w:rFonts w:ascii="Times New Roman" w:cs="Times New Roman" w:eastAsia="Times New Roman" w:hAnsi="Times New Roman"/>
          <w:sz w:val="20"/>
          <w:szCs w:val="20"/>
          <w:color w:val="auto"/>
        </w:rPr>
        <w:t>in the aggregate result in liability of any Loan Party in an aggregate amount which would reasonably be expected to result in a Material Adverse Effect; or</w:t>
      </w:r>
    </w:p>
    <w:p>
      <w:pPr>
        <w:spacing w:after="0" w:line="148" w:lineRule="exact"/>
        <w:rPr>
          <w:sz w:val="20"/>
          <w:szCs w:val="20"/>
          <w:color w:val="auto"/>
        </w:rPr>
      </w:pPr>
    </w:p>
    <w:p>
      <w:pPr>
        <w:ind w:left="1300" w:hanging="644"/>
        <w:spacing w:after="0"/>
        <w:tabs>
          <w:tab w:leader="none" w:pos="13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 occurrence of a Change of Control; or</w:t>
      </w:r>
    </w:p>
    <w:p>
      <w:pPr>
        <w:spacing w:after="0" w:line="188"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xml:space="preserve">.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solely by reason of (1) such perfection not being required pursuant to the Collateral and Guarantee Requirement, the Collateral Documents, this Agreement or otherwise, (2) the failure of the Administrative Agent to maintain possession of any Collateral actually delivered to it or the failure of the Administrative Agent to file Uniform Commercial Code financing statements, amendments or continuation statements, (3) a release of Collateral in accordance with the terms hereof or thereof or (4)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and/or maintain possession of any physical Collateral shall not result in an Event of Default under this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 xml:space="preserve"> or any other provision of any Loan Document;</w:t>
      </w:r>
    </w:p>
    <w:p>
      <w:pPr>
        <w:spacing w:after="0" w:line="166"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Subordination</w:t>
      </w:r>
      <w:r>
        <w:rPr>
          <w:rFonts w:ascii="Times New Roman" w:cs="Times New Roman" w:eastAsia="Times New Roman" w:hAnsi="Times New Roman"/>
          <w:sz w:val="20"/>
          <w:szCs w:val="20"/>
          <w:color w:val="auto"/>
        </w:rPr>
        <w:t>. The Obligations ceasing or the assertion in writing by any Loan Party that the Obligations cease to constitute senior indebtedness under the subordination provisions of any document or instrument evidencing any Restricted Debt that is required to be subordinated pursuant to the terms of this Agreement or any such subordination provision being invalidated by a court of competent jurisdiction in a final non-appealable order, or otherwise ceasing, for any reason, to be valid, binding and enforceable obligations of the parties thereto;</w:t>
      </w:r>
    </w:p>
    <w:p>
      <w:pPr>
        <w:spacing w:after="0" w:line="14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7.01(g)</w:t>
      </w:r>
      <w:r>
        <w:rPr>
          <w:rFonts w:ascii="Times New Roman" w:cs="Times New Roman" w:eastAsia="Times New Roman" w:hAnsi="Times New Roman"/>
          <w:sz w:val="20"/>
          <w:szCs w:val="20"/>
          <w:color w:val="auto"/>
        </w:rPr>
        <w:t>) at any time thereafter during the continuance of such event, the Administrative Agent may and at the request of the Required Lenders, shall by notice to the Borrower, take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of the following actions, at the same or different times: (i) terminate the Revolving Credit Commitments, and thereupon such Commitments shall terminate immediately, (ii) declare the Loans then outstanding to be due and payable in whole (or in part, in which case</w:t>
      </w:r>
    </w:p>
    <w:p>
      <w:pPr>
        <w:spacing w:after="0" w:line="211" w:lineRule="auto"/>
        <w:rPr>
          <w:sz w:val="20"/>
          <w:szCs w:val="20"/>
          <w:color w:val="auto"/>
        </w:rPr>
      </w:pPr>
      <w:r>
        <w:rPr>
          <w:rFonts w:ascii="Times New Roman" w:cs="Times New Roman" w:eastAsia="Times New Roman" w:hAnsi="Times New Roman"/>
          <w:sz w:val="20"/>
          <w:szCs w:val="20"/>
          <w:color w:val="auto"/>
        </w:rPr>
        <w:t>any principal not so declared to be due and payable may thereafter be declared to be due and payable), and thereupon the principal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Loans so declared to be due and payable, together with accrued interest thereon and all fees and other obligations of the Borrower accrued hereunder, shall become due and payable immediately, without presentment, demand, protest or other notice of any kind, all of which are</w:t>
      </w:r>
    </w:p>
    <w:p>
      <w:pPr>
        <w:spacing w:after="0" w:line="211" w:lineRule="auto"/>
        <w:rPr>
          <w:sz w:val="20"/>
          <w:szCs w:val="20"/>
          <w:color w:val="auto"/>
        </w:rPr>
      </w:pPr>
      <w:r>
        <w:rPr>
          <w:rFonts w:ascii="Times New Roman" w:cs="Times New Roman" w:eastAsia="Times New Roman" w:hAnsi="Times New Roman"/>
          <w:sz w:val="20"/>
          <w:szCs w:val="20"/>
          <w:color w:val="auto"/>
        </w:rPr>
        <w:t>hereby waived by the Borrower and (iii) require that the Borrower deposit in the LC Collateral Account an additional amount in Cash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reasonably requested by the Issuing Banks (not to exceed 100% of the relevant face amount) of the then outstanding LC Exposure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w:t>
      </w:r>
    </w:p>
    <w:p>
      <w:pPr>
        <w:spacing w:after="0" w:line="223" w:lineRule="auto"/>
        <w:rPr>
          <w:sz w:val="20"/>
          <w:szCs w:val="20"/>
          <w:color w:val="auto"/>
        </w:rPr>
      </w:pPr>
      <w:r>
        <w:rPr>
          <w:rFonts w:ascii="Times New Roman" w:cs="Times New Roman" w:eastAsia="Times New Roman" w:hAnsi="Times New Roman"/>
          <w:sz w:val="19"/>
          <w:szCs w:val="19"/>
          <w:u w:val="single" w:color="auto"/>
          <w:color w:val="auto"/>
        </w:rPr>
        <w:t>Section 7.01(g)</w:t>
      </w:r>
      <w:r>
        <w:rPr>
          <w:rFonts w:ascii="Times New Roman" w:cs="Times New Roman" w:eastAsia="Times New Roman" w:hAnsi="Times New Roman"/>
          <w:sz w:val="19"/>
          <w:szCs w:val="19"/>
          <w:color w:val="auto"/>
        </w:rPr>
        <w:t>, any such Commitments shall automatically terminate and the principal of the Loans then outstanding, together with accrued</w:t>
      </w:r>
    </w:p>
    <w:p>
      <w:pPr>
        <w:spacing w:after="0" w:line="215" w:lineRule="auto"/>
        <w:rPr>
          <w:sz w:val="20"/>
          <w:szCs w:val="20"/>
          <w:color w:val="auto"/>
        </w:rPr>
      </w:pPr>
      <w:r>
        <w:rPr>
          <w:rFonts w:ascii="Times New Roman" w:cs="Times New Roman" w:eastAsia="Times New Roman" w:hAnsi="Times New Roman"/>
          <w:sz w:val="19"/>
          <w:szCs w:val="19"/>
          <w:color w:val="auto"/>
        </w:rPr>
        <w:t>interest thereon and all fees and other obligations of the Borrower accrued hereunder, shall automatically become due and payable, without presentment, demand, protest or other notice of any kind, all of which are hereby waived by the Borrower, and the obligation of the Borrower</w:t>
      </w:r>
    </w:p>
    <w:p>
      <w:pPr>
        <w:spacing w:after="0"/>
        <w:rPr>
          <w:sz w:val="20"/>
          <w:szCs w:val="20"/>
          <w:color w:val="auto"/>
        </w:rPr>
      </w:pPr>
      <w:r>
        <w:rPr>
          <w:rFonts w:ascii="Times New Roman" w:cs="Times New Roman" w:eastAsia="Times New Roman" w:hAnsi="Times New Roman"/>
          <w:sz w:val="20"/>
          <w:szCs w:val="20"/>
          <w:color w:val="auto"/>
        </w:rPr>
        <w:t>to Cash collateralize the outstanding Letters of Credit as aforesaid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0"/>
          <w:szCs w:val="20"/>
          <w:color w:val="auto"/>
        </w:rPr>
        <w:t>automatically become effective, in each case, without further action of the Administrative Agent or any Lender. Upon the occurrence and</w:t>
      </w:r>
    </w:p>
    <w:p>
      <w:pPr>
        <w:spacing w:after="0" w:line="204" w:lineRule="auto"/>
        <w:rPr>
          <w:sz w:val="20"/>
          <w:szCs w:val="20"/>
          <w:color w:val="auto"/>
        </w:rPr>
      </w:pPr>
      <w:r>
        <w:rPr>
          <w:rFonts w:ascii="Times New Roman" w:cs="Times New Roman" w:eastAsia="Times New Roman" w:hAnsi="Times New Roman"/>
          <w:sz w:val="20"/>
          <w:szCs w:val="20"/>
          <w:color w:val="auto"/>
        </w:rPr>
        <w:t>during the continuance of an Event of Default, the Administrative Agent may, and at the request of the Required Lenders, shall exercise any rights and remedies provided to the Administrative Agent under the Loan Documents or at law or equity, including all remedies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UCC.</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8</w:t>
      </w:r>
    </w:p>
    <w:p>
      <w:pPr>
        <w:spacing w:after="0" w:line="16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 Appointment and Authorization of Administrative Agent. Each of the Lenders and the Issuing Banks, on behalf of itself and its applicable Affiliates in their respective capacities as such and as counterparties under Hedge Agreements and/or providers of</w:t>
      </w:r>
    </w:p>
    <w:p>
      <w:pPr>
        <w:spacing w:after="0" w:line="224" w:lineRule="auto"/>
        <w:rPr>
          <w:sz w:val="20"/>
          <w:szCs w:val="20"/>
          <w:color w:val="auto"/>
        </w:rPr>
      </w:pPr>
      <w:r>
        <w:rPr>
          <w:rFonts w:ascii="Times New Roman" w:cs="Times New Roman" w:eastAsia="Times New Roman" w:hAnsi="Times New Roman"/>
          <w:sz w:val="19"/>
          <w:szCs w:val="19"/>
          <w:color w:val="auto"/>
        </w:rPr>
        <w:t>Banking Services, as applicable, hereby irrevocably appoint Bank of America (or any successor appointed pursuant hereto) as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and authorizes the Administrative Agent to take such actions on its behalf, including execution of the other Loan Documents, and to exercise such powers as are delegated to the Administrative Agent by the terms of the Loan Documents, together with such actions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powers as are reasonably incidental thereto.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2. Rights as a Lender. Any Person serving as Administrative Agent hereunder shall have the same rights and powers in its capacity as a Lender as any other Lender and may exercise the same as though it were not the Administrative Agent, and the term</w:t>
      </w:r>
    </w:p>
    <w:p>
      <w:pPr>
        <w:spacing w:after="0" w:line="224" w:lineRule="auto"/>
        <w:rPr>
          <w:sz w:val="20"/>
          <w:szCs w:val="20"/>
          <w:color w:val="auto"/>
        </w:rPr>
      </w:pPr>
      <w:r>
        <w:rPr>
          <w:rFonts w:ascii="Times New Roman" w:cs="Times New Roman" w:eastAsia="Times New Roman" w:hAnsi="Times New Roman"/>
          <w:sz w:val="19"/>
          <w:szCs w:val="19"/>
          <w:color w:val="auto"/>
        </w:rPr>
        <w:t>“Lender” or “Lenders” shall, unless otherwise expressly indicated, unless the context otherwise requires or unless such Person is in fact not a</w:t>
      </w:r>
    </w:p>
    <w:p>
      <w:pPr>
        <w:spacing w:after="0" w:line="204" w:lineRule="auto"/>
        <w:rPr>
          <w:sz w:val="20"/>
          <w:szCs w:val="20"/>
          <w:color w:val="auto"/>
        </w:rPr>
      </w:pPr>
      <w:r>
        <w:rPr>
          <w:rFonts w:ascii="Times New Roman" w:cs="Times New Roman" w:eastAsia="Times New Roman" w:hAnsi="Times New Roman"/>
          <w:sz w:val="20"/>
          <w:szCs w:val="20"/>
          <w:color w:val="auto"/>
        </w:rPr>
        <w:t>Lender, include each Person serving as Administrative Agent hereunder in its individual capacity. Such Person and its Affiliates may accept deposits from, lend money to, act as the financial advisor or in any other advisory capacity for and generally engage in any kind of business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 any Loan Party or any subsidiary of any Loan Party or other Affiliate thereof as if it were not the Administrative Agent hereunder. The Lenders acknowledge that, pursuant to such activities, the Administrative Agent or its Affiliates may receive information regarding any Loan</w:t>
      </w:r>
    </w:p>
    <w:p>
      <w:pPr>
        <w:spacing w:after="0" w:line="228" w:lineRule="auto"/>
        <w:rPr>
          <w:sz w:val="20"/>
          <w:szCs w:val="20"/>
          <w:color w:val="auto"/>
        </w:rPr>
      </w:pPr>
      <w:r>
        <w:rPr>
          <w:rFonts w:ascii="Times New Roman" w:cs="Times New Roman" w:eastAsia="Times New Roman" w:hAnsi="Times New Roman"/>
          <w:sz w:val="20"/>
          <w:szCs w:val="20"/>
          <w:color w:val="auto"/>
        </w:rPr>
        <w:t>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3. Exculpatory Provisions. The Administrative Agent shall not have any duties or obligations except those expressly set forth in the Loan Documents. Without limiting the generality of the foregoing:</w:t>
      </w:r>
    </w:p>
    <w:p>
      <w:pPr>
        <w:spacing w:after="0" w:line="161" w:lineRule="exact"/>
        <w:rPr>
          <w:sz w:val="20"/>
          <w:szCs w:val="20"/>
          <w:color w:val="auto"/>
        </w:rPr>
      </w:pPr>
    </w:p>
    <w:p>
      <w:pPr>
        <w:jc w:val="both"/>
        <w:ind w:firstLine="656"/>
        <w:spacing w:after="0" w:line="217" w:lineRule="auto"/>
        <w:tabs>
          <w:tab w:leader="none" w:pos="128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such action that, in its opinion or the opinion of its counsel, may expose the Administrative Agent to liability or that is contrary to any Loan Document or applicable Requirements of Law;</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the Loan Documents, the Administrative Agent shall not have any duty or responsibility to disclose, and shall not be liable for the failure to disclose to any Lender or Issuing Bank, any credit or other information concerning the business, prospects, operations, property, financial and other condition or creditworthiness of any of the Loan Parties or any of their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0"/>
          <w:szCs w:val="20"/>
          <w:color w:val="auto"/>
        </w:rPr>
        <w:t>relating to Holdings, the Borrower or any of its Restricted Subsidiaries that is communicated to or obtained by or in the possession of any</w:t>
      </w:r>
    </w:p>
    <w:p>
      <w:pPr>
        <w:spacing w:after="0" w:line="204" w:lineRule="auto"/>
        <w:rPr>
          <w:sz w:val="20"/>
          <w:szCs w:val="20"/>
          <w:color w:val="auto"/>
        </w:rPr>
      </w:pPr>
      <w:r>
        <w:rPr>
          <w:rFonts w:ascii="Times New Roman" w:cs="Times New Roman" w:eastAsia="Times New Roman" w:hAnsi="Times New Roman"/>
          <w:sz w:val="20"/>
          <w:szCs w:val="20"/>
          <w:color w:val="auto"/>
        </w:rPr>
        <w:t>Person serving as Administrative Agent, an Arranger or any of their respective Affiliates and Related Parties in any capacity, except for notices, reports and other documents expressly required to be furnished to the Lenders by the Administrative Agent herein; it being</w:t>
      </w:r>
    </w:p>
    <w:p>
      <w:pPr>
        <w:spacing w:after="0" w:line="211" w:lineRule="auto"/>
        <w:rPr>
          <w:sz w:val="20"/>
          <w:szCs w:val="20"/>
          <w:color w:val="auto"/>
        </w:rPr>
      </w:pPr>
      <w:r>
        <w:rPr>
          <w:rFonts w:ascii="Times New Roman" w:cs="Times New Roman" w:eastAsia="Times New Roman" w:hAnsi="Times New Roman"/>
          <w:sz w:val="20"/>
          <w:szCs w:val="20"/>
          <w:color w:val="auto"/>
        </w:rPr>
        <w:t>understood that the Administrative Agent shall not be liable to the Lenders or any other Secured Party for any action taken or not taken by 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 the consent or at the request of the Required Lenders or Required Revolving Lenders (or such other number or percentage of the Lenders as is necessary, or as the Administrative Agent believes in good faith shall be necessary, under the relevant circumstances as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or in the absence of its own gross negligence or willful misconduct, as determined by the final judgment of a court of competent jurisdiction, in connection with its duties expressly set forth herein; and</w:t>
      </w:r>
    </w:p>
    <w:p>
      <w:pPr>
        <w:spacing w:after="0" w:line="149" w:lineRule="exact"/>
        <w:rPr>
          <w:sz w:val="20"/>
          <w:szCs w:val="20"/>
          <w:color w:val="auto"/>
        </w:rPr>
      </w:pPr>
    </w:p>
    <w:p>
      <w:pPr>
        <w:jc w:val="both"/>
        <w:ind w:firstLine="656"/>
        <w:spacing w:after="0" w:line="211" w:lineRule="auto"/>
        <w:tabs>
          <w:tab w:leader="none" w:pos="128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deemed to have knowledge of any Default or Event of Default unless and until written notice thereof is given to the Administrative Agent by the Borrower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16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4. Exclusive Right to Enforce Rights and Remedies. Notwithstanding anything to the contrary contained herein or in any of the other Loan Documents, the Borrower, the Administrative Agent and each Secured Party agree that:</w:t>
      </w:r>
    </w:p>
    <w:p>
      <w:pPr>
        <w:spacing w:after="0" w:line="148" w:lineRule="exact"/>
        <w:rPr>
          <w:sz w:val="20"/>
          <w:szCs w:val="20"/>
          <w:color w:val="auto"/>
        </w:rPr>
      </w:pPr>
    </w:p>
    <w:p>
      <w:pPr>
        <w:jc w:val="both"/>
        <w:ind w:firstLine="656"/>
        <w:spacing w:after="0" w:line="211" w:lineRule="auto"/>
        <w:tabs>
          <w:tab w:leader="none" w:pos="128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Secured Party shall have any right individually to realize upon any of the Collateral or to enforce the provisions of any Loan Document, including this Agreement, the Security Agreement and/or the Loan Guaranty; it being understood that any right to enforce any such provision (including to realize upon the Collateral or enforce any Loan Guaranty) against any Loan Party pursuant hereto or pursuant to any other Loan Document may be exercised solely by the Administrative Agent on behalf of the Secured Parties in accordance with the terms hereof or thereof, (ii) each Lender, each Issuing Bank, the Swingline Lender and/or each counterparty to a Hedge Agreement and/or any agreement governing any Banking Services Obligation that is a Secured Party, in each case in their respective capacities as such, waives its right to commence any action, suit or litigation against any Loan Party in connection with the Loan Documents without the consent of the Required Lenders and (iii)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w:t>
      </w:r>
    </w:p>
    <w:p>
      <w:pPr>
        <w:spacing w:after="0" w:line="166" w:lineRule="exact"/>
        <w:rPr>
          <w:rFonts w:ascii="Times New Roman" w:cs="Times New Roman" w:eastAsia="Times New Roman" w:hAnsi="Times New Roman"/>
          <w:sz w:val="20"/>
          <w:szCs w:val="20"/>
          <w:color w:val="auto"/>
        </w:rPr>
      </w:pPr>
    </w:p>
    <w:p>
      <w:pPr>
        <w:ind w:firstLine="656"/>
        <w:spacing w:after="0" w:line="251" w:lineRule="auto"/>
        <w:tabs>
          <w:tab w:leader="none" w:pos="1284"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holder of any Secured Hedging Obligation or Banking Services Obligation in its respective capacity as such shall have any rights in connection with the management or release of any Collateral or of the obligations of any Loan Party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80" w:name="page281"/>
    <w:bookmarkEnd w:id="280"/>
    <w:p>
      <w:pPr>
        <w:ind w:firstLine="656"/>
        <w:spacing w:after="0"/>
        <w:tabs>
          <w:tab w:leader="none" w:pos="1286"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Secured Party agrees that the Administrative Agent may in its sole discretion, but is under no obligation to credit bid any part of the Secured Obligations or to purchase or retain or acquire any portion of the Collateral.</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5. Reliance by Administrative Agent. The Administrative Agent shall be entitled to rely upon, and shall not incur any liability for relying upon, any notice, request, certificate, consent, statement, instrument, document or other writing (including any electronic</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message, Internet or intranet website posting or other distribution) that it believes to be genuine and to have been signed, sent or otherwise authenticated by the proper Person. The Administrative Agent also may rely upon any statement made to it orally or by telephone and</w:t>
      </w:r>
    </w:p>
    <w:p>
      <w:pPr>
        <w:spacing w:after="0" w:line="211" w:lineRule="auto"/>
        <w:rPr>
          <w:sz w:val="20"/>
          <w:szCs w:val="20"/>
          <w:color w:val="auto"/>
        </w:rPr>
      </w:pPr>
      <w:r>
        <w:rPr>
          <w:rFonts w:ascii="Times New Roman" w:cs="Times New Roman" w:eastAsia="Times New Roman" w:hAnsi="Times New Roman"/>
          <w:sz w:val="20"/>
          <w:szCs w:val="20"/>
          <w:color w:val="auto"/>
        </w:rPr>
        <w:t>believed by it to have been made by the proper Person and shall not incur any liability for relying thereon. In determining compliance with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w:t>
      </w:r>
    </w:p>
    <w:p>
      <w:pPr>
        <w:spacing w:after="0" w:line="222" w:lineRule="auto"/>
        <w:rPr>
          <w:sz w:val="20"/>
          <w:szCs w:val="20"/>
          <w:color w:val="auto"/>
        </w:rPr>
      </w:pPr>
      <w:r>
        <w:rPr>
          <w:rFonts w:ascii="Times New Roman" w:cs="Times New Roman" w:eastAsia="Times New Roman" w:hAnsi="Times New Roman"/>
          <w:sz w:val="19"/>
          <w:szCs w:val="19"/>
          <w:color w:val="auto"/>
        </w:rPr>
        <w:t>Administrative Agent has received notice to the contrary from such Lender or Issuing Bank prior to the making of such Loan or the issuance</w:t>
      </w:r>
    </w:p>
    <w:p>
      <w:pPr>
        <w:spacing w:after="0" w:line="204" w:lineRule="auto"/>
        <w:rPr>
          <w:sz w:val="20"/>
          <w:szCs w:val="20"/>
          <w:color w:val="auto"/>
        </w:rPr>
      </w:pPr>
      <w:r>
        <w:rPr>
          <w:rFonts w:ascii="Times New Roman" w:cs="Times New Roman" w:eastAsia="Times New Roman" w:hAnsi="Times New Roman"/>
          <w:sz w:val="20"/>
          <w:szCs w:val="20"/>
          <w:color w:val="auto"/>
        </w:rPr>
        <w:t>of such Letter of Credit. The Administrative Agent may consult with legal counsel (who may be counsel for the Borrower), independent accountants and other experts selected by it, and shall not be liable for any action taken or not taken by it in accordance with the advice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such counsel, accountants or experts.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6. Delegation of Duties. The Administrative Agent may perform any and all of its duties and exercise its rights and powers by or through any one or more sub-agents appointed by it, or any of its Affiliates (in each case, other than any Disqualified</w:t>
      </w:r>
    </w:p>
    <w:p>
      <w:pPr>
        <w:spacing w:after="0" w:line="212" w:lineRule="auto"/>
        <w:rPr>
          <w:sz w:val="20"/>
          <w:szCs w:val="20"/>
          <w:color w:val="auto"/>
        </w:rPr>
      </w:pPr>
      <w:r>
        <w:rPr>
          <w:rFonts w:ascii="Times New Roman" w:cs="Times New Roman" w:eastAsia="Times New Roman" w:hAnsi="Times New Roman"/>
          <w:sz w:val="20"/>
          <w:szCs w:val="20"/>
          <w:color w:val="auto"/>
        </w:rPr>
        <w:t>Institution). The Administrative Agent and any such sub-agent or Affiliate may perform any and all of their respective duties and exercise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their respective rights and powers through their respective Related Parties. The exculpatory provisions of this Article shall apply to any such sub-agent, Affiliate and to the Related Parties of the Administrative Agent and any such sub-agent or Affiliate and shall apply to their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respective activities in connection with the syndication of the credit facilities provided for herein as well as activities as the Administrative Agent.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Successor Administrative Agent.</w:t>
      </w:r>
    </w:p>
    <w:p>
      <w:pPr>
        <w:spacing w:after="0" w:line="189" w:lineRule="exact"/>
        <w:rPr>
          <w:sz w:val="20"/>
          <w:szCs w:val="20"/>
          <w:color w:val="auto"/>
        </w:rPr>
      </w:pPr>
    </w:p>
    <w:p>
      <w:pPr>
        <w:jc w:val="both"/>
        <w:ind w:firstLine="656"/>
        <w:spacing w:after="0" w:line="210" w:lineRule="auto"/>
        <w:tabs>
          <w:tab w:leader="none" w:pos="1286"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resign at any time by giving 30 days’ prior written notice to the Lenders, the Issuing Banks and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successor agent is appointed in accordance with the terms set forth below within such 30-day period, the Administrative Agent’s resignation shall not be effective until the earlier to occur of (i) the date of the appointment of the successor agent (and acceptance thereof by such successor Administrative Agent) or (ii) the date that is specified in such notice (which shall be no earlier than 30 days after the date thereof) (or such later date as the resigning Administrative Agent may agree). The retiring Agent shall be automatically and unconditionally discharged from its duties and obligations hereunder and under the other Loan Documents (other than any duty or obligation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in its capacity as Issuing Bank and Swingline Lender. If the Administrative Agent is a Defaulting Lender or an Affiliate of a Defaulting Lender, either the Required Lenders or the Borrower may, upon ten days’ notice, remove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successor agent is appointed in accordance with the terms set forth below within such 30-day period, the Administrative Agent’s removal shall, at the option of the Borrower, not be effective until the earlier to occur of (A) the date of the appointment of the successor agent or (B) the last day of such 30-day period (or such later date as the Borrower may agree).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trust company or other Person acceptable to the Borrower, in each case, with offices in the US having combined capital and surplus in excess of $1,000,000,000;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the existence of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with respect to the Borrower, </w:t>
      </w:r>
      <w:r>
        <w:rPr>
          <w:rFonts w:ascii="Times New Roman" w:cs="Times New Roman" w:eastAsia="Times New Roman" w:hAnsi="Times New Roman"/>
          <w:sz w:val="20"/>
          <w:szCs w:val="20"/>
          <w:u w:val="single" w:color="auto"/>
          <w:color w:val="auto"/>
        </w:rPr>
        <w:t>Sections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no consent of the Borrower shall be required.</w:t>
      </w:r>
    </w:p>
    <w:p>
      <w:pPr>
        <w:spacing w:after="0" w:line="15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successor has been appointed as provided above and accepted such appointment within 30 days after the resigning Administrative Agent gives notice of its resignation or the Administrative Agent receives notice of removal (or such later date as the resigning Administrative Agent may agree), then (i) in the case of a resignation, the resigning Administrative Agent may (but shall not be obligated to), on behalf of the Lenders and the Issuing Banks, appoint a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9"/>
          <w:szCs w:val="19"/>
          <w:color w:val="auto"/>
        </w:rPr>
        <w:t>meeting the qualifications set forth above (including, for the avoidance of doubt, the consent of the Borrower) or (ii) in the case of a removal,</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Borrower may, after consulting with the Required Lenders, appoint a successor Administrative Agent meeting the qualifications set forth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 the case of a resignation, if the Administrative Agent notifies the Borrower, the Lenders and the Issuing Banks</w:t>
      </w:r>
    </w:p>
    <w:p>
      <w:pPr>
        <w:spacing w:after="0" w:line="211" w:lineRule="auto"/>
        <w:rPr>
          <w:sz w:val="20"/>
          <w:szCs w:val="20"/>
          <w:color w:val="auto"/>
        </w:rPr>
      </w:pPr>
      <w:r>
        <w:rPr>
          <w:rFonts w:ascii="Times New Roman" w:cs="Times New Roman" w:eastAsia="Times New Roman" w:hAnsi="Times New Roman"/>
          <w:sz w:val="20"/>
          <w:szCs w:val="20"/>
          <w:color w:val="auto"/>
        </w:rPr>
        <w:t>that no qualifying Person has accepted such appointment or (B) in the case of a removal, the Borrower notifies the Required Lenders that no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qualifying Person has accepted such appointment, then, in each case, such resignation or removal shall nonetheless become effective in accordance with the provisos to the first two sentences in </w:t>
      </w:r>
      <w:r>
        <w:rPr>
          <w:rFonts w:ascii="Times New Roman" w:cs="Times New Roman" w:eastAsia="Times New Roman" w:hAnsi="Times New Roman"/>
          <w:sz w:val="20"/>
          <w:szCs w:val="20"/>
          <w:u w:val="single" w:color="auto"/>
          <w:color w:val="auto"/>
        </w:rPr>
        <w:t>Section 8.07(a)</w:t>
      </w:r>
      <w:r>
        <w:rPr>
          <w:rFonts w:ascii="Times New Roman" w:cs="Times New Roman" w:eastAsia="Times New Roman" w:hAnsi="Times New Roman"/>
          <w:sz w:val="20"/>
          <w:szCs w:val="20"/>
          <w:color w:val="auto"/>
        </w:rPr>
        <w:t>, as applicable (unless the resigning Administrative Agent has</w:t>
      </w:r>
    </w:p>
    <w:p>
      <w:pPr>
        <w:spacing w:after="0" w:line="211" w:lineRule="auto"/>
        <w:rPr>
          <w:sz w:val="20"/>
          <w:szCs w:val="20"/>
          <w:color w:val="auto"/>
        </w:rPr>
      </w:pPr>
      <w:r>
        <w:rPr>
          <w:rFonts w:ascii="Times New Roman" w:cs="Times New Roman" w:eastAsia="Times New Roman" w:hAnsi="Times New Roman"/>
          <w:sz w:val="20"/>
          <w:szCs w:val="20"/>
          <w:color w:val="auto"/>
        </w:rPr>
        <w:t>agreed in its sole discretion to extend the effectiveness of its resignation) and (1) the resigning or removed Administrative Agent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w:t>
      </w:r>
    </w:p>
    <w:p>
      <w:pPr>
        <w:spacing w:after="0" w:line="211" w:lineRule="auto"/>
        <w:rPr>
          <w:sz w:val="20"/>
          <w:szCs w:val="20"/>
          <w:color w:val="auto"/>
        </w:rPr>
      </w:pPr>
      <w:r>
        <w:rPr>
          <w:rFonts w:ascii="Times New Roman" w:cs="Times New Roman" w:eastAsia="Times New Roman" w:hAnsi="Times New Roman"/>
          <w:sz w:val="20"/>
          <w:szCs w:val="20"/>
          <w:color w:val="auto"/>
        </w:rPr>
        <w:t>Lien on the Collateral securing the Secured Obligations, the resigning Administrative Agent shall continue to hold such collateral security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until such time as a successor Administrative Agent is appointed) and (2) except for any indemnity payments or other amounts then owed to the retiring or removed Administrative Agent, all payments, communications and determinations required to be made by, to or through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shall instead be made by or to each Lender and each Issuing Bank directly (and each Lender and each Issuing Bank</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will cooperate with the Borrower to enable the Borrower to take such actions), until such time as the Required Lenders or the Borrower, as applicable, appoint a successor Administrative Agent, as provided above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56"/>
        <w:spacing w:after="0" w:line="217" w:lineRule="auto"/>
        <w:tabs>
          <w:tab w:leader="none" w:pos="1286"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w:t>
      </w:r>
      <w:r>
        <w:rPr>
          <w:rFonts w:ascii="Times New Roman" w:cs="Times New Roman" w:eastAsia="Times New Roman" w:hAnsi="Times New Roman"/>
          <w:sz w:val="20"/>
          <w:szCs w:val="20"/>
          <w:u w:val="single" w:color="auto"/>
          <w:color w:val="auto"/>
        </w:rPr>
        <w:t>Section 8.07</w:t>
      </w:r>
      <w:r>
        <w:rPr>
          <w:rFonts w:ascii="Times New Roman" w:cs="Times New Roman" w:eastAsia="Times New Roman" w:hAnsi="Times New Roman"/>
          <w:sz w:val="20"/>
          <w:szCs w:val="20"/>
          <w:color w:val="auto"/>
        </w:rPr>
        <w:t xml:space="preserve">) (other than its obligations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hereof).</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fees payable by the Borrower to any successor Administrative Agent shall not be greater than those payable to its predecessor unless otherwise expressly agreed in writing between the Borrower and such successor Administrative Agent.</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Administrative Agent’s resignation or removal hereunder, the provisions of this Article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continue in effect for the benefit of such resigning or removed Administrative Agent, its sub-agents and their respective Related Parties in respect of any action taken or omitted to be taken by any of them (i) while the relevant Person was acting as Administrative Agent (including for this purpose holding any collateral security following the resignation or removal of the Administrative Agent) and (ii) after such resignation or removal, solely to the extent that such outgoing Administrative Agent (x) continues to act as collateral agent or otherwise holds any collateral security on behalf of the Lenders or (y) takes any actions in connection with transferring the agency to any successor Administrative Agent.</w:t>
      </w:r>
    </w:p>
    <w:p>
      <w:pPr>
        <w:spacing w:after="0" w:line="164"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Disqualified Institution (nor any Affiliate thereof) may be appointed as a successor Administrative Agent.</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8. Non-Reliance on Administrative Agent, the Arrangers or the Other Lenders. Each of each Lender and each Issuing Bank represents and warrants and acknowledges that it has, independently and without reliance upon the Administrative Agent, the Arrangers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any other Lender or any of their Related Parties and based on such documents and information as it has deemed appropriate, made its own credit analysis of, appraisal of, and investigation into, the business, prospects, operations, property, financial and other condition and</w:t>
      </w:r>
    </w:p>
    <w:p>
      <w:pPr>
        <w:spacing w:after="0" w:line="211" w:lineRule="auto"/>
        <w:rPr>
          <w:sz w:val="20"/>
          <w:szCs w:val="20"/>
          <w:color w:val="auto"/>
        </w:rPr>
      </w:pPr>
      <w:r>
        <w:rPr>
          <w:rFonts w:ascii="Times New Roman" w:cs="Times New Roman" w:eastAsia="Times New Roman" w:hAnsi="Times New Roman"/>
          <w:sz w:val="20"/>
          <w:szCs w:val="20"/>
          <w:color w:val="auto"/>
        </w:rPr>
        <w:t>creditworthiness of the Loan Parties and their Subsidiaries, and all applicable bank or other regulatory Laws relating to the transactions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contemplated hereby and made its own decision to enter into this Agreement and extend credit to the Borrower hereunder. Each of each Lender and each Issuing Bank expressly acknowledges that none of the Administrative Agent nor the Arrangers has made any representation</w:t>
      </w:r>
    </w:p>
    <w:p>
      <w:pPr>
        <w:ind w:right="20"/>
        <w:spacing w:after="0" w:line="228" w:lineRule="auto"/>
        <w:rPr>
          <w:sz w:val="20"/>
          <w:szCs w:val="20"/>
          <w:color w:val="auto"/>
        </w:rPr>
      </w:pPr>
      <w:r>
        <w:rPr>
          <w:rFonts w:ascii="Times New Roman" w:cs="Times New Roman" w:eastAsia="Times New Roman" w:hAnsi="Times New Roman"/>
          <w:sz w:val="20"/>
          <w:szCs w:val="20"/>
          <w:color w:val="auto"/>
        </w:rPr>
        <w:t>or warranty to it, and that no act by the Administrative Agent or the Arrangers hereafter taken, including any consent to, and acceptance of any assignment or review of the affairs of any Loan Party of any Affiliate thereof, shall be deemed to constitute any representation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0"/>
          <w:szCs w:val="20"/>
          <w:color w:val="auto"/>
        </w:rPr>
        <w:t>warranty by the Administrative Agent or any Arranger to any Lender or each Issuing Bank as to any matter, including whether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or the Arrangers have disclosed material information in their (or their Related Parties’) possession Each of each Lender and each Issuing Bank also acknowledges that it will, independently and without reliance upon the Administrative Agent, the Arrangers or</w:t>
      </w:r>
    </w:p>
    <w:p>
      <w:pPr>
        <w:spacing w:after="0" w:line="211" w:lineRule="auto"/>
        <w:rPr>
          <w:sz w:val="20"/>
          <w:szCs w:val="20"/>
          <w:color w:val="auto"/>
        </w:rPr>
      </w:pPr>
      <w:r>
        <w:rPr>
          <w:rFonts w:ascii="Times New Roman" w:cs="Times New Roman" w:eastAsia="Times New Roman" w:hAnsi="Times New Roman"/>
          <w:sz w:val="20"/>
          <w:szCs w:val="20"/>
          <w:color w:val="auto"/>
        </w:rPr>
        <w:t>any other Lender or any of their respective Related Parties and based on such documents and information as it shall from time to time deem</w:t>
      </w:r>
    </w:p>
    <w:p>
      <w:pPr>
        <w:jc w:val="both"/>
        <w:spacing w:after="0" w:line="204" w:lineRule="auto"/>
        <w:rPr>
          <w:sz w:val="20"/>
          <w:szCs w:val="20"/>
          <w:color w:val="auto"/>
        </w:rPr>
      </w:pPr>
      <w:r>
        <w:rPr>
          <w:rFonts w:ascii="Times New Roman" w:cs="Times New Roman" w:eastAsia="Times New Roman" w:hAnsi="Times New Roman"/>
          <w:sz w:val="20"/>
          <w:szCs w:val="20"/>
          <w:color w:val="auto"/>
        </w:rPr>
        <w:t>appropriate, continue to make its own credit analysis, appraisals and decisions in taking or not taking action under or based upon this Agreement, any other Loan Document or related agreement or any document furnished hereunder or thereunder. Except for notices, reports</w:t>
      </w:r>
    </w:p>
    <w:p>
      <w:pPr>
        <w:spacing w:after="0" w:line="211" w:lineRule="auto"/>
        <w:rPr>
          <w:sz w:val="20"/>
          <w:szCs w:val="20"/>
          <w:color w:val="auto"/>
        </w:rPr>
      </w:pPr>
      <w:r>
        <w:rPr>
          <w:rFonts w:ascii="Times New Roman" w:cs="Times New Roman" w:eastAsia="Times New Roman" w:hAnsi="Times New Roman"/>
          <w:sz w:val="20"/>
          <w:szCs w:val="20"/>
          <w:color w:val="auto"/>
        </w:rPr>
        <w:t>and other documents expressly required to be furnished to the Lenders and the Issuing Banks by the Administrative Agent herein,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shall not have any duty or responsibility to provide any Lender or any Issuing Bank with any credit or other information concerning the business, prospects, operations, property, financial and other condition or creditworthiness of any of the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or any of their respective Affiliates which may come into the possession of the Administrative Agent or any of its Related Parties.</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Each Lender and each Issuing Bank represents and warrants that (i) the Loan Documents set forth the terms of a commercial lending facility and (ii) it is entering into this Agreement as a Lender or Issuing Bank for the purpose of making, acquiring or holding commercial</w:t>
      </w:r>
    </w:p>
    <w:p>
      <w:pPr>
        <w:spacing w:after="0" w:line="211" w:lineRule="auto"/>
        <w:rPr>
          <w:sz w:val="20"/>
          <w:szCs w:val="20"/>
          <w:color w:val="auto"/>
        </w:rPr>
      </w:pPr>
      <w:r>
        <w:rPr>
          <w:rFonts w:ascii="Times New Roman" w:cs="Times New Roman" w:eastAsia="Times New Roman" w:hAnsi="Times New Roman"/>
          <w:sz w:val="20"/>
          <w:szCs w:val="20"/>
          <w:color w:val="auto"/>
        </w:rPr>
        <w:t>loans and providing other facilities set forth herein as may be applicable to such Lender or Issuing Bank, and not for the purpose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purchasing, acquiring or holding any other type of financial instrument, and each Lender and each Issuing Bank agrees not to assert a claim in contravention of the foregoing. Each Lender and each Issuing Bank represents and warrants that it is sophisticated with respect to</w:t>
      </w:r>
    </w:p>
    <w:p>
      <w:pPr>
        <w:spacing w:after="0" w:line="211" w:lineRule="auto"/>
        <w:rPr>
          <w:sz w:val="20"/>
          <w:szCs w:val="20"/>
          <w:color w:val="auto"/>
        </w:rPr>
      </w:pPr>
      <w:r>
        <w:rPr>
          <w:rFonts w:ascii="Times New Roman" w:cs="Times New Roman" w:eastAsia="Times New Roman" w:hAnsi="Times New Roman"/>
          <w:sz w:val="20"/>
          <w:szCs w:val="20"/>
          <w:color w:val="auto"/>
        </w:rPr>
        <w:t>decisions to make, acquire and/or hold commercial loans and to provide other facilities set forth herein, as may be applicable to such Lender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such Issuing Bank, and either it, or the Person exercising discretion in making its decision to make, acquire and/or hold such commercial loans or to provide such other facilities, is experienced in making, acquiring or holding such commercial loans or providing such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facilities.</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Notwithstanding anything to the contrary herein, the Arrangers shall not have any right, power, obligation, liability, responsibility or duty under this Agreement, except in their respective capacities as the Administrative Agent, an Issuing Bank or a Lender hereunder, as applicable.</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tab/>
        <w:t>Collateral and Guaranty Matters. Each Lender and each other Secured Party irrevocably authorizes and instructs the</w:t>
      </w:r>
    </w:p>
    <w:p>
      <w:pPr>
        <w:spacing w:after="0"/>
        <w:rPr>
          <w:sz w:val="20"/>
          <w:szCs w:val="20"/>
          <w:color w:val="auto"/>
        </w:rPr>
      </w:pPr>
      <w:r>
        <w:rPr>
          <w:rFonts w:ascii="Times New Roman" w:cs="Times New Roman" w:eastAsia="Times New Roman" w:hAnsi="Times New Roman"/>
          <w:sz w:val="20"/>
          <w:szCs w:val="20"/>
          <w:color w:val="auto"/>
        </w:rPr>
        <w:t>Administrative Agent to, and the Administrative Agent shall:</w:t>
      </w:r>
    </w:p>
    <w:p>
      <w:pPr>
        <w:spacing w:after="0" w:line="167" w:lineRule="exact"/>
        <w:rPr>
          <w:sz w:val="20"/>
          <w:szCs w:val="20"/>
          <w:color w:val="auto"/>
        </w:rPr>
      </w:pPr>
    </w:p>
    <w:p>
      <w:pPr>
        <w:jc w:val="both"/>
        <w:ind w:firstLine="656"/>
        <w:spacing w:after="0" w:line="215" w:lineRule="auto"/>
        <w:tabs>
          <w:tab w:leader="none" w:pos="1286"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(or evidence the release of) any Lien on any property granted to or held by the Administrative Agent under any Loan Document (i) upon the occurrence of the Termination Date, (ii) that is sold or otherwise Disposed of (or to be sold or otherwise Disposed of) as part of or in connection with any Disposition permitted under (or not restricted by) the Loan Documents (subject to the last paragraph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 Documents, (v) as required under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 (vi) pursuant to the provisions of any applicable Loan Document or (vii)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9.22</w:t>
      </w:r>
      <w:r>
        <w:rPr>
          <w:rFonts w:ascii="Times New Roman" w:cs="Times New Roman" w:eastAsia="Times New Roman" w:hAnsi="Times New Roman"/>
          <w:sz w:val="19"/>
          <w:szCs w:val="19"/>
          <w:color w:val="auto"/>
        </w:rPr>
        <w:t xml:space="preserve">, release (or evidence the release of) any Subsidiary Guarantor from its obligations under the Loan Guaranty (i) if such Person ceases to be a Restricted Subsidiary (or is or becomes an Excluded Subsidiary as a result of a single transaction or series of related transactions not prohibited hereunder), (ii) on the Termination Date and/or (iii) in the case of any Discretionary Guarantor, at the election of the Borrower, upon notice from the Borrower to the Administrative Agent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Subsidiary Guarantor ceases to constitute a Wholly-Owned Subsidiary, such Subsidiary Guarantor shall not be released from its Loan Guaranty unless</w:t>
      </w:r>
    </w:p>
    <w:p>
      <w:pPr>
        <w:spacing w:after="0" w:line="1" w:lineRule="exact"/>
        <w:rPr>
          <w:rFonts w:ascii="Times New Roman" w:cs="Times New Roman" w:eastAsia="Times New Roman" w:hAnsi="Times New Roman"/>
          <w:sz w:val="19"/>
          <w:szCs w:val="19"/>
          <w:color w:val="auto"/>
        </w:rPr>
      </w:pPr>
    </w:p>
    <w:p>
      <w:pPr>
        <w:jc w:val="both"/>
        <w:ind w:firstLine="8"/>
        <w:spacing w:after="0" w:line="212" w:lineRule="auto"/>
        <w:tabs>
          <w:tab w:leader="none" w:pos="335"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Guarantor is no longer a direct or indirect subsidiary of the Borrower, (B) after giving pro forma effect to such release and the consummation of the relevant transaction, the Borrower is deemed to have made a new Investment in such Person (as if such Person was then newly acquired) and such Investment is permitted by the Loan Documents or (C) such Dispositions of Capital Stock is a good faith Disposition to a bona fide unaffiliated third party (as determined by the Borrower in good faith) for fair market value and for a bona fide business purpose (as determined by the Borrower in good faith); it being understood that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0"/>
          <w:szCs w:val="20"/>
          <w:color w:val="auto"/>
        </w:rPr>
        <w:t>proviso shall not limit the release of any Subsidiary Guarantor that otherwise constitutes an Excluded Subsidiary for any reason other than not constituting a Wholly-Owned Subsidiary of the Borrower (this proviso, the “</w:t>
      </w:r>
      <w:r>
        <w:rPr>
          <w:rFonts w:ascii="Times New Roman" w:cs="Times New Roman" w:eastAsia="Times New Roman" w:hAnsi="Times New Roman"/>
          <w:sz w:val="20"/>
          <w:szCs w:val="20"/>
          <w:u w:val="single" w:color="auto"/>
          <w:color w:val="auto"/>
        </w:rPr>
        <w:t>Specified Guarantor Release Provision</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656"/>
        <w:spacing w:after="0" w:line="212" w:lineRule="auto"/>
        <w:tabs>
          <w:tab w:leader="none" w:pos="128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6.02(d)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6.02(g)(i)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6.02(o)</w:t>
      </w:r>
      <w:r>
        <w:rPr>
          <w:rFonts w:ascii="Times New Roman" w:cs="Times New Roman" w:eastAsia="Times New Roman" w:hAnsi="Times New Roman"/>
          <w:sz w:val="20"/>
          <w:szCs w:val="20"/>
          <w:color w:val="auto"/>
        </w:rPr>
        <w:t xml:space="preserve"> (other than any Lien on the Capital Stock of any Subsidiary Guarantor), </w:t>
      </w:r>
      <w:r>
        <w:rPr>
          <w:rFonts w:ascii="Times New Roman" w:cs="Times New Roman" w:eastAsia="Times New Roman" w:hAnsi="Times New Roman"/>
          <w:sz w:val="20"/>
          <w:szCs w:val="20"/>
          <w:u w:val="single" w:color="auto"/>
          <w:color w:val="auto"/>
        </w:rPr>
        <w:t>6.02(q)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6.02(s)</w:t>
      </w:r>
      <w:r>
        <w:rPr>
          <w:rFonts w:ascii="Times New Roman" w:cs="Times New Roman" w:eastAsia="Times New Roman" w:hAnsi="Times New Roman"/>
          <w:sz w:val="20"/>
          <w:szCs w:val="20"/>
          <w:color w:val="auto"/>
        </w:rPr>
        <w:t xml:space="preserve"> (to the extent the relevant Lien is of the type to which the Lien of the Administrative Agent is otherwise required to be subordinated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pursuant to any of the other exceptions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that are expressly included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6.02(u)</w:t>
      </w:r>
      <w:r>
        <w:rPr>
          <w:rFonts w:ascii="Times New Roman" w:cs="Times New Roman" w:eastAsia="Times New Roman" w:hAnsi="Times New Roman"/>
          <w:sz w:val="20"/>
          <w:szCs w:val="20"/>
          <w:color w:val="auto"/>
        </w:rPr>
        <w:t xml:space="preserve"> (to the extent the relevant Lien is of the type to which the Lien of the Administrative Agent is otherwise required to be subordinated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pursuant to any of the other exceptions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that are expressly included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6.02(z)(i)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6.02(bb)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6.02(cc)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6.02(dd)</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thereof, to the extent the relevant Lien covers cash collateral posted to secure the relevant obligation), </w:t>
      </w:r>
      <w:r>
        <w:rPr>
          <w:rFonts w:ascii="Times New Roman" w:cs="Times New Roman" w:eastAsia="Times New Roman" w:hAnsi="Times New Roman"/>
          <w:sz w:val="20"/>
          <w:szCs w:val="20"/>
          <w:u w:val="single" w:color="auto"/>
          <w:color w:val="auto"/>
        </w:rPr>
        <w:t>6.02(ee)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6.02(gg), 6.02(ii),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6.02(mm)</w:t>
      </w:r>
      <w:r>
        <w:rPr>
          <w:rFonts w:ascii="Times New Roman" w:cs="Times New Roman" w:eastAsia="Times New Roman" w:hAnsi="Times New Roman"/>
          <w:sz w:val="20"/>
          <w:szCs w:val="20"/>
          <w:color w:val="auto"/>
        </w:rPr>
        <w:t xml:space="preserve"> (and, in each case, any Lien securing any Refinancing Indebtedness in respect of any thereof to the extent such Refinancing Indebtedness is permitted to be secured under </w:t>
      </w:r>
      <w:r>
        <w:rPr>
          <w:rFonts w:ascii="Times New Roman" w:cs="Times New Roman" w:eastAsia="Times New Roman" w:hAnsi="Times New Roman"/>
          <w:sz w:val="20"/>
          <w:szCs w:val="20"/>
          <w:u w:val="single" w:color="auto"/>
          <w:color w:val="auto"/>
        </w:rPr>
        <w:t>Section 6.02(k)</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subordination, intercreditor, collateral trust and/or similar agreements (including any Intercreditor Agreement and/or any amendment to any Intercreditor Agreement) with respect to any Indebtedness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 contrary to the provisions of any such agreement; and</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and/or deliver, as applicable, any amendment to any UCC financing statement and/or any other document evidencing the security interest granted pursuant to the Collateral Documents to indicate that Excluded Assets and/or other assets that do not constitute Collateral are not subject to the security interest granted pursuant to the Collateral Documents.</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the Loan Guaranty or its Lien on any Collateral pursuant to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In each case as specified in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will (and each Lender, and each Issuing Bank hereby authorizes the Administrative Agent to), without recourse or warranty (other than as to the Administrative Agent’s authority to execute and deliver the same) and at the Borrower’s expense, execute and deliver to the applicable</w:t>
      </w:r>
    </w:p>
    <w:p>
      <w:pPr>
        <w:spacing w:after="0" w:line="211" w:lineRule="auto"/>
        <w:rPr>
          <w:sz w:val="20"/>
          <w:szCs w:val="20"/>
          <w:color w:val="auto"/>
        </w:rPr>
      </w:pPr>
      <w:r>
        <w:rPr>
          <w:rFonts w:ascii="Times New Roman" w:cs="Times New Roman" w:eastAsia="Times New Roman" w:hAnsi="Times New Roman"/>
          <w:sz w:val="20"/>
          <w:szCs w:val="20"/>
          <w:color w:val="auto"/>
        </w:rPr>
        <w:t>Loan Party such documents as such Loan Party may reasonably request to evidence the release of such item of Collateral from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that, upon the request of the Administrative Agent, the Borrower shall deliver a certificate of a Responsible Officer certifying that the relevant transaction has been consummated in compliance with the terms of this Agreement.</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8.09</w:t>
      </w:r>
      <w:r>
        <w:rPr>
          <w:rFonts w:ascii="Times New Roman" w:cs="Times New Roman" w:eastAsia="Times New Roman" w:hAnsi="Times New Roman"/>
          <w:sz w:val="19"/>
          <w:szCs w:val="19"/>
          <w:color w:val="auto"/>
        </w:rPr>
        <w:t xml:space="preserve"> or in any other provision of any Loan Document, each Lender and each other Secured Party hereby authorizes the Administrative Agent to, and the Administrative Agent shall, execute and deliver any instruments,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documents, consents, acknowledgments, and agreements necessary or desirable to evidence, effectuate or confirm the release of any Subsidiary Guarantor or Collateral or the subordination of any Lien pursuant to the provisions of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understood and agreed that, notwithstanding anything to the contrary herein, in any other Loan Document and/or in the</w:t>
      </w:r>
    </w:p>
    <w:p>
      <w:pPr>
        <w:spacing w:after="0" w:line="204" w:lineRule="auto"/>
        <w:rPr>
          <w:sz w:val="20"/>
          <w:szCs w:val="20"/>
          <w:color w:val="auto"/>
        </w:rPr>
      </w:pPr>
      <w:r>
        <w:rPr>
          <w:rFonts w:ascii="Times New Roman" w:cs="Times New Roman" w:eastAsia="Times New Roman" w:hAnsi="Times New Roman"/>
          <w:sz w:val="20"/>
          <w:szCs w:val="20"/>
          <w:color w:val="auto"/>
        </w:rPr>
        <w:t>documentation governing any Hedge Agreement and/or any agreement governing Banking Services, (a) unless otherwise agreed to by the Borrower and any applicable counterparty to any agreement governing any Secured Hedging Obligation and/or any Banking Service,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of Holdings, the Borrower or any subsidiary under any such agreement shall be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9"/>
          <w:szCs w:val="19"/>
          <w:color w:val="auto"/>
        </w:rPr>
        <w:t>and guaranteed pursuant to the Collateral Documents and the Loan Guaranty only to the extent that, and for so long as, the Obligations are so</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secured and guaranteed and (b) any release of any Lien on any Collateral and/or any Loan Guarantor effected in a manner permitted by this Agreement and/or any other Loan Document shall not require the consent of any such counterparty.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tab/>
        <w:t>Intercreditor Agreements. The Administrative Agent is authorized by the Lenders and each other Secured Party to,</w:t>
      </w:r>
    </w:p>
    <w:p>
      <w:pPr>
        <w:spacing w:after="0" w:line="204" w:lineRule="auto"/>
        <w:rPr>
          <w:sz w:val="20"/>
          <w:szCs w:val="20"/>
          <w:color w:val="auto"/>
        </w:rPr>
      </w:pPr>
      <w:r>
        <w:rPr>
          <w:rFonts w:ascii="Times New Roman" w:cs="Times New Roman" w:eastAsia="Times New Roman" w:hAnsi="Times New Roman"/>
          <w:sz w:val="20"/>
          <w:szCs w:val="20"/>
          <w:color w:val="auto"/>
        </w:rPr>
        <w:t>and shall, enter into any Intercreditor Agreement and any other intercreditor, subordination, collateral trust or similar agreement contemplated hereby with respect to any (a) Indebtedness (i) that is (A) required or permitted hereunder to be subordinated in right of</w:t>
      </w:r>
    </w:p>
    <w:p>
      <w:pPr>
        <w:spacing w:after="0" w:line="211" w:lineRule="auto"/>
        <w:rPr>
          <w:sz w:val="20"/>
          <w:szCs w:val="20"/>
          <w:color w:val="auto"/>
        </w:rPr>
      </w:pPr>
      <w:r>
        <w:rPr>
          <w:rFonts w:ascii="Times New Roman" w:cs="Times New Roman" w:eastAsia="Times New Roman" w:hAnsi="Times New Roman"/>
          <w:sz w:val="20"/>
          <w:szCs w:val="20"/>
          <w:color w:val="auto"/>
        </w:rPr>
        <w:t>payment or with respect to security and/or (B) secured by any Lien and (ii) which contemplates an intercreditor, subordination, collateral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trust or similar agreement and/or (b) Secured Hedging Obligations and/or Banking Services Obligations, whether or not constituting Indebtedness (any such other intercreditor, subordination, collateral trust and/or similar agreement an “Additional Agreement”), and the</w:t>
      </w:r>
    </w:p>
    <w:p>
      <w:pPr>
        <w:spacing w:after="0" w:line="223" w:lineRule="auto"/>
        <w:rPr>
          <w:sz w:val="20"/>
          <w:szCs w:val="20"/>
          <w:color w:val="auto"/>
        </w:rPr>
      </w:pPr>
      <w:r>
        <w:rPr>
          <w:rFonts w:ascii="Times New Roman" w:cs="Times New Roman" w:eastAsia="Times New Roman" w:hAnsi="Times New Roman"/>
          <w:sz w:val="19"/>
          <w:szCs w:val="19"/>
          <w:color w:val="auto"/>
        </w:rPr>
        <w:t>Secured Parties party hereto acknowledge that any Intercreditor Agreement and any other Additional Agreement is binding upon them. Each</w:t>
      </w:r>
    </w:p>
    <w:p>
      <w:pPr>
        <w:spacing w:after="0" w:line="215" w:lineRule="auto"/>
        <w:rPr>
          <w:sz w:val="20"/>
          <w:szCs w:val="20"/>
          <w:color w:val="auto"/>
        </w:rPr>
      </w:pPr>
      <w:r>
        <w:rPr>
          <w:rFonts w:ascii="Times New Roman" w:cs="Times New Roman" w:eastAsia="Times New Roman" w:hAnsi="Times New Roman"/>
          <w:sz w:val="19"/>
          <w:szCs w:val="19"/>
          <w:color w:val="auto"/>
        </w:rPr>
        <w:t>Lender and each other Secured Party hereto hereby (a) agrees that it will be bound by, and will not take any action contrary to, the provisions of any Intercreditor Agreement or any other Additional Agreement and (b) authorizes and instructs the Administrative Agent to enter into any</w:t>
      </w:r>
    </w:p>
    <w:p>
      <w:pPr>
        <w:spacing w:after="0" w:line="211" w:lineRule="auto"/>
        <w:rPr>
          <w:sz w:val="20"/>
          <w:szCs w:val="20"/>
          <w:color w:val="auto"/>
        </w:rPr>
      </w:pPr>
      <w:r>
        <w:rPr>
          <w:rFonts w:ascii="Times New Roman" w:cs="Times New Roman" w:eastAsia="Times New Roman" w:hAnsi="Times New Roman"/>
          <w:sz w:val="20"/>
          <w:szCs w:val="20"/>
          <w:color w:val="auto"/>
        </w:rPr>
        <w:t>Intercreditor Agreement and/or any other Additional Agreement and to subject the Liens on the Collateral securing the Secured Obligations</w:t>
      </w:r>
    </w:p>
    <w:p>
      <w:pPr>
        <w:spacing w:after="0" w:line="204" w:lineRule="auto"/>
        <w:rPr>
          <w:sz w:val="20"/>
          <w:szCs w:val="20"/>
          <w:color w:val="auto"/>
        </w:rPr>
      </w:pPr>
      <w:r>
        <w:rPr>
          <w:rFonts w:ascii="Times New Roman" w:cs="Times New Roman" w:eastAsia="Times New Roman" w:hAnsi="Times New Roman"/>
          <w:sz w:val="20"/>
          <w:szCs w:val="20"/>
          <w:color w:val="auto"/>
        </w:rPr>
        <w:t>to the provisions thereof. The foregoing provisions are intended as an inducement to the Lenders and the other Secured Parties to extend credit to the Borrower, and the Lenders and the other Secured Parties are intended third-party beneficiaries of such provisions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provisions of any Intercreditor Agreement and/or any other Additional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11. Indemnification of Administrative Agent. To the extent that the Administrative Agent (or any Affiliate thereof) is not reimbursed and indemnified by the Borrower in accordance with and to the extent required by Section 9.03(b) hereof, the Lenders will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reimburse and indemnify the Administrative Agent (and any Affiliate thereof) in proportion to their respective Applicable Percentages (determined as if there were no Defaulting Lenders) for and against any and all liabilities, obligations, losses, damages, penalties, claims,</w:t>
      </w:r>
    </w:p>
    <w:p>
      <w:pPr>
        <w:spacing w:after="0" w:line="211" w:lineRule="auto"/>
        <w:rPr>
          <w:sz w:val="20"/>
          <w:szCs w:val="20"/>
          <w:color w:val="auto"/>
        </w:rPr>
      </w:pPr>
      <w:r>
        <w:rPr>
          <w:rFonts w:ascii="Times New Roman" w:cs="Times New Roman" w:eastAsia="Times New Roman" w:hAnsi="Times New Roman"/>
          <w:sz w:val="20"/>
          <w:szCs w:val="20"/>
          <w:color w:val="auto"/>
        </w:rPr>
        <w:t>actions, judgments, costs, expenses or disbursements of whatsoever kind or nature, including reasonable attorneys' fees, which may be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imposed on, asserted against or incurred by the Administrative Agent (or any Affiliate thereof) in (i) performing its duties hereunder or under any other Loan Document or in any way relating to or arising out of this Agreement or any other Loan Document and/or (ii) any actual or</w:t>
      </w:r>
    </w:p>
    <w:p>
      <w:pPr>
        <w:spacing w:after="0" w:line="211" w:lineRule="auto"/>
        <w:rPr>
          <w:sz w:val="20"/>
          <w:szCs w:val="20"/>
          <w:color w:val="auto"/>
        </w:rPr>
      </w:pPr>
      <w:r>
        <w:rPr>
          <w:rFonts w:ascii="Times New Roman" w:cs="Times New Roman" w:eastAsia="Times New Roman" w:hAnsi="Times New Roman"/>
          <w:sz w:val="20"/>
          <w:szCs w:val="20"/>
          <w:color w:val="auto"/>
        </w:rPr>
        <w:t>prospective claim, litigation, investigation or proceeding relating to any of the foregoing, whether based on contract, tort or any other theory</w:t>
      </w:r>
    </w:p>
    <w:p>
      <w:pPr>
        <w:spacing w:after="0" w:line="204" w:lineRule="auto"/>
        <w:rPr>
          <w:sz w:val="20"/>
          <w:szCs w:val="20"/>
          <w:color w:val="auto"/>
        </w:rPr>
      </w:pPr>
      <w:r>
        <w:rPr>
          <w:rFonts w:ascii="Times New Roman" w:cs="Times New Roman" w:eastAsia="Times New Roman" w:hAnsi="Times New Roman"/>
          <w:sz w:val="20"/>
          <w:szCs w:val="20"/>
          <w:color w:val="auto"/>
        </w:rPr>
        <w:t>and regardless of whether any Indemnitee is a party thereto (and regardless of whether such matter is initiated by or against the Administrative Agent, a third party or a Lender or any Related Party of a Lender); provided that no Lender shall be liable for any portion of</w:t>
      </w:r>
    </w:p>
    <w:p>
      <w:pPr>
        <w:spacing w:after="0" w:line="223" w:lineRule="auto"/>
        <w:rPr>
          <w:sz w:val="20"/>
          <w:szCs w:val="20"/>
          <w:color w:val="auto"/>
        </w:rPr>
      </w:pPr>
      <w:r>
        <w:rPr>
          <w:rFonts w:ascii="Times New Roman" w:cs="Times New Roman" w:eastAsia="Times New Roman" w:hAnsi="Times New Roman"/>
          <w:sz w:val="19"/>
          <w:szCs w:val="19"/>
          <w:color w:val="auto"/>
        </w:rPr>
        <w:t>such liabilities, obligations, losses, damages, penalties, claims, actions, judgments, suits, costs, expenses or disbursements resulting from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Agent’s (or such affiliate’s) gross negligence or willful misconduct (as determined by a court of competent jurisdiction in a final and non-appealable decision).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tab/>
        <w:t>Withholding Taxes. To the extent required by any applicable Requirements of Law (as determined in good faith by</w:t>
      </w:r>
    </w:p>
    <w:p>
      <w:pPr>
        <w:spacing w:after="0" w:line="204" w:lineRule="auto"/>
        <w:rPr>
          <w:sz w:val="20"/>
          <w:szCs w:val="20"/>
          <w:color w:val="auto"/>
        </w:rPr>
      </w:pPr>
      <w:r>
        <w:rPr>
          <w:rFonts w:ascii="Times New Roman" w:cs="Times New Roman" w:eastAsia="Times New Roman" w:hAnsi="Times New Roman"/>
          <w:sz w:val="20"/>
          <w:szCs w:val="20"/>
          <w:color w:val="auto"/>
        </w:rPr>
        <w:t>the Administrative Agent), the Administrative Agent may withhold from any payment to any Lender under any Loan Document an amount equivalent to any applicable withholding Tax. Without limiting or expanding the provisions of Section 2.17, each Lender shall severally</w:t>
      </w:r>
    </w:p>
    <w:p>
      <w:pPr>
        <w:spacing w:after="0" w:line="211" w:lineRule="auto"/>
        <w:rPr>
          <w:sz w:val="20"/>
          <w:szCs w:val="20"/>
          <w:color w:val="auto"/>
        </w:rPr>
      </w:pPr>
      <w:r>
        <w:rPr>
          <w:rFonts w:ascii="Times New Roman" w:cs="Times New Roman" w:eastAsia="Times New Roman" w:hAnsi="Times New Roman"/>
          <w:sz w:val="20"/>
          <w:szCs w:val="20"/>
          <w:color w:val="auto"/>
        </w:rPr>
        <w:t>indemnify and hold harmless the Administrative Agent against, and shall make payable in respect thereof within ten days after demand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therefor, any and all Taxes and any and all related losses, claims, liabilities and expenses (including fees, charges and disbursements of any counsel for the Administrative Agent) incurred by or asserted against the Administrative Agent by the IRS or any other Governmental</w:t>
      </w:r>
    </w:p>
    <w:p>
      <w:pPr>
        <w:spacing w:after="0" w:line="211" w:lineRule="auto"/>
        <w:rPr>
          <w:sz w:val="20"/>
          <w:szCs w:val="20"/>
          <w:color w:val="auto"/>
        </w:rPr>
      </w:pPr>
      <w:r>
        <w:rPr>
          <w:rFonts w:ascii="Times New Roman" w:cs="Times New Roman" w:eastAsia="Times New Roman" w:hAnsi="Times New Roman"/>
          <w:sz w:val="20"/>
          <w:szCs w:val="20"/>
          <w:color w:val="auto"/>
        </w:rPr>
        <w:t>Authority as a result of the failure of the Administrative Agent to properly withhold Tax from amounts paid to or for the account of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Lender for any reason (including because the appropriate form was not delivered or not properly executed, because such Lender failed to notify the Administrative Agent of a change in circumstance that rendered the exemption from, or reduction of withholding Tax ineffective or</w:t>
      </w:r>
    </w:p>
    <w:p>
      <w:pPr>
        <w:spacing w:after="0" w:line="211" w:lineRule="auto"/>
        <w:rPr>
          <w:sz w:val="20"/>
          <w:szCs w:val="20"/>
          <w:color w:val="auto"/>
        </w:rPr>
      </w:pPr>
      <w:r>
        <w:rPr>
          <w:rFonts w:ascii="Times New Roman" w:cs="Times New Roman" w:eastAsia="Times New Roman" w:hAnsi="Times New Roman"/>
          <w:sz w:val="20"/>
          <w:szCs w:val="20"/>
          <w:color w:val="auto"/>
        </w:rPr>
        <w:t>because such Lender failed to maintain a Participant/SPC Register in the manner required by Section 9.05(c)). A certificate as to the amount</w:t>
      </w:r>
    </w:p>
    <w:p>
      <w:pPr>
        <w:spacing w:after="0" w:line="215" w:lineRule="auto"/>
        <w:rPr>
          <w:sz w:val="20"/>
          <w:szCs w:val="20"/>
          <w:color w:val="auto"/>
        </w:rPr>
      </w:pPr>
      <w:r>
        <w:rPr>
          <w:rFonts w:ascii="Times New Roman" w:cs="Times New Roman" w:eastAsia="Times New Roman" w:hAnsi="Times New Roman"/>
          <w:sz w:val="19"/>
          <w:szCs w:val="19"/>
          <w:color w:val="auto"/>
        </w:rPr>
        <w:t>of such payment or liability delivered to any Lender by the Administrative Agent shall be conclusive absent manifest error. Each Lender hereby authorizes the Administrative Agent to set off and apply any and all amounts at any time owing to such Lender under this Agreement</w:t>
      </w:r>
    </w:p>
    <w:p>
      <w:pPr>
        <w:spacing w:after="0"/>
        <w:rPr>
          <w:sz w:val="20"/>
          <w:szCs w:val="20"/>
          <w:color w:val="auto"/>
        </w:rPr>
      </w:pPr>
      <w:r>
        <w:rPr>
          <w:rFonts w:ascii="Times New Roman" w:cs="Times New Roman" w:eastAsia="Times New Roman" w:hAnsi="Times New Roman"/>
          <w:sz w:val="20"/>
          <w:szCs w:val="20"/>
          <w:color w:val="auto"/>
        </w:rPr>
        <w:t>or any other Loan Document against any amount due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0"/>
          <w:szCs w:val="20"/>
          <w:color w:val="auto"/>
        </w:rPr>
        <w:t>under this paragraph. The agreements in this paragraph shall survive the resignation or replacement of the Administrative Agent or any</w:t>
      </w:r>
    </w:p>
    <w:p>
      <w:pPr>
        <w:spacing w:after="0" w:line="215" w:lineRule="auto"/>
        <w:rPr>
          <w:sz w:val="20"/>
          <w:szCs w:val="20"/>
          <w:color w:val="auto"/>
        </w:rPr>
      </w:pPr>
      <w:r>
        <w:rPr>
          <w:rFonts w:ascii="Times New Roman" w:cs="Times New Roman" w:eastAsia="Times New Roman" w:hAnsi="Times New Roman"/>
          <w:sz w:val="19"/>
          <w:szCs w:val="19"/>
          <w:color w:val="auto"/>
        </w:rPr>
        <w:t>assignment of rights by, or the replacement of, any Lender, the termination of the Commitments and the repayment, satisfaction or discharge of all obligations under any Loan Document. For the avoidance of doubt, the term “Lender” shall, for all purposes of this paragraph, include</w:t>
      </w:r>
    </w:p>
    <w:p>
      <w:pPr>
        <w:spacing w:after="0"/>
        <w:rPr>
          <w:sz w:val="20"/>
          <w:szCs w:val="20"/>
          <w:color w:val="auto"/>
        </w:rPr>
      </w:pPr>
      <w:r>
        <w:rPr>
          <w:rFonts w:ascii="Times New Roman" w:cs="Times New Roman" w:eastAsia="Times New Roman" w:hAnsi="Times New Roman"/>
          <w:sz w:val="20"/>
          <w:szCs w:val="20"/>
          <w:color w:val="auto"/>
        </w:rPr>
        <w:t>any Issuing Bank and the Swingline Lender.</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13. Administrative Agent May File Proofs of Claim. In case of the pendency of any receivership, insolvency, liquidation, bankruptcy, reorganization, arrangement, adjustment, composition or other judicial proceeding relative to any Loan Party,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(irrespective of whether the principal of any Loans shall then be due and payable as herein expressed or by declaration or otherwise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 irrespective of whether the Administrative Agent shall have made any demand on the Loan Parties) shall be entitled and empowered, by intervention in such proceeding or otherwise:</w:t>
      </w:r>
    </w:p>
    <w:p>
      <w:pPr>
        <w:spacing w:after="0" w:line="162" w:lineRule="exact"/>
        <w:rPr>
          <w:sz w:val="20"/>
          <w:szCs w:val="20"/>
          <w:color w:val="auto"/>
        </w:rPr>
      </w:pPr>
    </w:p>
    <w:p>
      <w:pPr>
        <w:jc w:val="both"/>
        <w:ind w:firstLine="656"/>
        <w:spacing w:after="0" w:line="220" w:lineRule="auto"/>
        <w:tabs>
          <w:tab w:leader="none" w:pos="1286"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Secured Parties and the Administrative Agent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allowed in such judicial proceeding;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Secured Party to make such payments to</w:t>
      </w:r>
    </w:p>
    <w:p>
      <w:pPr>
        <w:spacing w:after="0" w:line="4"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4"/>
          <w:szCs w:val="14"/>
          <w:color w:val="auto"/>
        </w:rPr>
        <w:t>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w:t>
      </w:r>
    </w:p>
    <w:p>
      <w:pPr>
        <w:spacing w:after="0"/>
        <w:rPr>
          <w:sz w:val="20"/>
          <w:szCs w:val="20"/>
          <w:color w:val="auto"/>
        </w:rPr>
      </w:pPr>
      <w:r>
        <w:rPr>
          <w:rFonts w:ascii="Times New Roman" w:cs="Times New Roman" w:eastAsia="Times New Roman" w:hAnsi="Times New Roman"/>
          <w:sz w:val="14"/>
          <w:szCs w:val="14"/>
          <w:color w:val="auto"/>
        </w:rPr>
        <w:t xml:space="preserve">under </w:t>
      </w:r>
      <w:r>
        <w:rPr>
          <w:rFonts w:ascii="Times New Roman" w:cs="Times New Roman" w:eastAsia="Times New Roman" w:hAnsi="Times New Roman"/>
          <w:sz w:val="14"/>
          <w:szCs w:val="14"/>
          <w:u w:val="single" w:color="auto"/>
          <w:color w:val="auto"/>
        </w:rPr>
        <w:t>Sections 2.12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9.03</w:t>
      </w:r>
      <w:r>
        <w:rPr>
          <w:rFonts w:ascii="Times New Roman" w:cs="Times New Roman" w:eastAsia="Times New Roman" w:hAnsi="Times New Roman"/>
          <w:sz w:val="14"/>
          <w:szCs w:val="14"/>
          <w:color w:val="auto"/>
        </w:rPr>
        <w:t>.</w:t>
      </w:r>
    </w:p>
    <w:p>
      <w:pPr>
        <w:spacing w:after="0" w:line="6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14. Recovery of Erroneous Payments. Without limitation of any other provision in this Agreement, if at any time the Administrative Agent makes a payment hereunder in error to any Lender or any Issuing Bank (the “Lending Party”), whether or not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respect of an Obligation due and owing by the Borrower at such time, where such payment is a Rescindable Amount, then in any such event, each Lending Party receiving a Rescindable Amount severally agrees to repay to the Administrative Agent forthwith on demand the</w:t>
      </w:r>
    </w:p>
    <w:p>
      <w:pPr>
        <w:spacing w:after="0" w:line="211" w:lineRule="auto"/>
        <w:rPr>
          <w:sz w:val="20"/>
          <w:szCs w:val="20"/>
          <w:color w:val="auto"/>
        </w:rPr>
      </w:pPr>
      <w:r>
        <w:rPr>
          <w:rFonts w:ascii="Times New Roman" w:cs="Times New Roman" w:eastAsia="Times New Roman" w:hAnsi="Times New Roman"/>
          <w:sz w:val="20"/>
          <w:szCs w:val="20"/>
          <w:color w:val="auto"/>
        </w:rPr>
        <w:t>Rescindable Amount received by such Lending Party in immediately available funds in the currency so received, with interest thereon, for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day from and including the date such Rescindable Amount is received by it to but excluding the date of payment to the Administrative Agent, at the greater of the Federal Funds Effective Rate and a rate determined by the Administrative Agent in accordance with banking</w:t>
      </w:r>
    </w:p>
    <w:p>
      <w:pPr>
        <w:spacing w:after="0" w:line="211" w:lineRule="auto"/>
        <w:rPr>
          <w:sz w:val="20"/>
          <w:szCs w:val="20"/>
          <w:color w:val="auto"/>
        </w:rPr>
      </w:pPr>
      <w:r>
        <w:rPr>
          <w:rFonts w:ascii="Times New Roman" w:cs="Times New Roman" w:eastAsia="Times New Roman" w:hAnsi="Times New Roman"/>
          <w:sz w:val="20"/>
          <w:szCs w:val="20"/>
          <w:color w:val="auto"/>
        </w:rPr>
        <w:t>industry rules on interbank compensation. Each Lending Party irrevocably waives any and all defenses, including any “discharge for value”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which a creditor might otherwise claim a right to retain funds mistakenly paid by a third party in respect of a debt owed by another) or similar defense to its obligation to return any Rescindable Amount. The Administrative Agent shall inform each Lender Party promptly upon</w:t>
      </w:r>
    </w:p>
    <w:p>
      <w:pPr>
        <w:spacing w:after="0" w:line="211" w:lineRule="auto"/>
        <w:rPr>
          <w:sz w:val="20"/>
          <w:szCs w:val="20"/>
          <w:color w:val="auto"/>
        </w:rPr>
      </w:pPr>
      <w:r>
        <w:rPr>
          <w:rFonts w:ascii="Times New Roman" w:cs="Times New Roman" w:eastAsia="Times New Roman" w:hAnsi="Times New Roman"/>
          <w:sz w:val="20"/>
          <w:szCs w:val="20"/>
          <w:color w:val="auto"/>
        </w:rPr>
        <w:t>determining that any payment made to such Lender Party comprised, in whole or in part, a Rescindable Amount. Notwithstanding anything</w:t>
      </w:r>
    </w:p>
    <w:p>
      <w:pPr>
        <w:spacing w:after="0" w:line="204" w:lineRule="auto"/>
        <w:rPr>
          <w:sz w:val="20"/>
          <w:szCs w:val="20"/>
          <w:color w:val="auto"/>
        </w:rPr>
      </w:pPr>
      <w:r>
        <w:rPr>
          <w:rFonts w:ascii="Times New Roman" w:cs="Times New Roman" w:eastAsia="Times New Roman" w:hAnsi="Times New Roman"/>
          <w:sz w:val="20"/>
          <w:szCs w:val="20"/>
          <w:color w:val="auto"/>
        </w:rPr>
        <w:t>to the contrary in this Agreement or any other Loan Document, no Loan Party shall have any obligation or liabilities for any actions, consequences or remediation (including the repayment of any amounts) contemplated by this Section 8.14 or Section 2.18(d) (including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Rescindable Amount); provided that under no circumstances shall this Section 8.14 or Section 2.18(d) affect the obligations or liabilities of any Loan Party with respect to any Obligations that remain outstanding.</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15. Banking Services Obligations and Secured Hedging Obligations. Except as otherwise expressly set forth herein or in the Loan Guaranty or any Collateral Document, no counterparty to a Hedge Agreement or agreement governing any Banking Services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 that obtains the benefits of Section 2.18(b), any Loan Guaranty or any Collateral by virtue of the provisions hereof or of the Loan Guaranty or any Collateral Document shall have any right to notice of any action or to consent to, direct or object to any action hereunder or</w:t>
      </w:r>
    </w:p>
    <w:p>
      <w:pPr>
        <w:spacing w:after="0" w:line="222" w:lineRule="auto"/>
        <w:rPr>
          <w:sz w:val="20"/>
          <w:szCs w:val="20"/>
          <w:color w:val="auto"/>
        </w:rPr>
      </w:pPr>
      <w:r>
        <w:rPr>
          <w:rFonts w:ascii="Times New Roman" w:cs="Times New Roman" w:eastAsia="Times New Roman" w:hAnsi="Times New Roman"/>
          <w:sz w:val="19"/>
          <w:szCs w:val="19"/>
          <w:color w:val="auto"/>
        </w:rPr>
        <w:t>under any other Loan Document or otherwise in respect of the Collateral (including the release or impairment of any Collateral) other than, if</w:t>
      </w:r>
    </w:p>
    <w:p>
      <w:pPr>
        <w:ind w:right="20"/>
        <w:spacing w:after="0" w:line="221" w:lineRule="auto"/>
        <w:rPr>
          <w:sz w:val="20"/>
          <w:szCs w:val="20"/>
          <w:color w:val="auto"/>
        </w:rPr>
      </w:pPr>
      <w:r>
        <w:rPr>
          <w:rFonts w:ascii="Times New Roman" w:cs="Times New Roman" w:eastAsia="Times New Roman" w:hAnsi="Times New Roman"/>
          <w:sz w:val="20"/>
          <w:szCs w:val="20"/>
          <w:color w:val="auto"/>
        </w:rPr>
        <w:t>applicable, in its capacity as a Lender and, in such case, only to the extent expressly provided in the Loan Documents. Notwithstanding any other provision of this Article 8 to the contrary, the Administrative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0"/>
          <w:szCs w:val="20"/>
          <w:color w:val="auto"/>
        </w:rPr>
        <w:t>be required to verify the payment of, or that other satisfactory arrangements have been made with respect to, any obligation arising under a Hedge Agreement or any agreement governing any Banking Services Obligation.</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9</w:t>
      </w:r>
    </w:p>
    <w:p>
      <w:pPr>
        <w:spacing w:after="0" w:line="17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MISCELLANEOUS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Notices.</w:t>
      </w:r>
    </w:p>
    <w:p>
      <w:pPr>
        <w:spacing w:after="0" w:line="189" w:lineRule="exact"/>
        <w:rPr>
          <w:sz w:val="20"/>
          <w:szCs w:val="20"/>
          <w:color w:val="auto"/>
        </w:rPr>
      </w:pPr>
    </w:p>
    <w:p>
      <w:pPr>
        <w:jc w:val="both"/>
        <w:ind w:firstLine="656"/>
        <w:spacing w:after="0" w:line="226" w:lineRule="auto"/>
        <w:tabs>
          <w:tab w:leader="none" w:pos="1286"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such Loan Party in the care of the Borrower at:</w:t>
      </w:r>
    </w:p>
    <w:p>
      <w:pPr>
        <w:spacing w:after="0" w:line="16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FWR Holding Corporation</w:t>
      </w:r>
    </w:p>
    <w:p>
      <w:pPr>
        <w:ind w:left="1960"/>
        <w:spacing w:after="0" w:line="2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First Watch Restaurants, Inc.</w:t>
      </w:r>
    </w:p>
    <w:p>
      <w:pPr>
        <w:ind w:left="1960" w:right="6860"/>
        <w:spacing w:after="0" w:line="2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8725 Pendery Place, Suite 201 Bradenton, FL 34201 Attention: Mel Hope</w:t>
      </w:r>
    </w:p>
    <w:p>
      <w:pPr>
        <w:spacing w:after="0" w:line="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on file with the Administrative Agent</w:t>
      </w:r>
    </w:p>
    <w:p>
      <w:pPr>
        <w:spacing w:after="0" w:line="16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copies to (which shall not constitute notice to any Loan Party):</w:t>
      </w:r>
    </w:p>
    <w:p>
      <w:pPr>
        <w:spacing w:after="0" w:line="175" w:lineRule="exact"/>
        <w:rPr>
          <w:rFonts w:ascii="Times New Roman" w:cs="Times New Roman" w:eastAsia="Times New Roman" w:hAnsi="Times New Roman"/>
          <w:sz w:val="20"/>
          <w:szCs w:val="20"/>
          <w:color w:val="auto"/>
        </w:rPr>
      </w:pPr>
    </w:p>
    <w:p>
      <w:pPr>
        <w:ind w:left="1960" w:right="664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Advent International Corporation 12 E. 49th Street, 45th Floor New York, New York 10017 Attention: Ken Prince</w:t>
      </w:r>
    </w:p>
    <w:p>
      <w:pPr>
        <w:spacing w:after="0" w:line="2" w:lineRule="exact"/>
        <w:rPr>
          <w:rFonts w:ascii="Times New Roman" w:cs="Times New Roman" w:eastAsia="Times New Roman" w:hAnsi="Times New Roman"/>
          <w:sz w:val="20"/>
          <w:szCs w:val="20"/>
          <w:color w:val="auto"/>
        </w:rPr>
      </w:pPr>
    </w:p>
    <w:p>
      <w:pPr>
        <w:ind w:left="1960" w:right="5740"/>
        <w:spacing w:after="0" w:line="4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on file with the Administrative Agent and</w:t>
      </w:r>
    </w:p>
    <w:p>
      <w:pPr>
        <w:ind w:left="1960" w:right="692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Weil, Gotshal &amp; Manges LLP 767 Fifth Avenue</w:t>
      </w:r>
    </w:p>
    <w:p>
      <w:pPr>
        <w:spacing w:after="0" w:line="1" w:lineRule="exact"/>
        <w:rPr>
          <w:rFonts w:ascii="Times New Roman" w:cs="Times New Roman" w:eastAsia="Times New Roman" w:hAnsi="Times New Roman"/>
          <w:sz w:val="20"/>
          <w:szCs w:val="20"/>
          <w:color w:val="auto"/>
        </w:rPr>
      </w:pPr>
    </w:p>
    <w:p>
      <w:pPr>
        <w:ind w:left="1960" w:right="5840"/>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York, New York 10153 Attention: </w:t>
      </w:r>
      <w:r>
        <w:rPr>
          <w:rFonts w:ascii="Times New Roman" w:cs="Times New Roman" w:eastAsia="Times New Roman" w:hAnsi="Times New Roman"/>
          <w:sz w:val="20"/>
          <w:szCs w:val="20"/>
          <w:color w:val="FF0000"/>
          <w:strike w:val="1"/>
        </w:rPr>
        <w:t>Allison Liff</w:t>
      </w:r>
      <w:r>
        <w:rPr>
          <w:rFonts w:ascii="Times New Roman" w:cs="Times New Roman" w:eastAsia="Times New Roman" w:hAnsi="Times New Roman"/>
          <w:sz w:val="20"/>
          <w:szCs w:val="20"/>
          <w:u w:val="single" w:color="auto"/>
          <w:color w:val="0000FF"/>
        </w:rPr>
        <w:t>Paul J. Overmyer</w:t>
      </w:r>
      <w:r>
        <w:rPr>
          <w:rFonts w:ascii="Times New Roman" w:cs="Times New Roman" w:eastAsia="Times New Roman" w:hAnsi="Times New Roman"/>
          <w:sz w:val="20"/>
          <w:szCs w:val="20"/>
          <w:color w:val="auto"/>
        </w:rPr>
        <w:t xml:space="preserve"> Email: </w:t>
      </w:r>
      <w:r>
        <w:rPr>
          <w:rFonts w:ascii="Times New Roman" w:cs="Times New Roman" w:eastAsia="Times New Roman" w:hAnsi="Times New Roman"/>
          <w:sz w:val="20"/>
          <w:szCs w:val="20"/>
          <w:color w:val="FF0000"/>
          <w:strike w:val="1"/>
        </w:rPr>
        <w:t>allison.liff</w:t>
      </w:r>
      <w:r>
        <w:rPr>
          <w:rFonts w:ascii="Times New Roman" w:cs="Times New Roman" w:eastAsia="Times New Roman" w:hAnsi="Times New Roman"/>
          <w:sz w:val="20"/>
          <w:szCs w:val="20"/>
          <w:u w:val="single" w:color="auto"/>
          <w:color w:val="0000FF"/>
        </w:rPr>
        <w:t>paul.overmyer</w:t>
      </w:r>
      <w:r>
        <w:rPr>
          <w:rFonts w:ascii="Times New Roman" w:cs="Times New Roman" w:eastAsia="Times New Roman" w:hAnsi="Times New Roman"/>
          <w:sz w:val="20"/>
          <w:szCs w:val="20"/>
          <w:color w:val="auto"/>
        </w:rPr>
        <w:t>@weil.com</w:t>
      </w:r>
    </w:p>
    <w:p>
      <w:pPr>
        <w:spacing w:after="0" w:line="14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or the Swingline Lender, at:</w:t>
      </w:r>
    </w:p>
    <w:p>
      <w:pPr>
        <w:spacing w:after="0" w:line="183"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of America, N.A.</w:t>
      </w:r>
    </w:p>
    <w:p>
      <w:pPr>
        <w:ind w:left="1960" w:right="7340"/>
        <w:spacing w:after="0" w:line="2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900 W. Trade Street NC-1-026-06-04 Charlotte, NC 28255 Attention: Libby Russell Fax: 704-409-0004</w:t>
      </w:r>
    </w:p>
    <w:p>
      <w:pPr>
        <w:spacing w:after="0" w:line="2"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libby.russell@bofa.com</w:t>
      </w:r>
    </w:p>
    <w:p>
      <w:pPr>
        <w:spacing w:after="0" w:line="16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Issuing Bank, at:</w:t>
      </w:r>
    </w:p>
    <w:p>
      <w:pPr>
        <w:spacing w:after="0" w:line="175" w:lineRule="exact"/>
        <w:rPr>
          <w:rFonts w:ascii="Times New Roman" w:cs="Times New Roman" w:eastAsia="Times New Roman" w:hAnsi="Times New Roman"/>
          <w:sz w:val="20"/>
          <w:szCs w:val="20"/>
          <w:color w:val="auto"/>
        </w:rPr>
      </w:pPr>
    </w:p>
    <w:p>
      <w:pPr>
        <w:ind w:left="1960" w:righ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any other Issuing Bank that is an Issuing Bank on the Closing Date, the relevant address specified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7" w:name="page288"/>
    <w:bookmarkEnd w:id="287"/>
    <w:p>
      <w:pPr>
        <w:ind w:left="1960"/>
        <w:spacing w:after="0"/>
        <w:rPr>
          <w:sz w:val="20"/>
          <w:szCs w:val="20"/>
          <w:color w:val="auto"/>
        </w:rPr>
      </w:pPr>
      <w:r>
        <w:rPr>
          <w:rFonts w:ascii="Times New Roman" w:cs="Times New Roman" w:eastAsia="Times New Roman" w:hAnsi="Times New Roman"/>
          <w:sz w:val="20"/>
          <w:szCs w:val="20"/>
          <w:color w:val="auto"/>
        </w:rPr>
        <w:t>or</w:t>
      </w:r>
    </w:p>
    <w:p>
      <w:pPr>
        <w:spacing w:after="0" w:line="189" w:lineRule="exact"/>
        <w:rPr>
          <w:sz w:val="20"/>
          <w:szCs w:val="20"/>
          <w:color w:val="auto"/>
        </w:rPr>
      </w:pPr>
    </w:p>
    <w:p>
      <w:pPr>
        <w:ind w:left="1960" w:right="160"/>
        <w:spacing w:after="0" w:line="233" w:lineRule="auto"/>
        <w:rPr>
          <w:sz w:val="20"/>
          <w:szCs w:val="20"/>
          <w:color w:val="auto"/>
        </w:rPr>
      </w:pPr>
      <w:r>
        <w:rPr>
          <w:rFonts w:ascii="Times New Roman" w:cs="Times New Roman" w:eastAsia="Times New Roman" w:hAnsi="Times New Roman"/>
          <w:sz w:val="20"/>
          <w:szCs w:val="20"/>
          <w:color w:val="auto"/>
        </w:rPr>
        <w:t>if to any other Issuing Bank, such address as may be specified in the documentation pursuant to which such Issuing Bank is appointed in its capacity as such; and</w:t>
      </w:r>
    </w:p>
    <w:p>
      <w:pPr>
        <w:spacing w:after="0" w:line="161" w:lineRule="exact"/>
        <w:rPr>
          <w:sz w:val="20"/>
          <w:szCs w:val="20"/>
          <w:color w:val="auto"/>
        </w:rPr>
      </w:pPr>
    </w:p>
    <w:p>
      <w:pPr>
        <w:ind w:left="1940" w:hanging="636"/>
        <w:spacing w:after="0"/>
        <w:tabs>
          <w:tab w:leader="none" w:pos="194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Lender, to it at its physical address or email address set forth in its Administrative Questionnaire.</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All such notices and other communications (A) sent by hand or overnight courier service, or mailed by certified or registered mail, shall be deemed to have been given when delivered in person or by courier service and signed for against receipt thereof or three Business Days after</w:t>
      </w:r>
    </w:p>
    <w:p>
      <w:pPr>
        <w:spacing w:after="0" w:line="222" w:lineRule="auto"/>
        <w:rPr>
          <w:sz w:val="20"/>
          <w:szCs w:val="20"/>
          <w:color w:val="auto"/>
        </w:rPr>
      </w:pPr>
      <w:r>
        <w:rPr>
          <w:rFonts w:ascii="Times New Roman" w:cs="Times New Roman" w:eastAsia="Times New Roman" w:hAnsi="Times New Roman"/>
          <w:sz w:val="19"/>
          <w:szCs w:val="19"/>
          <w:color w:val="auto"/>
        </w:rPr>
        <w:t>dispatch if sent by certified or registered mail, in each case, delivered, sent or mailed (properly addressed) to the relevant party as provided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or in accordance with the latest unrevoked direction from such party given in accordance with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or (B) sent by facsimile shall be deemed to have been given when sent and when receipt has been confirmed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w:t>
      </w:r>
    </w:p>
    <w:p>
      <w:pPr>
        <w:spacing w:after="0" w:line="211" w:lineRule="auto"/>
        <w:rPr>
          <w:sz w:val="20"/>
          <w:szCs w:val="20"/>
          <w:color w:val="auto"/>
        </w:rPr>
      </w:pPr>
      <w:r>
        <w:rPr>
          <w:rFonts w:ascii="Times New Roman" w:cs="Times New Roman" w:eastAsia="Times New Roman" w:hAnsi="Times New Roman"/>
          <w:sz w:val="20"/>
          <w:szCs w:val="20"/>
          <w:color w:val="auto"/>
        </w:rPr>
        <w:t>other communications sent by telecopier shall be deemed to have been given when sent (except that, if not given during normal business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hours for the recipient, such notices or other communications shall be deemed to have been given at the opening of business on the next Business Day for the recipient). Notices and other communications delivered through electronic communications to the extent provided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59" w:lineRule="exact"/>
        <w:rPr>
          <w:sz w:val="20"/>
          <w:szCs w:val="20"/>
          <w:color w:val="auto"/>
        </w:rPr>
      </w:pPr>
    </w:p>
    <w:p>
      <w:pPr>
        <w:jc w:val="both"/>
        <w:ind w:firstLine="656"/>
        <w:spacing w:after="0" w:line="211" w:lineRule="auto"/>
        <w:tabs>
          <w:tab w:leader="none" w:pos="1284"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65"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60"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acknowledges that (a) the Administrative Agent will make available to the Lenders and the Issuing Banks materials and/or information provided by, or on behalf of, Holdings or the Borrower hereunder (collectively,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the Platform and (b) certain of the Lenders may be “public-side” Lenders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Lenders that do not wish to receive material nonpublic information within the meaning of the US federal securities laws with respect to Holdings, the Borrower or their respective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At the reasonable request of the Administrative Agent, the Borrower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of a type that (A) is publicly available or (B) would not be material with respect to Holdings, the Borrower, their respective subsidiaries, any of their respective securities or the Transactions, as determined in good faith by the Borrower, for purposes of the US federal securities laws and (iii) the Administrative Agent shall be required to treat Borrower Materials that are not marked “PUBLIC” as being suitable only for posting on a portion of the Platform not marked as “Public Investor.” Notwithstanding the foregoing, (i) the Loan Documents shall be deemed to be marked “PUBLIC,” unless the Borrower notifies the Administrative Agent promptly that any such document contains material nonpublic information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0"/>
          <w:szCs w:val="20"/>
          <w:color w:val="auto"/>
        </w:rPr>
        <w:t>understood that the Borrower shall have a reasonable opportunity to review the same prior to distribution and comply with SEC or other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applicable disclosure obligations) and (ii) in no event shall any financial budget delivered pursuant to </w:t>
      </w:r>
      <w:r>
        <w:rPr>
          <w:rFonts w:ascii="Times New Roman" w:cs="Times New Roman" w:eastAsia="Times New Roman" w:hAnsi="Times New Roman"/>
          <w:sz w:val="20"/>
          <w:szCs w:val="20"/>
          <w:u w:val="single" w:color="auto"/>
          <w:color w:val="auto"/>
        </w:rPr>
        <w:t>Section 5.01(h)</w:t>
      </w:r>
      <w:r>
        <w:rPr>
          <w:rFonts w:ascii="Times New Roman" w:cs="Times New Roman" w:eastAsia="Times New Roman" w:hAnsi="Times New Roman"/>
          <w:sz w:val="20"/>
          <w:szCs w:val="20"/>
          <w:color w:val="auto"/>
        </w:rPr>
        <w:t xml:space="preserve"> be made available to Public Lenders.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Public Lender agrees to cause at least one individual at or on behalf of such Public Lender to at all times have selected the</w:t>
      </w:r>
    </w:p>
    <w:p>
      <w:pPr>
        <w:spacing w:after="0" w:line="204" w:lineRule="auto"/>
        <w:rPr>
          <w:sz w:val="20"/>
          <w:szCs w:val="20"/>
          <w:color w:val="auto"/>
        </w:rPr>
      </w:pPr>
      <w:r>
        <w:rPr>
          <w:rFonts w:ascii="Times New Roman" w:cs="Times New Roman" w:eastAsia="Times New Roman" w:hAnsi="Times New Roman"/>
          <w:sz w:val="20"/>
          <w:szCs w:val="20"/>
          <w:color w:val="auto"/>
        </w:rPr>
        <w:t>“Private Side Information” or similar designation on the content declaration screen of the Platform in order to enable such Public Lender or its delegate, in accordance with such Public Lender’s compliance procedures and applicable law, including US federal and state securities</w:t>
      </w:r>
    </w:p>
    <w:p>
      <w:pPr>
        <w:spacing w:after="0" w:line="211" w:lineRule="auto"/>
        <w:rPr>
          <w:sz w:val="20"/>
          <w:szCs w:val="20"/>
          <w:color w:val="auto"/>
        </w:rPr>
      </w:pPr>
      <w:r>
        <w:rPr>
          <w:rFonts w:ascii="Times New Roman" w:cs="Times New Roman" w:eastAsia="Times New Roman" w:hAnsi="Times New Roman"/>
          <w:sz w:val="20"/>
          <w:szCs w:val="20"/>
          <w:color w:val="auto"/>
        </w:rPr>
        <w:t>laws, to make reference to communications that are not made available through the “Public Side Information” portion of the Platform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that may contain material non-public information with respect to the Borrower or its securities for purposes of US federal or state securities laws.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PLATFORM IS PROVIDED “AS IS” AND “AS AVAILABLE.” NEITHER THE ADMINISTRATIVE AGENT NOR ANY</w:t>
      </w:r>
    </w:p>
    <w:p>
      <w:pPr>
        <w:spacing w:after="0" w:line="204" w:lineRule="auto"/>
        <w:rPr>
          <w:sz w:val="20"/>
          <w:szCs w:val="20"/>
          <w:color w:val="auto"/>
        </w:rPr>
      </w:pPr>
      <w:r>
        <w:rPr>
          <w:rFonts w:ascii="Times New Roman" w:cs="Times New Roman" w:eastAsia="Times New Roman" w:hAnsi="Times New Roman"/>
          <w:sz w:val="20"/>
          <w:szCs w:val="20"/>
          <w:color w:val="auto"/>
        </w:rPr>
        <w:t>OF ITS RELATED PARTIES WARRANTS THE ACCURACY OR COMPLETENESS OF THE COMMUNICATIONS ON, OR THE ADEQUACY OF, THE PLATFORM, AND EACH EXPRESSLY DISCLAIMS LIABILITY FOR ERRORS OR OMISSIONS IN ANY</w:t>
      </w:r>
    </w:p>
    <w:p>
      <w:pPr>
        <w:spacing w:after="0" w:line="211" w:lineRule="auto"/>
        <w:rPr>
          <w:sz w:val="20"/>
          <w:szCs w:val="20"/>
          <w:color w:val="auto"/>
        </w:rPr>
      </w:pPr>
      <w:r>
        <w:rPr>
          <w:rFonts w:ascii="Times New Roman" w:cs="Times New Roman" w:eastAsia="Times New Roman" w:hAnsi="Times New Roman"/>
          <w:sz w:val="20"/>
          <w:szCs w:val="20"/>
          <w:color w:val="auto"/>
        </w:rPr>
        <w:t>SUCH  COMMUNICATION.  NO  WARRANTY  OF  ANY  KIND,  EXPRESS,  IMPLIED  OR  STATUTORY,  INCLUDING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WARRANTY OF MERCHANTABILITY, FITNESS FOR A PARTICULAR PURPOSE, NONINFRINGEMENT OF THIRD-PARTY RIGHTS OR FREEDOM FROM VIRUSES OR OTHER CODE DEFECTS IS MADE BY THE ADMINISTRATIVE AGENT OR ANY OF</w:t>
      </w:r>
    </w:p>
    <w:p>
      <w:pPr>
        <w:spacing w:after="0" w:line="211" w:lineRule="auto"/>
        <w:rPr>
          <w:sz w:val="20"/>
          <w:szCs w:val="20"/>
          <w:color w:val="auto"/>
        </w:rPr>
      </w:pPr>
      <w:r>
        <w:rPr>
          <w:rFonts w:ascii="Times New Roman" w:cs="Times New Roman" w:eastAsia="Times New Roman" w:hAnsi="Times New Roman"/>
          <w:sz w:val="20"/>
          <w:szCs w:val="20"/>
          <w:color w:val="auto"/>
        </w:rPr>
        <w:t>ITS RELATED PARTIES IN CONNECTION WITH THE COMMUNICATIONS OR THE PLATFORM. IN NO EVENT SHALL ANY</w:t>
      </w:r>
    </w:p>
    <w:p>
      <w:pPr>
        <w:spacing w:after="0" w:line="215" w:lineRule="auto"/>
        <w:rPr>
          <w:sz w:val="20"/>
          <w:szCs w:val="20"/>
          <w:color w:val="auto"/>
        </w:rPr>
      </w:pPr>
      <w:r>
        <w:rPr>
          <w:rFonts w:ascii="Times New Roman" w:cs="Times New Roman" w:eastAsia="Times New Roman" w:hAnsi="Times New Roman"/>
          <w:sz w:val="19"/>
          <w:szCs w:val="19"/>
          <w:color w:val="auto"/>
        </w:rPr>
        <w:t>PARTY HERETO OR ANY OF ITS RELATED PARTIES HAVE ANY LIABILITY TO ANY OTHER PARTY HERETO OR ANY OTHER PERSON FOR DAMAGES OF ANY KIND, WHETHER OR NOT BASED ON STRICT LIABILITY AND INCLUDING DIRECT OR</w:t>
      </w:r>
    </w:p>
    <w:p>
      <w:pPr>
        <w:spacing w:after="0" w:line="204" w:lineRule="auto"/>
        <w:rPr>
          <w:sz w:val="20"/>
          <w:szCs w:val="20"/>
          <w:color w:val="auto"/>
        </w:rPr>
      </w:pPr>
      <w:r>
        <w:rPr>
          <w:rFonts w:ascii="Times New Roman" w:cs="Times New Roman" w:eastAsia="Times New Roman" w:hAnsi="Times New Roman"/>
          <w:sz w:val="20"/>
          <w:szCs w:val="20"/>
          <w:color w:val="auto"/>
        </w:rPr>
        <w:t>INDIRECT, SPECIAL, INCIDENTAL OR CONSEQUENTIAL DAMAGES, LOSSES OR EXPENSES (WHETHER IN TORT, CONTRACT OR OTHERWISE) ARISING OUT OF ANY LOAN PARTY’S OR THE ADMINISTRATIVE AGENT’S TRANSMISSION</w:t>
      </w:r>
    </w:p>
    <w:p>
      <w:pPr>
        <w:spacing w:after="0" w:line="211" w:lineRule="auto"/>
        <w:rPr>
          <w:sz w:val="20"/>
          <w:szCs w:val="20"/>
          <w:color w:val="auto"/>
        </w:rPr>
      </w:pPr>
      <w:r>
        <w:rPr>
          <w:rFonts w:ascii="Times New Roman" w:cs="Times New Roman" w:eastAsia="Times New Roman" w:hAnsi="Times New Roman"/>
          <w:sz w:val="20"/>
          <w:szCs w:val="20"/>
          <w:color w:val="auto"/>
        </w:rPr>
        <w:t>OF COMMUNICATIONS THROUGH THE INTERNET, EXCEPT TO THE EXTENT THE LIABILITY OF ANY SUCH PERSON IS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FOUND IN A FINAL RULING BY A COURT OF COMPETENT JURISDICTION TO HAVE RESULTED FROM SUCH PERSON’S GROSS NEGLIGENCE OR WILLFUL MISCONDUCT OR MATERIAL BREACH OF THIS AGREEMENT.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Waivers; Amendments.</w:t>
      </w:r>
    </w:p>
    <w:p>
      <w:pPr>
        <w:spacing w:after="0" w:line="189" w:lineRule="exact"/>
        <w:rPr>
          <w:sz w:val="20"/>
          <w:szCs w:val="20"/>
          <w:color w:val="auto"/>
        </w:rPr>
      </w:pPr>
    </w:p>
    <w:p>
      <w:pPr>
        <w:jc w:val="both"/>
        <w:ind w:firstLine="656"/>
        <w:spacing w:after="0" w:line="211" w:lineRule="auto"/>
        <w:tabs>
          <w:tab w:leader="none" w:pos="1286"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65"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provided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89" w:name="page290"/>
    <w:bookmarkEnd w:id="289"/>
    <w:p>
      <w:pPr>
        <w:ind w:right="20"/>
        <w:spacing w:after="0"/>
        <w:rPr>
          <w:sz w:val="20"/>
          <w:szCs w:val="20"/>
          <w:color w:val="auto"/>
        </w:rPr>
      </w:pPr>
      <w:r>
        <w:rPr>
          <w:rFonts w:ascii="Times New Roman" w:cs="Times New Roman" w:eastAsia="Times New Roman" w:hAnsi="Times New Roman"/>
          <w:sz w:val="20"/>
          <w:szCs w:val="20"/>
          <w:color w:val="auto"/>
        </w:rPr>
        <w:t xml:space="preserve">agreements in writing entered into by the Administrative Agent and each Loan Party that is party thereto,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w:t>
      </w:r>
    </w:p>
    <w:p>
      <w:pPr>
        <w:spacing w:after="0" w:line="148" w:lineRule="exact"/>
        <w:rPr>
          <w:sz w:val="20"/>
          <w:szCs w:val="20"/>
          <w:color w:val="auto"/>
        </w:rPr>
      </w:pPr>
    </w:p>
    <w:p>
      <w:pPr>
        <w:ind w:left="1300" w:firstLine="652"/>
        <w:spacing w:after="0"/>
        <w:tabs>
          <w:tab w:leader="none" w:pos="2587"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each Lender directly and adversely affected thereby (but not the consent of the Required Lenders) shall be required for any waiver, amendment or modification that:</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17"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increases the Commitment of such Lender (other than with respect to any Incremental Facility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 respect of which such Lender has agreed to be an Incremental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61" w:lineRule="exact"/>
        <w:rPr>
          <w:rFonts w:ascii="Times New Roman" w:cs="Times New Roman" w:eastAsia="Times New Roman" w:hAnsi="Times New Roman"/>
          <w:sz w:val="20"/>
          <w:szCs w:val="20"/>
          <w:color w:val="auto"/>
        </w:rPr>
      </w:pPr>
    </w:p>
    <w:p>
      <w:pPr>
        <w:ind w:left="1960" w:firstLine="640"/>
        <w:spacing w:after="0"/>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reduces the principal amount of any Loan owed to such Lender or any amount due to such Lender on any Loan Installment Date;</w:t>
      </w:r>
    </w:p>
    <w:p>
      <w:pPr>
        <w:spacing w:after="0" w:line="147" w:lineRule="exact"/>
        <w:rPr>
          <w:rFonts w:ascii="Times New Roman" w:cs="Times New Roman" w:eastAsia="Times New Roman" w:hAnsi="Times New Roman"/>
          <w:sz w:val="20"/>
          <w:szCs w:val="20"/>
          <w:color w:val="auto"/>
        </w:rPr>
      </w:pPr>
    </w:p>
    <w:p>
      <w:pPr>
        <w:jc w:val="both"/>
        <w:ind w:left="1960" w:firstLine="640"/>
        <w:spacing w:after="0" w:line="222"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reduces the rate of interest (other than to waive any Default or Event of Default or any obligation of the Borrower to pay interest to such Lender at the default rate of interest under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which shall only require the consent of the Required Lenders) or the amount of any fee or premium owed to such Lender; it being understood that no change in the definition of “Total Rent Adjusted Net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spacing w:after="0" w:line="150" w:lineRule="exact"/>
        <w:rPr>
          <w:rFonts w:ascii="Times New Roman" w:cs="Times New Roman" w:eastAsia="Times New Roman" w:hAnsi="Times New Roman"/>
          <w:sz w:val="20"/>
          <w:szCs w:val="20"/>
          <w:color w:val="auto"/>
        </w:rPr>
      </w:pPr>
    </w:p>
    <w:p>
      <w:pPr>
        <w:jc w:val="both"/>
        <w:ind w:left="1960" w:right="20" w:firstLine="640"/>
        <w:spacing w:after="0" w:line="222"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2"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waives, amends or modifies the provisions of </w:t>
      </w:r>
      <w:r>
        <w:rPr>
          <w:rFonts w:ascii="Times New Roman" w:cs="Times New Roman" w:eastAsia="Times New Roman" w:hAnsi="Times New Roman"/>
          <w:sz w:val="20"/>
          <w:szCs w:val="20"/>
          <w:u w:val="single" w:color="auto"/>
          <w:color w:val="auto"/>
        </w:rPr>
        <w:t>Sections 2.18(b)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Agreement in a manner that would by its terms alter the pro rata sharing of payments required thereby (except in connection with any transaction permitted under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9.05(g)</w:t>
      </w:r>
      <w:r>
        <w:rPr>
          <w:rFonts w:ascii="Times New Roman" w:cs="Times New Roman" w:eastAsia="Times New Roman" w:hAnsi="Times New Roman"/>
          <w:sz w:val="20"/>
          <w:szCs w:val="20"/>
          <w:color w:val="auto"/>
        </w:rPr>
        <w:t xml:space="preserve"> or as otherwise provided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otherwise in this Agreement);</w:t>
      </w:r>
    </w:p>
    <w:p>
      <w:pPr>
        <w:spacing w:after="0" w:line="16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agreement shall:</w:t>
      </w:r>
    </w:p>
    <w:p>
      <w:pPr>
        <w:spacing w:after="0" w:line="175"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(x) any of the provisions of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0" w:name="page291"/>
    <w:bookmarkEnd w:id="290"/>
    <w:p>
      <w:pPr>
        <w:jc w:val="center"/>
        <w:ind w:right="60"/>
        <w:spacing w:after="0"/>
        <w:rPr>
          <w:sz w:val="20"/>
          <w:szCs w:val="20"/>
          <w:color w:val="auto"/>
        </w:rPr>
      </w:pPr>
      <w:r>
        <w:rPr>
          <w:rFonts w:ascii="Times New Roman" w:cs="Times New Roman" w:eastAsia="Times New Roman" w:hAnsi="Times New Roman"/>
          <w:sz w:val="20"/>
          <w:szCs w:val="20"/>
          <w:color w:val="auto"/>
        </w:rPr>
        <w:t>required in connection with any change to the definition of “Required Revolving Lenders”);</w:t>
      </w:r>
    </w:p>
    <w:p>
      <w:pPr>
        <w:spacing w:after="0" w:line="189" w:lineRule="exact"/>
        <w:rPr>
          <w:sz w:val="20"/>
          <w:szCs w:val="20"/>
          <w:color w:val="auto"/>
        </w:rPr>
      </w:pPr>
    </w:p>
    <w:p>
      <w:pPr>
        <w:jc w:val="both"/>
        <w:ind w:left="1960" w:firstLine="640"/>
        <w:spacing w:after="0" w:line="212" w:lineRule="auto"/>
        <w:tabs>
          <w:tab w:leader="none" w:pos="3244" w:val="left"/>
        </w:tabs>
        <w:numPr>
          <w:ilvl w:val="3"/>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release all or substantially all of the Collateral from the Lien granted pursuant to the Collateral Documents (except as otherwise permitted herein or in the other Loan Documents, including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9.22</w:t>
      </w:r>
      <w:r>
        <w:rPr>
          <w:rFonts w:ascii="Times New Roman" w:cs="Times New Roman" w:eastAsia="Times New Roman" w:hAnsi="Times New Roman"/>
          <w:sz w:val="20"/>
          <w:szCs w:val="20"/>
          <w:color w:val="auto"/>
        </w:rPr>
        <w:t>), without the prior written consent of each Lender or (B) subordinate the Lien on a material portion of the Collateral, taken as a whole (as determined by the Borrower in good faith), securing the Secured Obligations or subordinate the Obligations in right of payment, in either case, to any other Indebtedness for borrowed money (in each case, other than in connection with (1) any Acceptable Debtor-In-Possession Financing, (2) the implementation of an “asset-based” revolving credit facility, any permitted securitization, receivables facility, factoring facility, receivables financing or any similar financing and/or (3) any other financing with respect to which each relevant Lender has been offered the opportunity to provide such financing), in each case, without the prior written consent of each Lender; or</w:t>
      </w:r>
    </w:p>
    <w:p>
      <w:pPr>
        <w:spacing w:after="0" w:line="155"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44" w:val="left"/>
        </w:tabs>
        <w:numPr>
          <w:ilvl w:val="3"/>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Guarantees under the Loan Guaranty (except as otherwise permitted herein or in the other Loan Documents, including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9.22</w:t>
      </w:r>
      <w:r>
        <w:rPr>
          <w:rFonts w:ascii="Times New Roman" w:cs="Times New Roman" w:eastAsia="Times New Roman" w:hAnsi="Times New Roman"/>
          <w:sz w:val="20"/>
          <w:szCs w:val="20"/>
          <w:color w:val="auto"/>
        </w:rPr>
        <w:t>), without the prior written consent of each Lender;</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0"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Required Revolving Lenders (but without the consent of the Required Lenders or any other Lender), any such agreement may waive, amend or modify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it pertains to any Revolving Loan and/or Letter of Credit; and</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7"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relevant Issuing Bank, any such agreement may (x) increase or decrease the Letter of Credit Sublimit, (y) waive, amend or modify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it pertains to the issuance of any Letter of Credit or (z) amend or modify the provisions of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any letter of credit application and any bilateral agreement between the Borrower and any Issuing Bank regarding such Issuing Bank’s LC Exposure or the respective rights and obligations between the Borrower and such Issuing Bank in connection with the issuance of Letters of Credit;</w:t>
      </w:r>
    </w:p>
    <w:p>
      <w:pPr>
        <w:spacing w:after="0" w:line="162" w:lineRule="exact"/>
        <w:rPr>
          <w:rFonts w:ascii="Times New Roman" w:cs="Times New Roman" w:eastAsia="Times New Roman" w:hAnsi="Times New Roman"/>
          <w:sz w:val="20"/>
          <w:szCs w:val="20"/>
          <w:color w:val="auto"/>
        </w:rPr>
      </w:pPr>
    </w:p>
    <w:p>
      <w:pPr>
        <w:ind w:left="1300" w:firstLine="652"/>
        <w:spacing w:after="0"/>
        <w:tabs>
          <w:tab w:leader="none" w:pos="2592"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Swingline Lender, any such agreement may increase or decrease the amount of Swingline Loans available under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1300" w:right="20" w:firstLine="652"/>
        <w:spacing w:after="0" w:line="230" w:lineRule="auto"/>
        <w:tabs>
          <w:tab w:leader="none" w:pos="2595"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Agreement may be amended: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written consent of the Borrower and the Lenders providing the relevant Replacement Term Loans to permit the refinancing or replacement of all or any portion of the outstanding Term Loans under any Class (any such loans being refinanced or replaced, the “</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with one or more replacement term loans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pursuant to a Refinancing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4" w:lineRule="auto"/>
        <w:tabs>
          <w:tab w:leader="none" w:pos="2587"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any Class of Replacement Term Loans shall not exceed the aggregate principal amount of the relevant Replaced Term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to the extent any such additional amount is secured, the related Lien is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the amount of any accrued interest, fee, expense, penalty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1" w:name="page292"/>
    <w:bookmarkEnd w:id="291"/>
    <w:p>
      <w:pPr>
        <w:ind w:left="1300"/>
        <w:spacing w:after="0"/>
        <w:rPr>
          <w:sz w:val="20"/>
          <w:szCs w:val="20"/>
          <w:color w:val="auto"/>
        </w:rPr>
      </w:pPr>
      <w:r>
        <w:rPr>
          <w:rFonts w:ascii="Times New Roman" w:cs="Times New Roman" w:eastAsia="Times New Roman" w:hAnsi="Times New Roman"/>
          <w:sz w:val="20"/>
          <w:szCs w:val="20"/>
          <w:color w:val="auto"/>
        </w:rPr>
        <w:t>premium (including any tender premium) on the relevant Replaced Term Loans and/or any committed but undrawn amount,</w:t>
      </w:r>
    </w:p>
    <w:p>
      <w:pPr>
        <w:ind w:left="1300"/>
        <w:spacing w:after="0" w:line="204"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any underwriting discount, fee and/or initial yield payment associated therewith (including any upfront fee, original issue discount and/or initial yield payment, commission and/or expense) associated with the relevant Replacement Term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Loan;</w:t>
      </w:r>
    </w:p>
    <w:p>
      <w:pPr>
        <w:spacing w:after="0" w:line="167" w:lineRule="exact"/>
        <w:rPr>
          <w:sz w:val="20"/>
          <w:szCs w:val="20"/>
          <w:color w:val="auto"/>
        </w:rPr>
      </w:pPr>
    </w:p>
    <w:p>
      <w:pPr>
        <w:jc w:val="both"/>
        <w:ind w:left="1300" w:right="20" w:firstLine="652"/>
        <w:spacing w:after="0" w:line="237" w:lineRule="auto"/>
        <w:tabs>
          <w:tab w:leader="none" w:pos="2590"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Class of Replacement Term Loans (other than Customary Bridge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w:t>
      </w:r>
    </w:p>
    <w:p>
      <w:pPr>
        <w:spacing w:after="0" w:line="158" w:lineRule="exact"/>
        <w:rPr>
          <w:rFonts w:ascii="Times New Roman" w:cs="Times New Roman" w:eastAsia="Times New Roman" w:hAnsi="Times New Roman"/>
          <w:sz w:val="19"/>
          <w:szCs w:val="19"/>
          <w:color w:val="auto"/>
        </w:rPr>
      </w:pPr>
    </w:p>
    <w:p>
      <w:pPr>
        <w:jc w:val="both"/>
        <w:ind w:left="1300" w:firstLine="652"/>
        <w:spacing w:after="0" w:line="223" w:lineRule="auto"/>
        <w:tabs>
          <w:tab w:leader="none" w:pos="259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may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Class of Term Loans in right of payment and may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such Class of Term Loans with respect to the Collateral or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Class of Replacement Term Loans that is junior to any then-existing Class of Term Loan in right of payment or security shall be subject to an Intercreditor Agreement;</w:t>
      </w:r>
    </w:p>
    <w:p>
      <w:pPr>
        <w:spacing w:after="0" w:line="14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Replacement Term Loans that is secured may not be secured by any asset other than the</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w:t>
      </w:r>
    </w:p>
    <w:p>
      <w:pPr>
        <w:spacing w:after="0" w:line="166" w:lineRule="exact"/>
        <w:rPr>
          <w:rFonts w:ascii="Times New Roman" w:cs="Times New Roman" w:eastAsia="Times New Roman" w:hAnsi="Times New Roman"/>
          <w:sz w:val="20"/>
          <w:szCs w:val="20"/>
          <w:color w:val="auto"/>
        </w:rPr>
      </w:pPr>
    </w:p>
    <w:p>
      <w:pPr>
        <w:ind w:left="1300" w:firstLine="652"/>
        <w:spacing w:after="0" w:line="233" w:lineRule="auto"/>
        <w:tabs>
          <w:tab w:leader="none" w:pos="2592"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Replacement Term Loans that is guaranteed may not be guaranteed by any subsidiary of the Borrower other than one or more Loan Parties;</w:t>
      </w:r>
    </w:p>
    <w:p>
      <w:pPr>
        <w:spacing w:after="0" w:line="156" w:lineRule="exact"/>
        <w:rPr>
          <w:rFonts w:ascii="Times New Roman" w:cs="Times New Roman" w:eastAsia="Times New Roman" w:hAnsi="Times New Roman"/>
          <w:sz w:val="20"/>
          <w:szCs w:val="20"/>
          <w:color w:val="auto"/>
        </w:rPr>
      </w:pPr>
    </w:p>
    <w:p>
      <w:pPr>
        <w:jc w:val="both"/>
        <w:ind w:left="1300" w:firstLine="652"/>
        <w:spacing w:after="0" w:line="227" w:lineRule="auto"/>
        <w:tabs>
          <w:tab w:leader="none" w:pos="2595"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Initial Term Loans in right of payment and security may participate (A) in any voluntary prepayment of Term Loans as set forth in </w:t>
      </w:r>
      <w:r>
        <w:rPr>
          <w:rFonts w:ascii="Times New Roman" w:cs="Times New Roman" w:eastAsia="Times New Roman" w:hAnsi="Times New Roman"/>
          <w:sz w:val="20"/>
          <w:szCs w:val="20"/>
          <w:u w:val="single" w:color="auto"/>
          <w:color w:val="auto"/>
        </w:rPr>
        <w:t>Section 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may have pricing (including “MFN” or other pricing terms), interest, fees, rate margins, rate floors, premiums (including prepayment premiums), funding discounts, subject to the preceding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optional prepayment and redemption terms and, subject to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an amortization schedule, as the Borrower and the lenders providing such Class of Replacement Term Loans may agree;</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other terms and conditions of any Class of Replacement Term Loans (except as set forth above) shall be substantially consistent with the Replaced Term Loans (or any other then-existing Term Loans) or shall be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terms and conditions shall be deemed to be satisfactory to the Administrative Agent so long as any such terms and conditions (1) that are not substantially consistent with those applicable to the relevant Replaced Term Loans are applicable after the latest Maturity Date of such Class of Replaced Term Loans (in each case, as of the date of incurrence of such Class of Replacement Term Loans), (2) are substantially identical to, or (taken as a whole) not more favorable (as determined by the Borrower in good faith) to the lenders providing such Class of Replacement Term Loans than those applicable to the relevant Replaced Term Loans (other than such terms to which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is applicable), (3) reflect then-current market terms and conditions (as determined by the Borrower in good faith) for the applicable type of Indebtedness or (4) if more favorable to the lenders or the agent of such Replacement Term Loans than those contained in the Loan Documents, are then conformed (or added) to the Loan Documents pursuant to the applicable Refinancing Amendment;</w:t>
      </w:r>
    </w:p>
    <w:p>
      <w:pPr>
        <w:spacing w:after="0" w:line="154"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1"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Replacement Term Loans may be provided by any existing Lender or by any other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have a right to consent (such consent not to be unreasonably withheld, conditioned or delayed)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92" w:name="page293"/>
    <w:bookmarkEnd w:id="292"/>
    <w:p>
      <w:pPr>
        <w:ind w:left="1300"/>
        <w:spacing w:after="0"/>
        <w:rPr>
          <w:sz w:val="20"/>
          <w:szCs w:val="20"/>
          <w:color w:val="auto"/>
        </w:rPr>
      </w:pPr>
      <w:r>
        <w:rPr>
          <w:rFonts w:ascii="Times New Roman" w:cs="Times New Roman" w:eastAsia="Times New Roman" w:hAnsi="Times New Roman"/>
          <w:sz w:val="20"/>
          <w:szCs w:val="20"/>
          <w:color w:val="auto"/>
        </w:rPr>
        <w:t xml:space="preserve">relevant Person’s provision of Replacement Term Loans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such Person; and</w:t>
      </w:r>
    </w:p>
    <w:p>
      <w:pPr>
        <w:spacing w:after="0" w:line="148" w:lineRule="exact"/>
        <w:rPr>
          <w:sz w:val="20"/>
          <w:szCs w:val="20"/>
          <w:color w:val="auto"/>
        </w:rPr>
      </w:pPr>
    </w:p>
    <w:p>
      <w:pPr>
        <w:jc w:val="both"/>
        <w:ind w:left="1300" w:firstLine="652"/>
        <w:spacing w:after="0" w:line="230" w:lineRule="auto"/>
        <w:tabs>
          <w:tab w:leader="none" w:pos="2589"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outstanding Replaced Term Loans and all accrued but unpaid interest and fees then due and payable in connection therewith shall be paid in full, in each case on the date the applicable Replacement Term Loan is implemented; and</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written consent of the Borrower and the Lenders providing the relevant Revolver Replacement Facility to permit the refinancing or replacement of all or any portion of any Revolving Credit Commitment of any Class (any such Revolving Credit Commitment being refinanced or replaced, a “</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with a replacement revolving facility and/or replacement term loans hereunder (a “</w:t>
      </w:r>
      <w:r>
        <w:rPr>
          <w:rFonts w:ascii="Times New Roman" w:cs="Times New Roman" w:eastAsia="Times New Roman" w:hAnsi="Times New Roman"/>
          <w:sz w:val="20"/>
          <w:szCs w:val="20"/>
          <w:u w:val="single" w:color="auto"/>
          <w:color w:val="auto"/>
        </w:rPr>
        <w:t>Revolver Replacement Facility</w:t>
      </w:r>
      <w:r>
        <w:rPr>
          <w:rFonts w:ascii="Times New Roman" w:cs="Times New Roman" w:eastAsia="Times New Roman" w:hAnsi="Times New Roman"/>
          <w:sz w:val="20"/>
          <w:szCs w:val="20"/>
          <w:color w:val="auto"/>
        </w:rPr>
        <w:t xml:space="preserve">”) pursuant to a Refinancing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7"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maximum amount of any Revolver Replacement Facility shall not exceed the aggregate maximum amount of the commitments in respect of the relevant Replaced 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(x)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to the extent any such additional amount is secured, the related Lien is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amount of accrued interest, penalties and premium thereon, any committed but undrawn amounts and underwriting discounts, fees (including upfront fees, original issue discount or initial yield payments, commissions and expenses associated therewith and/or any underwriting discount, fees and/or initial yield payment associated with the applicable Revolver Replacement Facility);</w:t>
      </w:r>
    </w:p>
    <w:p>
      <w:pPr>
        <w:spacing w:after="0" w:line="164" w:lineRule="exact"/>
        <w:rPr>
          <w:rFonts w:ascii="Times New Roman" w:cs="Times New Roman" w:eastAsia="Times New Roman" w:hAnsi="Times New Roman"/>
          <w:sz w:val="20"/>
          <w:szCs w:val="20"/>
          <w:color w:val="auto"/>
        </w:rPr>
      </w:pPr>
    </w:p>
    <w:p>
      <w:pPr>
        <w:ind w:left="1300" w:firstLine="652"/>
        <w:spacing w:after="0" w:line="233" w:lineRule="auto"/>
        <w:tabs>
          <w:tab w:leader="none" w:pos="259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Revolver Replacement Facility may have a final maturity date (or require commitment reductions) prior to the final maturity date of the relevant Replaced Revolving Facility at the time of such refinancing;</w:t>
      </w:r>
    </w:p>
    <w:p>
      <w:pPr>
        <w:spacing w:after="0" w:line="156"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9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Revolving Commitment in right of payment and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Revolving Commitment with respect to the Collateral or may be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Revolver Replacement Facility that is junior to the then-existing Revolving Credit Commitments in right of payment or security shall be subject to an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Revolver Replacement Facility is not in the form of a loan constituting First Lien Debt, such Revolver Replacement Facility will be documented pursuant to separate documentation from the Loan Documents;</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Revolver Replacement Facility that is secured may not be secured by any asset other than Collateral;</w:t>
      </w:r>
    </w:p>
    <w:p>
      <w:pPr>
        <w:spacing w:after="0" w:line="175" w:lineRule="exact"/>
        <w:rPr>
          <w:rFonts w:ascii="Times New Roman" w:cs="Times New Roman" w:eastAsia="Times New Roman" w:hAnsi="Times New Roman"/>
          <w:sz w:val="20"/>
          <w:szCs w:val="20"/>
          <w:color w:val="auto"/>
        </w:rPr>
      </w:pPr>
    </w:p>
    <w:p>
      <w:pPr>
        <w:ind w:left="1300" w:right="20" w:firstLine="652"/>
        <w:spacing w:after="0"/>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Revolver Replacement Facility that is guaranteed may not be guaranteed by any subsidiary of the Borrower other than one or more Loan Parties;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95"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if the relevant Revolver Replacement Facility is a revolving facility, such Revolver Replacement Facility may provide for the borrowing and repayment of Revolving Loans with respect to any Revolving Facility after the effective date of such Revolver Replacement Facility on a pro rata basis or a non-pro rata basis with all other Revolving Facilities (it being understood that any Revolver Replacement Facility that participates in borrowings on a pro rata basis with other Revolving Facilities shall participate in repayments on a pro rata basis with such Revolving Facilities and that in the event of any Revolver Replacement Facility that must participate in borrowings on a less than pro rata basis as compared to other Revolving Facilities, such Revolver Replacement Facility shall participate in repayments on a less than pro rata basis as compared to such other Revolving Facilities (in each case, except, in any case, for (x) payments of interest and fees at different rates on the Revolving Facilities (and related outstandings), (y) repayments required on the Maturity Date of any Revolving Facility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3" w:name="page294"/>
    <w:bookmarkEnd w:id="293"/>
    <w:p>
      <w:pPr>
        <w:jc w:val="both"/>
        <w:ind w:left="1300" w:firstLine="4"/>
        <w:spacing w:after="0" w:line="209" w:lineRule="auto"/>
        <w:tabs>
          <w:tab w:leader="none" w:pos="1599"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repayments made in connection with a permanent repayment and termination of the Revolving Credit Commitments under any Revolving Facility (subject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below))), (2) if the relevant Revolver Replacement Facility is a revolving facility, all Letters of Credit and Swingline Loans shall be participated on a pro rata basis by all Revolving Lenders, (3) if the relevant Revolver Replacement Facility is a revolving facility, any permanent repayment of Revolving Loans with respect to, and reduction and termination of Revolving Credit Commitments under, any Revolver Replacement Facility after the effective date of such Revolver Replacement Facility shall be made on a pro rata basis or a non-pro rata basis with all other Revolving Facilities (it being understood that a Revolver Replacement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Revolver Replacement Facility that must participate in borrowings on a less than pro rata basis with other Revolving Facilities, such Revolver Replacement Facility shall participate in permanent repayments of Revolving Loans with respect to, and reduction and termination of Revolving Credit Commitments under, such other Revolving Facility on a less than pro rata basis as compared to such other Revolving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notwithstanding the foregoing, to the extent any such Revolving Commitments are terminated in full and refinanced or replaced with another Revolver Replacement Facility or Replacement Debt, such Revolving Commitments may be terminated on a greater than pro rata basis) and (4) if the relevant Revolver Replacement Facility is a term loan, it shall be subject to the “ratability” provisions applicable to Replacement Term Loans, consistent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have pricing (including “MFN” or other pricing terms), interest, fees, rate margins, rate floors, premiums (including prepayment premiums), funding discounts, and, subject to the preceding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optional prepayment and redemption terms as the Borrower and the lenders providing such Revolver Replacement Facility may agree;</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87"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other terms of any Revolver Replacement Facility (excluding as set forth above) shall be substantially consistent with the Replaced Revolving Facility (or any other then-existing Revolving Facility) or be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terms and conditions shall be deemed to be satisfactory to the Administrative Agent so long as any such terms and conditions (i)(1) that are not substantially consistent with those applicable to the relevant Replaced Revolving Facility are applicable only to periods after the latest Maturity Date of such Replaced Revolving Facility (in each case, as of the date of implementation of such Revolver Replacement Facility), (2) are substantially identical to, or (taken as a whole) no more favorable (as determined by the Borrower in good faith) to the lenders providing such Revolver Replacement Facility than those applicable to the relevant Replaced Revolving Facility (other than such terms to which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is applicable), (3) reflect then-current market terms and conditions (as determined by the Borrower in good faith) for the applicable type of Indebtedness or are reasonably acceptable to the Administrative Agent or (4) are more favorable to the lenders or the agent of such Revolver Replacement Facility than those contained in the Loan Documents and are then conformed (or added) to the Loan Documents pursuant to the applicable Refinancing Amendment) or (ii) in the case of a Revolver Replacement Facility that consists of replacement term loans, consistent with the provisions of </w:t>
      </w:r>
      <w:r>
        <w:rPr>
          <w:rFonts w:ascii="Times New Roman" w:cs="Times New Roman" w:eastAsia="Times New Roman" w:hAnsi="Times New Roman"/>
          <w:sz w:val="20"/>
          <w:szCs w:val="20"/>
          <w:u w:val="single" w:color="auto"/>
          <w:color w:val="auto"/>
        </w:rPr>
        <w:t>Section 9.02(c)(i)(H)</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1"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commitments in respect of the relevant Replaced Revolving Facility (or the relevant portion thereof) shall be terminated, and all loans outstanding in respect of such Replaced Revolving Facility and all accrued but unpaid interest and fees then due and payable in connection therewith shall be paid in full, in each case on the date any Revolver Replacement Facility is implemented;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4" w:name="page295"/>
    <w:bookmarkEnd w:id="294"/>
    <w:p>
      <w:pPr>
        <w:jc w:val="both"/>
        <w:ind w:left="1300" w:firstLine="652"/>
        <w:spacing w:after="0" w:line="220" w:lineRule="auto"/>
        <w:tabs>
          <w:tab w:leader="none" w:pos="2589"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be provided by any existing Lender and/or any other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in the case of any Revolver Replacement Facility that constitutes a revolving facility, any Issuing Bank) shall have a right to consent (such consent not to be unreasonably withheld, conditioned or delayed) to the relevant Person’s provision of a Revolver Replacement Facility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the relevant Person;</w:t>
      </w:r>
    </w:p>
    <w:p>
      <w:pPr>
        <w:spacing w:after="0" w:line="14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respect of each of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any Non-Debt Fund Affiliate and/or any Debt Fund Affiliate shall (x) be permitted without the consent of the Administrative Agent to provide any Class of Replacement Term Loans and/or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Revolver Replacement Facility in the form of a term loan, it being understood that in connection therewith, the relevant Non-Debt Fund Affiliate or Debt Fund Affiliate, as applicable, shall be subject to the restrictions applicable to such Person under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(y)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Non-Debt Fund Affiliate may provide any Revolver Replacement Facility in the form of revolving facility.</w:t>
      </w:r>
    </w:p>
    <w:p>
      <w:pPr>
        <w:spacing w:after="0" w:line="5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Each party hereto hereby agrees that this Agreement may be amended by the Borrower, the Administrative Agent and the lenders providing the relevant Class of Replacement Term Loans or the relevant Revolver Replacement Facility, as applicable, to the extent (but only</w:t>
      </w:r>
    </w:p>
    <w:p>
      <w:pPr>
        <w:spacing w:after="0" w:line="211" w:lineRule="auto"/>
        <w:rPr>
          <w:sz w:val="20"/>
          <w:szCs w:val="20"/>
          <w:color w:val="auto"/>
        </w:rPr>
      </w:pPr>
      <w:r>
        <w:rPr>
          <w:rFonts w:ascii="Times New Roman" w:cs="Times New Roman" w:eastAsia="Times New Roman" w:hAnsi="Times New Roman"/>
          <w:sz w:val="20"/>
          <w:szCs w:val="20"/>
          <w:color w:val="auto"/>
        </w:rPr>
        <w:t>to the extent) necessary to reflect the existence and terms of such Class of Replacement Term Loans or Revolver Replacement Facility,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incurred or implemented pursuant thereto (including any amendment necessary to treat the loans and commitments subject thereto as a separate “tranche” and “Class” of Loans and/or commitments hereunder). It is understood that any Lender approached to provide all or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portion of any Class of Replacement Term Loans or any Revolver Replacement Facility, may elect or decline, in its sole discretion, to provide such Class of Replacement Term Loans or such Revolver Replacement Facility.</w:t>
      </w:r>
    </w:p>
    <w:p>
      <w:pPr>
        <w:spacing w:after="0" w:line="149" w:lineRule="exact"/>
        <w:rPr>
          <w:sz w:val="20"/>
          <w:szCs w:val="20"/>
          <w:color w:val="auto"/>
        </w:rPr>
      </w:pPr>
    </w:p>
    <w:p>
      <w:pPr>
        <w:ind w:right="20" w:firstLine="656"/>
        <w:spacing w:after="0"/>
        <w:tabs>
          <w:tab w:leader="none" w:pos="128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any other provision of this Agreement or any provision of any other Loan Document: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Administrative Agent may, without the input or consent of any Lender, amend, supplement and/or waive this Agreement and/or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5"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and the Administrative Agent to (A) effect the provisions of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or any other provision of this Agreement or any other Loan Document specifying that any waiver, amendment or modification may be made with the consent or approval of the Administrative Agent and/or (B) add terms (including representations and warranties, conditions, prepayments, covenants or events of default) that are favorable to the then-existing Lenders, as reasonably determined by the Administrative Agent (it being understood that, where applicable, any such amendment may be effectuated as part of an Incremental Facility Amendment, an Extension Amendment and/or a Refinancing Amendment),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6"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45"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Borrower may amend, restate, amend and restate or otherwise modify any Intercreditor Agreement and/or any other Additional Agreement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5" w:name="page296"/>
    <w:bookmarkEnd w:id="295"/>
    <w:p>
      <w:pPr>
        <w:jc w:val="both"/>
        <w:ind w:left="660" w:firstLine="644"/>
        <w:spacing w:after="0" w:line="222" w:lineRule="auto"/>
        <w:tabs>
          <w:tab w:leader="none" w:pos="1944"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amend the Commitment Schedule to reflect assignments entered into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Commitment reductions or terminations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implementations of Additional Commitments or incurrences of Additional Loans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 reductions or terminations of any such Additional Commitments or Additional Loans,</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have any right to approve or disapprove any amendment, waiver or consent hereunder, except as permitted pursuant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5"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and/or (ii) to include appropriately the Lenders holding such credit facilities in any determination of the Required Lenders on substantially the same basis as the Lenders prior to such inclusion,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7"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waiver or modification of any term or provision that solely affects Lenders under one or more Classes and does not directly and adversely affect Lenders under one or more other Classes (including any waiver or modification of any condition to any extension of credit under any Class of Commitments, pricing or other modification) may be effected with the consent of Lenders owning more than 50% of the aggregate commitments or Loans of such directly affected Class in lieu of the consent of the Required Lenders, so long as such amendment, waiver or modification is not of the type that would require the consent each Lender directly and adversely affected thereby or each Lender,</w:t>
      </w:r>
    </w:p>
    <w:p>
      <w:pPr>
        <w:spacing w:after="0" w:line="15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amended in the manner prescribed in </w:t>
      </w:r>
      <w:r>
        <w:rPr>
          <w:rFonts w:ascii="Times New Roman" w:cs="Times New Roman" w:eastAsia="Times New Roman" w:hAnsi="Times New Roman"/>
          <w:sz w:val="20"/>
          <w:szCs w:val="20"/>
          <w:u w:val="single" w:color="auto"/>
          <w:color w:val="auto"/>
        </w:rPr>
        <w:t>Sections 1.13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2.05(h)</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amended in the manner prescribed in </w:t>
      </w:r>
      <w:r>
        <w:rPr>
          <w:rFonts w:ascii="Times New Roman" w:cs="Times New Roman" w:eastAsia="Times New Roman" w:hAnsi="Times New Roman"/>
          <w:sz w:val="19"/>
          <w:szCs w:val="19"/>
          <w:u w:val="single" w:color="auto"/>
          <w:color w:val="auto"/>
        </w:rPr>
        <w:t>Sections 2.22(i)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2.23(c)</w:t>
      </w:r>
      <w:r>
        <w:rPr>
          <w:rFonts w:ascii="Times New Roman" w:cs="Times New Roman" w:eastAsia="Times New Roman" w:hAnsi="Times New Roman"/>
          <w:sz w:val="19"/>
          <w:szCs w:val="19"/>
          <w:color w:val="auto"/>
        </w:rPr>
        <w:t>; it being understood and agreed that any such amendment may provide that with respect to any Class of Loans and/or Commitments that is structured as a “delayed draw” or similar facility, (i) any condition precedent to the funding of any Loan thereunder and/or (ii) any Event of Default arising as a result of any inaccuracy of any representation and/or warranty (including any certification) made in connection with the satisfaction of any such condition precedent, in each case, may be waived, amended or modified solely with the consent of a majority of the holders of such Loans and/or Commitments (or such other percentage of such holders as may be required in the amendment implementing such Class of Loans and/or Commitments (and without the consent of the Required Lenders or any other Lenders),</w:t>
      </w:r>
    </w:p>
    <w:p>
      <w:pPr>
        <w:spacing w:after="0" w:line="152" w:lineRule="exact"/>
        <w:rPr>
          <w:rFonts w:ascii="Times New Roman" w:cs="Times New Roman" w:eastAsia="Times New Roman" w:hAnsi="Times New Roman"/>
          <w:sz w:val="19"/>
          <w:szCs w:val="19"/>
          <w:color w:val="auto"/>
        </w:rPr>
      </w:pPr>
    </w:p>
    <w:p>
      <w:pPr>
        <w:ind w:left="660" w:firstLine="644"/>
        <w:spacing w:after="0"/>
        <w:tabs>
          <w:tab w:leader="none" w:pos="1945"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any “MFN” provision may be amended solely with the consent of the Borrower and the Required Lenders,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Required Lenders, without the consent of any other Lender, may (A) rescind any acceleration of the Loans and/or any other Obligation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hereof and/or (B) agree that the Administrative Agent and the Lenders will forbear from exercising any remedy provided under any Loan Document with respect to any Event of Default.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that: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54"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in connection with any determination as to whether the Required Lenders or Required Revolving Lenders, as applicable,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(i) any Arranger or Revolving Lender or an affiliate of any such Arranger or Revolving Lender or (ii) any Lender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6" w:name="page297"/>
    <w:bookmarkEnd w:id="296"/>
    <w:p>
      <w:pPr>
        <w:ind w:left="660"/>
        <w:spacing w:after="0"/>
        <w:rPr>
          <w:sz w:val="20"/>
          <w:szCs w:val="20"/>
          <w:color w:val="auto"/>
        </w:rPr>
      </w:pPr>
      <w:r>
        <w:rPr>
          <w:rFonts w:ascii="Times New Roman" w:cs="Times New Roman" w:eastAsia="Times New Roman" w:hAnsi="Times New Roman"/>
          <w:sz w:val="20"/>
          <w:szCs w:val="20"/>
          <w:color w:val="auto"/>
        </w:rPr>
        <w:t>is a Regulated Bank or an affiliate of any such Lender) that, as a result of its interest in any total return swap, total rate of return</w:t>
      </w:r>
    </w:p>
    <w:p>
      <w:pPr>
        <w:ind w:left="660"/>
        <w:spacing w:after="0" w:line="215" w:lineRule="auto"/>
        <w:rPr>
          <w:sz w:val="20"/>
          <w:szCs w:val="20"/>
          <w:color w:val="auto"/>
        </w:rPr>
      </w:pPr>
      <w:r>
        <w:rPr>
          <w:rFonts w:ascii="Times New Roman" w:cs="Times New Roman" w:eastAsia="Times New Roman" w:hAnsi="Times New Roman"/>
          <w:sz w:val="19"/>
          <w:szCs w:val="19"/>
          <w:color w:val="auto"/>
        </w:rPr>
        <w:t>swap, credit default swap or other derivative contract (other than any such total return swap, total rate of return swap, credit default swap or other derivative contract entered into pursuant to bona fide market making activities), has a net short position with respect to</w:t>
      </w:r>
    </w:p>
    <w:p>
      <w:pPr>
        <w:ind w:left="660"/>
        <w:spacing w:after="0" w:line="222" w:lineRule="auto"/>
        <w:rPr>
          <w:sz w:val="20"/>
          <w:szCs w:val="20"/>
          <w:color w:val="auto"/>
        </w:rPr>
      </w:pPr>
      <w:r>
        <w:rPr>
          <w:rFonts w:ascii="Times New Roman" w:cs="Times New Roman" w:eastAsia="Times New Roman" w:hAnsi="Times New Roman"/>
          <w:sz w:val="19"/>
          <w:szCs w:val="19"/>
          <w:color w:val="auto"/>
        </w:rPr>
        <w:t>the Loans and/or Commitments (each, a “</w:t>
      </w:r>
      <w:r>
        <w:rPr>
          <w:rFonts w:ascii="Times New Roman" w:cs="Times New Roman" w:eastAsia="Times New Roman" w:hAnsi="Times New Roman"/>
          <w:sz w:val="19"/>
          <w:szCs w:val="19"/>
          <w:u w:val="single" w:color="auto"/>
          <w:color w:val="auto"/>
        </w:rPr>
        <w:t>Net Short Lender</w:t>
      </w:r>
      <w:r>
        <w:rPr>
          <w:rFonts w:ascii="Times New Roman" w:cs="Times New Roman" w:eastAsia="Times New Roman" w:hAnsi="Times New Roman"/>
          <w:sz w:val="19"/>
          <w:szCs w:val="19"/>
          <w:color w:val="auto"/>
        </w:rPr>
        <w:t>”) shall, unless the Borrower otherwise elects (in its sole discretion), have</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no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162" w:lineRule="exact"/>
        <w:rPr>
          <w:sz w:val="20"/>
          <w:szCs w:val="20"/>
          <w:color w:val="auto"/>
        </w:rPr>
      </w:pPr>
    </w:p>
    <w:p>
      <w:pPr>
        <w:jc w:val="both"/>
        <w:ind w:left="660" w:firstLine="644"/>
        <w:spacing w:after="0" w:line="219" w:lineRule="auto"/>
        <w:tabs>
          <w:tab w:leader="none" w:pos="1955"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and/or any other Loan Party or any instrument issued or guaranteed by the Borrower and/or any other Loan Party shall not be deemed to create a short position with respect to the Loans and/or Commitments,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9"/>
          <w:szCs w:val="19"/>
          <w:u w:val="single" w:color="auto"/>
          <w:color w:val="auto"/>
        </w:rPr>
        <w:t>ISDA CDS Definitions</w:t>
      </w:r>
      <w:r>
        <w:rPr>
          <w:rFonts w:ascii="Times New Roman" w:cs="Times New Roman" w:eastAsia="Times New Roman" w:hAnsi="Times New Roman"/>
          <w:sz w:val="19"/>
          <w:szCs w:val="19"/>
          <w:color w:val="auto"/>
        </w:rPr>
        <w:t>”) shall be deemed to create a short position with respect to the Loans and/or Commitments if such Lender is a protection buyer or the equivalent thereof for such derivative transaction and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and/or any other Loan Party is designated as a “Reference Entity” under the terms of such derivative transactions, and (v) credit derivative transactions or other derivative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the Borrower and/or any other Loan Party other than, in each case, as part of an index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w:t>
      </w:r>
    </w:p>
    <w:p>
      <w:pPr>
        <w:spacing w:after="0" w:line="180" w:lineRule="exact"/>
        <w:rPr>
          <w:rFonts w:ascii="Times New Roman" w:cs="Times New Roman" w:eastAsia="Times New Roman" w:hAnsi="Times New Roman"/>
          <w:sz w:val="19"/>
          <w:szCs w:val="19"/>
          <w:color w:val="auto"/>
        </w:rPr>
      </w:pPr>
    </w:p>
    <w:p>
      <w:pPr>
        <w:jc w:val="both"/>
        <w:ind w:left="660" w:firstLine="644"/>
        <w:spacing w:after="0" w:line="222" w:lineRule="auto"/>
        <w:tabs>
          <w:tab w:leader="none" w:pos="1956"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deemed effective, no amendment or waiver of any provision of this Agreement or any other Loan Document or any departure by any Loan Party therefrom shall be deemed to be invalid on the basis that a consenting Lender is determined to be a Net Short Lender after the effective date of such amendment or waiver.</w:t>
      </w:r>
    </w:p>
    <w:p>
      <w:pPr>
        <w:spacing w:after="0" w:line="160" w:lineRule="exact"/>
        <w:rPr>
          <w:sz w:val="20"/>
          <w:szCs w:val="20"/>
          <w:color w:val="auto"/>
        </w:rPr>
      </w:pPr>
    </w:p>
    <w:p>
      <w:pPr>
        <w:ind w:left="660" w:firstLine="218"/>
        <w:spacing w:after="0" w:line="215" w:lineRule="auto"/>
        <w:rPr>
          <w:sz w:val="20"/>
          <w:szCs w:val="20"/>
          <w:color w:val="auto"/>
        </w:rPr>
      </w:pPr>
      <w:r>
        <w:rPr>
          <w:rFonts w:ascii="Times New Roman" w:cs="Times New Roman" w:eastAsia="Times New Roman" w:hAnsi="Times New Roman"/>
          <w:sz w:val="20"/>
          <w:szCs w:val="20"/>
          <w:color w:val="auto"/>
        </w:rPr>
        <w:t xml:space="preserve">The Administrative Agent shall not be responsible or have any liability for, or have any duty to ascertain, inquire into, monitor or enforce, compliance with the provisions of this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 Without limiting the generality of the foregoing, the Administrative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Agent shall not (x) be obligated to ascertain, monitor or inquire as to whether any Lender or participant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97" w:name="page298"/>
    <w:bookmarkEnd w:id="297"/>
    <w:p>
      <w:pPr>
        <w:ind w:left="660" w:right="20"/>
        <w:spacing w:after="0"/>
        <w:rPr>
          <w:sz w:val="20"/>
          <w:szCs w:val="20"/>
          <w:color w:val="auto"/>
        </w:rPr>
      </w:pPr>
      <w:r>
        <w:rPr>
          <w:rFonts w:ascii="Times New Roman" w:cs="Times New Roman" w:eastAsia="Times New Roman" w:hAnsi="Times New Roman"/>
          <w:sz w:val="20"/>
          <w:szCs w:val="20"/>
          <w:color w:val="auto"/>
        </w:rPr>
        <w:t>prospective Lender or participant is a Net Short Lender or (y) have any liability with respect to or arising out of the voting in any amendment or waiver to any Loan Document by any Net Short Lender.</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Expenses; Indemnity.</w:t>
      </w:r>
    </w:p>
    <w:p>
      <w:pPr>
        <w:spacing w:after="0" w:line="189" w:lineRule="exact"/>
        <w:rPr>
          <w:sz w:val="20"/>
          <w:szCs w:val="20"/>
          <w:color w:val="auto"/>
        </w:rPr>
      </w:pPr>
    </w:p>
    <w:p>
      <w:pPr>
        <w:jc w:val="both"/>
        <w:ind w:firstLine="656"/>
        <w:spacing w:after="0" w:line="220" w:lineRule="auto"/>
        <w:tabs>
          <w:tab w:leader="none" w:pos="1286"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9.05(f)</w:t>
      </w:r>
      <w:r>
        <w:rPr>
          <w:rFonts w:ascii="Times New Roman" w:cs="Times New Roman" w:eastAsia="Times New Roman" w:hAnsi="Times New Roman"/>
          <w:sz w:val="19"/>
          <w:szCs w:val="19"/>
          <w:color w:val="auto"/>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 (ii) without duplication of the obligation set forth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 xml:space="preserve">, all reasonable and documented out-of-pocket expenses incurred by the Administrative Agent, the Arrangers, the Issuing Banks or the Lenders or any of their respective Affiliates (but limited (x)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(and solely in the case of a conflict of interest, (A) one additional counsel to all affected Persons, taken as a whole, and (B) one additional local counsel in any such jurisdiction to all affected Persons, taken as a whole), and (y) in the case of other third party advisors, to the actual reasonable and documented out-of-pocket fees, disbursements and other charges of only third party advisors the engagement of whom has been approved by the Borrower (such approval not to be unreasonably withheld, delayed or conditioned) in writing)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68" w:lineRule="exact"/>
        <w:rPr>
          <w:rFonts w:ascii="Times New Roman" w:cs="Times New Roman" w:eastAsia="Times New Roman" w:hAnsi="Times New Roman"/>
          <w:sz w:val="19"/>
          <w:szCs w:val="19"/>
          <w:color w:val="auto"/>
        </w:rPr>
      </w:pPr>
    </w:p>
    <w:p>
      <w:pPr>
        <w:jc w:val="both"/>
        <w:ind w:firstLine="656"/>
        <w:spacing w:after="0" w:line="209" w:lineRule="auto"/>
        <w:tabs>
          <w:tab w:leader="none" w:pos="128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each Arranger, the Administrative Agent, each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and liabilities (but limited, in the case of any such loss, claim, damage and/or liability constituting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a third party or by or against the Borrower, any other Loan Party or any of their respective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any such loss,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0"/>
          <w:szCs w:val="20"/>
          <w:color w:val="auto"/>
        </w:rPr>
        <w:t>damage, or liability (i) is determined by a final and non-appealable judgment of a court of competent jurisdiction (or documented in any</w:t>
      </w:r>
    </w:p>
    <w:p>
      <w:pPr>
        <w:spacing w:after="0" w:line="215" w:lineRule="auto"/>
        <w:rPr>
          <w:sz w:val="20"/>
          <w:szCs w:val="20"/>
          <w:color w:val="auto"/>
        </w:rPr>
      </w:pPr>
      <w:r>
        <w:rPr>
          <w:rFonts w:ascii="Times New Roman" w:cs="Times New Roman" w:eastAsia="Times New Roman" w:hAnsi="Times New Roman"/>
          <w:sz w:val="19"/>
          <w:szCs w:val="19"/>
          <w:color w:val="auto"/>
        </w:rPr>
        <w:t>settlement agreement referred to below) to have resulted from the gross negligence, bad faith or willful misconduct of such Indemnitee or, to the extent such judgment finds (or any such settlement agreement acknowledges) that any such loss, claim, damage, or liability has resulted</w:t>
      </w:r>
    </w:p>
    <w:p>
      <w:pPr>
        <w:spacing w:after="0" w:line="204" w:lineRule="auto"/>
        <w:rPr>
          <w:sz w:val="20"/>
          <w:szCs w:val="20"/>
          <w:color w:val="auto"/>
        </w:rPr>
      </w:pPr>
      <w:r>
        <w:rPr>
          <w:rFonts w:ascii="Times New Roman" w:cs="Times New Roman" w:eastAsia="Times New Roman" w:hAnsi="Times New Roman"/>
          <w:sz w:val="20"/>
          <w:szCs w:val="20"/>
          <w:color w:val="auto"/>
        </w:rPr>
        <w:t>from such Person’s (or such Person’s Related Party’s) material breach of the Loan Documents (other than, with the written consent of the Borrower in its sole discretion, the Administrative Agent, in its capacity as such, in respect of obligations not owed to the Loan Parties) or</w:t>
      </w:r>
    </w:p>
    <w:p>
      <w:pPr>
        <w:spacing w:after="0" w:line="1" w:lineRule="exact"/>
        <w:rPr>
          <w:sz w:val="20"/>
          <w:szCs w:val="20"/>
          <w:color w:val="auto"/>
        </w:rPr>
      </w:pPr>
    </w:p>
    <w:p>
      <w:pPr>
        <w:jc w:val="both"/>
        <w:ind w:firstLine="8"/>
        <w:spacing w:after="0" w:line="210" w:lineRule="auto"/>
        <w:tabs>
          <w:tab w:leader="none" w:pos="31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the Borrower or any of its subsidiaries. Each Indemnitee shall be obligated to refund or return any and all amounts paid by the Borrower pursuant to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to such Indemnitee for any fees, expenses, or damages to the extent such Indemnitee is not entitled to payment thereof in accordance with the terms hereof. Any amount due under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reasonable backup documentation supporting the relevant reimbursement request.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not apply to Taxes other than any Taxes that represent losses, claims, damages or liabilities in respect of a non-Tax claim.</w:t>
      </w:r>
    </w:p>
    <w:p>
      <w:pPr>
        <w:spacing w:after="0" w:line="166"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be liable for any settlement of any proceeding effected without its written consent (which consent shall not be unreasonably withheld, delayed or conditioned) or any other losses, claims, damages, liabilities and/or expenses incurred in connection therewith,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 Waiver of Claim. To the extent permitted by applicable Requirements of Law, no party to this Agreement nor any Secured Party shall assert, and each hereby waives on behalf of itself and its Related Parties, any claim against any other party hereto, any</w:t>
      </w:r>
    </w:p>
    <w:p>
      <w:pPr>
        <w:spacing w:after="0" w:line="212" w:lineRule="auto"/>
        <w:rPr>
          <w:sz w:val="20"/>
          <w:szCs w:val="20"/>
          <w:color w:val="auto"/>
        </w:rPr>
      </w:pPr>
      <w:r>
        <w:rPr>
          <w:rFonts w:ascii="Times New Roman" w:cs="Times New Roman" w:eastAsia="Times New Roman" w:hAnsi="Times New Roman"/>
          <w:sz w:val="20"/>
          <w:szCs w:val="20"/>
          <w:color w:val="auto"/>
        </w:rPr>
        <w:t>Loan Party and/or any Related Party of any thereof, on any theory of liability, for special, indirect, consequential or punitive damages (as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opposed to direct or actual damages) arising out of, in connection with, or as a result of, this Agreement or any agreement or instrument contemplated hereby, the Transactions, any Loan or any Letter of Credit or the use of the proceeds thereof, except, in the case of any claim by</w:t>
      </w:r>
    </w:p>
    <w:p>
      <w:pPr>
        <w:spacing w:after="0" w:line="228" w:lineRule="auto"/>
        <w:rPr>
          <w:sz w:val="20"/>
          <w:szCs w:val="20"/>
          <w:color w:val="auto"/>
        </w:rPr>
      </w:pPr>
      <w:r>
        <w:rPr>
          <w:rFonts w:ascii="Times New Roman" w:cs="Times New Roman" w:eastAsia="Times New Roman" w:hAnsi="Times New Roman"/>
          <w:sz w:val="20"/>
          <w:szCs w:val="20"/>
          <w:color w:val="auto"/>
        </w:rPr>
        <w:t>any Indemnitee against the Borrower, to the extent such damages would otherwise be subject to indemnification pursuant to, and in accordance with, the terms of Section 9.03.</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Successors and Assigns.</w:t>
      </w:r>
    </w:p>
    <w:p>
      <w:pPr>
        <w:spacing w:after="0" w:line="189" w:lineRule="exact"/>
        <w:rPr>
          <w:sz w:val="20"/>
          <w:szCs w:val="20"/>
          <w:color w:val="auto"/>
        </w:rPr>
      </w:pPr>
    </w:p>
    <w:p>
      <w:pPr>
        <w:jc w:val="both"/>
        <w:ind w:firstLine="656"/>
        <w:spacing w:after="0" w:line="212" w:lineRule="auto"/>
        <w:tabs>
          <w:tab w:leader="none" w:pos="1286"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permitted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except as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(other than an assignment or transfer to a Disqualified Institution, which shall be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permitted assigns, to the extent provided in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 Participants and, to the extent expressly contemplated hereby, the Related Parties of each of the Arrangers,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299" w:name="page300"/>
    <w:bookmarkEnd w:id="299"/>
    <w:p>
      <w:pPr>
        <w:jc w:val="both"/>
        <w:ind w:right="20" w:firstLine="656"/>
        <w:spacing w:after="0" w:line="226" w:lineRule="auto"/>
        <w:tabs>
          <w:tab w:leader="none" w:pos="1284"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Eligible Assignees all or a portion of its rights and obligations under this Agreement (including all or a portion of any Loan or Additional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at the time owing to it) with the prior written consent of:</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4" w:lineRule="auto"/>
        <w:tabs>
          <w:tab w:leader="none" w:pos="2587" w:val="left"/>
        </w:tabs>
        <w:numPr>
          <w:ilvl w:val="1"/>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(such consent not to be unreasonably withheld, conditioned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Borrower shall be deemed to have consented to any assignment of Term Loans (other than any assignment to any Disqualified Institution or any natural person (or any holding company, investment vehicle or trust for, or owned and operated by, or for the primary benefit of, one or more natural persons)) unless it has objected thereto by written notice to the</w:t>
      </w:r>
    </w:p>
    <w:p>
      <w:pPr>
        <w:ind w:left="1300"/>
        <w:spacing w:after="0" w:line="200" w:lineRule="auto"/>
        <w:rPr>
          <w:sz w:val="20"/>
          <w:szCs w:val="20"/>
          <w:color w:val="auto"/>
        </w:rPr>
      </w:pPr>
      <w:r>
        <w:rPr>
          <w:rFonts w:ascii="Times New Roman" w:cs="Times New Roman" w:eastAsia="Times New Roman" w:hAnsi="Times New Roman"/>
          <w:sz w:val="20"/>
          <w:szCs w:val="20"/>
          <w:color w:val="auto"/>
        </w:rPr>
        <w:t>Administrative Agent within 10 Business Days after receipt by the Borrower of a written notice for consent thereto and</w:t>
      </w:r>
    </w:p>
    <w:p>
      <w:pPr>
        <w:jc w:val="both"/>
        <w:ind w:left="1300" w:firstLine="4"/>
        <w:spacing w:after="0" w:line="212" w:lineRule="auto"/>
        <w:tabs>
          <w:tab w:leader="none" w:pos="1596"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shall not be required for any assignment (1) of Term Loans or Term Commitments to any Term Lender or any Affiliate of any Term Lender or an Approved Fund, (2) at any time when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(3) of Revolving Loans or Revolving Credit Commitments to any other Revolving Lender, or (4) of Revolving Loans or Revolving Credit Commitments from Goldman Sachs Bank USA (or any of its Affiliates) to Goldman Sachs Lending Partners LLC; it being understood and agreed that the Borrower may withhold its consent (in its sole discretion) to any assignment to any Person that is known by it to be an Affiliate of a Disqualified Institution and/or an Affiliate of a Competitor (other than a Competitor Debt Fund Affiliate, unless the Borrower has other reasonable grounds on which to withhold its consent);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any assignment to another Lender, any Affiliate of a Lender or any Approved Fund; and</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Revolving Facility, each Issuing Bank and the Swingline Lender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any Issuing Bank or the Swingline Lender shall be required for any assignment to a Revolving Lender or an Affiliate of a Revolving Lender.</w:t>
      </w:r>
    </w:p>
    <w:p>
      <w:pPr>
        <w:spacing w:after="0" w:line="149" w:lineRule="exact"/>
        <w:rPr>
          <w:sz w:val="20"/>
          <w:szCs w:val="20"/>
          <w:color w:val="auto"/>
        </w:rPr>
      </w:pPr>
    </w:p>
    <w:p>
      <w:pPr>
        <w:ind w:left="1940" w:hanging="636"/>
        <w:spacing w:after="0"/>
        <w:tabs>
          <w:tab w:leader="none" w:pos="19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7"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(x) $1,000,000 in the case of Term Loans and Term Commitments or (y) $5,000,000 in the case of Revolving Loans and Revolving Credit Commitments, in each case unless the Borrower and the Administrative Agent otherwise consent;</w:t>
      </w:r>
    </w:p>
    <w:p>
      <w:pPr>
        <w:spacing w:after="0" w:line="166" w:lineRule="exact"/>
        <w:rPr>
          <w:rFonts w:ascii="Times New Roman" w:cs="Times New Roman" w:eastAsia="Times New Roman" w:hAnsi="Times New Roman"/>
          <w:sz w:val="19"/>
          <w:szCs w:val="19"/>
          <w:color w:val="auto"/>
        </w:rPr>
      </w:pPr>
    </w:p>
    <w:p>
      <w:pPr>
        <w:ind w:left="1300" w:firstLine="652"/>
        <w:spacing w:after="0" w:line="233" w:lineRule="auto"/>
        <w:tabs>
          <w:tab w:leader="none" w:pos="259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partial assignment shall be made as an assignment of a proportionate part of all the relevant assigning Lender’s rights and obligations under this Agreement;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0" w:name="page301"/>
    <w:bookmarkEnd w:id="300"/>
    <w:p>
      <w:pPr>
        <w:jc w:val="both"/>
        <w:ind w:left="1300" w:firstLine="652"/>
        <w:spacing w:after="0" w:line="226" w:lineRule="auto"/>
        <w:tabs>
          <w:tab w:leader="none" w:pos="2587"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relevant Eligible Assignee, if it is not a Lender, shall deliver on or prior to the effective date of such assignment, to the Administrative Agent (1) an Administrative Questionnaire and (2) any IRS form required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5"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acceptance and recording thereof pursuant to </w:t>
      </w:r>
      <w:r>
        <w:rPr>
          <w:rFonts w:ascii="Times New Roman" w:cs="Times New Roman" w:eastAsia="Times New Roman" w:hAnsi="Times New Roman"/>
          <w:sz w:val="20"/>
          <w:szCs w:val="20"/>
          <w:u w:val="single" w:color="auto"/>
          <w:color w:val="auto"/>
        </w:rPr>
        <w:t>paragraph (b)(iv)</w:t>
      </w:r>
      <w:r>
        <w:rPr>
          <w:rFonts w:ascii="Times New Roman" w:cs="Times New Roman" w:eastAsia="Times New Roman" w:hAnsi="Times New Roman"/>
          <w:sz w:val="20"/>
          <w:szCs w:val="20"/>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with respect to facts and circumstances occurring on or prior to the effective date of such assignment and (B) subject to its obligations thereunder and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6"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in the US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5"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Times New Roman" w:cs="Times New Roman" w:eastAsia="Times New Roman" w:hAnsi="Times New Roman"/>
          <w:sz w:val="20"/>
          <w:szCs w:val="20"/>
          <w:u w:val="single" w:color="auto"/>
          <w:color w:val="auto"/>
        </w:rPr>
        <w:t>Section 9.05(b)(ii)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(D)(2)</w:t>
      </w:r>
      <w:r>
        <w:rPr>
          <w:rFonts w:ascii="Times New Roman" w:cs="Times New Roman" w:eastAsia="Times New Roman" w:hAnsi="Times New Roman"/>
          <w:sz w:val="20"/>
          <w:szCs w:val="20"/>
          <w:color w:val="auto"/>
        </w:rPr>
        <w:t xml:space="preserve"> (unless the assignee is already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if applicable, and any written consent to the relevant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1" w:name="page302"/>
    <w:bookmarkEnd w:id="301"/>
    <w:p>
      <w:pPr>
        <w:ind w:left="660"/>
        <w:spacing w:after="0"/>
        <w:rPr>
          <w:sz w:val="20"/>
          <w:szCs w:val="20"/>
          <w:color w:val="auto"/>
        </w:rPr>
      </w:pPr>
      <w:r>
        <w:rPr>
          <w:rFonts w:ascii="Times New Roman" w:cs="Times New Roman" w:eastAsia="Times New Roman" w:hAnsi="Times New Roman"/>
          <w:sz w:val="20"/>
          <w:szCs w:val="20"/>
          <w:color w:val="auto"/>
        </w:rPr>
        <w:t>condition of the Borrower or any Restricted Subsidiary or the performance or observance by the Borrower or any Restricted</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Subsidiary of any of its obligations under this Agreement, any other Loan Document or any other instrument or document furnished pursuant hereto; (C) the assignee represents and warrants that it is (1) an Eligible Assignee and (2) not a Disqualified Institution or an</w:t>
      </w:r>
    </w:p>
    <w:p>
      <w:pPr>
        <w:ind w:left="660"/>
        <w:spacing w:after="0" w:line="211" w:lineRule="auto"/>
        <w:rPr>
          <w:sz w:val="20"/>
          <w:szCs w:val="20"/>
          <w:color w:val="auto"/>
        </w:rPr>
      </w:pPr>
      <w:r>
        <w:rPr>
          <w:rFonts w:ascii="Times New Roman" w:cs="Times New Roman" w:eastAsia="Times New Roman" w:hAnsi="Times New Roman"/>
          <w:sz w:val="20"/>
          <w:szCs w:val="20"/>
          <w:color w:val="auto"/>
        </w:rPr>
        <w:t>Affiliate of any Disqualified Institution, legally authorized to enter into such Assignment Agreement; (D) the assignee confirms that</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it has received a copy of this Agreement and each applicable Intercreditor Agreement, together with copies of the financial statements referred to in </w:t>
      </w:r>
      <w:r>
        <w:rPr>
          <w:rFonts w:ascii="Times New Roman" w:cs="Times New Roman" w:eastAsia="Times New Roman" w:hAnsi="Times New Roman"/>
          <w:sz w:val="20"/>
          <w:szCs w:val="20"/>
          <w:u w:val="single" w:color="auto"/>
          <w:color w:val="auto"/>
        </w:rPr>
        <w:t>Section 4.01(c)</w:t>
      </w:r>
      <w:r>
        <w:rPr>
          <w:rFonts w:ascii="Times New Roman" w:cs="Times New Roman" w:eastAsia="Times New Roman" w:hAnsi="Times New Roman"/>
          <w:sz w:val="20"/>
          <w:szCs w:val="20"/>
          <w:color w:val="auto"/>
        </w:rPr>
        <w:t xml:space="preserve"> or the most recent financial statements delivered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 such other</w:t>
      </w:r>
    </w:p>
    <w:p>
      <w:pPr>
        <w:ind w:left="660"/>
        <w:spacing w:after="0" w:line="211" w:lineRule="auto"/>
        <w:rPr>
          <w:sz w:val="20"/>
          <w:szCs w:val="20"/>
          <w:color w:val="auto"/>
        </w:rPr>
      </w:pPr>
      <w:r>
        <w:rPr>
          <w:rFonts w:ascii="Times New Roman" w:cs="Times New Roman" w:eastAsia="Times New Roman" w:hAnsi="Times New Roman"/>
          <w:sz w:val="20"/>
          <w:szCs w:val="20"/>
          <w:color w:val="auto"/>
        </w:rPr>
        <w:t>documents and information as it has deemed appropriate to make its own credit analysis and decision to enter into such Assignment</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Agreement; (E) the assignee will independently and without reliance upon the Administrative Agent, the assigning Lender or any other Lender and based on such documents and information as it deems appropriate at the time, continue to make its own credit</w:t>
      </w:r>
    </w:p>
    <w:p>
      <w:pPr>
        <w:ind w:left="660"/>
        <w:spacing w:after="0" w:line="211" w:lineRule="auto"/>
        <w:rPr>
          <w:sz w:val="20"/>
          <w:szCs w:val="20"/>
          <w:color w:val="auto"/>
        </w:rPr>
      </w:pPr>
      <w:r>
        <w:rPr>
          <w:rFonts w:ascii="Times New Roman" w:cs="Times New Roman" w:eastAsia="Times New Roman" w:hAnsi="Times New Roman"/>
          <w:sz w:val="20"/>
          <w:szCs w:val="20"/>
          <w:color w:val="auto"/>
        </w:rPr>
        <w:t>decisions in taking or not taking action under this Agreement; (F) the assignee appoints and authorizes the Administrative Agent to</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take such action as agent on its behalf and to exercise such powers under this Agreement as are delegated to the Administrative Agent, by the terms hereof, together with such powers as are reasonably incidental thereto; and (G) the assignee agrees that it will</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perform in accordance with their terms all the obligations which by the terms of this Agreement are required to be performed by it as a Lender.</w:t>
      </w:r>
    </w:p>
    <w:p>
      <w:pPr>
        <w:spacing w:after="0" w:line="149" w:lineRule="exact"/>
        <w:rPr>
          <w:sz w:val="20"/>
          <w:szCs w:val="20"/>
          <w:color w:val="auto"/>
        </w:rPr>
      </w:pPr>
    </w:p>
    <w:p>
      <w:pPr>
        <w:jc w:val="both"/>
        <w:ind w:firstLine="656"/>
        <w:spacing w:after="0" w:line="207" w:lineRule="auto"/>
        <w:tabs>
          <w:tab w:leader="none" w:pos="1286"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Lender may, without the consent of the Borrower, the Administrative Agent, any Issuing Bank or any other Lender, sell participations to any bank or other entity (other than to any Disqualified Institution, any natural person (or any holding company, investment vehicle or trust for, or owned and operated by, or for the primary benefit of, one or more natural persons) or, other than with respect to any participation to any Debt Fund Affiliate (any such participations to a Debt Fund Affiliate being subject to the limitation set forth in the first proviso of the final paragraph set forth in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as if the limitation applied to such participations), the Borrower or any of its Affiliates)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relevant Participant, agree to any amendment, modification or waiver described in (x)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directly and adversely affects the Loans or commitments in which such Participant has an interest and</w:t>
      </w:r>
    </w:p>
    <w:p>
      <w:pPr>
        <w:spacing w:after="0" w:line="12" w:lineRule="exact"/>
        <w:rPr>
          <w:rFonts w:ascii="Times New Roman" w:cs="Times New Roman" w:eastAsia="Times New Roman" w:hAnsi="Times New Roman"/>
          <w:sz w:val="20"/>
          <w:szCs w:val="20"/>
          <w:color w:val="auto"/>
        </w:rPr>
      </w:pPr>
    </w:p>
    <w:p>
      <w:pPr>
        <w:ind w:left="320" w:hanging="312"/>
        <w:spacing w:after="0" w:line="211" w:lineRule="auto"/>
        <w:tabs>
          <w:tab w:leader="none" w:pos="32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clauses (B)(1)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it being understood and agreed that no Lender may enter into any</w:t>
      </w:r>
    </w:p>
    <w:p>
      <w:pPr>
        <w:spacing w:after="0" w:line="211" w:lineRule="auto"/>
        <w:rPr>
          <w:sz w:val="20"/>
          <w:szCs w:val="20"/>
          <w:color w:val="auto"/>
        </w:rPr>
      </w:pPr>
      <w:r>
        <w:rPr>
          <w:rFonts w:ascii="Times New Roman" w:cs="Times New Roman" w:eastAsia="Times New Roman" w:hAnsi="Times New Roman"/>
          <w:sz w:val="20"/>
          <w:szCs w:val="20"/>
          <w:color w:val="auto"/>
        </w:rPr>
        <w:t>agreement or other arrangement with any Participant that provides such Participant with the right to agree to or approve (or direct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Lender to agree, approve, consent or not to agree, approve or consent) any other amendment, modification or waiver in respect of any Loan Document, and any such agreement or arrangement shall be deemed to be null and void and of no force or effect. Subject to </w:t>
      </w:r>
      <w:r>
        <w:rPr>
          <w:rFonts w:ascii="Times New Roman" w:cs="Times New Roman" w:eastAsia="Times New Roman" w:hAnsi="Times New Roman"/>
          <w:sz w:val="19"/>
          <w:szCs w:val="19"/>
          <w:u w:val="single" w:color="auto"/>
          <w:color w:val="auto"/>
        </w:rPr>
        <w:t>paragraph (c)(ii)</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limitations and requirements of such Sections and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it being understood that the documentation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delivered to the participating Lender, and if additional amounts are required to be paid pursuant to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Borrower and the Administrative Agent). To the extent permitted by applicable Requirements of Law, each Participant also shall be entitled to the benefits of </w:t>
      </w:r>
      <w:r>
        <w:rPr>
          <w:rFonts w:ascii="Times New Roman" w:cs="Times New Roman" w:eastAsia="Times New Roman" w:hAnsi="Times New Roman"/>
          <w:sz w:val="19"/>
          <w:szCs w:val="19"/>
          <w:u w:val="single" w:color="auto"/>
          <w:color w:val="auto"/>
        </w:rPr>
        <w:t>Section 9.09</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be subject to </w:t>
      </w:r>
      <w:r>
        <w:rPr>
          <w:rFonts w:ascii="Times New Roman" w:cs="Times New Roman" w:eastAsia="Times New Roman" w:hAnsi="Times New Roman"/>
          <w:sz w:val="19"/>
          <w:szCs w:val="19"/>
          <w:u w:val="single" w:color="auto"/>
          <w:color w:val="auto"/>
        </w:rPr>
        <w:t>Section 2.18(c)</w:t>
      </w:r>
      <w:r>
        <w:rPr>
          <w:rFonts w:ascii="Times New Roman" w:cs="Times New Roman" w:eastAsia="Times New Roman" w:hAnsi="Times New Roman"/>
          <w:sz w:val="19"/>
          <w:szCs w:val="19"/>
          <w:color w:val="auto"/>
        </w:rPr>
        <w:t xml:space="preserve"> as though it were</w:t>
      </w:r>
    </w:p>
    <w:p>
      <w:pPr>
        <w:spacing w:after="0"/>
        <w:rPr>
          <w:sz w:val="20"/>
          <w:szCs w:val="20"/>
          <w:color w:val="auto"/>
        </w:rPr>
      </w:pPr>
      <w:r>
        <w:rPr>
          <w:rFonts w:ascii="Times New Roman" w:cs="Times New Roman" w:eastAsia="Times New Roman" w:hAnsi="Times New Roman"/>
          <w:sz w:val="20"/>
          <w:szCs w:val="20"/>
          <w:color w:val="auto"/>
        </w:rPr>
        <w:t>a Lender.</w:t>
      </w:r>
    </w:p>
    <w:p>
      <w:pPr>
        <w:spacing w:after="0" w:line="167" w:lineRule="exact"/>
        <w:rPr>
          <w:sz w:val="20"/>
          <w:szCs w:val="20"/>
          <w:color w:val="auto"/>
        </w:rPr>
      </w:pPr>
    </w:p>
    <w:p>
      <w:pPr>
        <w:jc w:val="both"/>
        <w:ind w:left="660" w:firstLine="644"/>
        <w:spacing w:after="0" w:line="226" w:lineRule="auto"/>
        <w:tabs>
          <w:tab w:leader="none" w:pos="195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Participant shall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than the participating Lender would have been entitled to receive with respect to the participation sold to such Participant unless the participation is made with the prior written consent of the Borrower (in its sole discretion), expressly acknowledging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02" w:name="page303"/>
    <w:bookmarkEnd w:id="302"/>
    <w:p>
      <w:pPr>
        <w:ind w:left="660" w:right="20"/>
        <w:spacing w:after="0"/>
        <w:rPr>
          <w:sz w:val="20"/>
          <w:szCs w:val="20"/>
          <w:color w:val="auto"/>
        </w:rPr>
      </w:pPr>
      <w:r>
        <w:rPr>
          <w:rFonts w:ascii="Times New Roman" w:cs="Times New Roman" w:eastAsia="Times New Roman" w:hAnsi="Times New Roman"/>
          <w:sz w:val="20"/>
          <w:szCs w:val="20"/>
          <w:color w:val="auto"/>
        </w:rPr>
        <w:t xml:space="preserve">Participant’s entitlement to benefits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is not limited to what the participating Lender would have been entitled to receive absent the grant to such Participant.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Each Lender that sells a participation or makes a grant to an SPC (as defined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 shall, acting solely for this purpose as a non-fiduciary agent of the Borrower, maintain a register on which it enters the name and address of each Participant and each SPC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their respective successors and registered assigns, and the principal of and interest amounts on each Participant’s and each SPC’s interest in the Loans or other obligations under the Loan Documents (a “</w:t>
      </w:r>
      <w:r>
        <w:rPr>
          <w:rFonts w:ascii="Times New Roman" w:cs="Times New Roman" w:eastAsia="Times New Roman" w:hAnsi="Times New Roman"/>
          <w:sz w:val="20"/>
          <w:szCs w:val="20"/>
          <w:u w:val="single" w:color="auto"/>
          <w:color w:val="auto"/>
        </w:rPr>
        <w:t>Participant/SPC Register</w:t>
      </w:r>
      <w:r>
        <w:rPr>
          <w:rFonts w:ascii="Times New Roman" w:cs="Times New Roman" w:eastAsia="Times New Roman" w:hAnsi="Times New Roman"/>
          <w:sz w:val="20"/>
          <w:szCs w:val="20"/>
          <w:color w:val="auto"/>
        </w:rPr>
        <w:t>”); provided that no Lender shall have any obligation</w:t>
      </w:r>
    </w:p>
    <w:p>
      <w:pPr>
        <w:spacing w:after="0" w:line="211" w:lineRule="auto"/>
        <w:rPr>
          <w:sz w:val="20"/>
          <w:szCs w:val="20"/>
          <w:color w:val="auto"/>
        </w:rPr>
      </w:pPr>
      <w:r>
        <w:rPr>
          <w:rFonts w:ascii="Times New Roman" w:cs="Times New Roman" w:eastAsia="Times New Roman" w:hAnsi="Times New Roman"/>
          <w:sz w:val="20"/>
          <w:szCs w:val="20"/>
          <w:color w:val="auto"/>
        </w:rPr>
        <w:t>to disclose all or any portion of any Participant/SPC Register (including the identity of any Participant or SPC or any information relating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Participant’s or SPC’s interest in any Commitment, Loan, Letter of Credit or any other obligation under any Loan Document) to any Person except to the extent that such disclosure is necessary to establish that such Commitment, Loan, Letter of Credit or other obligation is</w:t>
      </w:r>
    </w:p>
    <w:p>
      <w:pPr>
        <w:spacing w:after="0" w:line="211" w:lineRule="auto"/>
        <w:rPr>
          <w:sz w:val="20"/>
          <w:szCs w:val="20"/>
          <w:color w:val="auto"/>
        </w:rPr>
      </w:pPr>
      <w:r>
        <w:rPr>
          <w:rFonts w:ascii="Times New Roman" w:cs="Times New Roman" w:eastAsia="Times New Roman" w:hAnsi="Times New Roman"/>
          <w:sz w:val="20"/>
          <w:szCs w:val="20"/>
          <w:color w:val="auto"/>
        </w:rPr>
        <w:t>in registered form under Section 5f.103-1(c) or Proposed Section 1.163-5(b) of the Treasury Regulations (or any amended or successor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version). The entries in the Participant/SPC Register shall be conclusive absent manifest error, and each Lender shall treat each Person whose name is recorded in the Participant/SPC Register as the owner of such participation for all purposes of this Agreement notwithstanding any</w:t>
      </w:r>
    </w:p>
    <w:p>
      <w:pPr>
        <w:spacing w:after="0" w:line="228" w:lineRule="auto"/>
        <w:rPr>
          <w:sz w:val="20"/>
          <w:szCs w:val="20"/>
          <w:color w:val="auto"/>
        </w:rPr>
      </w:pPr>
      <w:r>
        <w:rPr>
          <w:rFonts w:ascii="Times New Roman" w:cs="Times New Roman" w:eastAsia="Times New Roman" w:hAnsi="Times New Roman"/>
          <w:sz w:val="20"/>
          <w:szCs w:val="20"/>
          <w:color w:val="auto"/>
        </w:rPr>
        <w:t>notice to the contrary. For the avoidance of doubt, the Administrative Agent (in its capacity as Administrative Agent) shall have no responsibility for maintaining a Participant/SPC Register.</w:t>
      </w:r>
    </w:p>
    <w:p>
      <w:pPr>
        <w:spacing w:after="0" w:line="149" w:lineRule="exact"/>
        <w:rPr>
          <w:sz w:val="20"/>
          <w:szCs w:val="20"/>
          <w:color w:val="auto"/>
        </w:rPr>
      </w:pPr>
    </w:p>
    <w:p>
      <w:pPr>
        <w:jc w:val="both"/>
        <w:ind w:firstLine="656"/>
        <w:spacing w:after="0" w:line="215" w:lineRule="auto"/>
        <w:tabs>
          <w:tab w:leader="none" w:pos="128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Lender may at any time pledge or assign a security interest in all or any portion of its rights under this Agreement (other than to any Disqualified Institution or any natural person (or any holding company, investment vehicle or trust for, or owned and operated by, or for the primary benefit of, one or more natural persons)) to secure obligations of such Lender, including without limitation any pledge or assignment to secure obligations to any Federal Reserve Bank or other central bank having jurisdiction over such Lender, and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any Lender from any of its obligations hereunder or substitute any such pledgee or assignee for such Lender as a party hereto.</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 may at any time enter into a total return swap, total rate of return swap, credit default swap or other derivative instrument under which any Secured Obligation is a reference obligation (any such swap or other derivative instrument, an “</w:t>
      </w:r>
      <w:r>
        <w:rPr>
          <w:rFonts w:ascii="Times New Roman" w:cs="Times New Roman" w:eastAsia="Times New Roman" w:hAnsi="Times New Roman"/>
          <w:sz w:val="20"/>
          <w:szCs w:val="20"/>
          <w:u w:val="single" w:color="auto"/>
          <w:color w:val="auto"/>
        </w:rPr>
        <w:t>Obligations Derivative Instrument</w:t>
      </w:r>
      <w:r>
        <w:rPr>
          <w:rFonts w:ascii="Times New Roman" w:cs="Times New Roman" w:eastAsia="Times New Roman" w:hAnsi="Times New Roman"/>
          <w:sz w:val="20"/>
          <w:szCs w:val="20"/>
          <w:color w:val="auto"/>
        </w:rPr>
        <w:t>”) with any counterparty that is a Disqualified Institution.</w:t>
      </w:r>
    </w:p>
    <w:p>
      <w:pPr>
        <w:spacing w:after="0" w:line="160"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6"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any Lender (a “</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may grant to a special purpose funding vehicle (an “</w:t>
      </w:r>
      <w:r>
        <w:rPr>
          <w:rFonts w:ascii="Times New Roman" w:cs="Times New Roman" w:eastAsia="Times New Roman" w:hAnsi="Times New Roman"/>
          <w:sz w:val="20"/>
          <w:szCs w:val="20"/>
          <w:u w:val="single" w:color="auto"/>
          <w:color w:val="auto"/>
        </w:rPr>
        <w:t>SPC</w:t>
      </w:r>
      <w:r>
        <w:rPr>
          <w:rFonts w:ascii="Times New Roman" w:cs="Times New Roman" w:eastAsia="Times New Roman" w:hAnsi="Times New Roman"/>
          <w:sz w:val="20"/>
          <w:szCs w:val="20"/>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no SPC shall be entitled to any greater amount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commercial paper or other senior indebtedness of any SPC, it will not institute against, or join any other Person in instituting against,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SPC any bankruptcy, reorganization, arrangement, insolvency or liquidation proceedings under the Requirements of Law of the US or any State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SPC’s Granting Lender is in compliance in all material respects with its obligations to the Borrower</w:t>
      </w:r>
    </w:p>
    <w:p>
      <w:pPr>
        <w:spacing w:after="0" w:line="223" w:lineRule="auto"/>
        <w:rPr>
          <w:sz w:val="20"/>
          <w:szCs w:val="20"/>
          <w:color w:val="auto"/>
        </w:rPr>
      </w:pPr>
      <w:r>
        <w:rPr>
          <w:rFonts w:ascii="Times New Roman" w:cs="Times New Roman" w:eastAsia="Times New Roman" w:hAnsi="Times New Roman"/>
          <w:sz w:val="19"/>
          <w:szCs w:val="19"/>
          <w:color w:val="auto"/>
        </w:rPr>
        <w:t>hereunder and (ii) each Lender designating any SPC hereby agrees to indemnify, save and hold harmless each other party hereto for any loss,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any SPC may (i) with notice to, but without the prior</w:t>
      </w:r>
    </w:p>
    <w:p>
      <w:pPr>
        <w:spacing w:after="0" w:line="211" w:lineRule="auto"/>
        <w:rPr>
          <w:sz w:val="20"/>
          <w:szCs w:val="20"/>
          <w:color w:val="auto"/>
        </w:rPr>
      </w:pPr>
      <w:r>
        <w:rPr>
          <w:rFonts w:ascii="Times New Roman" w:cs="Times New Roman" w:eastAsia="Times New Roman" w:hAnsi="Times New Roman"/>
          <w:sz w:val="20"/>
          <w:szCs w:val="20"/>
          <w:color w:val="auto"/>
        </w:rPr>
        <w:t>written consent of, the Borrower or the Administrative Agent and without paying any processing fee therefor, assign all or a portion of its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162" w:lineRule="exact"/>
        <w:rPr>
          <w:sz w:val="20"/>
          <w:szCs w:val="20"/>
          <w:color w:val="auto"/>
        </w:rPr>
      </w:pPr>
    </w:p>
    <w:p>
      <w:pPr>
        <w:jc w:val="both"/>
        <w:ind w:firstLine="656"/>
        <w:spacing w:after="0" w:line="209" w:lineRule="auto"/>
        <w:tabs>
          <w:tab w:leader="none" w:pos="1291"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assignment, participation, entry into an Obligations Derivative Instrument or pledge by a Lender (A) to or with any Disqualified Institution or (B) in the case of any assignment and/or participation, without the Borrower’s consent to the extent the Borrower’s consent is required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if applicable, not deemed to have been given pursuant to </w:t>
      </w:r>
      <w:r>
        <w:rPr>
          <w:rFonts w:ascii="Times New Roman" w:cs="Times New Roman" w:eastAsia="Times New Roman" w:hAnsi="Times New Roman"/>
          <w:sz w:val="20"/>
          <w:szCs w:val="20"/>
          <w:u w:val="single" w:color="auto"/>
          <w:color w:val="auto"/>
        </w:rPr>
        <w:t>Section 9.05(b)(i)(A)</w:t>
      </w:r>
      <w:r>
        <w:rPr>
          <w:rFonts w:ascii="Times New Roman" w:cs="Times New Roman" w:eastAsia="Times New Roman" w:hAnsi="Times New Roman"/>
          <w:sz w:val="20"/>
          <w:szCs w:val="20"/>
          <w:color w:val="auto"/>
        </w:rPr>
        <w:t xml:space="preserve">), in each case, to any Person shall be null and void unless, solely in the case of any assignment, solely to the extent that there has been any subsequent assignment by a Disqualified Institution or any such other Person to an Eligible Assignee that complies with the requirements of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in which case such subsequent assignment will be deemed to be a valid and enforceable assignment for the purposes hereof, and Holdings and the Borrower shall each be entitled to seek specific performance to unwind any such assignment, participation, Obligations Derivative Instrument or pledge and/or specifically enforce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in addition to injunctive relief (without posting a bond or presenting evidence of irreparable harm) or any other remedy available to the Borrower at law or in equity; it being understood and agreed that the Borrower, Holdings and its subsidiaries will suffer irreparable harm if any Lender breaches any obligation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 participation of, or pledge or assignment of a security interest in, any Loan or Commitment to any Person to whom the Borrower’s consent is required but not obtained. Nothing in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shall be deemed to prejudice any right or remedy that Holdings or the Borrower may otherwise have at law or equity. The Administrative Agent may make the list of Disqualified Institutions available on a confidential basis in accordance with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solely for the purpose of permitting such Person to verify whether such Person (or any Affiliate thereof) constitutes a Disqualified Institution.</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4"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is made to any Disqualified Institution and/or any Affiliate of any Disqualified Institution (other than any Competitor Debt Fund Affiliate) and/or any other Person to whom the Borrower’s consent is required but not obtained, in each case, without the Borrower’s prior written consent (any such person, a “</w:t>
      </w:r>
      <w:r>
        <w:rPr>
          <w:rFonts w:ascii="Times New Roman" w:cs="Times New Roman" w:eastAsia="Times New Roman" w:hAnsi="Times New Roman"/>
          <w:sz w:val="20"/>
          <w:szCs w:val="20"/>
          <w:u w:val="single" w:color="auto"/>
          <w:color w:val="auto"/>
        </w:rPr>
        <w:t>Disqualified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 held by such Disqualified Person, purchase such Term Loan by paying the lesser of (x) par and (y) the amount that such Disqualified Person paid to acquire such Term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all of its interests, rights and obligations under this Agreement to one or more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applicable Disqualified Person has received payment of an amount equal to the lesser of (1) par and (2) the amount that such Disqualified Person paid for the applicable Loans and participations in Letters of Credit and Swingline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thereon, accrued fees and all other amounts payable to it hereunder, from the Borrower, (II)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Borrower shall not be liable to the relevant Disqualified Person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04" w:name="page305"/>
    <w:bookmarkEnd w:id="304"/>
    <w:p>
      <w:pPr>
        <w:ind w:left="660"/>
        <w:spacing w:after="0"/>
        <w:rPr>
          <w:sz w:val="20"/>
          <w:szCs w:val="20"/>
          <w:color w:val="auto"/>
        </w:rPr>
      </w:pPr>
      <w:r>
        <w:rPr>
          <w:rFonts w:ascii="Times New Roman" w:cs="Times New Roman" w:eastAsia="Times New Roman" w:hAnsi="Times New Roman"/>
          <w:sz w:val="20"/>
          <w:szCs w:val="20"/>
          <w:color w:val="auto"/>
        </w:rPr>
        <w:t>owing to such Disqualified Person is repaid or purchased other than on the last day of the Interest Period relating thereto, (III) in the</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relevant assignment shall otherwise comply with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(except that (x) no registration and processing fee required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shall be required with any assignment pursuant to this paragraph and (y) any Term</w:t>
      </w:r>
    </w:p>
    <w:p>
      <w:pPr>
        <w:ind w:left="660"/>
        <w:spacing w:after="0" w:line="223" w:lineRule="auto"/>
        <w:rPr>
          <w:sz w:val="20"/>
          <w:szCs w:val="20"/>
          <w:color w:val="auto"/>
        </w:rPr>
      </w:pPr>
      <w:r>
        <w:rPr>
          <w:rFonts w:ascii="Times New Roman" w:cs="Times New Roman" w:eastAsia="Times New Roman" w:hAnsi="Times New Roman"/>
          <w:sz w:val="19"/>
          <w:szCs w:val="19"/>
          <w:color w:val="auto"/>
        </w:rPr>
        <w:t>Loan acquired by any Affiliated Lender pursuant to this paragraph will not be included in calculating compliance with the Affiliated</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 xml:space="preserve">Lender Cap for a period of 90 days following such transfer;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the aggregate principal amount of Term Loans held by Affiliated Lenders exceeds the Affiliated Lender Cap on the 91st day following such transfer, then such excess amount</w:t>
      </w:r>
    </w:p>
    <w:p>
      <w:pPr>
        <w:ind w:left="660"/>
        <w:spacing w:after="0" w:line="222" w:lineRule="auto"/>
        <w:rPr>
          <w:sz w:val="20"/>
          <w:szCs w:val="20"/>
          <w:color w:val="auto"/>
        </w:rPr>
      </w:pPr>
      <w:r>
        <w:rPr>
          <w:rFonts w:ascii="Times New Roman" w:cs="Times New Roman" w:eastAsia="Times New Roman" w:hAnsi="Times New Roman"/>
          <w:sz w:val="19"/>
          <w:szCs w:val="19"/>
          <w:color w:val="auto"/>
        </w:rPr>
        <w:t>shall either be (x) contributed to the Borrower or any of its subsidiaries and retired and cancelled immediately upon such contribution</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or (y) automatically cancelled)) and (IV) in no event shall such Disqualified Person be entitled to receive amounts to which it would otherwise be entitled under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Further, whether or not the Borrower has taken any action described in the preceding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sentence, (A) no Disqualified Person identified by the Borrower to the Administrative Agent shall be permitted to (x) receive</w:t>
      </w:r>
    </w:p>
    <w:p>
      <w:pPr>
        <w:ind w:left="660"/>
        <w:spacing w:after="0" w:line="204" w:lineRule="auto"/>
        <w:rPr>
          <w:sz w:val="20"/>
          <w:szCs w:val="20"/>
          <w:color w:val="auto"/>
        </w:rPr>
      </w:pPr>
      <w:r>
        <w:rPr>
          <w:rFonts w:ascii="Times New Roman" w:cs="Times New Roman" w:eastAsia="Times New Roman" w:hAnsi="Times New Roman"/>
          <w:sz w:val="20"/>
          <w:szCs w:val="20"/>
          <w:color w:val="auto"/>
        </w:rPr>
        <w:t>information (including financial statements) provided by any Loan Party, the Administrative Agent or any Lender and/or (y) attend and/or participate in conference calls or meetings attended solely by the Lenders and the Administrative Agent, (B) (x) for purposes</w:t>
      </w:r>
    </w:p>
    <w:p>
      <w:pPr>
        <w:ind w:left="660"/>
        <w:spacing w:after="0" w:line="211" w:lineRule="auto"/>
        <w:rPr>
          <w:sz w:val="20"/>
          <w:szCs w:val="20"/>
          <w:color w:val="auto"/>
        </w:rPr>
      </w:pPr>
      <w:r>
        <w:rPr>
          <w:rFonts w:ascii="Times New Roman" w:cs="Times New Roman" w:eastAsia="Times New Roman" w:hAnsi="Times New Roman"/>
          <w:sz w:val="20"/>
          <w:szCs w:val="20"/>
          <w:color w:val="auto"/>
        </w:rPr>
        <w:t>of determining whether the Required Lenders or the majority Lenders under any Class have (i) consented (or not consented) to any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amendment, modification, waiver, consent or other action with respect to any of the terms of any Loan Document or any departure by any Loan Party therefrom, (ii) otherwise acted on any matter related to any Loan Document, or (iii) directed or required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Administrative Agent or any Lender to undertake any action (or refrain from taking any action) with respect to or under any Loan</w:t>
      </w:r>
    </w:p>
    <w:p>
      <w:pPr>
        <w:spacing w:after="0" w:line="1"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Document, have a right to consent (or not consent), otherwise act or direct or require the Administrative Agent or any Lender to take (or refrain from taking) any such action; it being understood that all Loans held by any Disqualified Person shall be deemed to be not</w:t>
      </w:r>
    </w:p>
    <w:p>
      <w:pPr>
        <w:ind w:left="660"/>
        <w:spacing w:after="0" w:line="204" w:lineRule="auto"/>
        <w:rPr>
          <w:sz w:val="20"/>
          <w:szCs w:val="20"/>
          <w:color w:val="auto"/>
        </w:rPr>
      </w:pPr>
      <w:r>
        <w:rPr>
          <w:rFonts w:ascii="Times New Roman" w:cs="Times New Roman" w:eastAsia="Times New Roman" w:hAnsi="Times New Roman"/>
          <w:sz w:val="20"/>
          <w:szCs w:val="20"/>
          <w:color w:val="auto"/>
        </w:rPr>
        <w:t>outstanding for all purposes of calculating whether the Required Lenders, majority Lenders under any Class, all Lenders or all affected Lenders, as the case may be, have taken any action, and (y) shall be deemed to vote in the same proportion as Lenders that</w:t>
      </w:r>
    </w:p>
    <w:p>
      <w:pPr>
        <w:ind w:left="660"/>
        <w:spacing w:after="0" w:line="223" w:lineRule="auto"/>
        <w:rPr>
          <w:sz w:val="20"/>
          <w:szCs w:val="20"/>
          <w:color w:val="auto"/>
        </w:rPr>
      </w:pPr>
      <w:r>
        <w:rPr>
          <w:rFonts w:ascii="Times New Roman" w:cs="Times New Roman" w:eastAsia="Times New Roman" w:hAnsi="Times New Roman"/>
          <w:sz w:val="19"/>
          <w:szCs w:val="19"/>
          <w:color w:val="auto"/>
        </w:rPr>
        <w:t>are not Disqualified Persons (1) in any proceeding under any Debtor Relief Law commenced by or against the Borrower or any other</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Loan Party and/or (2) for purposes of any matter requiring the consent of each Lender or each affected Lender and (C) shall not be entitled to receive the benefits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the sake of clarity, the provisions in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shall not apply to 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Person that is an assignee of any Disqualified Person, if such assignee is not a Disqualified Person.</w:t>
      </w:r>
    </w:p>
    <w:p>
      <w:pPr>
        <w:spacing w:after="0" w:line="167" w:lineRule="exact"/>
        <w:rPr>
          <w:sz w:val="20"/>
          <w:szCs w:val="20"/>
          <w:color w:val="auto"/>
        </w:rPr>
      </w:pPr>
    </w:p>
    <w:p>
      <w:pPr>
        <w:jc w:val="both"/>
        <w:ind w:left="660" w:firstLine="644"/>
        <w:spacing w:after="0" w:line="217" w:lineRule="auto"/>
        <w:tabs>
          <w:tab w:leader="none" w:pos="1955"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each of Holdings, the Borrower and each Lender acknowledges and agrees that the Administrative Agent shall not (x) have any liability for any assignment or participation made to any Disqualified Institution or Affiliated Lender (regardless of whether the consent of the Administrative Agent is required thereto) or (y) be obligated to ascertain, monitor or inquire as to whether any Lender or participant or prospective Lender or participant is a Disqualified Lender, and none of the Borrower, any Lender or any of their respective Affiliates will bring any claim to that effect.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without the consent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4"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Loan acquired by Holdings, the Borrower or any of its Restricted Subsidiaries shall, to the extent permitted by applicable Requirements of Law, be retired and cancelled immediately upon the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be reduced on a pro rata basis by the full par value of the aggregate principal amount of Term Loans so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05" w:name="page306"/>
    <w:bookmarkEnd w:id="305"/>
    <w:p>
      <w:pPr>
        <w:jc w:val="both"/>
        <w:ind w:left="660" w:firstLine="644"/>
        <w:spacing w:after="0" w:line="226" w:lineRule="auto"/>
        <w:tabs>
          <w:tab w:leader="none" w:pos="1955"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Term Loan acquired by any Non-Debt Fund Affiliate (other than Holdings, the Borrower or any of its Restricted Subsidiaries) may (but shall not be required to) be contributed to the Borrower or any of its subsidiaries (it being understood that any such Term Loans shall, to the extent permitted by applicable Requirements of Law, be retired and cancelled promptly upon such contribution);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Times New Roman" w:cs="Times New Roman" w:eastAsia="Times New Roman" w:hAnsi="Times New Roman"/>
          <w:sz w:val="19"/>
          <w:szCs w:val="19"/>
          <w:u w:val="single" w:color="auto"/>
          <w:color w:val="auto"/>
        </w:rPr>
        <w:t>Section 2.10(a)</w:t>
      </w:r>
      <w:r>
        <w:rPr>
          <w:rFonts w:ascii="Times New Roman" w:cs="Times New Roman" w:eastAsia="Times New Roman" w:hAnsi="Times New Roman"/>
          <w:sz w:val="19"/>
          <w:szCs w:val="19"/>
          <w:color w:val="auto"/>
        </w:rPr>
        <w:t xml:space="preserve"> shall be reduced pro rata by the full par value of the aggregate principal amount of Initial Term Loans so contributed and cancelled;</w:t>
      </w:r>
    </w:p>
    <w:p>
      <w:pPr>
        <w:spacing w:after="0" w:line="166" w:lineRule="exact"/>
        <w:rPr>
          <w:rFonts w:ascii="Times New Roman" w:cs="Times New Roman" w:eastAsia="Times New Roman" w:hAnsi="Times New Roman"/>
          <w:sz w:val="19"/>
          <w:szCs w:val="19"/>
          <w:color w:val="auto"/>
        </w:rPr>
      </w:pPr>
    </w:p>
    <w:p>
      <w:pPr>
        <w:ind w:left="660" w:firstLine="644"/>
        <w:spacing w:after="0" w:line="233" w:lineRule="auto"/>
        <w:tabs>
          <w:tab w:leader="none" w:pos="1956"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Affiliated Lender and assigning or purchasing, as applicable, Lender shall have executed an Affiliated Lender Assignment and Assumption;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9.05(f)(ii)</w:t>
      </w:r>
      <w:r>
        <w:rPr>
          <w:rFonts w:ascii="Times New Roman" w:cs="Times New Roman" w:eastAsia="Times New Roman" w:hAnsi="Times New Roman"/>
          <w:sz w:val="19"/>
          <w:szCs w:val="19"/>
          <w:color w:val="auto"/>
        </w:rPr>
        <w:t>, after giving effect to the relevant assignment and to all other assignments to all Affiliated Lenders, the aggregate outstanding principal amount of all Term Loans then held by all Affiliated Lenders shall not exceed 25% of the aggregate principal amount of the Term Loans then outstanding (after giving effect to any substantially simultaneous cancellation thereof) (the “</w:t>
      </w:r>
      <w:r>
        <w:rPr>
          <w:rFonts w:ascii="Times New Roman" w:cs="Times New Roman" w:eastAsia="Times New Roman" w:hAnsi="Times New Roman"/>
          <w:sz w:val="19"/>
          <w:szCs w:val="19"/>
          <w:u w:val="single" w:color="auto"/>
          <w:color w:val="auto"/>
        </w:rPr>
        <w:t>Affiliated Lender Cap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Times New Roman" w:cs="Times New Roman" w:eastAsia="Times New Roman" w:hAnsi="Times New Roman"/>
          <w:sz w:val="19"/>
          <w:szCs w:val="19"/>
          <w:u w:val="single" w:color="auto"/>
          <w:color w:val="auto"/>
        </w:rPr>
        <w:t>clause (g)(iv)</w:t>
      </w:r>
      <w:r>
        <w:rPr>
          <w:rFonts w:ascii="Times New Roman" w:cs="Times New Roman" w:eastAsia="Times New Roman" w:hAnsi="Times New Roman"/>
          <w:sz w:val="19"/>
          <w:szCs w:val="19"/>
          <w:color w:val="auto"/>
        </w:rPr>
        <w:t xml:space="preserve"> or any purported assignment exceeding the Affiliated Lender Cap (it being understood and agreed that the Affiliated Lender Cap is intended to apply to any Loan made available to Affiliated Lenders by means other than formal assignment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as a result of an acquisition of another Lender (other than any Debt Fund Affiliate) by any Affiliated Lender or the provision of Additional Term Loans by any Affiliated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w:t>
      </w:r>
    </w:p>
    <w:p>
      <w:pPr>
        <w:spacing w:after="0" w:line="153" w:lineRule="exact"/>
        <w:rPr>
          <w:rFonts w:ascii="Times New Roman" w:cs="Times New Roman" w:eastAsia="Times New Roman" w:hAnsi="Times New Roman"/>
          <w:sz w:val="19"/>
          <w:szCs w:val="19"/>
          <w:color w:val="auto"/>
        </w:rPr>
      </w:pPr>
    </w:p>
    <w:p>
      <w:pPr>
        <w:jc w:val="both"/>
        <w:ind w:left="660" w:firstLine="644"/>
        <w:spacing w:after="0" w:line="222" w:lineRule="auto"/>
        <w:tabs>
          <w:tab w:leader="none" w:pos="194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effected pursuant to a Dutch Auction and/or open market purchase conducted by Holdings, the Borrower or any of its Restricted Subsidiaries, (A) the relevant Person may not use the proceeds of any Revolving Loan to fund such assignment and (B) no Event of Default exists at the time of the launch of the relevant Dutch Auction or the confirmation of such open market purchase, as applicable;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its acquisition of Term Loans, each relevant Affiliated Lender shall be deemed to have acknowledged and agreed</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that:</w:t>
      </w:r>
    </w:p>
    <w:p>
      <w:pPr>
        <w:spacing w:after="0" w:line="153" w:lineRule="exact"/>
        <w:rPr>
          <w:rFonts w:ascii="Times New Roman" w:cs="Times New Roman" w:eastAsia="Times New Roman" w:hAnsi="Times New Roman"/>
          <w:sz w:val="19"/>
          <w:szCs w:val="19"/>
          <w:color w:val="auto"/>
        </w:rPr>
      </w:pPr>
    </w:p>
    <w:p>
      <w:pPr>
        <w:jc w:val="both"/>
        <w:ind w:left="1300" w:firstLine="652"/>
        <w:spacing w:after="0" w:line="226" w:lineRule="auto"/>
        <w:tabs>
          <w:tab w:leader="none" w:pos="2587" w:val="left"/>
        </w:tabs>
        <w:numPr>
          <w:ilvl w:val="1"/>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above, the Term Loans held by such Affiliated Lender shall be disregarded in both the numerator and denominator in the calculation of any Required Lender or other Lender vote;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w:t>
      </w:r>
    </w:p>
    <w:p>
      <w:pPr>
        <w:spacing w:after="0" w:line="163" w:lineRule="exact"/>
        <w:rPr>
          <w:rFonts w:ascii="Times New Roman" w:cs="Times New Roman" w:eastAsia="Times New Roman" w:hAnsi="Times New Roman"/>
          <w:sz w:val="19"/>
          <w:szCs w:val="19"/>
          <w:color w:val="auto"/>
        </w:rPr>
      </w:pPr>
    </w:p>
    <w:p>
      <w:pPr>
        <w:jc w:val="both"/>
        <w:ind w:left="1300" w:firstLine="652"/>
        <w:spacing w:after="0" w:line="226" w:lineRule="auto"/>
        <w:tabs>
          <w:tab w:leader="none" w:pos="259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Affiliated Lender, solely in its capacity as an Affiliated Lender, will not be entitled to (i) attend (including by telephone) or participate in any meeting or discussion (or portion thereof) among the Administrative Agent or any Lender or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190</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6" w:name="page307"/>
    <w:bookmarkEnd w:id="306"/>
    <w:p>
      <w:pPr>
        <w:ind w:left="1300"/>
        <w:spacing w:after="0"/>
        <w:rPr>
          <w:sz w:val="20"/>
          <w:szCs w:val="20"/>
          <w:color w:val="auto"/>
        </w:rPr>
      </w:pPr>
      <w:r>
        <w:rPr>
          <w:rFonts w:ascii="Times New Roman" w:cs="Times New Roman" w:eastAsia="Times New Roman" w:hAnsi="Times New Roman"/>
          <w:sz w:val="19"/>
          <w:szCs w:val="19"/>
          <w:color w:val="auto"/>
        </w:rPr>
        <w:t>Lenders to which the Loan Parties or their representatives are not invited or (ii) receive any information or material prepared</w:t>
      </w:r>
    </w:p>
    <w:p>
      <w:pPr>
        <w:spacing w:after="0" w:line="6"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by the Administrative Agent or any Lender or any communication by or among the Administrative Agent and one or more Lenders, except to the extent such information or materials have been made available by the Administrative Agent or any</w:t>
      </w:r>
    </w:p>
    <w:p>
      <w:pPr>
        <w:ind w:left="1300"/>
        <w:spacing w:after="0" w:line="211" w:lineRule="auto"/>
        <w:rPr>
          <w:sz w:val="20"/>
          <w:szCs w:val="20"/>
          <w:color w:val="auto"/>
        </w:rPr>
      </w:pPr>
      <w:r>
        <w:rPr>
          <w:rFonts w:ascii="Times New Roman" w:cs="Times New Roman" w:eastAsia="Times New Roman" w:hAnsi="Times New Roman"/>
          <w:sz w:val="20"/>
          <w:szCs w:val="20"/>
          <w:color w:val="auto"/>
        </w:rPr>
        <w:t>Lender to any Loan Party or its representatives (and in any case, other than the right to receive notices of Borrowings,</w:t>
      </w:r>
    </w:p>
    <w:p>
      <w:pPr>
        <w:spacing w:after="0" w:line="1"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 xml:space="preserve">prepayments and other administrative notices in respect of its Term Loans required to be delivered to Lenders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644"/>
        <w:spacing w:after="0" w:line="226" w:lineRule="auto"/>
        <w:tabs>
          <w:tab w:leader="none" w:pos="1945"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Affiliated Lender shall be required to represent or warrant that it is not in possession of material non-public information with respect to Holdings and/or any subsidiary thereof and/or their respective securities in connection with any assignment permitted by this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7"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proceeding under any Debtor Relief Law, (A) the interest of any Affiliated Lender in any Term Loan will be deemed to be voted in the same proportion as the vote of Lenders that are not Affiliated Lenders on the relevant matter;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its capacity as a Lender) in such Term Loan in a manner that is less favorable to such Affiliated Lender than the proposed treatment of Term Loans held by other Term Lenders and (B) all Affiliated Lenders shall be treated as a single lender for purposes of any “numerosity” or similar requirement applicable therein.</w:t>
      </w:r>
    </w:p>
    <w:p>
      <w:pPr>
        <w:spacing w:after="0" w:line="164"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4"/>
          <w:szCs w:val="14"/>
          <w:color w:val="auto"/>
        </w:rPr>
        <w:t>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w:t>
      </w:r>
    </w:p>
    <w:p>
      <w:pPr>
        <w:ind w:right="80"/>
        <w:spacing w:after="0" w:line="211" w:lineRule="auto"/>
        <w:rPr>
          <w:sz w:val="20"/>
          <w:szCs w:val="20"/>
          <w:color w:val="auto"/>
        </w:rPr>
      </w:pPr>
      <w:r>
        <w:rPr>
          <w:rFonts w:ascii="Times New Roman" w:cs="Times New Roman" w:eastAsia="Times New Roman" w:hAnsi="Times New Roman"/>
          <w:sz w:val="14"/>
          <w:szCs w:val="14"/>
          <w:color w:val="auto"/>
        </w:rPr>
        <w:t xml:space="preserve">applicable Lenders in accordance with customary procedures or (y) on a non-pro rata basis through open market purchases without the consent of the Administrative Agent, in each case, notwithstanding the requirements set forth in </w:t>
      </w:r>
      <w:r>
        <w:rPr>
          <w:rFonts w:ascii="Times New Roman" w:cs="Times New Roman" w:eastAsia="Times New Roman" w:hAnsi="Times New Roman"/>
          <w:sz w:val="14"/>
          <w:szCs w:val="14"/>
          <w:u w:val="single" w:color="auto"/>
          <w:color w:val="auto"/>
        </w:rPr>
        <w:t>subclauses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Loans and Commitments held by all Debt Fund Affiliates shall not account for more</w:t>
      </w:r>
    </w:p>
    <w:p>
      <w:pPr>
        <w:spacing w:after="0" w:line="222" w:lineRule="auto"/>
        <w:rPr>
          <w:sz w:val="20"/>
          <w:szCs w:val="20"/>
          <w:color w:val="auto"/>
        </w:rPr>
      </w:pPr>
      <w:r>
        <w:rPr>
          <w:rFonts w:ascii="Times New Roman" w:cs="Times New Roman" w:eastAsia="Times New Roman" w:hAnsi="Times New Roman"/>
          <w:sz w:val="14"/>
          <w:szCs w:val="14"/>
          <w:color w:val="auto"/>
        </w:rPr>
        <w:t>than 49.9% of the amounts included in determining whether the Required Lenders or Required Revolving Lenders have (A) consented to any amendment, modification, waiver, consent or other</w:t>
      </w:r>
    </w:p>
    <w:p>
      <w:pPr>
        <w:ind w:right="100"/>
        <w:spacing w:after="0" w:line="211" w:lineRule="auto"/>
        <w:rPr>
          <w:sz w:val="20"/>
          <w:szCs w:val="20"/>
          <w:color w:val="auto"/>
        </w:rPr>
      </w:pPr>
      <w:r>
        <w:rPr>
          <w:rFonts w:ascii="Times New Roman" w:cs="Times New Roman" w:eastAsia="Times New Roman" w:hAnsi="Times New Roman"/>
          <w:sz w:val="14"/>
          <w:szCs w:val="14"/>
          <w:color w:val="auto"/>
        </w:rPr>
        <w:t>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w:t>
      </w:r>
    </w:p>
    <w:p>
      <w:pPr>
        <w:spacing w:after="0" w:line="222" w:lineRule="auto"/>
        <w:rPr>
          <w:sz w:val="20"/>
          <w:szCs w:val="20"/>
          <w:color w:val="auto"/>
        </w:rPr>
      </w:pPr>
      <w:r>
        <w:rPr>
          <w:rFonts w:ascii="Times New Roman" w:cs="Times New Roman" w:eastAsia="Times New Roman" w:hAnsi="Times New Roman"/>
          <w:sz w:val="14"/>
          <w:szCs w:val="14"/>
          <w:color w:val="auto"/>
        </w:rPr>
        <w:t>portion of the Loan and/or Commitments that accounts for more than 49.9% of the relevant Required Lender or Required Revolving Lender action shall be deemed to be voted pro rata along with</w:t>
      </w:r>
    </w:p>
    <w:p>
      <w:pPr>
        <w:ind w:right="20"/>
        <w:spacing w:after="0" w:line="211" w:lineRule="auto"/>
        <w:rPr>
          <w:sz w:val="20"/>
          <w:szCs w:val="20"/>
          <w:color w:val="auto"/>
        </w:rPr>
      </w:pPr>
      <w:r>
        <w:rPr>
          <w:rFonts w:ascii="Times New Roman" w:cs="Times New Roman" w:eastAsia="Times New Roman" w:hAnsi="Times New Roman"/>
          <w:sz w:val="14"/>
          <w:szCs w:val="14"/>
          <w:color w:val="auto"/>
        </w:rPr>
        <w:t>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to the extent permitted by applicable Requirements of Law, be retired and cancelled immediately upon</w:t>
      </w:r>
    </w:p>
    <w:p>
      <w:pPr>
        <w:spacing w:after="0" w:line="222" w:lineRule="auto"/>
        <w:rPr>
          <w:sz w:val="20"/>
          <w:szCs w:val="20"/>
          <w:color w:val="auto"/>
        </w:rPr>
      </w:pPr>
      <w:r>
        <w:rPr>
          <w:rFonts w:ascii="Times New Roman" w:cs="Times New Roman" w:eastAsia="Times New Roman" w:hAnsi="Times New Roman"/>
          <w:sz w:val="14"/>
          <w:szCs w:val="14"/>
          <w:color w:val="auto"/>
        </w:rPr>
        <w:t xml:space="preserve">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upon any such cancellation, the aggregate outstanding principal amount of the relevant Class of Loans shall be deemed reduced, as of the date of such contribution, by the</w:t>
      </w:r>
    </w:p>
    <w:p>
      <w:pPr>
        <w:ind w:right="200"/>
        <w:spacing w:after="0" w:line="229" w:lineRule="auto"/>
        <w:rPr>
          <w:sz w:val="20"/>
          <w:szCs w:val="20"/>
          <w:color w:val="auto"/>
        </w:rPr>
      </w:pPr>
      <w:r>
        <w:rPr>
          <w:rFonts w:ascii="Times New Roman" w:cs="Times New Roman" w:eastAsia="Times New Roman" w:hAnsi="Times New Roman"/>
          <w:sz w:val="14"/>
          <w:szCs w:val="14"/>
          <w:color w:val="auto"/>
        </w:rPr>
        <w:t xml:space="preserve">full par value of the aggregate principal amount of the Loans so contributed and cancelled, and each principal repayment installment with respect to the Term Loans pursuant to </w:t>
      </w:r>
      <w:r>
        <w:rPr>
          <w:rFonts w:ascii="Times New Roman" w:cs="Times New Roman" w:eastAsia="Times New Roman" w:hAnsi="Times New Roman"/>
          <w:sz w:val="14"/>
          <w:szCs w:val="14"/>
          <w:u w:val="single" w:color="auto"/>
          <w:color w:val="auto"/>
        </w:rPr>
        <w:t>Section 2.10(a)</w:t>
      </w:r>
      <w:r>
        <w:rPr>
          <w:rFonts w:ascii="Times New Roman" w:cs="Times New Roman" w:eastAsia="Times New Roman" w:hAnsi="Times New Roman"/>
          <w:sz w:val="14"/>
          <w:szCs w:val="14"/>
          <w:color w:val="auto"/>
        </w:rPr>
        <w:t xml:space="preserve"> shall be reduced pro rata by the full par value of the aggregate principal amount of any applicable Term Loans so contributed and cancelled.</w:t>
      </w:r>
    </w:p>
    <w:p>
      <w:pPr>
        <w:spacing w:after="0" w:line="6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6.</w:t>
        <w:tab/>
        <w:t>Survival. All covenants, agreements, representations and warranties made by the Loan Parties in the Loan</w:t>
      </w:r>
    </w:p>
    <w:p>
      <w:pPr>
        <w:spacing w:after="0" w:line="204" w:lineRule="auto"/>
        <w:rPr>
          <w:sz w:val="20"/>
          <w:szCs w:val="20"/>
          <w:color w:val="auto"/>
        </w:rPr>
      </w:pPr>
      <w:r>
        <w:rPr>
          <w:rFonts w:ascii="Times New Roman" w:cs="Times New Roman" w:eastAsia="Times New Roman" w:hAnsi="Times New Roman"/>
          <w:sz w:val="20"/>
          <w:szCs w:val="20"/>
          <w:color w:val="auto"/>
        </w:rPr>
        <w:t>Documents and in the certificates or other instruments delivered in connection with or pursuant to this Agreement or any other Loan Document shall be considered to have been relied upon by the other parties hereto and shall survive the execution and delivery of the Loan</w:t>
      </w:r>
    </w:p>
    <w:p>
      <w:pPr>
        <w:spacing w:after="0" w:line="223" w:lineRule="auto"/>
        <w:rPr>
          <w:sz w:val="20"/>
          <w:szCs w:val="20"/>
          <w:color w:val="auto"/>
        </w:rPr>
      </w:pPr>
      <w:r>
        <w:rPr>
          <w:rFonts w:ascii="Times New Roman" w:cs="Times New Roman" w:eastAsia="Times New Roman" w:hAnsi="Times New Roman"/>
          <w:sz w:val="19"/>
          <w:szCs w:val="19"/>
          <w:color w:val="auto"/>
        </w:rPr>
        <w:t>Documents and the making of any Loan and issuance of any Letter of Credit regardless of any investigation made by any such other party or</w:t>
      </w:r>
    </w:p>
    <w:p>
      <w:pPr>
        <w:spacing w:after="0" w:line="204" w:lineRule="auto"/>
        <w:rPr>
          <w:sz w:val="20"/>
          <w:szCs w:val="20"/>
          <w:color w:val="auto"/>
        </w:rPr>
      </w:pPr>
      <w:r>
        <w:rPr>
          <w:rFonts w:ascii="Times New Roman" w:cs="Times New Roman" w:eastAsia="Times New Roman" w:hAnsi="Times New Roman"/>
          <w:sz w:val="20"/>
          <w:szCs w:val="20"/>
          <w:color w:val="auto"/>
        </w:rPr>
        <w:t>on its behalf and notwithstanding that the Administrative Agent may have had notice or knowledge of any Default or Event of Default or incorrect representation or warranty at the time any credit is extended hereunder, and shall continue in full force and effect until the</w:t>
      </w:r>
    </w:p>
    <w:p>
      <w:pPr>
        <w:spacing w:after="0" w:line="211" w:lineRule="auto"/>
        <w:rPr>
          <w:sz w:val="20"/>
          <w:szCs w:val="20"/>
          <w:color w:val="auto"/>
        </w:rPr>
      </w:pPr>
      <w:r>
        <w:rPr>
          <w:rFonts w:ascii="Times New Roman" w:cs="Times New Roman" w:eastAsia="Times New Roman" w:hAnsi="Times New Roman"/>
          <w:sz w:val="20"/>
          <w:szCs w:val="20"/>
          <w:color w:val="auto"/>
        </w:rPr>
        <w:t>Termination Date. The provisions of Sections 2.15, 2.16, 2.17, 9.03 and 9.13 and Article 8 shall survive and remain in full force and effect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regardless of the consummation of the transactions contemplated hereby, the repayment of the Loans, the expiration or termination of the Letters of Credit and the Revolving Credit Commitment, the occurrence of the Termination Date or the termination of this Agreement or any</w:t>
      </w:r>
    </w:p>
    <w:p>
      <w:pPr>
        <w:spacing w:after="0"/>
        <w:rPr>
          <w:sz w:val="20"/>
          <w:szCs w:val="20"/>
          <w:color w:val="auto"/>
        </w:rPr>
      </w:pPr>
      <w:r>
        <w:rPr>
          <w:rFonts w:ascii="Times New Roman" w:cs="Times New Roman" w:eastAsia="Times New Roman" w:hAnsi="Times New Roman"/>
          <w:sz w:val="20"/>
          <w:szCs w:val="20"/>
          <w:color w:val="auto"/>
        </w:rPr>
        <w:t>provision hereof but in each case, subject to the limitations set forth in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7. Counterparts; Integration; Effectiveness. This Agreement may be executed in counterparts (and by different parties hereto on different counterparts), each of which shall constitute an original, but all of which when taken together shall constitute a single</w:t>
      </w:r>
    </w:p>
    <w:p>
      <w:pPr>
        <w:spacing w:after="0" w:line="224" w:lineRule="auto"/>
        <w:rPr>
          <w:sz w:val="20"/>
          <w:szCs w:val="20"/>
          <w:color w:val="auto"/>
        </w:rPr>
      </w:pPr>
      <w:r>
        <w:rPr>
          <w:rFonts w:ascii="Times New Roman" w:cs="Times New Roman" w:eastAsia="Times New Roman" w:hAnsi="Times New Roman"/>
          <w:sz w:val="19"/>
          <w:szCs w:val="19"/>
          <w:color w:val="auto"/>
        </w:rPr>
        <w:t>contract. This Agreement, the other Loan Documents, each Intercreditor Agreement and the Fee Letter constitute the entire agreement among</w:t>
      </w:r>
    </w:p>
    <w:p>
      <w:pPr>
        <w:spacing w:after="0" w:line="204" w:lineRule="auto"/>
        <w:rPr>
          <w:sz w:val="20"/>
          <w:szCs w:val="20"/>
          <w:color w:val="auto"/>
        </w:rPr>
      </w:pPr>
      <w:r>
        <w:rPr>
          <w:rFonts w:ascii="Times New Roman" w:cs="Times New Roman" w:eastAsia="Times New Roman" w:hAnsi="Times New Roman"/>
          <w:sz w:val="20"/>
          <w:szCs w:val="20"/>
          <w:color w:val="auto"/>
        </w:rPr>
        <w:t>the parties relating to the subject matter hereof and supersede any and all previous agreements and understandings, oral or written, relating to the subject matter hereof. This Agreement shall become effective when it has been executed by Holdings, the Borrower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191</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9"/>
          <w:szCs w:val="19"/>
          <w:color w:val="auto"/>
        </w:rPr>
        <w:t>the Administrative Agent has received counterparts hereof which, when taken together, bear the signatures of each of the other parties hereto,</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thereafter shall be binding upon and inure to the benefit of the parties hereto and their respective successors and permitted assigns. Delivery of an executed counterpart of a signature page to this Agreement by facsimile or by email as a “.pdf” or “.tif” attachment shall be</w:t>
      </w:r>
    </w:p>
    <w:p>
      <w:pPr>
        <w:spacing w:after="0" w:line="211" w:lineRule="auto"/>
        <w:rPr>
          <w:sz w:val="20"/>
          <w:szCs w:val="20"/>
          <w:color w:val="auto"/>
        </w:rPr>
      </w:pPr>
      <w:r>
        <w:rPr>
          <w:rFonts w:ascii="Times New Roman" w:cs="Times New Roman" w:eastAsia="Times New Roman" w:hAnsi="Times New Roman"/>
          <w:sz w:val="20"/>
          <w:szCs w:val="20"/>
          <w:color w:val="auto"/>
        </w:rPr>
        <w:t>effective as delivery of a manually executed counterpart of this Agreement. It is understood and agreed that, subject to any Requirement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Law, the words “execution”, “signed”, “signature”, “delivery” and words of like import in or relating to any Loan Document shall be deemed to include any Electronic Signature, delivery or the keeping of any record in electronic form, each of which shall have the same legal effect,</w:t>
      </w:r>
    </w:p>
    <w:p>
      <w:pPr>
        <w:spacing w:after="0" w:line="222" w:lineRule="auto"/>
        <w:rPr>
          <w:sz w:val="20"/>
          <w:szCs w:val="20"/>
          <w:color w:val="auto"/>
        </w:rPr>
      </w:pPr>
      <w:r>
        <w:rPr>
          <w:rFonts w:ascii="Times New Roman" w:cs="Times New Roman" w:eastAsia="Times New Roman" w:hAnsi="Times New Roman"/>
          <w:sz w:val="19"/>
          <w:szCs w:val="19"/>
          <w:color w:val="auto"/>
        </w:rPr>
        <w:t>validity or enforceability as a manually executed signature, physical delivery thereof or the use of a paper-based recordkeeping system to the</w:t>
      </w:r>
    </w:p>
    <w:p>
      <w:pPr>
        <w:spacing w:after="0" w:line="204" w:lineRule="auto"/>
        <w:rPr>
          <w:sz w:val="20"/>
          <w:szCs w:val="20"/>
          <w:color w:val="auto"/>
        </w:rPr>
      </w:pPr>
      <w:r>
        <w:rPr>
          <w:rFonts w:ascii="Times New Roman" w:cs="Times New Roman" w:eastAsia="Times New Roman" w:hAnsi="Times New Roman"/>
          <w:sz w:val="20"/>
          <w:szCs w:val="20"/>
          <w:color w:val="auto"/>
        </w:rPr>
        <w:t>extent and as provided for in any applicable Requirement of Law, including the Federal Electronic Signatures in Global and National Commerce Act, the New York State Electronic Signatures and Records Act, or any similar state laws based on the Uniform Electronic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Act.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8. Severability. To the extent permitted by applicable Requirements of Law, any provision of any Loan Document held to be invalid, illegal or unenforceable in any jurisdiction shall, as to such jurisdiction, be ineffective to the extent of such invalidity, illegality</w:t>
      </w:r>
    </w:p>
    <w:p>
      <w:pPr>
        <w:spacing w:after="0" w:line="228" w:lineRule="auto"/>
        <w:rPr>
          <w:sz w:val="20"/>
          <w:szCs w:val="20"/>
          <w:color w:val="auto"/>
        </w:rPr>
      </w:pPr>
      <w:r>
        <w:rPr>
          <w:rFonts w:ascii="Times New Roman" w:cs="Times New Roman" w:eastAsia="Times New Roman" w:hAnsi="Times New Roman"/>
          <w:sz w:val="20"/>
          <w:szCs w:val="20"/>
          <w:color w:val="auto"/>
        </w:rPr>
        <w:t>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9. Right of Setoff. At any time when an Event of Default exists, the Administrative Agent and, upon the written consent of the Administrative Agent, each Issuing Bank and each Lender is hereby authorized at any time and from time to time, to the fullest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extent permitted by applicable Requirements of Law, to set off and apply any and all deposits (general or special, time or demand, provisional or final) at any time held and other obligations (in any currency) at any time owing by the Administrative Agent, such Issuing Bank or such</w:t>
      </w:r>
    </w:p>
    <w:p>
      <w:pPr>
        <w:spacing w:after="0" w:line="215" w:lineRule="auto"/>
        <w:rPr>
          <w:sz w:val="20"/>
          <w:szCs w:val="20"/>
          <w:color w:val="auto"/>
        </w:rPr>
      </w:pPr>
      <w:r>
        <w:rPr>
          <w:rFonts w:ascii="Times New Roman" w:cs="Times New Roman" w:eastAsia="Times New Roman" w:hAnsi="Times New Roman"/>
          <w:sz w:val="19"/>
          <w:szCs w:val="19"/>
          <w:color w:val="auto"/>
        </w:rPr>
        <w:t>Lender, respectively, to or for the credit or the account of any Loan Party against any of and all the Secured Obligations held by the Administrative Agent, such Issuing Bank or such Lender, irrespective of whether or not the Administrative Agent, such Issuing Bank or such</w:t>
      </w:r>
    </w:p>
    <w:p>
      <w:pPr>
        <w:spacing w:after="0" w:line="211" w:lineRule="auto"/>
        <w:rPr>
          <w:sz w:val="20"/>
          <w:szCs w:val="20"/>
          <w:color w:val="auto"/>
        </w:rPr>
      </w:pPr>
      <w:r>
        <w:rPr>
          <w:rFonts w:ascii="Times New Roman" w:cs="Times New Roman" w:eastAsia="Times New Roman" w:hAnsi="Times New Roman"/>
          <w:sz w:val="20"/>
          <w:szCs w:val="20"/>
          <w:color w:val="auto"/>
        </w:rPr>
        <w:t>Lender shall have made any demand under the Loan Documents and although such obligations may be contingent or unmatured or are owed</w:t>
      </w:r>
    </w:p>
    <w:p>
      <w:pPr>
        <w:spacing w:after="0" w:line="215" w:lineRule="auto"/>
        <w:rPr>
          <w:sz w:val="20"/>
          <w:szCs w:val="20"/>
          <w:color w:val="auto"/>
        </w:rPr>
      </w:pPr>
      <w:r>
        <w:rPr>
          <w:rFonts w:ascii="Times New Roman" w:cs="Times New Roman" w:eastAsia="Times New Roman" w:hAnsi="Times New Roman"/>
          <w:sz w:val="19"/>
          <w:szCs w:val="19"/>
          <w:color w:val="auto"/>
        </w:rPr>
        <w:t>to a branch or office of such Lender or Issuing Bank different than the branch or office holding such deposit or obligation on such Indebtedness. The Administrative Agent shall promptly notify the Borrower and any applicable Lender or Issuing Bank shall promptly notify</w:t>
      </w:r>
    </w:p>
    <w:p>
      <w:pPr>
        <w:spacing w:after="0" w:line="211" w:lineRule="auto"/>
        <w:rPr>
          <w:sz w:val="20"/>
          <w:szCs w:val="20"/>
          <w:color w:val="auto"/>
        </w:rPr>
      </w:pPr>
      <w:r>
        <w:rPr>
          <w:rFonts w:ascii="Times New Roman" w:cs="Times New Roman" w:eastAsia="Times New Roman" w:hAnsi="Times New Roman"/>
          <w:sz w:val="20"/>
          <w:szCs w:val="20"/>
          <w:color w:val="auto"/>
        </w:rPr>
        <w:t>the Borrower and the Administrative Agent of such set-off or application, as applicable; provided that any failure to give or any delay in</w:t>
      </w:r>
    </w:p>
    <w:p>
      <w:pPr>
        <w:spacing w:after="0" w:line="204" w:lineRule="auto"/>
        <w:rPr>
          <w:sz w:val="20"/>
          <w:szCs w:val="20"/>
          <w:color w:val="auto"/>
        </w:rPr>
      </w:pPr>
      <w:r>
        <w:rPr>
          <w:rFonts w:ascii="Times New Roman" w:cs="Times New Roman" w:eastAsia="Times New Roman" w:hAnsi="Times New Roman"/>
          <w:sz w:val="20"/>
          <w:szCs w:val="20"/>
          <w:color w:val="auto"/>
        </w:rPr>
        <w:t>giving such notice shall not affect the validity of any such set-off or application under this Section. The rights of each Lender, each Issuing Bank and the Administrative Agent under this Section are in addition to other rights and remedies (including other rights of setoff) which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Lender, such Issuing Bank or the Administrative Agent may have. For the avoidance of doubt, the term “Lender” shall, for all purposes of this paragraph, include the Swingline Lender.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Governing Law; Jurisdiction; Consent to Service of Process.</w:t>
      </w:r>
    </w:p>
    <w:p>
      <w:pPr>
        <w:spacing w:after="0" w:line="189" w:lineRule="exact"/>
        <w:rPr>
          <w:sz w:val="20"/>
          <w:szCs w:val="20"/>
          <w:color w:val="auto"/>
        </w:rPr>
      </w:pPr>
    </w:p>
    <w:p>
      <w:pPr>
        <w:jc w:val="both"/>
        <w:ind w:firstLine="656"/>
        <w:spacing w:after="0" w:line="220" w:lineRule="auto"/>
        <w:tabs>
          <w:tab w:leader="none" w:pos="1286"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14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0"/>
          <w:szCs w:val="20"/>
          <w:color w:val="auto"/>
        </w:rPr>
        <w:t>STATE OR, TO THE EXTENT PERMITTED BY APPLICABLE REQUIREMENTS OF LAW, FEDERAL COURT. EACH PARTY</w:t>
      </w:r>
    </w:p>
    <w:p>
      <w:pPr>
        <w:jc w:val="both"/>
        <w:spacing w:after="0" w:line="204" w:lineRule="auto"/>
        <w:rPr>
          <w:sz w:val="20"/>
          <w:szCs w:val="20"/>
          <w:color w:val="auto"/>
        </w:rPr>
      </w:pPr>
      <w:r>
        <w:rPr>
          <w:rFonts w:ascii="Times New Roman" w:cs="Times New Roman" w:eastAsia="Times New Roman" w:hAnsi="Times New Roman"/>
          <w:sz w:val="20"/>
          <w:szCs w:val="20"/>
          <w:color w:val="auto"/>
        </w:rPr>
        <w:t>HERETO AGREES THAT SERVICE OF ANY PROCESS, SUMMONS, NOTICE OR DOCUMENT BY REGISTERED MAIL ADDRESSED TO SUCH PERSON SHALL BE EFFECTIVE SERVICE OF PROCESS AGAINST SUCH PERSON FOR ANY SUIT,</w:t>
      </w:r>
    </w:p>
    <w:p>
      <w:pPr>
        <w:spacing w:after="0" w:line="223" w:lineRule="auto"/>
        <w:rPr>
          <w:sz w:val="20"/>
          <w:szCs w:val="20"/>
          <w:color w:val="auto"/>
        </w:rPr>
      </w:pPr>
      <w:r>
        <w:rPr>
          <w:rFonts w:ascii="Times New Roman" w:cs="Times New Roman" w:eastAsia="Times New Roman" w:hAnsi="Times New Roman"/>
          <w:sz w:val="19"/>
          <w:szCs w:val="19"/>
          <w:color w:val="auto"/>
        </w:rPr>
        <w:t>ACTION OR PROCEEDING BROUGHT IN ANY SUCH COURT. EACH PARTY HERETO AGREES THAT A FINAL JUDGMENT IN</w:t>
      </w:r>
    </w:p>
    <w:p>
      <w:pPr>
        <w:spacing w:after="0" w:line="204" w:lineRule="auto"/>
        <w:rPr>
          <w:sz w:val="20"/>
          <w:szCs w:val="20"/>
          <w:color w:val="auto"/>
        </w:rPr>
      </w:pPr>
      <w:r>
        <w:rPr>
          <w:rFonts w:ascii="Times New Roman" w:cs="Times New Roman" w:eastAsia="Times New Roman" w:hAnsi="Times New Roman"/>
          <w:sz w:val="20"/>
          <w:szCs w:val="20"/>
          <w:color w:val="auto"/>
        </w:rPr>
        <w:t>ANY SUCH ACTION OR PROCEEDING MAY BE ENFORCED IN OTHER JURISDICTIONS BY SUIT ON THE JUDGMENT OR IN ANY OTHER MANNER PROVIDED BY APPLICABLE REQUIREMENTS OF LAW. EACH PARTY HERETO AGREES THAT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 RETAINS THE RIGHT TO BRING PROCEEDINGS AGAINST ANY LOAN PARTY IN THE COURTS OF</w:t>
      </w:r>
    </w:p>
    <w:p>
      <w:pPr>
        <w:spacing w:after="0" w:line="221" w:lineRule="auto"/>
        <w:rPr>
          <w:sz w:val="20"/>
          <w:szCs w:val="20"/>
          <w:color w:val="auto"/>
        </w:rPr>
      </w:pPr>
      <w:r>
        <w:rPr>
          <w:rFonts w:ascii="Times New Roman" w:cs="Times New Roman" w:eastAsia="Times New Roman" w:hAnsi="Times New Roman"/>
          <w:sz w:val="20"/>
          <w:szCs w:val="20"/>
          <w:color w:val="auto"/>
        </w:rPr>
        <w:t>ANY OTHER JURISDICTION SOLELY IN CONNECTION WITH THE EXERCISE OF ITS RIGHTS UNDER ANY COLLATERAL DOCUMENT.</w:t>
      </w:r>
    </w:p>
    <w:p>
      <w:pPr>
        <w:spacing w:after="0" w:line="162" w:lineRule="exact"/>
        <w:rPr>
          <w:sz w:val="20"/>
          <w:szCs w:val="20"/>
          <w:color w:val="auto"/>
        </w:rPr>
      </w:pPr>
    </w:p>
    <w:p>
      <w:pPr>
        <w:jc w:val="both"/>
        <w:ind w:firstLine="656"/>
        <w:spacing w:after="0" w:line="215" w:lineRule="auto"/>
        <w:tabs>
          <w:tab w:leader="none" w:pos="1286"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6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11. Waiver of Jury Trial. EACH PARTY HERETO HEREBY IRREVOCABLY WAIVES, TO THE FULLEST EXTENT PERMITTED BY APPLICABLE REQUIREMENTS OF LAW, ANY RIGHT IT MAY HAVE TO A TRIAL BY JURY IN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SUIT, ACTION, PROCEEDING OR COUNTERCLAIM (WHETHER BASED ON CONTRACT, TORT OR ANY OTHER THEORY) DIRECTLY OR INDIRECTLY ARISING OUT OF OR RELATING TO THIS AGREEMENT, ANY OTHER LOAN DOCUMENT OR</w:t>
      </w:r>
    </w:p>
    <w:p>
      <w:pPr>
        <w:spacing w:after="0" w:line="211" w:lineRule="auto"/>
        <w:tabs>
          <w:tab w:leader="none" w:pos="7060" w:val="left"/>
          <w:tab w:leader="none" w:pos="7840" w:val="left"/>
          <w:tab w:leader="none" w:pos="8780" w:val="left"/>
          <w:tab w:leader="none" w:pos="9140" w:val="left"/>
          <w:tab w:leader="none" w:pos="10260" w:val="left"/>
          <w:tab w:leader="none" w:pos="10920" w:val="left"/>
        </w:tabs>
        <w:rPr>
          <w:sz w:val="20"/>
          <w:szCs w:val="20"/>
          <w:color w:val="auto"/>
        </w:rPr>
      </w:pPr>
      <w:r>
        <w:rPr>
          <w:rFonts w:ascii="Times New Roman" w:cs="Times New Roman" w:eastAsia="Times New Roman" w:hAnsi="Times New Roman"/>
          <w:sz w:val="20"/>
          <w:szCs w:val="20"/>
          <w:color w:val="auto"/>
        </w:rPr>
        <w:t>THE  TRANSACTIONS  CONTEMPLATED  HEREBY  OR  THEREBY.  EACH</w:t>
        <w:tab/>
        <w:t>PARTY</w:t>
        <w:tab/>
        <w:t>HERETO</w:t>
        <w:tab/>
        <w:t>(a)</w:t>
        <w:tab/>
        <w:t>CERTIFIES</w:t>
        <w:tab/>
        <w:t>THAT</w:t>
        <w:tab/>
        <w:t>NO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REPRESENTATIVE, AGENT OR ATTORNEY OF ANY OTHER PARTY HERETO HAS REPRESENTED, EXPRESSLY OR OTHERWISE, THAT SUCH OTHER PARTY WOULD NOT, IN THE EVENT OF LITIGATION, SEEK TO ENFORCE THE</w:t>
      </w:r>
    </w:p>
    <w:p>
      <w:pPr>
        <w:spacing w:after="0" w:line="211" w:lineRule="auto"/>
        <w:rPr>
          <w:sz w:val="20"/>
          <w:szCs w:val="20"/>
          <w:color w:val="auto"/>
        </w:rPr>
      </w:pPr>
      <w:r>
        <w:rPr>
          <w:rFonts w:ascii="Times New Roman" w:cs="Times New Roman" w:eastAsia="Times New Roman" w:hAnsi="Times New Roman"/>
          <w:sz w:val="20"/>
          <w:szCs w:val="20"/>
          <w:color w:val="auto"/>
        </w:rPr>
        <w:t>FOREGOING WAIVER AND (b) ACKNOWLEDGES THAT IT AND THE OTHER PARTIES HERETO HAVE BEEN INDUCED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ENTER INTO THIS AGREEMENT BY, AMONG OTHER THINGS, THE MUTUAL WAIVERS AND CERTIFICATIONS IN THIS SECTION.</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12.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13. Confidentiality. Each of the Administrative Agent, each Lender, each Issuing Bank and each Arranger agrees (and each Lender agrees to cause its SPC, if any) to maintain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0"/>
          <w:szCs w:val="20"/>
          <w:color w:val="auto"/>
        </w:rPr>
        <w:t>confidentiality of the Confidential Information (as defined below), except that Confidential Information may be disclosed:</w:t>
      </w:r>
    </w:p>
    <w:p>
      <w:pPr>
        <w:spacing w:after="0" w:line="189" w:lineRule="exact"/>
        <w:rPr>
          <w:sz w:val="20"/>
          <w:szCs w:val="20"/>
          <w:color w:val="auto"/>
        </w:rPr>
      </w:pPr>
    </w:p>
    <w:p>
      <w:pPr>
        <w:jc w:val="both"/>
        <w:ind w:firstLine="656"/>
        <w:spacing w:after="0" w:line="213" w:lineRule="auto"/>
        <w:tabs>
          <w:tab w:leader="none" w:pos="1286"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its and its Affiliates’ members, partners, directors (or equivalent managers), officers, managers, employees, agents, independent auditors, or other experts and advisors, including accountants, legal counsel and other advisors (collectively,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provided that such Person shall be responsible for its Affiliates’ and their Representatives’ compliance with this paragraph;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unless the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w:t>
      </w:r>
    </w:p>
    <w:p>
      <w:pPr>
        <w:spacing w:after="0" w:line="162"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compelled by legal process in, or reasonably necessary to, the defense of such legal, judicial or administrative proceeding, in any legal, judicial or administrative proceeding or otherwise as required by applicable Requirements of Law (in which case such Person shall, except with respect to any audit or examination conducted by bank accountants or any governmental, regulatory or self-regulatory authority exercising examination or regulatory authority, (i) to the extent practicable and permitted by applicable Requirements of Law, inform the Borrower promptly in advance thereof and (ii) use commercially reasonable efforts to ensure that any such information so disclosed is accorded confidential treatment),</w:t>
      </w:r>
    </w:p>
    <w:p>
      <w:pPr>
        <w:spacing w:after="0" w:line="162"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demand or request of any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to the extent practicable and permitted by applicable Requirements of Law, inform the Borrower promptly in advance thereof and (ii) use commercially reasonable efforts to ensure that any information so disclosed is accorded confidential treatment),</w:t>
      </w:r>
    </w:p>
    <w:p>
      <w:pPr>
        <w:spacing w:after="0" w:line="162"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provided by or on behalf of the Borrower to the Administrative Agent for distribution to the Issuing Banks and/or Lenders, by the Administrative Agent to any Lender or Issuing Bank party to this Agreement, as applicable,</w:t>
      </w:r>
    </w:p>
    <w:p>
      <w:pPr>
        <w:spacing w:after="0" w:line="160"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has, at the time of disclosure, affirmatively declined to consent to any assignment or participation), (ii) any pledgee referred to in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and/or (iii) any actual or prospective, direct or indirect contractual counterparty (or its advisors) to any Derivative Transaction (including any credit default swap) or similar derivative product to which any Loan Party is a party,</w:t>
      </w:r>
    </w:p>
    <w:p>
      <w:pPr>
        <w:spacing w:after="0" w:line="169" w:lineRule="exact"/>
        <w:rPr>
          <w:rFonts w:ascii="Times New Roman" w:cs="Times New Roman" w:eastAsia="Times New Roman" w:hAnsi="Times New Roman"/>
          <w:sz w:val="20"/>
          <w:szCs w:val="20"/>
          <w:color w:val="auto"/>
        </w:rPr>
      </w:pPr>
    </w:p>
    <w:p>
      <w:pPr>
        <w:ind w:firstLine="656"/>
        <w:spacing w:after="0" w:line="233" w:lineRule="auto"/>
        <w:tabs>
          <w:tab w:leader="none" w:pos="1291"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Borrower’s prior approval of the information to be disclosed, to the CUSIP Service Bureau or any similar agency on a confidential basis in connection with the issuance and monitoring of CUSIP numbers with respect to the facilities or</w:t>
      </w:r>
    </w:p>
    <w:p>
      <w:pPr>
        <w:spacing w:after="0" w:line="160" w:lineRule="exact"/>
        <w:rPr>
          <w:rFonts w:ascii="Times New Roman" w:cs="Times New Roman" w:eastAsia="Times New Roman" w:hAnsi="Times New Roman"/>
          <w:sz w:val="20"/>
          <w:szCs w:val="20"/>
          <w:color w:val="auto"/>
        </w:rPr>
      </w:pPr>
    </w:p>
    <w:p>
      <w:pPr>
        <w:jc w:val="both"/>
        <w:ind w:firstLine="656"/>
        <w:spacing w:after="0" w:line="237" w:lineRule="auto"/>
        <w:tabs>
          <w:tab w:leader="none" w:pos="1284"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existence of this Agreement (but not the terms hereof) and the existence of the Credit Facilities (but not the terms thereof) and (ii) certain other limited generic information regarding the Credit Facilities (but not any other Confidential Information), may be disclosed to market data collectors and other similar service providers to the lending industry and, in the case of the Administrative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0"/>
          <w:szCs w:val="20"/>
          <w:color w:val="auto"/>
        </w:rPr>
        <w:t>service providers to the Administrative Agent in connection with the administration of the Credit Facilities,</w:t>
      </w:r>
    </w:p>
    <w:p>
      <w:pPr>
        <w:spacing w:after="0" w:line="189" w:lineRule="exact"/>
        <w:rPr>
          <w:sz w:val="20"/>
          <w:szCs w:val="20"/>
          <w:color w:val="auto"/>
        </w:rPr>
      </w:pPr>
    </w:p>
    <w:p>
      <w:pPr>
        <w:ind w:right="20" w:firstLine="656"/>
        <w:spacing w:after="0" w:line="233" w:lineRule="auto"/>
        <w:tabs>
          <w:tab w:leader="none" w:pos="128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Confidential Information becomes publicly available other than as a result of a breach of this Section by such Person, its Affiliates or their respective Representatives, and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consent of the Borrower.</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all information relating to Holdings, the Borrower and/or any of its subsidiaries and their respective businesses or the Transactions (including any information obtained by the Administrative Agent, any Issuing</w:t>
      </w:r>
    </w:p>
    <w:p>
      <w:pPr>
        <w:spacing w:after="0" w:line="211" w:lineRule="auto"/>
        <w:rPr>
          <w:sz w:val="20"/>
          <w:szCs w:val="20"/>
          <w:color w:val="auto"/>
        </w:rPr>
      </w:pPr>
      <w:r>
        <w:rPr>
          <w:rFonts w:ascii="Times New Roman" w:cs="Times New Roman" w:eastAsia="Times New Roman" w:hAnsi="Times New Roman"/>
          <w:sz w:val="20"/>
          <w:szCs w:val="20"/>
          <w:color w:val="auto"/>
        </w:rPr>
        <w:t>Bank, any Lender or any Arranger, or any of their respective Affiliates or Representatives, based on a review of any books and records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relating to Holdings, the Borrower and/or any of its subsidiaries and their respective Affiliates from time to time, including prior to the date hereof) other than any such information that is publicly available to the Administrative Agent or any Arranger, Issuing Bank, or Lender on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non-confidential basis prior to disclosure by Holdings or any of its subsidiaries. For the avoidance of doubt, in no event shall any disclosure of any Confidential Information be made to any Person that is a Disqualified Institution at the time of disclosure.</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14. No Fiduciary Duty. Each of the Administrative Agent, the Arrangers, each Lender, each Issuing Bank and their respective Affiliates (collectively, solely for purposes of this paragraph, the “Credit Parties”), may have economic interests that conflict with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those of the Loan Parties, their stockholders and/or their respective affiliates. Each Loan Party agrees that nothing in the Loan Documents or otherwise will be deemed to create an advisory, fiduciary or agency relationship or fiduciary or other implied duty between any Credit Party,</w:t>
      </w:r>
    </w:p>
    <w:p>
      <w:pPr>
        <w:spacing w:after="0" w:line="222" w:lineRule="auto"/>
        <w:rPr>
          <w:sz w:val="20"/>
          <w:szCs w:val="20"/>
          <w:color w:val="auto"/>
        </w:rPr>
      </w:pPr>
      <w:r>
        <w:rPr>
          <w:rFonts w:ascii="Times New Roman" w:cs="Times New Roman" w:eastAsia="Times New Roman" w:hAnsi="Times New Roman"/>
          <w:sz w:val="19"/>
          <w:szCs w:val="19"/>
          <w:color w:val="auto"/>
        </w:rPr>
        <w:t>on the one hand, and such Loan Party, its respective stockholders or its respective affiliates, on the other. Each Loan Party acknowledges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agrees that: (i) the transactions contemplated by the Loan Documents (including the exercise of rights and remedies hereunder and thereunder) are arm’s-length commercial transactions between the Credit Parties, on the one hand, and the Loan Parties, on the other, and (ii)</w:t>
      </w:r>
    </w:p>
    <w:p>
      <w:pPr>
        <w:spacing w:after="0" w:line="215" w:lineRule="auto"/>
        <w:rPr>
          <w:sz w:val="20"/>
          <w:szCs w:val="20"/>
          <w:color w:val="auto"/>
        </w:rPr>
      </w:pPr>
      <w:r>
        <w:rPr>
          <w:rFonts w:ascii="Times New Roman" w:cs="Times New Roman" w:eastAsia="Times New Roman" w:hAnsi="Times New Roman"/>
          <w:sz w:val="19"/>
          <w:szCs w:val="19"/>
          <w:color w:val="auto"/>
        </w:rPr>
        <w:t>in connection therewith and with the process leading thereto, (x) no Credit Party, in its capacity as such, has assumed an advisory or fiduciary responsibility in favor of any Loan Party, its respective stockholders or its respective affiliates with respect to the transactions contemplated</w:t>
      </w:r>
    </w:p>
    <w:p>
      <w:pPr>
        <w:spacing w:after="0" w:line="222" w:lineRule="auto"/>
        <w:rPr>
          <w:sz w:val="20"/>
          <w:szCs w:val="20"/>
          <w:color w:val="auto"/>
        </w:rPr>
      </w:pPr>
      <w:r>
        <w:rPr>
          <w:rFonts w:ascii="Times New Roman" w:cs="Times New Roman" w:eastAsia="Times New Roman" w:hAnsi="Times New Roman"/>
          <w:sz w:val="19"/>
          <w:szCs w:val="19"/>
          <w:color w:val="auto"/>
        </w:rPr>
        <w:t>hereby (or the exercise of rights or remedies with respect thereto) or the process leading thereto (irrespective of whether any Credit Party has</w:t>
      </w:r>
    </w:p>
    <w:p>
      <w:pPr>
        <w:spacing w:after="0" w:line="215" w:lineRule="auto"/>
        <w:rPr>
          <w:sz w:val="20"/>
          <w:szCs w:val="20"/>
          <w:color w:val="auto"/>
        </w:rPr>
      </w:pPr>
      <w:r>
        <w:rPr>
          <w:rFonts w:ascii="Times New Roman" w:cs="Times New Roman" w:eastAsia="Times New Roman" w:hAnsi="Times New Roman"/>
          <w:sz w:val="19"/>
          <w:szCs w:val="19"/>
          <w:color w:val="auto"/>
        </w:rPr>
        <w:t>advised, is currently advising or will advise any Loan Party, its respective stockholders or its respective Affiliates on other matters) or any other obligation to any Loan Party except the obligations expressly set forth in the Loan Documents and (y) each Credit Party, in its capacity</w:t>
      </w:r>
    </w:p>
    <w:p>
      <w:pPr>
        <w:spacing w:after="0" w:line="211" w:lineRule="auto"/>
        <w:rPr>
          <w:sz w:val="20"/>
          <w:szCs w:val="20"/>
          <w:color w:val="auto"/>
        </w:rPr>
      </w:pPr>
      <w:r>
        <w:rPr>
          <w:rFonts w:ascii="Times New Roman" w:cs="Times New Roman" w:eastAsia="Times New Roman" w:hAnsi="Times New Roman"/>
          <w:sz w:val="20"/>
          <w:szCs w:val="20"/>
          <w:color w:val="auto"/>
        </w:rPr>
        <w:t>as such, is acting solely as principal and not as the agent or fiduciary of such Loan Party, its respective management, stockholders, creditors</w:t>
      </w:r>
    </w:p>
    <w:p>
      <w:pPr>
        <w:spacing w:after="0" w:line="215" w:lineRule="auto"/>
        <w:rPr>
          <w:sz w:val="20"/>
          <w:szCs w:val="20"/>
          <w:color w:val="auto"/>
        </w:rPr>
      </w:pPr>
      <w:r>
        <w:rPr>
          <w:rFonts w:ascii="Times New Roman" w:cs="Times New Roman" w:eastAsia="Times New Roman" w:hAnsi="Times New Roman"/>
          <w:sz w:val="19"/>
          <w:szCs w:val="19"/>
          <w:color w:val="auto"/>
        </w:rPr>
        <w:t>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w:t>
      </w:r>
    </w:p>
    <w:p>
      <w:pPr>
        <w:spacing w:after="0"/>
        <w:rPr>
          <w:sz w:val="20"/>
          <w:szCs w:val="20"/>
          <w:color w:val="auto"/>
        </w:rPr>
      </w:pPr>
      <w:r>
        <w:rPr>
          <w:rFonts w:ascii="Times New Roman" w:cs="Times New Roman" w:eastAsia="Times New Roman" w:hAnsi="Times New Roman"/>
          <w:sz w:val="20"/>
          <w:szCs w:val="20"/>
          <w:color w:val="auto"/>
        </w:rPr>
        <w:t>process leading thereto.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15. Several Obligations. The respective obligations of the Lenders hereunder are several and not joint and the failure of any Lender to make any Loan, issue any Letter of Credit or perform any of its obligations hereunder shall not relieve any other Lender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its obligations hereunder.</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16. USA PATRIOT Act. Each Lender that is subject to the requirements of the USA PATRIOT Act and the requirements of the Beneficial Ownership Regulation hereby notifies the Loan Parties that pursuant to the requirements of the USA PATRIOT Act and the</w:t>
      </w:r>
    </w:p>
    <w:p>
      <w:pPr>
        <w:spacing w:after="0" w:line="211" w:lineRule="auto"/>
        <w:rPr>
          <w:sz w:val="20"/>
          <w:szCs w:val="20"/>
          <w:color w:val="auto"/>
        </w:rPr>
      </w:pPr>
      <w:r>
        <w:rPr>
          <w:rFonts w:ascii="Times New Roman" w:cs="Times New Roman" w:eastAsia="Times New Roman" w:hAnsi="Times New Roman"/>
          <w:sz w:val="20"/>
          <w:szCs w:val="20"/>
          <w:color w:val="auto"/>
        </w:rPr>
        <w:t>Beneficial Ownership Regulation, it is required to obtain, verify and record information that identifies each Loan Party, which information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includes the name and address of such Loan Party and other information that will allow such Lender to identify such Loan Party in accordance with the USA PATRIOT Act and the Borrower in accordance with the Beneficial Ownership Regulation.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9"/>
          <w:szCs w:val="19"/>
          <w:color w:val="auto"/>
        </w:rPr>
        <w:t>Disclosure of Agent Conflicts. Each Loan Party, each Issuing Bank and each Lender hereby acknowledge and agree</w:t>
      </w:r>
    </w:p>
    <w:p>
      <w:pPr>
        <w:ind w:right="20"/>
        <w:spacing w:after="0" w:line="221" w:lineRule="auto"/>
        <w:rPr>
          <w:sz w:val="20"/>
          <w:szCs w:val="20"/>
          <w:color w:val="auto"/>
        </w:rPr>
      </w:pPr>
      <w:r>
        <w:rPr>
          <w:rFonts w:ascii="Times New Roman" w:cs="Times New Roman" w:eastAsia="Times New Roman" w:hAnsi="Times New Roman"/>
          <w:sz w:val="20"/>
          <w:szCs w:val="20"/>
          <w:color w:val="auto"/>
        </w:rPr>
        <w:t>that the Administrative Agent and/or its Affiliates from time to time may hold investments in, make other loans to or have other relationships with any of the Loan Parties and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11" w:name="page312"/>
    <w:bookmarkEnd w:id="311"/>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tab/>
        <w:t>Appointment for Perfection. Each Lender hereby appoints each other Lender and each Issuing Bank as its agent for</w:t>
      </w:r>
    </w:p>
    <w:p>
      <w:pPr>
        <w:spacing w:after="0" w:line="215" w:lineRule="auto"/>
        <w:rPr>
          <w:sz w:val="20"/>
          <w:szCs w:val="20"/>
          <w:color w:val="auto"/>
        </w:rPr>
      </w:pPr>
      <w:r>
        <w:rPr>
          <w:rFonts w:ascii="Times New Roman" w:cs="Times New Roman" w:eastAsia="Times New Roman" w:hAnsi="Times New Roman"/>
          <w:sz w:val="19"/>
          <w:szCs w:val="19"/>
          <w:color w:val="auto"/>
        </w:rPr>
        <w:t>the purpose of perfecting Liens for the benefit of the Administrative Agent, the Issuing Banks and the Lenders, in assets which, in accordance with Article 9 of the UCC or any other applicable Requirement of Law can be perfected only by possession. If any Lender or Issuing Bank</w:t>
      </w:r>
    </w:p>
    <w:p>
      <w:pPr>
        <w:spacing w:after="0" w:line="211" w:lineRule="auto"/>
        <w:rPr>
          <w:sz w:val="20"/>
          <w:szCs w:val="20"/>
          <w:color w:val="auto"/>
        </w:rPr>
      </w:pPr>
      <w:r>
        <w:rPr>
          <w:rFonts w:ascii="Times New Roman" w:cs="Times New Roman" w:eastAsia="Times New Roman" w:hAnsi="Times New Roman"/>
          <w:sz w:val="20"/>
          <w:szCs w:val="20"/>
          <w:color w:val="auto"/>
        </w:rPr>
        <w:t>(other than the Administrative Agent) obtains possession of any Collateral, such Lender or Issuing Bank shall notify the Administrative</w:t>
      </w:r>
    </w:p>
    <w:p>
      <w:pPr>
        <w:spacing w:after="0" w:line="221" w:lineRule="auto"/>
        <w:rPr>
          <w:sz w:val="20"/>
          <w:szCs w:val="20"/>
          <w:color w:val="auto"/>
        </w:rPr>
      </w:pPr>
      <w:r>
        <w:rPr>
          <w:rFonts w:ascii="Times New Roman" w:cs="Times New Roman" w:eastAsia="Times New Roman" w:hAnsi="Times New Roman"/>
          <w:sz w:val="20"/>
          <w:szCs w:val="20"/>
          <w:color w:val="auto"/>
        </w:rPr>
        <w:t>Agent thereof and, promptly upon the Administrative Agent’s request therefor shall deliver such Collateral to the Administrative Agent or otherwise deal with such Collateral in accordance with the Administrative Agent’s instructions.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19"/>
          <w:szCs w:val="19"/>
          <w:color w:val="auto"/>
        </w:rPr>
        <w:t>Interest Rate Limitation. Notwithstanding anything herein to the contrary, if at any time the interest rate applicable to</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Loan or Letter of Credit, together with all fees, charges and other amounts which are treated as interest on such Loan or Letter of Credit under applicable Requirements of Law (collectively, the “Charged Amounts”), shall exceed the maximum lawful rate (the “Maximum Rate”)</w:t>
      </w:r>
    </w:p>
    <w:p>
      <w:pPr>
        <w:spacing w:after="0" w:line="211" w:lineRule="auto"/>
        <w:rPr>
          <w:sz w:val="20"/>
          <w:szCs w:val="20"/>
          <w:color w:val="auto"/>
        </w:rPr>
      </w:pPr>
      <w:r>
        <w:rPr>
          <w:rFonts w:ascii="Times New Roman" w:cs="Times New Roman" w:eastAsia="Times New Roman" w:hAnsi="Times New Roman"/>
          <w:sz w:val="20"/>
          <w:szCs w:val="20"/>
          <w:color w:val="auto"/>
        </w:rPr>
        <w:t>which may be contracted for, charged, taken, received or reserved by the Lender or Issuing Bank holding such Loan or Letter of Credit in</w:t>
      </w:r>
    </w:p>
    <w:p>
      <w:pPr>
        <w:spacing w:after="0" w:line="204" w:lineRule="auto"/>
        <w:rPr>
          <w:sz w:val="20"/>
          <w:szCs w:val="20"/>
          <w:color w:val="auto"/>
        </w:rPr>
      </w:pPr>
      <w:r>
        <w:rPr>
          <w:rFonts w:ascii="Times New Roman" w:cs="Times New Roman" w:eastAsia="Times New Roman" w:hAnsi="Times New Roman"/>
          <w:sz w:val="20"/>
          <w:szCs w:val="20"/>
          <w:color w:val="auto"/>
        </w:rPr>
        <w:t>accordance with applicable Requirements of Law, the rate of interest payable in respect of such Loan or Letter of Credit hereunder, together with all Charged Amounts payable in respect thereof, shall be limited to the Maximum Rate and, to the extent lawful, the interest and</w:t>
      </w:r>
    </w:p>
    <w:p>
      <w:pPr>
        <w:spacing w:after="0" w:line="211" w:lineRule="auto"/>
        <w:rPr>
          <w:sz w:val="20"/>
          <w:szCs w:val="20"/>
          <w:color w:val="auto"/>
        </w:rPr>
      </w:pPr>
      <w:r>
        <w:rPr>
          <w:rFonts w:ascii="Times New Roman" w:cs="Times New Roman" w:eastAsia="Times New Roman" w:hAnsi="Times New Roman"/>
          <w:sz w:val="20"/>
          <w:szCs w:val="20"/>
          <w:color w:val="auto"/>
        </w:rPr>
        <w:t>Charged Amounts that would have been payable in respect of such Loan or Letter of Credit but were not payable as a result of the operation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this Section shall be cumulated and the interest and Charged Amounts payable to such Lender or Issuing Bank in respect of other Loans or Letters of Credit or periods shall be increased (but not above the Maximum Rate therefor) until such cumulated amount, together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thereon at the Federal Funds Effective Rate to the date of repayment, have been received by such Lender or Issuing Bank.</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20. Intercreditor Agreements. REFERENCE IS MADE TO EACH INTERCREDITOR AGREEMENT. EACH SECURED PARTY HEREUNDER AGREES THAT IT WILL BE BOUND BY AND WILL TAKE NO ACTION CONTRARY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PROVISIONS OF EACH INTERCREDITOR AGREEMENT AND AUTHORIZES AND INSTRUCTS THE ADMINISTRATIVE AGENT TO ENTER INTO EACH APPLICABLE INTERCREDITOR AGREEMENT AS “FIRST LIEN AGENT” (OR EQUIVALENT) AND ON</w:t>
      </w:r>
    </w:p>
    <w:p>
      <w:pPr>
        <w:spacing w:after="0" w:line="211" w:lineRule="auto"/>
        <w:rPr>
          <w:sz w:val="20"/>
          <w:szCs w:val="20"/>
          <w:color w:val="auto"/>
        </w:rPr>
      </w:pPr>
      <w:r>
        <w:rPr>
          <w:rFonts w:ascii="Times New Roman" w:cs="Times New Roman" w:eastAsia="Times New Roman" w:hAnsi="Times New Roman"/>
          <w:sz w:val="20"/>
          <w:szCs w:val="20"/>
          <w:color w:val="auto"/>
        </w:rPr>
        <w:t>BEHALF OF SUCH SECURED PARTY. THE PROVISIONS OF THIS SECTION 9.20 ARE NOT INTENDED TO SUMMARIZE ALL</w:t>
      </w:r>
    </w:p>
    <w:p>
      <w:pPr>
        <w:spacing w:after="0" w:line="215" w:lineRule="auto"/>
        <w:rPr>
          <w:sz w:val="20"/>
          <w:szCs w:val="20"/>
          <w:color w:val="auto"/>
        </w:rPr>
      </w:pPr>
      <w:r>
        <w:rPr>
          <w:rFonts w:ascii="Times New Roman" w:cs="Times New Roman" w:eastAsia="Times New Roman" w:hAnsi="Times New Roman"/>
          <w:sz w:val="19"/>
          <w:szCs w:val="19"/>
          <w:color w:val="auto"/>
        </w:rPr>
        <w:t>RELEVANT PROVISIONS OF ANY INTERCREDITOR AGREEMENT. REFERENCE MUST BE MADE TO EACH INTERCREDITOR AGREEMENT ITSELF TO UNDERSTAND ALL TERMS AND CONDITIONS THEREOF. EACH SECURED PARTY IS</w:t>
      </w:r>
    </w:p>
    <w:p>
      <w:pPr>
        <w:spacing w:after="0" w:line="222" w:lineRule="auto"/>
        <w:rPr>
          <w:sz w:val="20"/>
          <w:szCs w:val="20"/>
          <w:color w:val="auto"/>
        </w:rPr>
      </w:pPr>
      <w:r>
        <w:rPr>
          <w:rFonts w:ascii="Times New Roman" w:cs="Times New Roman" w:eastAsia="Times New Roman" w:hAnsi="Times New Roman"/>
          <w:sz w:val="19"/>
          <w:szCs w:val="19"/>
          <w:color w:val="auto"/>
        </w:rPr>
        <w:t>RESPONSIBLE FOR MAKING ITS OWN ANALYSIS AND REVIEW OF EACH INTERCREDITOR AGREEMENT AND THE TERMS</w:t>
      </w:r>
    </w:p>
    <w:p>
      <w:pPr>
        <w:spacing w:after="0" w:line="204" w:lineRule="auto"/>
        <w:rPr>
          <w:sz w:val="20"/>
          <w:szCs w:val="20"/>
          <w:color w:val="auto"/>
        </w:rPr>
      </w:pPr>
      <w:r>
        <w:rPr>
          <w:rFonts w:ascii="Times New Roman" w:cs="Times New Roman" w:eastAsia="Times New Roman" w:hAnsi="Times New Roman"/>
          <w:sz w:val="20"/>
          <w:szCs w:val="20"/>
          <w:color w:val="auto"/>
        </w:rPr>
        <w:t>AND PROVISIONS THEREOF, AND NEITHER THE ADMINISTRATIVE AGENT NOR ANY OF ITS AFFILIATES MAKES ANY REPRESENTATION TO ANY SECURED PARTY AS TO THE SUFFICIENCY OR ADVISABILITY OF THE PROVISIONS</w:t>
      </w:r>
    </w:p>
    <w:p>
      <w:pPr>
        <w:spacing w:after="0" w:line="223" w:lineRule="auto"/>
        <w:rPr>
          <w:sz w:val="20"/>
          <w:szCs w:val="20"/>
          <w:color w:val="auto"/>
        </w:rPr>
      </w:pPr>
      <w:r>
        <w:rPr>
          <w:rFonts w:ascii="Times New Roman" w:cs="Times New Roman" w:eastAsia="Times New Roman" w:hAnsi="Times New Roman"/>
          <w:sz w:val="19"/>
          <w:szCs w:val="19"/>
          <w:color w:val="auto"/>
        </w:rPr>
        <w:t>CONTAINED IN ANY INTERCREDITOR AGREEMENT. THE FOREGOING PROVISIONS ARE INTENDED AS AN INDUCEMENT</w:t>
      </w:r>
    </w:p>
    <w:p>
      <w:pPr>
        <w:spacing w:after="0" w:line="204" w:lineRule="auto"/>
        <w:rPr>
          <w:sz w:val="20"/>
          <w:szCs w:val="20"/>
          <w:color w:val="auto"/>
        </w:rPr>
      </w:pPr>
      <w:r>
        <w:rPr>
          <w:rFonts w:ascii="Times New Roman" w:cs="Times New Roman" w:eastAsia="Times New Roman" w:hAnsi="Times New Roman"/>
          <w:sz w:val="20"/>
          <w:szCs w:val="20"/>
          <w:color w:val="auto"/>
        </w:rPr>
        <w:t>TO THE LENDERS OR HOLDERS OF ANY OTHER INDEBTEDNESS SUBJECT TO ANY APPLICABLE INTERCREDITOR AGREEMENT TO EXTEND CREDIT THEREUNDER AND SUCH LENDERS AND/OR HOLDERS ARE INTENDED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BENEFICIARIES OF SUCH PROVISIONS AND THE PROVISIONS OF EACH APPLICABLE INTERCREDITOR AGREEMENT.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21. Conflicts. Notwithstanding anything to the contrary contained herein or in any other Loan Document, in the event of any conflict or inconsistency between this Agreement and any other Loan Document, the terms of this Agreement shall govern and control;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provided that, in the case of any conflict or inconsistency between any Intercreditor Agreement and any Loan Document, the terms of such Intercreditor Agreement shall govern and control.</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22. Release of Guarantors. Notwithstanding anything in Section 9.02(b) to the contrary, (a) any Subsidiary Guarantor shall automatically be released from its obligations hereunder (and its Loan Guaranty and any Lien granted by such Subsidiary Guarantor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pursuant to any Collateral Document shall be automatically released) (i) upon the consummation of any transaction or series of related transactions not prohibited hereunder if as a result thereof such Subsidiary Guarantor ceases to be a Restricted Subsidiary (or is or becomes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 Excluded Subsidiary as a result of a single transaction or series of related transactions not prohibited hereunder), (ii) upon the occurrence of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0"/>
          <w:szCs w:val="20"/>
          <w:color w:val="auto"/>
        </w:rPr>
        <w:t>and/or (iii) in the case of any Discretionary Guarantor, at the election of the Borrower, upon notice from the Borrower to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at any time and (b) any Subsidiary Guarantor that meets the definition of an “Excluded Subsidiary” shall be released by the Administrative Agent promptly following the request therefor by the Borrower, subject, if applicable, to the Specified Guarantor Release</w:t>
      </w:r>
    </w:p>
    <w:p>
      <w:pPr>
        <w:spacing w:after="0" w:line="211" w:lineRule="auto"/>
        <w:rPr>
          <w:sz w:val="20"/>
          <w:szCs w:val="20"/>
          <w:color w:val="auto"/>
        </w:rPr>
      </w:pPr>
      <w:r>
        <w:rPr>
          <w:rFonts w:ascii="Times New Roman" w:cs="Times New Roman" w:eastAsia="Times New Roman" w:hAnsi="Times New Roman"/>
          <w:sz w:val="20"/>
          <w:szCs w:val="20"/>
          <w:color w:val="auto"/>
        </w:rPr>
        <w:t>Provision. In connection with any such release, the Administrative Agent shall promptly execute and deliver to the relevant Loan Party, 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Loan Party’s expense, all documents that such Loan Party shall reasonably request to evidence termination or release; provided that, upon the request of the Administrative Agent, the Borrower shall deliver a certificate of a Responsible Officer certifying that the relevant</w:t>
      </w:r>
    </w:p>
    <w:p>
      <w:pPr>
        <w:spacing w:after="0" w:line="223" w:lineRule="auto"/>
        <w:rPr>
          <w:sz w:val="20"/>
          <w:szCs w:val="20"/>
          <w:color w:val="auto"/>
        </w:rPr>
      </w:pPr>
      <w:r>
        <w:rPr>
          <w:rFonts w:ascii="Times New Roman" w:cs="Times New Roman" w:eastAsia="Times New Roman" w:hAnsi="Times New Roman"/>
          <w:sz w:val="19"/>
          <w:szCs w:val="19"/>
          <w:color w:val="auto"/>
        </w:rPr>
        <w:t>transaction has been consummated in compliance with the terms of this Agreement. Any execution and delivery of any document pursuant to</w:t>
      </w:r>
    </w:p>
    <w:p>
      <w:pPr>
        <w:spacing w:after="0" w:line="221" w:lineRule="auto"/>
        <w:rPr>
          <w:sz w:val="20"/>
          <w:szCs w:val="20"/>
          <w:color w:val="auto"/>
        </w:rPr>
      </w:pPr>
      <w:r>
        <w:rPr>
          <w:rFonts w:ascii="Times New Roman" w:cs="Times New Roman" w:eastAsia="Times New Roman" w:hAnsi="Times New Roman"/>
          <w:sz w:val="20"/>
          <w:szCs w:val="20"/>
          <w:color w:val="auto"/>
        </w:rPr>
        <w:t>the preceding sentence of this Section 9.22 shall be without recourse to or warranty by the Administrative Agent (other than as to the Administrative Agent’s authority to execute and deliver such documents).</w:t>
      </w:r>
    </w:p>
    <w:p>
      <w:pPr>
        <w:spacing w:after="0" w:line="15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23.</w:t>
        <w:tab/>
        <w:t>Acknowledgement and Consent to Bail-In of Affected Financial Institutions. Notwithstanding anything to the</w:t>
      </w:r>
    </w:p>
    <w:p>
      <w:pPr>
        <w:spacing w:after="0" w:line="215" w:lineRule="auto"/>
        <w:rPr>
          <w:sz w:val="20"/>
          <w:szCs w:val="20"/>
          <w:color w:val="auto"/>
        </w:rPr>
      </w:pPr>
      <w:r>
        <w:rPr>
          <w:rFonts w:ascii="Times New Roman" w:cs="Times New Roman" w:eastAsia="Times New Roman" w:hAnsi="Times New Roman"/>
          <w:sz w:val="19"/>
          <w:szCs w:val="19"/>
          <w:color w:val="auto"/>
        </w:rPr>
        <w:t>contrary in any Loan Document or in any other agreement, arrangement or understanding of the parties hereto, each such party acknowledges that any liability of any Affected Financial Institution arising under any Loan Document, to the extent such liability is unsecured, may be</w:t>
      </w:r>
    </w:p>
    <w:p>
      <w:pPr>
        <w:spacing w:after="0" w:line="228" w:lineRule="auto"/>
        <w:rPr>
          <w:sz w:val="20"/>
          <w:szCs w:val="20"/>
          <w:color w:val="auto"/>
        </w:rPr>
      </w:pPr>
      <w:r>
        <w:rPr>
          <w:rFonts w:ascii="Times New Roman" w:cs="Times New Roman" w:eastAsia="Times New Roman" w:hAnsi="Times New Roman"/>
          <w:sz w:val="20"/>
          <w:szCs w:val="20"/>
          <w:color w:val="auto"/>
        </w:rPr>
        <w:t>subject to the Write-Down and Conversion Powers of the applicable Resolution Authority and agrees and consents to, and acknowledges and agrees to be bound by:</w:t>
      </w:r>
    </w:p>
    <w:p>
      <w:pPr>
        <w:spacing w:after="0" w:line="149" w:lineRule="exact"/>
        <w:rPr>
          <w:sz w:val="20"/>
          <w:szCs w:val="20"/>
          <w:color w:val="auto"/>
        </w:rPr>
      </w:pPr>
    </w:p>
    <w:p>
      <w:pPr>
        <w:ind w:firstLine="656"/>
        <w:spacing w:after="0"/>
        <w:tabs>
          <w:tab w:leader="none" w:pos="1286"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24. Certain ERISA Matters. Each Lender (x) represents and warrants, as of the date such Person became a Lender party hereto, to, and (y) covenants, from the date such Person became a Lender party hereto to the date such Person ceases being a Lender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that at least one of the following is and will be true:</w:t>
      </w:r>
    </w:p>
    <w:p>
      <w:pPr>
        <w:spacing w:after="0" w:line="167" w:lineRule="exact"/>
        <w:rPr>
          <w:sz w:val="20"/>
          <w:szCs w:val="20"/>
          <w:color w:val="auto"/>
        </w:rPr>
      </w:pPr>
    </w:p>
    <w:p>
      <w:pPr>
        <w:jc w:val="both"/>
        <w:ind w:firstLine="656"/>
        <w:spacing w:after="0" w:line="226" w:lineRule="auto"/>
        <w:tabs>
          <w:tab w:leader="none" w:pos="1286"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2"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such Lender is an investment fund managed by a “Qualified Professional Asset Manager” (within the meaning of Part VI of PTE 84-14), (ii) such Qualified Professional Asset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color w:val="auto"/>
        </w:rPr>
        <w:t>made the investment decision on behalf of such Lender to enter into, participate in, administer and perform the Loans, the Letters of Credit,</w:t>
      </w:r>
    </w:p>
    <w:p>
      <w:pPr>
        <w:spacing w:after="0" w:line="215" w:lineRule="auto"/>
        <w:rPr>
          <w:sz w:val="20"/>
          <w:szCs w:val="20"/>
          <w:color w:val="auto"/>
        </w:rPr>
      </w:pPr>
      <w:r>
        <w:rPr>
          <w:rFonts w:ascii="Times New Roman" w:cs="Times New Roman" w:eastAsia="Times New Roman" w:hAnsi="Times New Roman"/>
          <w:sz w:val="19"/>
          <w:szCs w:val="19"/>
          <w:color w:val="auto"/>
        </w:rPr>
        <w:t>the Commitments and this Agreement, (iii) the entrance into, participation in, administration of and performance of the Loans, the Letters of Credit, the Commitments and this Agreement satisfies the requirements of sub-sections (b) through (g) of Part I of PTE 84-14 and (iv) to the</w:t>
      </w:r>
    </w:p>
    <w:p>
      <w:pPr>
        <w:spacing w:after="0" w:line="242" w:lineRule="auto"/>
        <w:rPr>
          <w:sz w:val="20"/>
          <w:szCs w:val="20"/>
          <w:color w:val="auto"/>
        </w:rPr>
      </w:pPr>
      <w:r>
        <w:rPr>
          <w:rFonts w:ascii="Times New Roman" w:cs="Times New Roman" w:eastAsia="Times New Roman" w:hAnsi="Times New Roman"/>
          <w:sz w:val="19"/>
          <w:szCs w:val="19"/>
          <w:color w:val="auto"/>
        </w:rPr>
        <w:t>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45" w:lineRule="exact"/>
        <w:rPr>
          <w:sz w:val="20"/>
          <w:szCs w:val="20"/>
          <w:color w:val="auto"/>
        </w:rPr>
      </w:pPr>
    </w:p>
    <w:p>
      <w:pPr>
        <w:ind w:firstLine="656"/>
        <w:spacing w:after="0"/>
        <w:tabs>
          <w:tab w:leader="none" w:pos="1284"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paragraph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paragraph, such</w:t>
      </w:r>
    </w:p>
    <w:p>
      <w:pPr>
        <w:spacing w:after="0" w:line="224" w:lineRule="auto"/>
        <w:rPr>
          <w:sz w:val="20"/>
          <w:szCs w:val="20"/>
          <w:color w:val="auto"/>
        </w:rPr>
      </w:pPr>
      <w:r>
        <w:rPr>
          <w:rFonts w:ascii="Times New Roman" w:cs="Times New Roman" w:eastAsia="Times New Roman" w:hAnsi="Times New Roman"/>
          <w:sz w:val="19"/>
          <w:szCs w:val="19"/>
          <w:color w:val="auto"/>
        </w:rPr>
        <w:t>Lender further (x) represents and warrants, as of the date such Person became a Lender party hereto, to, and (y) covenants, from the date such</w:t>
      </w:r>
    </w:p>
    <w:p>
      <w:pPr>
        <w:spacing w:after="0" w:line="215" w:lineRule="auto"/>
        <w:rPr>
          <w:sz w:val="20"/>
          <w:szCs w:val="20"/>
          <w:color w:val="auto"/>
        </w:rPr>
      </w:pPr>
      <w:r>
        <w:rPr>
          <w:rFonts w:ascii="Times New Roman" w:cs="Times New Roman" w:eastAsia="Times New Roman" w:hAnsi="Times New Roman"/>
          <w:sz w:val="19"/>
          <w:szCs w:val="19"/>
          <w:color w:val="auto"/>
        </w:rPr>
        <w:t>Person became a Lender party hereto to the date such Person ceases being a Lender party hereto, for the benefit of, the Administrative Agent and not, for the avoidance of doubt, to or for the benefit of the Borrower or any other Loan Party, that the Administrative Agent is not a</w:t>
      </w:r>
    </w:p>
    <w:p>
      <w:pPr>
        <w:spacing w:after="0" w:line="211" w:lineRule="auto"/>
        <w:rPr>
          <w:sz w:val="20"/>
          <w:szCs w:val="20"/>
          <w:color w:val="auto"/>
        </w:rPr>
      </w:pPr>
      <w:r>
        <w:rPr>
          <w:rFonts w:ascii="Times New Roman" w:cs="Times New Roman" w:eastAsia="Times New Roman" w:hAnsi="Times New Roman"/>
          <w:sz w:val="20"/>
          <w:szCs w:val="20"/>
          <w:color w:val="auto"/>
        </w:rPr>
        <w:t>fiduciary with respect to the assets of such Lender involved in such Lender’s entrance into, participation in, administration of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11" w:lineRule="auto"/>
        <w:rPr>
          <w:sz w:val="20"/>
          <w:szCs w:val="20"/>
          <w:color w:val="auto"/>
        </w:rPr>
      </w:pPr>
      <w:r>
        <w:rPr>
          <w:rFonts w:ascii="Times New Roman" w:cs="Times New Roman" w:eastAsia="Times New Roman" w:hAnsi="Times New Roman"/>
          <w:sz w:val="20"/>
          <w:szCs w:val="20"/>
          <w:color w:val="auto"/>
        </w:rPr>
        <w:t>To the extent the Administrative Agent (or any sub-agent thereof), any Issuing Bank or any Related Party of any of the foregoing is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reimbursed and indemnified by the Borrower, the Lenders severally agree to reimburse and indemnify the Administrative Agent (or any such sub-agent), such Issuing Bank or such Related Party, as the case may be, in proportion to their respective “pro rata shares” (determined as set</w:t>
      </w:r>
    </w:p>
    <w:p>
      <w:pPr>
        <w:spacing w:after="0" w:line="204" w:lineRule="auto"/>
        <w:rPr>
          <w:sz w:val="20"/>
          <w:szCs w:val="20"/>
          <w:color w:val="auto"/>
        </w:rPr>
      </w:pPr>
      <w:r>
        <w:rPr>
          <w:rFonts w:ascii="Times New Roman" w:cs="Times New Roman" w:eastAsia="Times New Roman" w:hAnsi="Times New Roman"/>
          <w:sz w:val="20"/>
          <w:szCs w:val="20"/>
          <w:color w:val="auto"/>
        </w:rPr>
        <w:t>forth below) for and against any and all liabilities, obligations, losses, damages, penalties, claims, actions, judgments, costs, expenses or disbursements of whatsoever kind or nature which may be imposed on, asserted against or incurred by the Administrative Agent (or such</w:t>
      </w:r>
    </w:p>
    <w:p>
      <w:pPr>
        <w:spacing w:after="0" w:line="211" w:lineRule="auto"/>
        <w:rPr>
          <w:sz w:val="20"/>
          <w:szCs w:val="20"/>
          <w:color w:val="auto"/>
        </w:rPr>
      </w:pPr>
      <w:r>
        <w:rPr>
          <w:rFonts w:ascii="Times New Roman" w:cs="Times New Roman" w:eastAsia="Times New Roman" w:hAnsi="Times New Roman"/>
          <w:sz w:val="20"/>
          <w:szCs w:val="20"/>
          <w:color w:val="auto"/>
        </w:rPr>
        <w:t>sub-agent), such Issuing Bank or such Related Party in performing its duties hereunder or under any other Loan Document or in any way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relating to or arising out of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any portion of such liabilities, obligations, losses, damages, penalties, claims, actions, judgments, suits, costs, expenses or disbursements resulting from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Agent’s, such Issuing Bank’s or such Related Party’s, as applicable, gross negligence or willful misconduct (as determined by</w:t>
      </w:r>
    </w:p>
    <w:p>
      <w:pPr>
        <w:spacing w:after="0" w:line="204" w:lineRule="auto"/>
        <w:rPr>
          <w:sz w:val="20"/>
          <w:szCs w:val="20"/>
          <w:color w:val="auto"/>
        </w:rPr>
      </w:pPr>
      <w:r>
        <w:rPr>
          <w:rFonts w:ascii="Times New Roman" w:cs="Times New Roman" w:eastAsia="Times New Roman" w:hAnsi="Times New Roman"/>
          <w:sz w:val="20"/>
          <w:szCs w:val="20"/>
          <w:color w:val="auto"/>
        </w:rPr>
        <w:t>a court of competent jurisdiction in a final and non-appealable decision). For purposes of this paragraph, a Lender’s “pro rata share” shall be determined based upon its share of the sum of, without duplication, the total Revolving Credit Exposures, unused Commitments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 Loans, in each case, at the time (or most recently outstanding and in effect).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25. Judgment Currency. If, for the purpose of obtaining judgment in any court, it is necessary to convert a sum due hereunder or any other Loan Document in one currency into another currency, the rate of exchange used shall be that at which in accordance</w:t>
      </w:r>
    </w:p>
    <w:p>
      <w:pPr>
        <w:spacing w:after="0" w:line="211" w:lineRule="auto"/>
        <w:rPr>
          <w:sz w:val="20"/>
          <w:szCs w:val="20"/>
          <w:color w:val="auto"/>
        </w:rPr>
      </w:pPr>
      <w:r>
        <w:rPr>
          <w:rFonts w:ascii="Times New Roman" w:cs="Times New Roman" w:eastAsia="Times New Roman" w:hAnsi="Times New Roman"/>
          <w:sz w:val="20"/>
          <w:szCs w:val="20"/>
          <w:color w:val="auto"/>
        </w:rPr>
        <w:t>with normal banking procedures the Administrative Agent could purchase the first currency with such other currency on the Business Day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preceding that on which final judgment is given. The obligation of the Borrower in respect of any such sum due from it to the Administrative Agent or the Lenders hereunder or under the other Loan Documents shall, notwithstanding any judgment in a currency (the “Judgment</w:t>
      </w:r>
    </w:p>
    <w:p>
      <w:pPr>
        <w:spacing w:after="0" w:line="211" w:lineRule="auto"/>
        <w:rPr>
          <w:sz w:val="20"/>
          <w:szCs w:val="20"/>
          <w:color w:val="auto"/>
        </w:rPr>
      </w:pPr>
      <w:r>
        <w:rPr>
          <w:rFonts w:ascii="Times New Roman" w:cs="Times New Roman" w:eastAsia="Times New Roman" w:hAnsi="Times New Roman"/>
          <w:sz w:val="20"/>
          <w:szCs w:val="20"/>
          <w:color w:val="auto"/>
        </w:rPr>
        <w:t>Currency”) other than that in which such sum is denominated in accordance with the applicable provisions of this Agreement</w:t>
      </w:r>
    </w:p>
    <w:p>
      <w:pPr>
        <w:spacing w:after="0" w:line="215" w:lineRule="auto"/>
        <w:rPr>
          <w:sz w:val="20"/>
          <w:szCs w:val="20"/>
          <w:color w:val="auto"/>
        </w:rPr>
      </w:pPr>
      <w:r>
        <w:rPr>
          <w:rFonts w:ascii="Times New Roman" w:cs="Times New Roman" w:eastAsia="Times New Roman" w:hAnsi="Times New Roman"/>
          <w:sz w:val="19"/>
          <w:szCs w:val="19"/>
          <w:color w:val="auto"/>
        </w:rPr>
        <w:t>(the “Agreement Currency”), be discharged only to the extent that on the Business Day following receipt by the Administrative Agent of any sum adjudged to be so due in the Judgment Currency, the Administrative Agent may in accordance with normal banking procedures purchase</w:t>
      </w:r>
    </w:p>
    <w:p>
      <w:pPr>
        <w:spacing w:after="0" w:line="222" w:lineRule="auto"/>
        <w:rPr>
          <w:sz w:val="20"/>
          <w:szCs w:val="20"/>
          <w:color w:val="auto"/>
        </w:rPr>
      </w:pPr>
      <w:r>
        <w:rPr>
          <w:rFonts w:ascii="Times New Roman" w:cs="Times New Roman" w:eastAsia="Times New Roman" w:hAnsi="Times New Roman"/>
          <w:sz w:val="19"/>
          <w:szCs w:val="19"/>
          <w:color w:val="auto"/>
        </w:rPr>
        <w:t>the Agreement Currency with the Judgment Currency. If the amount of the Agreement Currency so purchased is less than the sum originally</w:t>
      </w:r>
    </w:p>
    <w:p>
      <w:pPr>
        <w:spacing w:after="0" w:line="204" w:lineRule="auto"/>
        <w:rPr>
          <w:sz w:val="20"/>
          <w:szCs w:val="20"/>
          <w:color w:val="auto"/>
        </w:rPr>
      </w:pPr>
      <w:r>
        <w:rPr>
          <w:rFonts w:ascii="Times New Roman" w:cs="Times New Roman" w:eastAsia="Times New Roman" w:hAnsi="Times New Roman"/>
          <w:sz w:val="20"/>
          <w:szCs w:val="20"/>
          <w:color w:val="auto"/>
        </w:rPr>
        <w:t>due to the Administrative Agent from the Borrower in the Agreement Currency, the Borrower agrees, as a separate obligation and notwithstanding any such judgment, to indemnify the Administrative Agent or the Person to whom such obligation was owing against such</w:t>
      </w:r>
    </w:p>
    <w:p>
      <w:pPr>
        <w:spacing w:after="0" w:line="211" w:lineRule="auto"/>
        <w:rPr>
          <w:sz w:val="20"/>
          <w:szCs w:val="20"/>
          <w:color w:val="auto"/>
        </w:rPr>
      </w:pPr>
      <w:r>
        <w:rPr>
          <w:rFonts w:ascii="Times New Roman" w:cs="Times New Roman" w:eastAsia="Times New Roman" w:hAnsi="Times New Roman"/>
          <w:sz w:val="20"/>
          <w:szCs w:val="20"/>
          <w:color w:val="auto"/>
        </w:rPr>
        <w:t>loss. If the amount of the Agreement Currency so purchased is greater than the sum originally due to the Administrative Agent in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currency, the Administrative Agent agrees to return the amount of any excess to the Borrower (or to any other Person who may be entitled thereto under applicable Requirements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14" w:name="page315"/>
    <w:bookmarkEnd w:id="314"/>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26.</w:t>
        <w:tab/>
        <w:t>Acknowledgement Regarding Any Supported QFCs. To the extent that the Loan Documents provide support,</w:t>
      </w:r>
    </w:p>
    <w:p>
      <w:pPr>
        <w:spacing w:after="0" w:line="215" w:lineRule="auto"/>
        <w:rPr>
          <w:sz w:val="20"/>
          <w:szCs w:val="20"/>
          <w:color w:val="auto"/>
        </w:rPr>
      </w:pPr>
      <w:r>
        <w:rPr>
          <w:rFonts w:ascii="Times New Roman" w:cs="Times New Roman" w:eastAsia="Times New Roman" w:hAnsi="Times New Roman"/>
          <w:sz w:val="19"/>
          <w:szCs w:val="19"/>
          <w:color w:val="auto"/>
        </w:rPr>
        <w:t>through a guarantee or otherwise, for Derivative Transactions or any other agreement or instrument that is a QFC (such support, “QFC Credit Support” and each such QFC, a “Supported QFC”), the parties acknowledge and agree as follows with respect to the resolution power of the</w:t>
      </w:r>
    </w:p>
    <w:p>
      <w:pPr>
        <w:spacing w:after="0" w:line="211" w:lineRule="auto"/>
        <w:rPr>
          <w:sz w:val="20"/>
          <w:szCs w:val="20"/>
          <w:color w:val="auto"/>
        </w:rPr>
      </w:pPr>
      <w:r>
        <w:rPr>
          <w:rFonts w:ascii="Times New Roman" w:cs="Times New Roman" w:eastAsia="Times New Roman" w:hAnsi="Times New Roman"/>
          <w:sz w:val="20"/>
          <w:szCs w:val="20"/>
          <w:color w:val="auto"/>
        </w:rPr>
        <w:t>Federal Deposit Insurance Corporation under the Federal Deposit Insurance Act and Title II of the Dodd-Frank Wall Street Reform and</w:t>
      </w:r>
    </w:p>
    <w:p>
      <w:pPr>
        <w:ind w:right="20"/>
        <w:spacing w:after="0" w:line="215" w:lineRule="auto"/>
        <w:rPr>
          <w:sz w:val="20"/>
          <w:szCs w:val="20"/>
          <w:color w:val="auto"/>
        </w:rPr>
      </w:pPr>
      <w:r>
        <w:rPr>
          <w:rFonts w:ascii="Times New Roman" w:cs="Times New Roman" w:eastAsia="Times New Roman" w:hAnsi="Times New Roman"/>
          <w:sz w:val="19"/>
          <w:szCs w:val="19"/>
          <w:color w:val="auto"/>
        </w:rPr>
        <w:t>Consumer Protection Act (together with the regulations promulgated thereunder, the “US Special Resolution Regimes”) in respect of such Supported QFC and QFC Credit Support (with the provisions below applicable notwithstanding that the Loan Documents and any Supported</w:t>
      </w:r>
    </w:p>
    <w:p>
      <w:pPr>
        <w:spacing w:after="0"/>
        <w:rPr>
          <w:sz w:val="20"/>
          <w:szCs w:val="20"/>
          <w:color w:val="auto"/>
        </w:rPr>
      </w:pPr>
      <w:r>
        <w:rPr>
          <w:rFonts w:ascii="Times New Roman" w:cs="Times New Roman" w:eastAsia="Times New Roman" w:hAnsi="Times New Roman"/>
          <w:sz w:val="20"/>
          <w:szCs w:val="20"/>
          <w:color w:val="auto"/>
        </w:rPr>
        <w:t>QFC may in fact be stated to be governed by the laws of the State of New York and/or of the US or any other state of the US):</w:t>
      </w:r>
    </w:p>
    <w:p>
      <w:pPr>
        <w:spacing w:after="0" w:line="167" w:lineRule="exact"/>
        <w:rPr>
          <w:sz w:val="20"/>
          <w:szCs w:val="20"/>
          <w:color w:val="auto"/>
        </w:rPr>
      </w:pPr>
    </w:p>
    <w:p>
      <w:pPr>
        <w:jc w:val="both"/>
        <w:ind w:firstLine="656"/>
        <w:spacing w:after="0" w:line="211" w:lineRule="auto"/>
        <w:tabs>
          <w:tab w:leader="none" w:pos="1065"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 the following terms have the following meanings: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means an “affiliate” (as defined under, and interpreted in accordance with, 12 U.S.C. 1841(k)).</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175" w:lineRule="exact"/>
        <w:rPr>
          <w:sz w:val="20"/>
          <w:szCs w:val="20"/>
          <w:color w:val="auto"/>
        </w:rPr>
      </w:pPr>
    </w:p>
    <w:p>
      <w:pPr>
        <w:ind w:left="2600" w:hanging="648"/>
        <w:spacing w:after="0"/>
        <w:tabs>
          <w:tab w:leader="none" w:pos="26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75" w:lineRule="exact"/>
        <w:rPr>
          <w:sz w:val="20"/>
          <w:szCs w:val="20"/>
          <w:color w:val="auto"/>
        </w:rPr>
      </w:pPr>
    </w:p>
    <w:p>
      <w:pPr>
        <w:ind w:left="6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61" w:lineRule="exact"/>
        <w:rPr>
          <w:sz w:val="20"/>
          <w:szCs w:val="20"/>
          <w:color w:val="auto"/>
        </w:rPr>
      </w:pPr>
    </w:p>
    <w:p>
      <w:pPr>
        <w:ind w:left="660"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Signature Pages Follow</w:t>
      </w:r>
      <w:r>
        <w:rPr>
          <w:rFonts w:ascii="Times New Roman" w:cs="Times New Roman" w:eastAsia="Times New Roman" w:hAnsi="Times New Roman"/>
          <w:sz w:val="20"/>
          <w:szCs w:val="20"/>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199</w:t>
      </w:r>
    </w:p>
    <w:p>
      <w:pPr>
        <w:spacing w:after="0"/>
        <w:rPr>
          <w:sz w:val="20"/>
          <w:szCs w:val="20"/>
          <w:color w:val="auto"/>
        </w:rPr>
      </w:pPr>
      <w:r>
        <w:rPr>
          <w:rFonts w:ascii="Arial" w:cs="Arial" w:eastAsia="Arial" w:hAnsi="Arial"/>
          <w:sz w:val="13"/>
          <w:szCs w:val="13"/>
          <w:color w:val="FF0000"/>
          <w:strike w:val="1"/>
        </w:rPr>
        <w:t xml:space="preserve">WEIL:\98124242\16\45453.0004 </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4" w:right="339" w:bottom="1440" w:gutter="0" w:footer="0" w:header="0"/>
        </w:sectPr>
      </w:pPr>
    </w:p>
    <w:bookmarkStart w:id="315" w:name="page316"/>
    <w:bookmarkEnd w:id="315"/>
    <w:p>
      <w:pPr>
        <w:ind w:firstLine="648"/>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as of the day and year first above written.</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FWR HOLDING CORPORATION,</w:t>
      </w:r>
    </w:p>
    <w:p>
      <w:pPr>
        <w:ind w:left="39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36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Henry Melville Hope III</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Henry Melville Hope III</w:t>
      </w:r>
    </w:p>
    <w:p>
      <w:pPr>
        <w:ind w:left="4220"/>
        <w:spacing w:after="0" w:line="211" w:lineRule="auto"/>
        <w:rPr>
          <w:sz w:val="20"/>
          <w:szCs w:val="20"/>
          <w:color w:val="auto"/>
        </w:rPr>
      </w:pPr>
      <w:r>
        <w:rPr>
          <w:rFonts w:ascii="Times New Roman" w:cs="Times New Roman" w:eastAsia="Times New Roman" w:hAnsi="Times New Roman"/>
          <w:sz w:val="20"/>
          <w:szCs w:val="20"/>
          <w:color w:val="auto"/>
        </w:rPr>
        <w:t>Title: Chief Financial Officer,</w:t>
      </w:r>
    </w:p>
    <w:p>
      <w:pPr>
        <w:ind w:left="4100"/>
        <w:spacing w:after="0" w:line="197" w:lineRule="auto"/>
        <w:rPr>
          <w:sz w:val="20"/>
          <w:szCs w:val="20"/>
          <w:color w:val="auto"/>
        </w:rPr>
      </w:pPr>
      <w:r>
        <w:rPr>
          <w:rFonts w:ascii="Times New Roman" w:cs="Times New Roman" w:eastAsia="Times New Roman" w:hAnsi="Times New Roman"/>
          <w:sz w:val="20"/>
          <w:szCs w:val="20"/>
          <w:color w:val="auto"/>
        </w:rPr>
        <w:t>Executive Vice President and</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Treasurer</w:t>
      </w:r>
    </w:p>
    <w:p>
      <w:pPr>
        <w:spacing w:after="0" w:line="1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AI FRESH PARENT, INC.,</w:t>
      </w:r>
    </w:p>
    <w:p>
      <w:pPr>
        <w:ind w:left="3900"/>
        <w:spacing w:after="0"/>
        <w:rPr>
          <w:sz w:val="20"/>
          <w:szCs w:val="20"/>
          <w:color w:val="auto"/>
        </w:rPr>
      </w:pPr>
      <w:r>
        <w:rPr>
          <w:rFonts w:ascii="Times New Roman" w:cs="Times New Roman" w:eastAsia="Times New Roman" w:hAnsi="Times New Roman"/>
          <w:sz w:val="20"/>
          <w:szCs w:val="20"/>
          <w:color w:val="auto"/>
        </w:rPr>
        <w:t>as Holdings</w:t>
      </w:r>
    </w:p>
    <w:p>
      <w:pPr>
        <w:spacing w:after="0" w:line="3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Christopher Tomasso</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Christopher Tomasso</w:t>
      </w:r>
    </w:p>
    <w:p>
      <w:pPr>
        <w:ind w:left="422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240"/>
          </w:cols>
          <w:pgMar w:left="320" w:top="1399" w:right="339" w:bottom="1440" w:gutter="0" w:footer="0" w:header="0"/>
        </w:sectPr>
      </w:pPr>
    </w:p>
    <w:bookmarkStart w:id="316" w:name="page317"/>
    <w:bookmarkEnd w:id="316"/>
    <w:p>
      <w:pPr>
        <w:ind w:left="3900"/>
        <w:spacing w:after="0"/>
        <w:rPr>
          <w:sz w:val="20"/>
          <w:szCs w:val="20"/>
          <w:color w:val="auto"/>
        </w:rPr>
      </w:pPr>
      <w:r>
        <w:rPr>
          <w:rFonts w:ascii="Times New Roman" w:cs="Times New Roman" w:eastAsia="Times New Roman" w:hAnsi="Times New Roman"/>
          <w:sz w:val="20"/>
          <w:szCs w:val="20"/>
          <w:color w:val="auto"/>
        </w:rPr>
        <w:t>BANK OF AMERICA, N.A.,</w:t>
      </w:r>
    </w:p>
    <w:p>
      <w:pPr>
        <w:ind w:left="3900"/>
        <w:spacing w:after="0" w:line="221" w:lineRule="auto"/>
        <w:rPr>
          <w:sz w:val="20"/>
          <w:szCs w:val="20"/>
          <w:color w:val="auto"/>
        </w:rPr>
      </w:pPr>
      <w:r>
        <w:rPr>
          <w:rFonts w:ascii="Times New Roman" w:cs="Times New Roman" w:eastAsia="Times New Roman" w:hAnsi="Times New Roman"/>
          <w:sz w:val="20"/>
          <w:szCs w:val="20"/>
          <w:color w:val="auto"/>
        </w:rPr>
        <w:t>as Administrative Agent, an Issuing Bank, an Initial Revolving Lender, the Swingline Lender and an Initial Term Lender</w:t>
      </w: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Anthony Luppino</w:t>
      </w:r>
    </w:p>
    <w:p>
      <w:pPr>
        <w:ind w:left="4220"/>
        <w:spacing w:after="0" w:line="197" w:lineRule="auto"/>
        <w:rPr>
          <w:sz w:val="20"/>
          <w:szCs w:val="20"/>
          <w:color w:val="auto"/>
        </w:rPr>
      </w:pPr>
      <w:r>
        <w:rPr>
          <w:rFonts w:ascii="Times New Roman" w:cs="Times New Roman" w:eastAsia="Times New Roman" w:hAnsi="Times New Roman"/>
          <w:sz w:val="20"/>
          <w:szCs w:val="20"/>
          <w:color w:val="auto"/>
        </w:rPr>
        <w:t>Name: Anthony Luppino</w:t>
      </w:r>
    </w:p>
    <w:p>
      <w:pPr>
        <w:jc w:val="center"/>
        <w:ind w:right="6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680"/>
          </w:cols>
          <w:pgMar w:left="320" w:top="1394" w:right="899" w:bottom="1440" w:gutter="0" w:footer="0" w:header="0"/>
        </w:sectPr>
      </w:pPr>
    </w:p>
    <w:bookmarkStart w:id="317" w:name="page318"/>
    <w:bookmarkEnd w:id="317"/>
    <w:p>
      <w:pPr>
        <w:ind w:left="3900"/>
        <w:spacing w:after="0"/>
        <w:rPr>
          <w:sz w:val="20"/>
          <w:szCs w:val="20"/>
          <w:color w:val="auto"/>
        </w:rPr>
      </w:pPr>
      <w:r>
        <w:rPr>
          <w:rFonts w:ascii="Times New Roman" w:cs="Times New Roman" w:eastAsia="Times New Roman" w:hAnsi="Times New Roman"/>
          <w:sz w:val="20"/>
          <w:szCs w:val="20"/>
          <w:color w:val="auto"/>
        </w:rPr>
        <w:t>PNC BANK, N.A., as an Initial Revolving Lender, an Issuing Bank and as an Initial Term Lender</w:t>
      </w:r>
    </w:p>
    <w:p>
      <w:pPr>
        <w:spacing w:after="0" w:line="3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Carmen Campise Jr.</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Carmen Campise Jr.</w:t>
      </w: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020"/>
          </w:cols>
          <w:pgMar w:left="320" w:top="1399" w:right="559" w:bottom="1440" w:gutter="0" w:footer="0" w:header="0"/>
        </w:sectPr>
      </w:pPr>
    </w:p>
    <w:bookmarkStart w:id="318" w:name="page319"/>
    <w:bookmarkEnd w:id="318"/>
    <w:p>
      <w:pPr>
        <w:ind w:left="3900"/>
        <w:spacing w:after="0"/>
        <w:rPr>
          <w:sz w:val="20"/>
          <w:szCs w:val="20"/>
          <w:color w:val="auto"/>
        </w:rPr>
      </w:pPr>
      <w:r>
        <w:rPr>
          <w:rFonts w:ascii="Times New Roman" w:cs="Times New Roman" w:eastAsia="Times New Roman" w:hAnsi="Times New Roman"/>
          <w:sz w:val="20"/>
          <w:szCs w:val="20"/>
          <w:color w:val="auto"/>
        </w:rPr>
        <w:t>MUFG BANK, LTD.., as an Initial Revolving Lender, an Issuing Bank and as an Initial Term Lender</w:t>
      </w:r>
    </w:p>
    <w:p>
      <w:pPr>
        <w:spacing w:after="0" w:line="3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Matt Kochan</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Matt Kochan</w:t>
      </w:r>
    </w:p>
    <w:p>
      <w:pPr>
        <w:ind w:left="42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820"/>
          </w:cols>
          <w:pgMar w:left="320" w:top="1399" w:right="759" w:bottom="1440" w:gutter="0" w:footer="0" w:header="0"/>
        </w:sectPr>
      </w:pPr>
    </w:p>
    <w:bookmarkStart w:id="319" w:name="page320"/>
    <w:bookmarkEnd w:id="319"/>
    <w:p>
      <w:pPr>
        <w:ind w:left="3900"/>
        <w:spacing w:after="0"/>
        <w:rPr>
          <w:sz w:val="20"/>
          <w:szCs w:val="20"/>
          <w:color w:val="auto"/>
        </w:rPr>
      </w:pPr>
      <w:r>
        <w:rPr>
          <w:rFonts w:ascii="Times New Roman" w:cs="Times New Roman" w:eastAsia="Times New Roman" w:hAnsi="Times New Roman"/>
          <w:sz w:val="20"/>
          <w:szCs w:val="20"/>
          <w:color w:val="auto"/>
        </w:rPr>
        <w:t>SYNOVUS BANK, as an Initial Revolving Lender, an Issuing Bank and as an Initial Term Lender</w:t>
      </w:r>
    </w:p>
    <w:p>
      <w:pPr>
        <w:spacing w:after="0" w:line="3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Michael Sawicki</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Michael Sawicki</w:t>
      </w:r>
    </w:p>
    <w:p>
      <w:pPr>
        <w:ind w:left="4220"/>
        <w:spacing w:after="0"/>
        <w:rPr>
          <w:sz w:val="20"/>
          <w:szCs w:val="20"/>
          <w:color w:val="auto"/>
        </w:rPr>
      </w:pPr>
      <w:r>
        <w:rPr>
          <w:rFonts w:ascii="Times New Roman" w:cs="Times New Roman" w:eastAsia="Times New Roman" w:hAnsi="Times New Roman"/>
          <w:sz w:val="20"/>
          <w:szCs w:val="20"/>
          <w:color w:val="auto"/>
        </w:rPr>
        <w:t>Title: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080"/>
          </w:cols>
          <w:pgMar w:left="320" w:top="1399" w:right="499" w:bottom="1440" w:gutter="0" w:footer="0" w:header="0"/>
        </w:sectPr>
      </w:pPr>
    </w:p>
    <w:bookmarkStart w:id="320" w:name="page321"/>
    <w:bookmarkEnd w:id="320"/>
    <w:p>
      <w:pPr>
        <w:ind w:left="3900"/>
        <w:spacing w:after="0"/>
        <w:rPr>
          <w:sz w:val="20"/>
          <w:szCs w:val="20"/>
          <w:color w:val="auto"/>
        </w:rPr>
      </w:pPr>
      <w:r>
        <w:rPr>
          <w:rFonts w:ascii="Times New Roman" w:cs="Times New Roman" w:eastAsia="Times New Roman" w:hAnsi="Times New Roman"/>
          <w:sz w:val="20"/>
          <w:szCs w:val="20"/>
          <w:color w:val="auto"/>
        </w:rPr>
        <w:t>GOLDMAN SACHS BANK, N.A., as an Initial Revolving Lender and as an Initial Term Lender</w:t>
      </w:r>
    </w:p>
    <w:p>
      <w:pPr>
        <w:spacing w:after="0" w:line="3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Jacob Elder</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Jacob Elder</w:t>
      </w:r>
    </w:p>
    <w:p>
      <w:pPr>
        <w:ind w:left="4220"/>
        <w:spacing w:after="0"/>
        <w:rPr>
          <w:sz w:val="20"/>
          <w:szCs w:val="20"/>
          <w:color w:val="auto"/>
        </w:rPr>
      </w:pPr>
      <w:r>
        <w:rPr>
          <w:rFonts w:ascii="Times New Roman" w:cs="Times New Roman" w:eastAsia="Times New Roman" w:hAnsi="Times New Roman"/>
          <w:sz w:val="20"/>
          <w:szCs w:val="20"/>
          <w:color w:val="auto"/>
        </w:rPr>
        <w:t>Title: Authorized Signator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960"/>
          </w:cols>
          <w:pgMar w:left="320" w:top="1399" w:right="619" w:bottom="1440" w:gutter="0" w:footer="0" w:header="0"/>
        </w:sectPr>
      </w:pPr>
    </w:p>
    <w:bookmarkStart w:id="321" w:name="page322"/>
    <w:bookmarkEnd w:id="321"/>
    <w:p>
      <w:pPr>
        <w:ind w:left="3900"/>
        <w:spacing w:after="0"/>
        <w:rPr>
          <w:sz w:val="20"/>
          <w:szCs w:val="20"/>
          <w:color w:val="auto"/>
        </w:rPr>
      </w:pPr>
      <w:r>
        <w:rPr>
          <w:rFonts w:ascii="Times New Roman" w:cs="Times New Roman" w:eastAsia="Times New Roman" w:hAnsi="Times New Roman"/>
          <w:sz w:val="20"/>
          <w:szCs w:val="20"/>
          <w:color w:val="auto"/>
        </w:rPr>
        <w:t>BARCLAYS BANK PLC, as an Initial Revolving Lender, an Issuing Bank and as an Initial Term Lender</w:t>
      </w:r>
    </w:p>
    <w:p>
      <w:pPr>
        <w:spacing w:after="0" w:line="3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Christopher M. Aitkin</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Christopher M. Aitkin</w:t>
      </w: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1140"/>
          </w:cols>
          <w:pgMar w:left="320" w:top="1399" w:right="439" w:bottom="1440" w:gutter="0" w:footer="0" w:header="0"/>
        </w:sectPr>
      </w:pPr>
    </w:p>
    <w:bookmarkStart w:id="322" w:name="page323"/>
    <w:bookmarkEnd w:id="322"/>
    <w:p>
      <w:pPr>
        <w:ind w:left="3900"/>
        <w:spacing w:after="0"/>
        <w:rPr>
          <w:sz w:val="20"/>
          <w:szCs w:val="20"/>
          <w:color w:val="auto"/>
        </w:rPr>
      </w:pPr>
      <w:r>
        <w:rPr>
          <w:rFonts w:ascii="Times New Roman" w:cs="Times New Roman" w:eastAsia="Times New Roman" w:hAnsi="Times New Roman"/>
          <w:sz w:val="20"/>
          <w:szCs w:val="20"/>
          <w:color w:val="auto"/>
        </w:rPr>
        <w:t>CITIBANK, N.A., as an Initial Revolving Lender, an Issuing Bank and as an Initial Term Lender</w:t>
      </w:r>
    </w:p>
    <w:p>
      <w:pPr>
        <w:spacing w:after="0" w:line="3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Ioannis Theocharis</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Ioannis Theocharis</w:t>
      </w: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960"/>
          </w:cols>
          <w:pgMar w:left="320" w:top="1399" w:right="61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0"/>
          <w:szCs w:val="20"/>
          <w:color w:val="auto"/>
        </w:rPr>
        <w:t>JEFFRIES FINANCE LLC, as an Initial Revolving Lender and an Issuing Bank</w:t>
      </w:r>
    </w:p>
    <w:p>
      <w:pPr>
        <w:spacing w:after="0" w:line="38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Buoye</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Brian Buoye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-127000</wp:posOffset>
            </wp:positionV>
            <wp:extent cx="914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rPr>
          <w:sz w:val="20"/>
          <w:szCs w:val="20"/>
          <w:color w:val="auto"/>
        </w:rPr>
      </w:pPr>
      <w:r>
        <w:rPr>
          <w:rFonts w:ascii="Arial" w:cs="Arial" w:eastAsia="Arial" w:hAnsi="Arial"/>
          <w:sz w:val="13"/>
          <w:szCs w:val="13"/>
          <w:color w:val="FF0000"/>
          <w:strike w:val="1"/>
        </w:rPr>
        <w:t>WEIL:\98124242\16\45453.0004</w:t>
      </w:r>
      <w:r>
        <w:rPr>
          <w:rFonts w:ascii="Arial" w:cs="Arial" w:eastAsia="Arial" w:hAnsi="Arial"/>
          <w:sz w:val="13"/>
          <w:szCs w:val="13"/>
          <w:u w:val="single" w:color="auto"/>
          <w:color w:val="0000FF"/>
          <w:strike w:val="1"/>
        </w:rPr>
        <w:t>WEIL:\98997375\7\45453.0004</w:t>
      </w:r>
    </w:p>
    <w:p>
      <w:pPr>
        <w:sectPr>
          <w:pgSz w:w="11900" w:h="16838" w:orient="portrait"/>
          <w:cols w:equalWidth="0" w:num="1">
            <w:col w:w="10240"/>
          </w:cols>
          <w:pgMar w:left="320" w:top="1399" w:right="1339" w:bottom="1440" w:gutter="0" w:footer="0" w:header="0"/>
        </w:sectPr>
      </w:pPr>
    </w:p>
    <w:bookmarkStart w:id="324" w:name="page325"/>
    <w:bookmarkEnd w:id="324"/>
    <w:p>
      <w:pPr>
        <w:spacing w:after="0" w:line="200" w:lineRule="exact"/>
        <w:rPr>
          <w:sz w:val="20"/>
          <w:szCs w:val="20"/>
          <w:color w:val="auto"/>
        </w:rPr>
      </w:pPr>
    </w:p>
    <w:p>
      <w:pPr>
        <w:spacing w:after="0" w:line="2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-151765</wp:posOffset>
            </wp:positionV>
            <wp:extent cx="5777865" cy="33864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5777865" cy="33864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2"/>
          <w:szCs w:val="22"/>
          <w:b w:val="1"/>
          <w:bCs w:val="1"/>
          <w:color w:val="auto"/>
        </w:rPr>
        <w:t>Litera® Change-Pro for Word 10.8.2.11 Document comparison done on 3/2/2023 2:17:49 PM</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Style name: </w:t>
      </w:r>
      <w:r>
        <w:rPr>
          <w:rFonts w:ascii="Times New Roman" w:cs="Times New Roman" w:eastAsia="Times New Roman" w:hAnsi="Times New Roman"/>
          <w:sz w:val="22"/>
          <w:szCs w:val="22"/>
          <w:color w:val="auto"/>
        </w:rPr>
        <w:t>Default Style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Intelligent Table Comparison: </w:t>
      </w:r>
      <w:r>
        <w:rPr>
          <w:rFonts w:ascii="Times New Roman" w:cs="Times New Roman" w:eastAsia="Times New Roman" w:hAnsi="Times New Roman"/>
          <w:sz w:val="22"/>
          <w:szCs w:val="22"/>
          <w:color w:val="auto"/>
        </w:rPr>
        <w:t>Active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Original DMS: </w:t>
      </w:r>
      <w:r>
        <w:rPr>
          <w:rFonts w:ascii="Times New Roman" w:cs="Times New Roman" w:eastAsia="Times New Roman" w:hAnsi="Times New Roman"/>
          <w:sz w:val="22"/>
          <w:szCs w:val="22"/>
          <w:color w:val="auto"/>
        </w:rPr>
        <w:t>iw://WEILDMS/WEIL/98997375/1</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Modified DMS: </w:t>
      </w:r>
      <w:r>
        <w:rPr>
          <w:rFonts w:ascii="Times New Roman" w:cs="Times New Roman" w:eastAsia="Times New Roman" w:hAnsi="Times New Roman"/>
          <w:sz w:val="22"/>
          <w:szCs w:val="22"/>
          <w:color w:val="auto"/>
        </w:rPr>
        <w:t>iw://WEILDMS/WEIL/98997375/7</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Changes:</w:t>
      </w:r>
    </w:p>
    <w:p>
      <w:pPr>
        <w:spacing w:after="0" w:line="31"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7060" w:type="dxa"/>
            <w:vAlign w:val="bottom"/>
            <w:tcBorders>
              <w:top w:val="single" w:sz="8" w:color="auto"/>
              <w:right w:val="single" w:sz="8" w:color="auto"/>
            </w:tcBorders>
            <w:gridSpan w:val="6"/>
          </w:tcPr>
          <w:p>
            <w:pPr>
              <w:ind w:left="40"/>
              <w:spacing w:after="0" w:line="211" w:lineRule="exact"/>
              <w:rPr>
                <w:sz w:val="20"/>
                <w:szCs w:val="20"/>
                <w:color w:val="auto"/>
              </w:rPr>
            </w:pPr>
            <w:r>
              <w:rPr>
                <w:rFonts w:ascii="Times New Roman" w:cs="Times New Roman" w:eastAsia="Times New Roman" w:hAnsi="Times New Roman"/>
                <w:sz w:val="22"/>
                <w:szCs w:val="22"/>
                <w:color w:val="0000FF"/>
              </w:rPr>
              <w:t>Add</w:t>
            </w:r>
          </w:p>
        </w:tc>
        <w:tc>
          <w:tcPr>
            <w:tcW w:w="2040" w:type="dxa"/>
            <w:vAlign w:val="bottom"/>
            <w:tcBorders>
              <w:top w:val="single" w:sz="8" w:color="auto"/>
            </w:tcBorders>
          </w:tcPr>
          <w:p>
            <w:pPr>
              <w:ind w:left="20"/>
              <w:spacing w:after="0" w:line="211" w:lineRule="exact"/>
              <w:rPr>
                <w:sz w:val="20"/>
                <w:szCs w:val="20"/>
                <w:color w:val="auto"/>
              </w:rPr>
            </w:pPr>
            <w:r>
              <w:rPr>
                <w:rFonts w:ascii="Times New Roman" w:cs="Times New Roman" w:eastAsia="Times New Roman" w:hAnsi="Times New Roman"/>
                <w:sz w:val="22"/>
                <w:szCs w:val="22"/>
                <w:color w:val="auto"/>
              </w:rPr>
              <w:t>342</w:t>
            </w:r>
          </w:p>
        </w:tc>
      </w:tr>
      <w:tr>
        <w:trPr>
          <w:trHeight w:val="34"/>
        </w:trPr>
        <w:tc>
          <w:tcPr>
            <w:tcW w:w="4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306</w:t>
            </w:r>
          </w:p>
        </w:tc>
      </w:tr>
      <w:tr>
        <w:trPr>
          <w:trHeight w:val="263"/>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008000"/>
                <w:strike w:val="1"/>
                <w:w w:val="95"/>
              </w:rPr>
              <w:t>Move From</w:t>
            </w:r>
          </w:p>
        </w:tc>
        <w:tc>
          <w:tcPr>
            <w:tcW w:w="300" w:type="dxa"/>
            <w:vAlign w:val="bottom"/>
            <w:tcBorders>
              <w:bottom w:val="single" w:sz="8" w:color="auto"/>
            </w:tcBorders>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49</w:t>
            </w:r>
          </w:p>
        </w:tc>
      </w:tr>
      <w:tr>
        <w:trPr>
          <w:trHeight w:val="210"/>
        </w:trPr>
        <w:tc>
          <w:tcPr>
            <w:tcW w:w="7060" w:type="dxa"/>
            <w:vAlign w:val="bottom"/>
            <w:tcBorders>
              <w:right w:val="single" w:sz="8" w:color="auto"/>
            </w:tcBorders>
            <w:gridSpan w:val="6"/>
          </w:tcPr>
          <w:p>
            <w:pPr>
              <w:ind w:left="40"/>
              <w:spacing w:after="0" w:line="209" w:lineRule="exact"/>
              <w:rPr>
                <w:sz w:val="20"/>
                <w:szCs w:val="20"/>
                <w:color w:val="auto"/>
              </w:rPr>
            </w:pPr>
            <w:r>
              <w:rPr>
                <w:rFonts w:ascii="Times New Roman" w:cs="Times New Roman" w:eastAsia="Times New Roman" w:hAnsi="Times New Roman"/>
                <w:sz w:val="22"/>
                <w:szCs w:val="22"/>
                <w:color w:val="008000"/>
              </w:rPr>
              <w:t>Move To</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49</w:t>
            </w:r>
          </w:p>
        </w:tc>
      </w:tr>
      <w:tr>
        <w:trPr>
          <w:trHeight w:val="34"/>
        </w:trPr>
        <w:tc>
          <w:tcPr>
            <w:tcW w:w="40" w:type="dxa"/>
            <w:vAlign w:val="bottom"/>
            <w:tcBorders>
              <w:bottom w:val="single" w:sz="8" w:color="auto"/>
            </w:tcBorders>
          </w:tcPr>
          <w:p>
            <w:pPr>
              <w:spacing w:after="0"/>
              <w:rPr>
                <w:sz w:val="2"/>
                <w:szCs w:val="2"/>
                <w:color w:val="auto"/>
              </w:rPr>
            </w:pPr>
          </w:p>
        </w:tc>
        <w:tc>
          <w:tcPr>
            <w:tcW w:w="360" w:type="dxa"/>
            <w:vAlign w:val="bottom"/>
            <w:tcBorders>
              <w:top w:val="single" w:sz="8" w:color="008000"/>
              <w:bottom w:val="single" w:sz="8" w:color="auto"/>
            </w:tcBorders>
          </w:tcPr>
          <w:p>
            <w:pPr>
              <w:spacing w:after="0"/>
              <w:rPr>
                <w:sz w:val="2"/>
                <w:szCs w:val="2"/>
                <w:color w:val="auto"/>
              </w:rPr>
            </w:pPr>
          </w:p>
        </w:tc>
        <w:tc>
          <w:tcPr>
            <w:tcW w:w="42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0"/>
        </w:trPr>
        <w:tc>
          <w:tcPr>
            <w:tcW w:w="7060" w:type="dxa"/>
            <w:vAlign w:val="bottom"/>
            <w:tcBorders>
              <w:right w:val="single" w:sz="8" w:color="auto"/>
            </w:tcBorders>
            <w:gridSpan w:val="6"/>
          </w:tcPr>
          <w:p>
            <w:pPr>
              <w:ind w:left="40"/>
              <w:spacing w:after="0" w:line="209" w:lineRule="exact"/>
              <w:rPr>
                <w:sz w:val="20"/>
                <w:szCs w:val="20"/>
                <w:color w:val="auto"/>
              </w:rPr>
            </w:pPr>
            <w:r>
              <w:rPr>
                <w:rFonts w:ascii="Times New Roman" w:cs="Times New Roman" w:eastAsia="Times New Roman" w:hAnsi="Times New Roman"/>
                <w:sz w:val="22"/>
                <w:szCs w:val="22"/>
                <w:color w:val="0000FF"/>
              </w:rPr>
              <w:t>Table Insert</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4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FF0000"/>
                <w:strike w:val="1"/>
              </w:rPr>
              <w:t>Table Delete</w:t>
            </w:r>
          </w:p>
        </w:tc>
        <w:tc>
          <w:tcPr>
            <w:tcW w:w="570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w:t>
            </w:r>
          </w:p>
        </w:tc>
      </w:tr>
      <w:tr>
        <w:trPr>
          <w:trHeight w:val="209"/>
        </w:trPr>
        <w:tc>
          <w:tcPr>
            <w:tcW w:w="7060" w:type="dxa"/>
            <w:vAlign w:val="bottom"/>
            <w:tcBorders>
              <w:right w:val="single" w:sz="8" w:color="auto"/>
            </w:tcBorders>
            <w:gridSpan w:val="6"/>
          </w:tcPr>
          <w:p>
            <w:pPr>
              <w:ind w:left="40"/>
              <w:spacing w:after="0" w:line="209" w:lineRule="exact"/>
              <w:rPr>
                <w:sz w:val="20"/>
                <w:szCs w:val="20"/>
                <w:color w:val="auto"/>
              </w:rPr>
            </w:pPr>
            <w:r>
              <w:rPr>
                <w:rFonts w:ascii="Times New Roman" w:cs="Times New Roman" w:eastAsia="Times New Roman" w:hAnsi="Times New Roman"/>
                <w:sz w:val="22"/>
                <w:szCs w:val="22"/>
                <w:color w:val="008000"/>
              </w:rPr>
              <w:t>Table moves to</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40" w:type="dxa"/>
            <w:vAlign w:val="bottom"/>
            <w:tcBorders>
              <w:bottom w:val="single" w:sz="8" w:color="auto"/>
            </w:tcBorders>
          </w:tcPr>
          <w:p>
            <w:pPr>
              <w:spacing w:after="0"/>
              <w:rPr>
                <w:sz w:val="2"/>
                <w:szCs w:val="2"/>
                <w:color w:val="auto"/>
              </w:rPr>
            </w:pPr>
          </w:p>
        </w:tc>
        <w:tc>
          <w:tcPr>
            <w:tcW w:w="360" w:type="dxa"/>
            <w:vAlign w:val="bottom"/>
            <w:tcBorders>
              <w:top w:val="single" w:sz="8" w:color="008000"/>
              <w:bottom w:val="single" w:sz="8" w:color="auto"/>
            </w:tcBorders>
          </w:tcPr>
          <w:p>
            <w:pPr>
              <w:spacing w:after="0"/>
              <w:rPr>
                <w:sz w:val="2"/>
                <w:szCs w:val="2"/>
                <w:color w:val="auto"/>
              </w:rPr>
            </w:pPr>
          </w:p>
        </w:tc>
        <w:tc>
          <w:tcPr>
            <w:tcW w:w="42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008000"/>
                <w:strike w:val="1"/>
              </w:rPr>
              <w:t>Table moves from</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706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color w:val="auto"/>
              </w:rPr>
              <w:t>Embedded Graphics (Visio, ChemDraw, Images etc.)</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4"/>
        </w:trPr>
        <w:tc>
          <w:tcPr>
            <w:tcW w:w="706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color w:val="auto"/>
              </w:rPr>
              <w:t>Embedded Excel</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706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color w:val="auto"/>
              </w:rPr>
              <w:t>Format changes</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4"/>
        </w:trPr>
        <w:tc>
          <w:tcPr>
            <w:tcW w:w="706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b w:val="1"/>
                <w:bCs w:val="1"/>
                <w:color w:val="auto"/>
              </w:rPr>
              <w:t>Total Changes:</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40" w:right="1440"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WATCH RESTAURANT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First Watch Restaurant Group,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First Watch Restaurant Group, Inc.,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9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stock units on the terms and conditions set forth in the Plan and this Agreement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9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91" w:lineRule="exact"/>
        <w:rPr>
          <w:sz w:val="20"/>
          <w:szCs w:val="20"/>
          <w:color w:val="auto"/>
        </w:rPr>
      </w:pPr>
    </w:p>
    <w:p>
      <w:pPr>
        <w:ind w:left="660" w:hanging="652"/>
        <w:spacing w:after="0" w:line="210" w:lineRule="auto"/>
        <w:tabs>
          <w:tab w:leader="none" w:pos="66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Restricted Stock Units, on the terms and conditions set forth in the Plan and this Agreement.</w:t>
      </w:r>
    </w:p>
    <w:p>
      <w:pPr>
        <w:spacing w:after="0" w:line="177" w:lineRule="exact"/>
        <w:rPr>
          <w:rFonts w:ascii="Times New Roman" w:cs="Times New Roman" w:eastAsia="Times New Roman" w:hAnsi="Times New Roman"/>
          <w:sz w:val="22"/>
          <w:szCs w:val="22"/>
          <w:color w:val="auto"/>
        </w:rPr>
      </w:pPr>
    </w:p>
    <w:p>
      <w:pPr>
        <w:ind w:left="660" w:hanging="652"/>
        <w:spacing w:after="0" w:line="236" w:lineRule="auto"/>
        <w:tabs>
          <w:tab w:leader="none" w:pos="66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Restricted Stock Units shall vest as follows:</w:t>
      </w:r>
    </w:p>
    <w:p>
      <w:pPr>
        <w:spacing w:after="0" w:line="177"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7"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One-third (1/3) of the Restricted Stock Units shall vest on each of the first three (3) anniversaries of the Date of Grant (with such amounts rounded down to the nearest whole number for the first two anniversary dates and rounded up to the nearest whole number for the third anniversary date), subject to the Participant’s continued Service through the vesting date.</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upon termination of Participant’s Service for any reason or no reason, any then unvested Restricted Stock Units will be forfeited immediately, automatically and without consideration.</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7"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Upon the Participant’s termination of Service by the Company without Cause or by the Participant for Good Reason (as defined on Exhibit A), in each case, on or prior to the first anniversary of a Change in Control, a portion of the Restricted Stock Units, if any, that remain unvested as of the date of such termination of Service, representing the lower of (i) the number of Participant’s Restricted Stock Units that remain unvested as of the date of such termination of Service and (ii) [25%] / [37.5%] / [50%] of the Restricted Stock Units (rounded down to the nearest whole number) granted pursuant to this Agreement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0" w:lineRule="exact"/>
        <w:rPr>
          <w:sz w:val="20"/>
          <w:szCs w:val="20"/>
          <w:color w:val="auto"/>
        </w:rPr>
      </w:pPr>
    </w:p>
    <w:p>
      <w:pPr>
        <w:ind w:right="260" w:firstLine="8"/>
        <w:spacing w:after="0" w:line="208" w:lineRule="auto"/>
        <w:tabs>
          <w:tab w:leader="none" w:pos="124" w:val="left"/>
        </w:tabs>
        <w:numPr>
          <w:ilvl w:val="0"/>
          <w:numId w:val="3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Determined by dividing target award grant value by the closing price of FWRG common stock on the date of grant and rounding down to the nearest whole share.</w:t>
      </w:r>
    </w:p>
    <w:p>
      <w:pPr>
        <w:sectPr>
          <w:pgSz w:w="11900" w:h="16838" w:orient="portrait"/>
          <w:cols w:equalWidth="0" w:num="1">
            <w:col w:w="11240"/>
          </w:cols>
          <w:pgMar w:left="320" w:top="94" w:right="339" w:bottom="1440" w:gutter="0" w:footer="0" w:header="0"/>
        </w:sectPr>
      </w:pPr>
    </w:p>
    <w:bookmarkStart w:id="326" w:name="page327"/>
    <w:bookmarkEnd w:id="326"/>
    <w:p>
      <w:pPr>
        <w:ind w:left="1300"/>
        <w:spacing w:after="0" w:line="244" w:lineRule="auto"/>
        <w:rPr>
          <w:sz w:val="20"/>
          <w:szCs w:val="20"/>
          <w:color w:val="auto"/>
        </w:rPr>
      </w:pPr>
      <w:r>
        <w:rPr>
          <w:rFonts w:ascii="Times New Roman" w:cs="Times New Roman" w:eastAsia="Times New Roman" w:hAnsi="Times New Roman"/>
          <w:sz w:val="22"/>
          <w:szCs w:val="22"/>
          <w:color w:val="auto"/>
        </w:rPr>
        <w:t>have not yet become vested as of the date of such termination of Service shall become fully vested upon the date of such termination of Service.</w:t>
      </w:r>
      <w:r>
        <w:rPr>
          <w:rFonts w:ascii="Times New Roman" w:cs="Times New Roman" w:eastAsia="Times New Roman" w:hAnsi="Times New Roman"/>
          <w:sz w:val="28"/>
          <w:szCs w:val="28"/>
          <w:color w:val="auto"/>
          <w:vertAlign w:val="superscript"/>
        </w:rPr>
        <w:t>2</w:t>
      </w:r>
    </w:p>
    <w:p>
      <w:pPr>
        <w:spacing w:after="0" w:line="63" w:lineRule="exact"/>
        <w:rPr>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1" w:lineRule="auto"/>
        <w:tabs>
          <w:tab w:leader="none" w:pos="1297"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95"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The Company shall have the right to deduct or withhold from any shares of Common Stock deliverable under this Agreement, or in its discretion to require the Participant to remit to the Company, amounts necessary to satisfy all federal, state and local taxes required to be withheld in connection with the settlement of the Restricted Stock Units. In addition,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w:t>
      </w:r>
    </w:p>
    <w:p>
      <w:pPr>
        <w:spacing w:after="0" w:line="156" w:lineRule="exact"/>
        <w:rPr>
          <w:rFonts w:ascii="Times New Roman" w:cs="Times New Roman" w:eastAsia="Times New Roman" w:hAnsi="Times New Roman"/>
          <w:sz w:val="22"/>
          <w:szCs w:val="22"/>
          <w:color w:val="auto"/>
        </w:rPr>
      </w:pPr>
    </w:p>
    <w:p>
      <w:pPr>
        <w:jc w:val="both"/>
        <w:ind w:left="660" w:hanging="652"/>
        <w:spacing w:after="0" w:line="219" w:lineRule="auto"/>
        <w:tabs>
          <w:tab w:leader="none" w:pos="66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a manner that results in the greatest economic benefit for the Participant and is consistent with the requirements of Section 409A.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right="20" w:firstLine="8"/>
        <w:spacing w:after="0" w:line="208" w:lineRule="auto"/>
        <w:tabs>
          <w:tab w:leader="none" w:pos="139" w:val="left"/>
        </w:tabs>
        <w:numPr>
          <w:ilvl w:val="0"/>
          <w:numId w:val="3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Include 50% acceleration for CEO and CFO, 37.5% acceleration for Section 16 Officers other than CEO and CFO and 25% acceleration for employees at the level of senior vice president and below.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27" w:name="page328"/>
    <w:bookmarkEnd w:id="327"/>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 xml:space="preserve">determination required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hanging="652"/>
        <w:spacing w:after="0"/>
        <w:tabs>
          <w:tab w:leader="none" w:pos="66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2" w:lineRule="auto"/>
        <w:tabs>
          <w:tab w:leader="none" w:pos="1297"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time of settlement; provided that any dividend equivalent rights granted shall be subject to the same vesting terms as the related Restricted Stock Units.</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5"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7"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79" w:lineRule="exact"/>
        <w:rPr>
          <w:rFonts w:ascii="Times New Roman" w:cs="Times New Roman" w:eastAsia="Times New Roman" w:hAnsi="Times New Roman"/>
          <w:sz w:val="22"/>
          <w:szCs w:val="22"/>
          <w:color w:val="auto"/>
        </w:rPr>
      </w:pPr>
    </w:p>
    <w:p>
      <w:pPr>
        <w:ind w:left="1300" w:hanging="644"/>
        <w:spacing w:after="0" w:line="255" w:lineRule="auto"/>
        <w:tabs>
          <w:tab w:leader="none" w:pos="1295"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Restricted Stock Units may be adjusted in accordance with Section 4.5 of the Plan.</w:t>
      </w:r>
    </w:p>
    <w:p>
      <w:pPr>
        <w:spacing w:after="0" w:line="161" w:lineRule="exact"/>
        <w:rPr>
          <w:rFonts w:ascii="Times New Roman" w:cs="Times New Roman" w:eastAsia="Times New Roman" w:hAnsi="Times New Roman"/>
          <w:sz w:val="21"/>
          <w:szCs w:val="21"/>
          <w:color w:val="auto"/>
        </w:rPr>
      </w:pPr>
    </w:p>
    <w:p>
      <w:pPr>
        <w:jc w:val="both"/>
        <w:ind w:left="1300" w:hanging="644"/>
        <w:spacing w:after="0" w:line="220" w:lineRule="auto"/>
        <w:tabs>
          <w:tab w:leader="none" w:pos="1297"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300"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328" w:name="page329"/>
    <w:bookmarkEnd w:id="328"/>
    <w:p>
      <w:pPr>
        <w:ind w:left="644"/>
        <w:spacing w:after="0" w:line="236" w:lineRule="auto"/>
        <w:rPr>
          <w:sz w:val="20"/>
          <w:szCs w:val="20"/>
          <w:color w:val="auto"/>
        </w:rPr>
      </w:pPr>
      <w:r>
        <w:rPr>
          <w:rFonts w:ascii="Times New Roman" w:cs="Times New Roman" w:eastAsia="Times New Roman" w:hAnsi="Times New Roman"/>
          <w:sz w:val="22"/>
          <w:szCs w:val="22"/>
          <w:color w:val="auto"/>
        </w:rPr>
        <w:t>beneficiaries, and legatee(s), as applicable, whether or not any such person will have become a party to this Agreement and have agreed in writing to be joined herein and be bound by the terms hereof.</w:t>
      </w:r>
    </w:p>
    <w:p>
      <w:pPr>
        <w:spacing w:after="0" w:line="150" w:lineRule="exact"/>
        <w:rPr>
          <w:sz w:val="20"/>
          <w:szCs w:val="20"/>
          <w:color w:val="auto"/>
        </w:rPr>
      </w:pPr>
    </w:p>
    <w:p>
      <w:pPr>
        <w:jc w:val="both"/>
        <w:ind w:left="644" w:hanging="644"/>
        <w:spacing w:after="0" w:line="225" w:lineRule="auto"/>
        <w:tabs>
          <w:tab w:leader="none" w:pos="63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3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31" w:lineRule="auto"/>
        <w:tabs>
          <w:tab w:leader="none" w:pos="632"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Jurisdiction</w:t>
      </w:r>
      <w:r>
        <w:rPr>
          <w:rFonts w:ascii="Times New Roman" w:cs="Times New Roman" w:eastAsia="Times New Roman" w:hAnsi="Times New Roman"/>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50" w:lineRule="exact"/>
        <w:rPr>
          <w:rFonts w:ascii="Times New Roman" w:cs="Times New Roman" w:eastAsia="Times New Roman" w:hAnsi="Times New Roman"/>
          <w:sz w:val="21"/>
          <w:szCs w:val="21"/>
          <w:color w:val="auto"/>
        </w:rPr>
      </w:pPr>
    </w:p>
    <w:p>
      <w:pPr>
        <w:ind w:left="644" w:hanging="644"/>
        <w:spacing w:after="0" w:line="236" w:lineRule="auto"/>
        <w:tabs>
          <w:tab w:leader="none" w:pos="63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39"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3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2"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395" w:right="339" w:bottom="1440" w:gutter="0" w:footer="0" w:header="0"/>
        </w:sectPr>
      </w:pPr>
    </w:p>
    <w:bookmarkStart w:id="329" w:name="page330"/>
    <w:bookmarkEnd w:id="329"/>
    <w:p>
      <w:pPr>
        <w:ind w:firstLine="237"/>
        <w:spacing w:after="0" w:line="236"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FIRST WATCH RESTAURANT GROUP, INC.</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191" w:lineRule="exact"/>
        <w:rPr>
          <w:sz w:val="20"/>
          <w:szCs w:val="20"/>
          <w:color w:val="auto"/>
        </w:rPr>
      </w:pPr>
    </w:p>
    <w:p>
      <w:pPr>
        <w:sectPr>
          <w:pgSz w:w="11900" w:h="16838" w:orient="portrait"/>
          <w:cols w:equalWidth="0" w:num="2">
            <w:col w:w="3580" w:space="420"/>
            <w:col w:w="724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 ____________________________</w:t>
      </w:r>
    </w:p>
    <w:p>
      <w:pPr>
        <w:sectPr>
          <w:pgSz w:w="11900" w:h="16838" w:orient="portrait"/>
          <w:cols w:equalWidth="0" w:num="2">
            <w:col w:w="3600" w:space="440"/>
            <w:col w:w="7200"/>
          </w:cols>
          <w:pgMar w:left="320" w:top="1395" w:right="339" w:bottom="1440" w:gutter="0" w:footer="0" w:header="0"/>
          <w:type w:val="continuous"/>
        </w:sectPr>
      </w:pPr>
    </w:p>
    <w:bookmarkStart w:id="330" w:name="page331"/>
    <w:bookmarkEnd w:id="330"/>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events without the consent of the Participant: (i) the Company materially reduces the Participant’s annual base salary or annual bonus opportunity percentage; (ii) a material diminution in the Participant’s responsibilities; or (iii) the Company relocates the Participant’s principal place of employment more than twenty</w:t>
      </w:r>
    </w:p>
    <w:p>
      <w:pPr>
        <w:spacing w:after="0" w:line="2" w:lineRule="exact"/>
        <w:rPr>
          <w:sz w:val="20"/>
          <w:szCs w:val="20"/>
          <w:color w:val="auto"/>
        </w:rPr>
      </w:pPr>
    </w:p>
    <w:p>
      <w:pPr>
        <w:jc w:val="both"/>
        <w:ind w:firstLine="8"/>
        <w:spacing w:after="0" w:line="211" w:lineRule="auto"/>
        <w:tabs>
          <w:tab w:leader="none" w:pos="41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the existing location as of the Date of Grant (unless such relocation results in a reduction in the Participant’s one-way commute). Notwithstanding the foregoing, the events described in clauses (i), (ii) or (iii) shall not constitute Good Reason unless (A) the Participant has given the Company written notice of the Participant’s resignation for Good Reason, setting forth the conduct of the Company that is alleged to constitute Good Reason, within thirty (30) days following the first occurrence of such event, and (B) the Participant has provided the Company at least thirty (30) days following the date on which such notice is provided to cure such conduct and the Company has failed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WATCH RESTAURANT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First Watch Restaurant Group,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First Watch Restaurant Group, Inc.,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19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stock units on the terms and conditions set forth in the Plan and this Agreement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181" w:lineRule="exact"/>
        <w:rPr>
          <w:sz w:val="20"/>
          <w:szCs w:val="20"/>
          <w:color w:val="auto"/>
        </w:rPr>
      </w:pPr>
    </w:p>
    <w:p>
      <w:pPr>
        <w:ind w:left="660" w:hanging="328"/>
        <w:spacing w:after="0" w:line="257" w:lineRule="auto"/>
        <w:tabs>
          <w:tab w:leader="none" w:pos="651" w:val="left"/>
        </w:tabs>
        <w:numPr>
          <w:ilvl w:val="0"/>
          <w:numId w:val="337"/>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 Restricted Stock Units, on the terms and conditions set forth in the Plan and this Agreement.</w:t>
      </w:r>
    </w:p>
    <w:p>
      <w:pPr>
        <w:spacing w:after="0" w:line="172" w:lineRule="exact"/>
        <w:rPr>
          <w:rFonts w:ascii="Arial" w:cs="Arial" w:eastAsia="Arial" w:hAnsi="Arial"/>
          <w:sz w:val="22"/>
          <w:szCs w:val="22"/>
          <w:color w:val="auto"/>
        </w:rPr>
      </w:pPr>
    </w:p>
    <w:p>
      <w:pPr>
        <w:ind w:left="660" w:right="20" w:hanging="328"/>
        <w:spacing w:after="0" w:line="257" w:lineRule="auto"/>
        <w:tabs>
          <w:tab w:leader="none" w:pos="651" w:val="left"/>
        </w:tabs>
        <w:numPr>
          <w:ilvl w:val="0"/>
          <w:numId w:val="337"/>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Restricted Stock Units shall vest as follows:</w:t>
      </w:r>
    </w:p>
    <w:p>
      <w:pPr>
        <w:spacing w:after="0" w:line="186" w:lineRule="exact"/>
        <w:rPr>
          <w:rFonts w:ascii="Arial" w:cs="Arial" w:eastAsia="Arial" w:hAnsi="Arial"/>
          <w:sz w:val="22"/>
          <w:szCs w:val="22"/>
          <w:color w:val="auto"/>
        </w:rPr>
      </w:pPr>
    </w:p>
    <w:p>
      <w:pPr>
        <w:ind w:left="660" w:hanging="4"/>
        <w:spacing w:after="0" w:line="258" w:lineRule="auto"/>
        <w:tabs>
          <w:tab w:leader="none" w:pos="967"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One-hundred percent (100%) of the Restricted Stock Units granted under this Agreement shall vest on the first anniversary of the Date of Grant, subject to the Participant’s continued Service through the vesting date.</w:t>
      </w:r>
    </w:p>
    <w:p>
      <w:pPr>
        <w:spacing w:after="0" w:line="185" w:lineRule="exact"/>
        <w:rPr>
          <w:rFonts w:ascii="Times New Roman" w:cs="Times New Roman" w:eastAsia="Times New Roman" w:hAnsi="Times New Roman"/>
          <w:sz w:val="22"/>
          <w:szCs w:val="22"/>
          <w:color w:val="auto"/>
        </w:rPr>
      </w:pPr>
    </w:p>
    <w:p>
      <w:pPr>
        <w:jc w:val="both"/>
        <w:ind w:left="660" w:hanging="4"/>
        <w:spacing w:after="0" w:line="244" w:lineRule="auto"/>
        <w:tabs>
          <w:tab w:leader="none" w:pos="966"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Upon the Participant’s termination of Service by the Company without Cause upon or immediately prior to a Change in Control, one-hundred percent (100%) of the Restricted Stock Units granted under this Agreement shall vest.</w:t>
      </w:r>
    </w:p>
    <w:p>
      <w:pPr>
        <w:spacing w:after="0" w:line="200" w:lineRule="exact"/>
        <w:rPr>
          <w:rFonts w:ascii="Times New Roman" w:cs="Times New Roman" w:eastAsia="Times New Roman" w:hAnsi="Times New Roman"/>
          <w:sz w:val="22"/>
          <w:szCs w:val="22"/>
          <w:color w:val="auto"/>
        </w:rPr>
      </w:pPr>
    </w:p>
    <w:p>
      <w:pPr>
        <w:jc w:val="both"/>
        <w:ind w:left="660" w:right="420" w:hanging="4"/>
        <w:spacing w:after="0" w:line="250" w:lineRule="auto"/>
        <w:tabs>
          <w:tab w:leader="none" w:pos="954"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xml:space="preserve"> Termination of Service. Upon the Participant’s termination of service for any reason or no reason (other than a termination described in Section 2(b)), any then unvested Restricted Stock Units will be forfeited immediately, automatically and without consideration.</w:t>
      </w:r>
    </w:p>
    <w:p>
      <w:pPr>
        <w:sectPr>
          <w:pgSz w:w="11900" w:h="16838" w:orient="portrait"/>
          <w:cols w:equalWidth="0" w:num="1">
            <w:col w:w="11240"/>
          </w:cols>
          <w:pgMar w:left="320" w:top="1404" w:right="339" w:bottom="1440" w:gutter="0" w:footer="0" w:header="0"/>
        </w:sectPr>
      </w:pPr>
    </w:p>
    <w:bookmarkStart w:id="332" w:name="page333"/>
    <w:bookmarkEnd w:id="332"/>
    <w:p>
      <w:pPr>
        <w:ind w:left="208" w:hanging="208"/>
        <w:spacing w:after="0"/>
        <w:tabs>
          <w:tab w:leader="none" w:pos="208"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p>
    <w:p>
      <w:pPr>
        <w:spacing w:after="0" w:line="233" w:lineRule="exact"/>
        <w:rPr>
          <w:rFonts w:ascii="Times New Roman" w:cs="Times New Roman" w:eastAsia="Times New Roman" w:hAnsi="Times New Roman"/>
          <w:sz w:val="22"/>
          <w:szCs w:val="22"/>
          <w:color w:val="auto"/>
        </w:rPr>
      </w:pPr>
    </w:p>
    <w:p>
      <w:pPr>
        <w:jc w:val="both"/>
        <w:ind w:left="328" w:hanging="4"/>
        <w:spacing w:after="0" w:line="233" w:lineRule="auto"/>
        <w:tabs>
          <w:tab w:leader="none" w:pos="64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cs="Times New Roman" w:eastAsia="Times New Roman" w:hAnsi="Times New Roman"/>
          <w:sz w:val="22"/>
          <w:szCs w:val="22"/>
          <w:u w:val="single" w:color="auto"/>
          <w:color w:val="auto"/>
        </w:rPr>
        <w:t>Section 2(a) or Section 2(b)</w:t>
      </w:r>
      <w:r>
        <w:rPr>
          <w:rFonts w:ascii="Times New Roman" w:cs="Times New Roman" w:eastAsia="Times New Roman" w:hAnsi="Times New Roman"/>
          <w:sz w:val="22"/>
          <w:szCs w:val="22"/>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8" w:lineRule="exact"/>
        <w:rPr>
          <w:rFonts w:ascii="Times New Roman" w:cs="Times New Roman" w:eastAsia="Times New Roman" w:hAnsi="Times New Roman"/>
          <w:sz w:val="22"/>
          <w:szCs w:val="22"/>
          <w:color w:val="auto"/>
        </w:rPr>
      </w:pPr>
    </w:p>
    <w:p>
      <w:pPr>
        <w:jc w:val="both"/>
        <w:ind w:left="328" w:hanging="4"/>
        <w:spacing w:after="0" w:line="235" w:lineRule="auto"/>
        <w:tabs>
          <w:tab w:leader="none" w:pos="661"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The Company shall have the right to deduct or withhold from any shares of Common Stock deliverable under this Agreement, or in its discretion to require the Participant to remit to the Company, amounts necessary to satisfy all federal, state and local taxes required to be withheld in connection with the settlement of the Restricted Stock Units. In addition,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w:t>
      </w:r>
    </w:p>
    <w:p>
      <w:pPr>
        <w:spacing w:after="0" w:line="210" w:lineRule="exact"/>
        <w:rPr>
          <w:rFonts w:ascii="Times New Roman" w:cs="Times New Roman" w:eastAsia="Times New Roman" w:hAnsi="Times New Roman"/>
          <w:sz w:val="22"/>
          <w:szCs w:val="22"/>
          <w:color w:val="auto"/>
        </w:rPr>
      </w:pPr>
    </w:p>
    <w:p>
      <w:pPr>
        <w:ind w:left="328" w:hanging="328"/>
        <w:spacing w:after="0" w:line="242" w:lineRule="auto"/>
        <w:tabs>
          <w:tab w:leader="none" w:pos="22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a manner that results in the greatest economic benefit for the Participant and is consistent with the requirements of Section 409A. Any determination required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writing in good faith by a nationally recognized public accounting firm selected by the Company. The Company and the Participant shall provide the accounting firm with such information and</w:t>
      </w:r>
    </w:p>
    <w:p>
      <w:pPr>
        <w:sectPr>
          <w:pgSz w:w="11900" w:h="16838" w:orient="portrait"/>
          <w:cols w:equalWidth="0" w:num="1">
            <w:col w:w="10908"/>
          </w:cols>
          <w:pgMar w:left="652" w:top="1408" w:right="339" w:bottom="1440" w:gutter="0" w:footer="0" w:header="0"/>
        </w:sectPr>
      </w:pPr>
    </w:p>
    <w:bookmarkStart w:id="333" w:name="page334"/>
    <w:bookmarkEnd w:id="333"/>
    <w:p>
      <w:pPr>
        <w:ind w:left="328"/>
        <w:spacing w:after="0"/>
        <w:rPr>
          <w:sz w:val="20"/>
          <w:szCs w:val="20"/>
          <w:color w:val="auto"/>
        </w:rPr>
      </w:pPr>
      <w:r>
        <w:rPr>
          <w:rFonts w:ascii="Times New Roman" w:cs="Times New Roman" w:eastAsia="Times New Roman" w:hAnsi="Times New Roman"/>
          <w:sz w:val="22"/>
          <w:szCs w:val="22"/>
          <w:color w:val="auto"/>
        </w:rPr>
        <w:t xml:space="preserve">documents as the accounting firm may reasonably request in order to make a determination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208" w:hanging="208"/>
        <w:spacing w:after="0"/>
        <w:tabs>
          <w:tab w:leader="none" w:pos="208"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14" w:lineRule="exact"/>
        <w:rPr>
          <w:rFonts w:ascii="Times New Roman" w:cs="Times New Roman" w:eastAsia="Times New Roman" w:hAnsi="Times New Roman"/>
          <w:sz w:val="22"/>
          <w:szCs w:val="22"/>
          <w:color w:val="auto"/>
        </w:rPr>
      </w:pPr>
    </w:p>
    <w:p>
      <w:pPr>
        <w:jc w:val="both"/>
        <w:ind w:left="968" w:hanging="320"/>
        <w:spacing w:after="0" w:line="230" w:lineRule="auto"/>
        <w:tabs>
          <w:tab w:leader="none" w:pos="965"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time of settlement; provided that any dividend equivalent rights granted shall be subject to the same vesting terms as the related Restricted Stock Units.</w:t>
      </w:r>
    </w:p>
    <w:p>
      <w:pPr>
        <w:spacing w:after="0" w:line="210" w:lineRule="exact"/>
        <w:rPr>
          <w:rFonts w:ascii="Times New Roman" w:cs="Times New Roman" w:eastAsia="Times New Roman" w:hAnsi="Times New Roman"/>
          <w:sz w:val="22"/>
          <w:szCs w:val="22"/>
          <w:color w:val="auto"/>
        </w:rPr>
      </w:pPr>
    </w:p>
    <w:p>
      <w:pPr>
        <w:jc w:val="both"/>
        <w:ind w:left="968" w:hanging="320"/>
        <w:spacing w:after="0" w:line="236" w:lineRule="auto"/>
        <w:tabs>
          <w:tab w:leader="none" w:pos="977"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208" w:lineRule="exact"/>
        <w:rPr>
          <w:rFonts w:ascii="Times New Roman" w:cs="Times New Roman" w:eastAsia="Times New Roman" w:hAnsi="Times New Roman"/>
          <w:sz w:val="22"/>
          <w:szCs w:val="22"/>
          <w:color w:val="auto"/>
        </w:rPr>
      </w:pPr>
    </w:p>
    <w:p>
      <w:pPr>
        <w:jc w:val="both"/>
        <w:ind w:left="968" w:hanging="320"/>
        <w:spacing w:after="0" w:line="234" w:lineRule="auto"/>
        <w:tabs>
          <w:tab w:leader="none" w:pos="965"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7" w:lineRule="exact"/>
        <w:rPr>
          <w:rFonts w:ascii="Times New Roman" w:cs="Times New Roman" w:eastAsia="Times New Roman" w:hAnsi="Times New Roman"/>
          <w:sz w:val="22"/>
          <w:szCs w:val="22"/>
          <w:color w:val="auto"/>
        </w:rPr>
      </w:pPr>
    </w:p>
    <w:p>
      <w:pPr>
        <w:ind w:left="968" w:hanging="320"/>
        <w:spacing w:after="0" w:line="282" w:lineRule="auto"/>
        <w:tabs>
          <w:tab w:leader="none" w:pos="950" w:val="left"/>
        </w:tabs>
        <w:numPr>
          <w:ilvl w:val="1"/>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Restricted Stock Units may be adjusted in accordance with Section 4.5 of the Plan.</w:t>
      </w:r>
    </w:p>
    <w:p>
      <w:pPr>
        <w:spacing w:after="0" w:line="161" w:lineRule="exact"/>
        <w:rPr>
          <w:rFonts w:ascii="Times New Roman" w:cs="Times New Roman" w:eastAsia="Times New Roman" w:hAnsi="Times New Roman"/>
          <w:sz w:val="21"/>
          <w:szCs w:val="21"/>
          <w:color w:val="auto"/>
        </w:rPr>
      </w:pPr>
    </w:p>
    <w:p>
      <w:pPr>
        <w:jc w:val="both"/>
        <w:ind w:left="968" w:hanging="320"/>
        <w:spacing w:after="0" w:line="236" w:lineRule="auto"/>
        <w:tabs>
          <w:tab w:leader="none" w:pos="951"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206" w:lineRule="exact"/>
        <w:rPr>
          <w:rFonts w:ascii="Times New Roman" w:cs="Times New Roman" w:eastAsia="Times New Roman" w:hAnsi="Times New Roman"/>
          <w:sz w:val="22"/>
          <w:szCs w:val="22"/>
          <w:color w:val="auto"/>
        </w:rPr>
      </w:pPr>
    </w:p>
    <w:p>
      <w:pPr>
        <w:ind w:left="968" w:right="20" w:hanging="320"/>
        <w:spacing w:after="0" w:line="258" w:lineRule="auto"/>
        <w:tabs>
          <w:tab w:leader="none" w:pos="927"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w:t>
      </w:r>
    </w:p>
    <w:p>
      <w:pPr>
        <w:sectPr>
          <w:pgSz w:w="11900" w:h="16838" w:orient="portrait"/>
          <w:cols w:equalWidth="0" w:num="1">
            <w:col w:w="10908"/>
          </w:cols>
          <w:pgMar w:left="652" w:top="1408" w:right="339" w:bottom="1440" w:gutter="0" w:footer="0" w:header="0"/>
        </w:sectPr>
      </w:pPr>
    </w:p>
    <w:bookmarkStart w:id="334" w:name="page335"/>
    <w:bookmarkEnd w:id="334"/>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207" w:lineRule="exact"/>
        <w:rPr>
          <w:sz w:val="20"/>
          <w:szCs w:val="20"/>
          <w:color w:val="auto"/>
        </w:rPr>
      </w:pPr>
    </w:p>
    <w:p>
      <w:pPr>
        <w:jc w:val="both"/>
        <w:ind w:left="320" w:hanging="320"/>
        <w:spacing w:after="0" w:line="238" w:lineRule="auto"/>
        <w:tabs>
          <w:tab w:leader="none" w:pos="30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205" w:lineRule="exact"/>
        <w:rPr>
          <w:rFonts w:ascii="Times New Roman" w:cs="Times New Roman" w:eastAsia="Times New Roman" w:hAnsi="Times New Roman"/>
          <w:sz w:val="22"/>
          <w:szCs w:val="22"/>
          <w:color w:val="auto"/>
        </w:rPr>
      </w:pPr>
    </w:p>
    <w:p>
      <w:pPr>
        <w:ind w:left="320" w:hanging="320"/>
        <w:spacing w:after="0" w:line="258" w:lineRule="auto"/>
        <w:tabs>
          <w:tab w:leader="none" w:pos="30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85" w:lineRule="exact"/>
        <w:rPr>
          <w:rFonts w:ascii="Times New Roman" w:cs="Times New Roman" w:eastAsia="Times New Roman" w:hAnsi="Times New Roman"/>
          <w:sz w:val="22"/>
          <w:szCs w:val="22"/>
          <w:color w:val="auto"/>
        </w:rPr>
      </w:pPr>
    </w:p>
    <w:p>
      <w:pPr>
        <w:jc w:val="both"/>
        <w:ind w:left="320" w:hanging="320"/>
        <w:spacing w:after="0" w:line="255" w:lineRule="auto"/>
        <w:tabs>
          <w:tab w:leader="none" w:pos="254"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Jurisdiction</w:t>
      </w:r>
      <w:r>
        <w:rPr>
          <w:rFonts w:ascii="Times New Roman" w:cs="Times New Roman" w:eastAsia="Times New Roman" w:hAnsi="Times New Roman"/>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88" w:lineRule="exact"/>
        <w:rPr>
          <w:rFonts w:ascii="Times New Roman" w:cs="Times New Roman" w:eastAsia="Times New Roman" w:hAnsi="Times New Roman"/>
          <w:sz w:val="21"/>
          <w:szCs w:val="21"/>
          <w:color w:val="auto"/>
        </w:rPr>
      </w:pPr>
    </w:p>
    <w:p>
      <w:pPr>
        <w:ind w:left="320" w:hanging="320"/>
        <w:spacing w:after="0" w:line="258" w:lineRule="auto"/>
        <w:tabs>
          <w:tab w:leader="none" w:pos="281"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85" w:lineRule="exact"/>
        <w:rPr>
          <w:rFonts w:ascii="Times New Roman" w:cs="Times New Roman" w:eastAsia="Times New Roman" w:hAnsi="Times New Roman"/>
          <w:sz w:val="22"/>
          <w:szCs w:val="22"/>
          <w:color w:val="auto"/>
        </w:rPr>
      </w:pPr>
    </w:p>
    <w:p>
      <w:pPr>
        <w:jc w:val="both"/>
        <w:ind w:left="320" w:hanging="320"/>
        <w:spacing w:after="0" w:line="235" w:lineRule="auto"/>
        <w:tabs>
          <w:tab w:leader="none" w:pos="3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205" w:lineRule="exact"/>
        <w:rPr>
          <w:rFonts w:ascii="Times New Roman" w:cs="Times New Roman" w:eastAsia="Times New Roman" w:hAnsi="Times New Roman"/>
          <w:sz w:val="22"/>
          <w:szCs w:val="22"/>
          <w:color w:val="auto"/>
        </w:rPr>
      </w:pPr>
    </w:p>
    <w:p>
      <w:pPr>
        <w:jc w:val="both"/>
        <w:ind w:left="320" w:hanging="320"/>
        <w:spacing w:after="0" w:line="235" w:lineRule="auto"/>
        <w:tabs>
          <w:tab w:leader="none" w:pos="30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ectPr>
          <w:pgSz w:w="11900" w:h="16838" w:orient="portrait"/>
          <w:cols w:equalWidth="0" w:num="1">
            <w:col w:w="10260"/>
          </w:cols>
          <w:pgMar w:left="1300" w:top="1408" w:right="339" w:bottom="1440" w:gutter="0" w:footer="0" w:header="0"/>
        </w:sectPr>
      </w:pPr>
    </w:p>
    <w:bookmarkStart w:id="335" w:name="page336"/>
    <w:bookmarkEnd w:id="335"/>
    <w:p>
      <w:pPr>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FIRST WATCH RESTAURANT GROUP,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 By: 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 Date: _____________________________</w:t>
      </w:r>
    </w:p>
    <w:p>
      <w:pPr>
        <w:sectPr>
          <w:pgSz w:w="11900" w:h="16838" w:orient="portrait"/>
          <w:cols w:equalWidth="0" w:num="1">
            <w:col w:w="11240"/>
          </w:cols>
          <w:pgMar w:left="320" w:top="1408" w:right="33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First Watch Restaurant Group, Inc.</w:t>
            </w:r>
          </w:p>
        </w:tc>
      </w:tr>
      <w:tr>
        <w:trPr>
          <w:trHeight w:val="437"/>
        </w:trPr>
        <w:tc>
          <w:tcPr>
            <w:tcW w:w="3740" w:type="dxa"/>
            <w:vAlign w:val="bottom"/>
          </w:tcPr>
          <w:p>
            <w:pPr>
              <w:spacing w:after="0"/>
              <w:rPr>
                <w:sz w:val="24"/>
                <w:szCs w:val="24"/>
                <w:color w:val="auto"/>
              </w:rPr>
            </w:pPr>
          </w:p>
        </w:tc>
        <w:tc>
          <w:tcPr>
            <w:tcW w:w="75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As of December 25, 2022</w:t>
            </w:r>
          </w:p>
        </w:tc>
      </w:tr>
      <w:tr>
        <w:trPr>
          <w:trHeight w:val="742"/>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75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 Fresh Parent,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E&amp;I Holdings, Inc.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E&amp;I Restaurant Group,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Franchise Development Co.</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Restaurants Texas,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Restaurants, Inc. (d/b/a First Watch)</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Texas Holding,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FWR Holding Corporation</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Egg Restaurants,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Arizona</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TFW-NC, LLC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North Carolina</w:t>
            </w:r>
          </w:p>
        </w:tc>
      </w:tr>
    </w:tbl>
    <w:p>
      <w:pPr>
        <w:sectPr>
          <w:pgSz w:w="11900" w:h="16838" w:orient="portrait"/>
          <w:cols w:equalWidth="0" w:num="1">
            <w:col w:w="11240"/>
          </w:cols>
          <w:pgMar w:left="320" w:top="1413" w:right="339" w:bottom="1440" w:gutter="0" w:footer="0" w:header="0"/>
        </w:sectPr>
      </w:pPr>
    </w:p>
    <w:bookmarkStart w:id="337" w:name="page338"/>
    <w:bookmarkEnd w:id="337"/>
    <w:p>
      <w:pPr>
        <w:ind w:left="71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333-268197) and Form S-8 (No. 333-259937) of First Watch Restaurant Group, Inc. of our report dated March 7, 2023 relating to the financial statements, which appears in this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7, 2023</w:t>
      </w:r>
    </w:p>
    <w:p>
      <w:pPr>
        <w:sectPr>
          <w:pgSz w:w="11900" w:h="16838" w:orient="portrait"/>
          <w:cols w:equalWidth="0" w:num="1">
            <w:col w:w="11240"/>
          </w:cols>
          <w:pgMar w:left="320" w:top="117" w:right="339" w:bottom="1440" w:gutter="0" w:footer="0" w:header="0"/>
        </w:sectPr>
      </w:pPr>
    </w:p>
    <w:bookmarkStart w:id="338" w:name="page339"/>
    <w:bookmarkEnd w:id="338"/>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250" w:lineRule="exact"/>
        <w:rPr>
          <w:sz w:val="20"/>
          <w:szCs w:val="20"/>
          <w:color w:val="auto"/>
        </w:rPr>
      </w:pPr>
    </w:p>
    <w:p>
      <w:pPr>
        <w:ind w:left="640" w:hanging="308"/>
        <w:spacing w:after="0"/>
        <w:tabs>
          <w:tab w:leader="none" w:pos="64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81" w:lineRule="auto"/>
        <w:tabs>
          <w:tab w:leader="none" w:pos="977"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341"/>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7"/>
                <w:szCs w:val="17"/>
                <w:color w:val="auto"/>
              </w:rPr>
              <w:t>Date: March 7, 2023</w:t>
            </w: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Christopher A. Tomasso</w:t>
            </w:r>
          </w:p>
        </w:tc>
      </w:tr>
      <w:tr>
        <w:trPr>
          <w:trHeight w:val="20"/>
        </w:trPr>
        <w:tc>
          <w:tcPr>
            <w:tcW w:w="19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5"/>
        </w:trPr>
        <w:tc>
          <w:tcPr>
            <w:tcW w:w="1980" w:type="dxa"/>
            <w:vAlign w:val="bottom"/>
          </w:tcPr>
          <w:p>
            <w:pPr>
              <w:spacing w:after="0"/>
              <w:rPr>
                <w:sz w:val="18"/>
                <w:szCs w:val="18"/>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Christopher A. Tomasso</w:t>
            </w:r>
          </w:p>
        </w:tc>
      </w:tr>
      <w:tr>
        <w:trPr>
          <w:trHeight w:val="203"/>
        </w:trPr>
        <w:tc>
          <w:tcPr>
            <w:tcW w:w="1980" w:type="dxa"/>
            <w:vAlign w:val="bottom"/>
          </w:tcPr>
          <w:p>
            <w:pPr>
              <w:spacing w:after="0"/>
              <w:rPr>
                <w:sz w:val="17"/>
                <w:szCs w:val="17"/>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1980" w:type="dxa"/>
            <w:vAlign w:val="bottom"/>
          </w:tcPr>
          <w:p>
            <w:pPr>
              <w:spacing w:after="0"/>
              <w:rPr>
                <w:sz w:val="19"/>
                <w:szCs w:val="19"/>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w w:val="99"/>
              </w:rPr>
              <w:t>(Principal Executive Officer)</w:t>
            </w:r>
          </w:p>
        </w:tc>
      </w:tr>
    </w:tbl>
    <w:p>
      <w:pPr>
        <w:sectPr>
          <w:pgSz w:w="11900" w:h="16838" w:orient="portrait"/>
          <w:cols w:equalWidth="0" w:num="1">
            <w:col w:w="11240"/>
          </w:cols>
          <w:pgMar w:left="320" w:top="1410"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250" w:lineRule="exact"/>
        <w:rPr>
          <w:sz w:val="20"/>
          <w:szCs w:val="20"/>
          <w:color w:val="auto"/>
        </w:rPr>
      </w:pPr>
    </w:p>
    <w:p>
      <w:pPr>
        <w:ind w:left="640" w:hanging="308"/>
        <w:spacing w:after="0"/>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73" w:lineRule="auto"/>
        <w:tabs>
          <w:tab w:leader="none" w:pos="977"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342"/>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Date: March 7, 2023</w:t>
      </w:r>
      <w:r>
        <w:rPr>
          <w:sz w:val="20"/>
          <w:szCs w:val="20"/>
          <w:color w:val="auto"/>
        </w:rPr>
        <w:tab/>
      </w:r>
      <w:r>
        <w:rPr>
          <w:rFonts w:ascii="Times New Roman" w:cs="Times New Roman" w:eastAsia="Times New Roman" w:hAnsi="Times New Roman"/>
          <w:sz w:val="16"/>
          <w:szCs w:val="16"/>
          <w:u w:val="single" w:color="auto"/>
          <w:color w:val="auto"/>
        </w:rPr>
        <w:t>/s/ Mel Hope</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40" w:name="page341"/>
    <w:bookmarkEnd w:id="3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Annual Report on Form 10-K of First Watch Restaurant Group, Inc. (the “Company”) for the fiscal year ended December 25, 2022,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8" w:lineRule="exact"/>
        <w:rPr>
          <w:sz w:val="20"/>
          <w:szCs w:val="20"/>
          <w:color w:val="auto"/>
        </w:rPr>
      </w:pPr>
    </w:p>
    <w:p>
      <w:pPr>
        <w:ind w:left="660" w:hanging="328"/>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2023</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D7B105"/>
    <w:multiLevelType w:val="hybridMultilevel"/>
    <w:lvl w:ilvl="0">
      <w:lvlJc w:val="left"/>
      <w:lvlText w:val="☒"/>
      <w:numFmt w:val="bullet"/>
      <w:start w:val="1"/>
    </w:lvl>
  </w:abstractNum>
  <w:abstractNum w:abstractNumId="1">
    <w:nsid w:val="2E8A6394"/>
    <w:multiLevelType w:val="hybridMultilevel"/>
    <w:lvl w:ilvl="0">
      <w:lvlJc w:val="left"/>
      <w:lvlText w:val="☐"/>
      <w:numFmt w:val="bullet"/>
      <w:start w:val="1"/>
    </w:lvl>
  </w:abstractNum>
  <w:abstractNum w:abstractNumId="2">
    <w:nsid w:val="24E60401"/>
    <w:multiLevelType w:val="hybridMultilevel"/>
    <w:lvl w:ilvl="0">
      <w:lvlJc w:val="left"/>
      <w:lvlText w:val="•"/>
      <w:numFmt w:val="bullet"/>
      <w:start w:val="1"/>
    </w:lvl>
  </w:abstractNum>
  <w:abstractNum w:abstractNumId="3">
    <w:nsid w:val="2A6AD9BE"/>
    <w:multiLevelType w:val="hybridMultilevel"/>
    <w:lvl w:ilvl="0">
      <w:lvlJc w:val="left"/>
      <w:lvlText w:val="•"/>
      <w:numFmt w:val="bullet"/>
      <w:start w:val="1"/>
    </w:lvl>
  </w:abstractNum>
  <w:abstractNum w:abstractNumId="4">
    <w:nsid w:val="BAAC1B4"/>
    <w:multiLevelType w:val="hybridMultilevel"/>
    <w:lvl w:ilvl="0">
      <w:lvlJc w:val="left"/>
      <w:lvlText w:val="•"/>
      <w:numFmt w:val="bullet"/>
      <w:start w:val="1"/>
    </w:lvl>
    <w:lvl w:ilvl="1">
      <w:lvlJc w:val="left"/>
      <w:lvlText w:val="\endash "/>
      <w:numFmt w:val="bullet"/>
      <w:start w:val="1"/>
    </w:lvl>
  </w:abstractNum>
  <w:abstractNum w:abstractNumId="5">
    <w:nsid w:val="36B2ACBC"/>
    <w:multiLevelType w:val="hybridMultilevel"/>
    <w:lvl w:ilvl="0">
      <w:lvlJc w:val="left"/>
      <w:lvlText w:val="•"/>
      <w:numFmt w:val="bullet"/>
      <w:start w:val="1"/>
    </w:lvl>
  </w:abstractNum>
  <w:abstractNum w:abstractNumId="6">
    <w:nsid w:val="779D8544"/>
    <w:multiLevelType w:val="hybridMultilevel"/>
    <w:lvl w:ilvl="0">
      <w:lvlJc w:val="left"/>
      <w:lvlText w:val="•"/>
      <w:numFmt w:val="bullet"/>
      <w:start w:val="1"/>
    </w:lvl>
  </w:abstractNum>
  <w:abstractNum w:abstractNumId="7">
    <w:nsid w:val="4AB26E78"/>
    <w:multiLevelType w:val="hybridMultilevel"/>
    <w:lvl w:ilvl="0">
      <w:lvlJc w:val="left"/>
      <w:lvlText w:val="•"/>
      <w:numFmt w:val="bullet"/>
      <w:start w:val="1"/>
    </w:lvl>
  </w:abstractNum>
  <w:abstractNum w:abstractNumId="8">
    <w:nsid w:val="21FAA2FA"/>
    <w:multiLevelType w:val="hybridMultilevel"/>
    <w:lvl w:ilvl="0">
      <w:lvlJc w:val="left"/>
      <w:lvlText w:val="•"/>
      <w:numFmt w:val="bullet"/>
      <w:start w:val="1"/>
    </w:lvl>
  </w:abstractNum>
  <w:abstractNum w:abstractNumId="9">
    <w:nsid w:val="5451CF49"/>
    <w:multiLevelType w:val="hybridMultilevel"/>
    <w:lvl w:ilvl="0">
      <w:lvlJc w:val="left"/>
      <w:lvlText w:val="•"/>
      <w:numFmt w:val="bullet"/>
      <w:start w:val="1"/>
    </w:lvl>
  </w:abstractNum>
  <w:abstractNum w:abstractNumId="10">
    <w:nsid w:val="6181EF69"/>
    <w:multiLevelType w:val="hybridMultilevel"/>
    <w:lvl w:ilvl="0">
      <w:lvlJc w:val="left"/>
      <w:lvlText w:val="•"/>
      <w:numFmt w:val="bullet"/>
      <w:start w:val="1"/>
    </w:lvl>
  </w:abstractNum>
  <w:abstractNum w:abstractNumId="11">
    <w:nsid w:val="3E6400E6"/>
    <w:multiLevelType w:val="hybridMultilevel"/>
    <w:lvl w:ilvl="0">
      <w:lvlJc w:val="left"/>
      <w:lvlText w:val="•"/>
      <w:numFmt w:val="bullet"/>
      <w:start w:val="1"/>
    </w:lvl>
  </w:abstractNum>
  <w:abstractNum w:abstractNumId="12">
    <w:nsid w:val="14217E23"/>
    <w:multiLevelType w:val="hybridMultilevel"/>
    <w:lvl w:ilvl="0">
      <w:lvlJc w:val="left"/>
      <w:lvlText w:val="•"/>
      <w:numFmt w:val="bullet"/>
      <w:start w:val="1"/>
    </w:lvl>
  </w:abstractNum>
  <w:abstractNum w:abstractNumId="13">
    <w:nsid w:val="710757D0"/>
    <w:multiLevelType w:val="hybridMultilevel"/>
    <w:lvl w:ilvl="0">
      <w:lvlJc w:val="left"/>
      <w:lvlText w:val="•"/>
      <w:numFmt w:val="bullet"/>
      <w:start w:val="1"/>
    </w:lvl>
  </w:abstractNum>
  <w:abstractNum w:abstractNumId="14">
    <w:nsid w:val="5015CD1A"/>
    <w:multiLevelType w:val="hybridMultilevel"/>
    <w:lvl w:ilvl="0">
      <w:lvlJc w:val="left"/>
      <w:lvlText w:val="•"/>
      <w:numFmt w:val="bullet"/>
      <w:start w:val="1"/>
    </w:lvl>
  </w:abstractNum>
  <w:abstractNum w:abstractNumId="15">
    <w:nsid w:val="424479DA"/>
    <w:multiLevelType w:val="hybridMultilevel"/>
    <w:lvl w:ilvl="0">
      <w:lvlJc w:val="left"/>
      <w:lvlText w:val="•"/>
      <w:numFmt w:val="bullet"/>
      <w:start w:val="1"/>
    </w:lvl>
  </w:abstractNum>
  <w:abstractNum w:abstractNumId="16">
    <w:nsid w:val="1A9A9E69"/>
    <w:multiLevelType w:val="hybridMultilevel"/>
    <w:lvl w:ilvl="0">
      <w:lvlJc w:val="left"/>
      <w:lvlText w:val="•"/>
      <w:numFmt w:val="bullet"/>
      <w:start w:val="1"/>
    </w:lvl>
  </w:abstractNum>
  <w:abstractNum w:abstractNumId="17">
    <w:nsid w:val="475E256A"/>
    <w:multiLevelType w:val="hybridMultilevel"/>
    <w:lvl w:ilvl="0">
      <w:lvlJc w:val="left"/>
      <w:lvlText w:val="•"/>
      <w:numFmt w:val="bullet"/>
      <w:start w:val="1"/>
    </w:lvl>
  </w:abstractNum>
  <w:abstractNum w:abstractNumId="18">
    <w:nsid w:val="368DB37E"/>
    <w:multiLevelType w:val="hybridMultilevel"/>
    <w:lvl w:ilvl="0">
      <w:lvlJc w:val="left"/>
      <w:lvlText w:val="•"/>
      <w:numFmt w:val="bullet"/>
      <w:start w:val="1"/>
    </w:lvl>
  </w:abstractNum>
  <w:abstractNum w:abstractNumId="19">
    <w:nsid w:val="6A3B714C"/>
    <w:multiLevelType w:val="hybridMultilevel"/>
    <w:lvl w:ilvl="0">
      <w:lvlJc w:val="left"/>
      <w:lvlText w:val="•"/>
      <w:numFmt w:val="bullet"/>
      <w:start w:val="1"/>
    </w:lvl>
  </w:abstractNum>
  <w:abstractNum w:abstractNumId="20">
    <w:nsid w:val="327B517E"/>
    <w:multiLevelType w:val="hybridMultilevel"/>
    <w:lvl w:ilvl="0">
      <w:lvlJc w:val="left"/>
      <w:lvlText w:val="(%1)"/>
      <w:numFmt w:val="lowerLetter"/>
      <w:start w:val="4"/>
    </w:lvl>
  </w:abstractNum>
  <w:abstractNum w:abstractNumId="21">
    <w:nsid w:val="1F461B51"/>
    <w:multiLevelType w:val="hybridMultilevel"/>
    <w:lvl w:ilvl="0">
      <w:lvlJc w:val="left"/>
      <w:lvlText w:val="•"/>
      <w:numFmt w:val="bullet"/>
      <w:start w:val="1"/>
    </w:lvl>
  </w:abstractNum>
  <w:abstractNum w:abstractNumId="22">
    <w:nsid w:val="29BACF25"/>
    <w:multiLevelType w:val="hybridMultilevel"/>
    <w:lvl w:ilvl="0">
      <w:lvlJc w:val="left"/>
      <w:lvlText w:val="*"/>
      <w:numFmt w:val="bullet"/>
      <w:start w:val="1"/>
    </w:lvl>
  </w:abstractNum>
  <w:abstractNum w:abstractNumId="23">
    <w:nsid w:val="5D5BABB3"/>
    <w:multiLevelType w:val="hybridMultilevel"/>
    <w:lvl w:ilvl="0">
      <w:lvlJc w:val="left"/>
      <w:lvlText w:val="(%1)"/>
      <w:numFmt w:val="decimal"/>
      <w:start w:val="1"/>
    </w:lvl>
  </w:abstractNum>
  <w:abstractNum w:abstractNumId="24">
    <w:nsid w:val="51BF6B48"/>
    <w:multiLevelType w:val="hybridMultilevel"/>
    <w:lvl w:ilvl="0">
      <w:lvlJc w:val="left"/>
      <w:lvlText w:val="(%1)"/>
      <w:numFmt w:val="decimal"/>
      <w:start w:val="1"/>
    </w:lvl>
  </w:abstractNum>
  <w:abstractNum w:abstractNumId="25">
    <w:nsid w:val="7E0F6384"/>
    <w:multiLevelType w:val="hybridMultilevel"/>
    <w:lvl w:ilvl="0">
      <w:lvlJc w:val="left"/>
      <w:lvlText w:val="(%1)"/>
      <w:numFmt w:val="decimal"/>
      <w:start w:val="1"/>
    </w:lvl>
  </w:abstractNum>
  <w:abstractNum w:abstractNumId="26">
    <w:nsid w:val="2B4B8B53"/>
    <w:multiLevelType w:val="hybridMultilevel"/>
    <w:lvl w:ilvl="0">
      <w:lvlJc w:val="left"/>
      <w:lvlText w:val="•"/>
      <w:numFmt w:val="bullet"/>
      <w:start w:val="1"/>
    </w:lvl>
  </w:abstractNum>
  <w:abstractNum w:abstractNumId="27">
    <w:nsid w:val="72E3413A"/>
    <w:multiLevelType w:val="hybridMultilevel"/>
    <w:lvl w:ilvl="0">
      <w:lvlJc w:val="left"/>
      <w:lvlText w:val="•"/>
      <w:numFmt w:val="bullet"/>
      <w:start w:val="1"/>
    </w:lvl>
  </w:abstractNum>
  <w:abstractNum w:abstractNumId="28">
    <w:nsid w:val="116AE494"/>
    <w:multiLevelType w:val="hybridMultilevel"/>
    <w:lvl w:ilvl="0">
      <w:lvlJc w:val="left"/>
      <w:lvlText w:val="•"/>
      <w:numFmt w:val="bullet"/>
      <w:start w:val="1"/>
    </w:lvl>
  </w:abstractNum>
  <w:abstractNum w:abstractNumId="29">
    <w:nsid w:val="3494B2FB"/>
    <w:multiLevelType w:val="hybridMultilevel"/>
    <w:lvl w:ilvl="0">
      <w:lvlJc w:val="left"/>
      <w:lvlText w:val="•"/>
      <w:numFmt w:val="bullet"/>
      <w:start w:val="1"/>
    </w:lvl>
  </w:abstractNum>
  <w:abstractNum w:abstractNumId="30">
    <w:nsid w:val="B13A31"/>
    <w:multiLevelType w:val="hybridMultilevel"/>
    <w:lvl w:ilvl="0">
      <w:lvlJc w:val="left"/>
      <w:lvlText w:val="%1."/>
      <w:numFmt w:val="decimal"/>
      <w:start w:val="1"/>
    </w:lvl>
  </w:abstractNum>
  <w:abstractNum w:abstractNumId="31">
    <w:nsid w:val="64429599"/>
    <w:multiLevelType w:val="hybridMultilevel"/>
    <w:lvl w:ilvl="0">
      <w:lvlJc w:val="left"/>
      <w:lvlText w:val="%1"/>
      <w:numFmt w:val="decimal"/>
      <w:start w:val="101"/>
    </w:lvl>
  </w:abstractNum>
  <w:abstractNum w:abstractNumId="32">
    <w:nsid w:val="631F1690"/>
    <w:multiLevelType w:val="hybridMultilevel"/>
    <w:lvl w:ilvl="0">
      <w:lvlJc w:val="left"/>
      <w:lvlText w:val="*"/>
      <w:numFmt w:val="bullet"/>
      <w:start w:val="1"/>
    </w:lvl>
    <w:lvl w:ilvl="1">
      <w:lvlJc w:val="left"/>
      <w:lvlText w:val="%2"/>
      <w:numFmt w:val="decimal"/>
      <w:start w:val="104"/>
    </w:lvl>
  </w:abstractNum>
  <w:abstractNum w:abstractNumId="33">
    <w:nsid w:val="25973E32"/>
    <w:multiLevelType w:val="hybridMultilevel"/>
    <w:lvl w:ilvl="0">
      <w:lvlJc w:val="left"/>
      <w:lvlText w:val="**"/>
      <w:numFmt w:val="bullet"/>
      <w:start w:val="1"/>
    </w:lvl>
  </w:abstractNum>
  <w:abstractNum w:abstractNumId="34">
    <w:nsid w:val="EAD6F57"/>
    <w:multiLevelType w:val="hybridMultilevel"/>
    <w:lvl w:ilvl="0">
      <w:lvlJc w:val="left"/>
      <w:lvlText w:val="(%1)"/>
      <w:numFmt w:val="lowerLetter"/>
      <w:start w:val="1"/>
    </w:lvl>
  </w:abstractNum>
  <w:abstractNum w:abstractNumId="35">
    <w:nsid w:val="6EC9D844"/>
    <w:multiLevelType w:val="hybridMultilevel"/>
    <w:lvl w:ilvl="0">
      <w:lvlJc w:val="left"/>
      <w:lvlText w:val="%1"/>
      <w:numFmt w:val="lowerLetter"/>
      <w:start w:val="1"/>
    </w:lvl>
    <w:lvl w:ilvl="1">
      <w:lvlJc w:val="left"/>
      <w:lvlText w:val="(%2)"/>
      <w:numFmt w:val="lowerLetter"/>
      <w:start w:val="1"/>
    </w:lvl>
  </w:abstractNum>
  <w:abstractNum w:abstractNumId="36">
    <w:nsid w:val="5C49EAEE"/>
    <w:multiLevelType w:val="hybridMultilevel"/>
    <w:lvl w:ilvl="0">
      <w:lvlJc w:val="left"/>
      <w:lvlText w:val="(%1)"/>
      <w:numFmt w:val="lowerLetter"/>
      <w:start w:val="35"/>
    </w:lvl>
    <w:lvl w:ilvl="1">
      <w:lvlJc w:val="left"/>
      <w:lvlText w:val="%2"/>
      <w:numFmt w:val="lowerLetter"/>
      <w:start w:val="1"/>
    </w:lvl>
  </w:abstractNum>
  <w:abstractNum w:abstractNumId="37">
    <w:nsid w:val="64AF49B"/>
    <w:multiLevelType w:val="hybridMultilevel"/>
    <w:lvl w:ilvl="0">
      <w:lvlJc w:val="left"/>
      <w:lvlText w:val="(%1)"/>
      <w:numFmt w:val="lowerLetter"/>
      <w:start w:val="2"/>
    </w:lvl>
  </w:abstractNum>
  <w:abstractNum w:abstractNumId="38">
    <w:nsid w:val="397C46BC"/>
    <w:multiLevelType w:val="hybridMultilevel"/>
    <w:lvl w:ilvl="0">
      <w:lvlJc w:val="left"/>
      <w:lvlText w:val="(%1)"/>
      <w:numFmt w:val="lowerLetter"/>
      <w:start w:val="1"/>
    </w:lvl>
  </w:abstractNum>
  <w:abstractNum w:abstractNumId="39">
    <w:nsid w:val="7E448DE9"/>
    <w:multiLevelType w:val="hybridMultilevel"/>
    <w:lvl w:ilvl="0">
      <w:lvlJc w:val="left"/>
      <w:lvlText w:val="(%1)"/>
      <w:numFmt w:val="lowerLetter"/>
      <w:start w:val="1"/>
    </w:lvl>
    <w:lvl w:ilvl="1">
      <w:lvlJc w:val="left"/>
      <w:lvlText w:val="(%2)"/>
      <w:numFmt w:val="lowerLetter"/>
      <w:start w:val="9"/>
    </w:lvl>
  </w:abstractNum>
  <w:abstractNum w:abstractNumId="40">
    <w:nsid w:val="5A9CC3E5"/>
    <w:multiLevelType w:val="hybridMultilevel"/>
    <w:lvl w:ilvl="0">
      <w:lvlJc w:val="left"/>
      <w:lvlText w:val="%1"/>
      <w:numFmt w:val="lowerLetter"/>
      <w:start w:val="1"/>
    </w:lvl>
    <w:lvl w:ilvl="1">
      <w:lvlJc w:val="left"/>
      <w:lvlText w:val="(%2)"/>
      <w:numFmt w:val="lowerRoman"/>
      <w:start w:val="2"/>
    </w:lvl>
  </w:abstractNum>
  <w:abstractNum w:abstractNumId="41">
    <w:nsid w:val="1AFE3625"/>
    <w:multiLevelType w:val="hybridMultilevel"/>
    <w:lvl w:ilvl="0">
      <w:lvlJc w:val="left"/>
      <w:lvlText w:val="(%1)"/>
      <w:numFmt w:val="lowerLetter"/>
      <w:start w:val="25"/>
    </w:lvl>
    <w:lvl w:ilvl="1">
      <w:lvlJc w:val="left"/>
      <w:lvlText w:val="(%2)"/>
      <w:numFmt w:val="lowerRoman"/>
      <w:start w:val="4"/>
    </w:lvl>
  </w:abstractNum>
  <w:abstractNum w:abstractNumId="42">
    <w:nsid w:val="3CA88ECF"/>
    <w:multiLevelType w:val="hybridMultilevel"/>
    <w:lvl w:ilvl="0">
      <w:lvlJc w:val="left"/>
      <w:lvlText w:val="(%1)"/>
      <w:numFmt w:val="lowerLetter"/>
      <w:start w:val="2"/>
    </w:lvl>
  </w:abstractNum>
  <w:abstractNum w:abstractNumId="43">
    <w:nsid w:val="6EBE4208"/>
    <w:multiLevelType w:val="hybridMultilevel"/>
    <w:lvl w:ilvl="0">
      <w:lvlJc w:val="left"/>
      <w:lvlText w:val="(%1)"/>
      <w:numFmt w:val="lowerLetter"/>
      <w:start w:val="7"/>
    </w:lvl>
  </w:abstractNum>
  <w:abstractNum w:abstractNumId="44">
    <w:nsid w:val="C058DF5"/>
    <w:multiLevelType w:val="hybridMultilevel"/>
    <w:lvl w:ilvl="0">
      <w:lvlJc w:val="left"/>
      <w:lvlText w:val="%1."/>
      <w:numFmt w:val="upperLetter"/>
      <w:start w:val="1"/>
    </w:lvl>
  </w:abstractNum>
  <w:abstractNum w:abstractNumId="45">
    <w:nsid w:val="CBE5BE9"/>
    <w:multiLevelType w:val="hybridMultilevel"/>
    <w:lvl w:ilvl="0">
      <w:lvlJc w:val="left"/>
      <w:lvlText w:val="(%1)"/>
      <w:numFmt w:val="lowerRoman"/>
      <w:start w:val="1"/>
    </w:lvl>
  </w:abstractNum>
  <w:abstractNum w:abstractNumId="46">
    <w:nsid w:val="3102BBE2"/>
    <w:multiLevelType w:val="hybridMultilevel"/>
    <w:lvl w:ilvl="0">
      <w:lvlJc w:val="left"/>
      <w:lvlText w:val="(%1)"/>
      <w:numFmt w:val="lowerLetter"/>
      <w:start w:val="3"/>
    </w:lvl>
  </w:abstractNum>
  <w:abstractNum w:abstractNumId="47">
    <w:nsid w:val="26A02C5E"/>
    <w:multiLevelType w:val="hybridMultilevel"/>
    <w:lvl w:ilvl="0">
      <w:lvlJc w:val="left"/>
      <w:lvlText w:val="(%1)"/>
      <w:numFmt w:val="lowerLetter"/>
      <w:start w:val="1"/>
    </w:lvl>
    <w:lvl w:ilvl="1">
      <w:lvlJc w:val="left"/>
      <w:lvlText w:val="(%2)"/>
      <w:numFmt w:val="lowerRoman"/>
      <w:start w:val="1"/>
    </w:lvl>
  </w:abstractNum>
  <w:abstractNum w:abstractNumId="48">
    <w:nsid w:val="541C8153"/>
    <w:multiLevelType w:val="hybridMultilevel"/>
    <w:lvl w:ilvl="0">
      <w:lvlJc w:val="left"/>
      <w:lvlText w:val="(%1)"/>
      <w:numFmt w:val="lowerRoman"/>
      <w:start w:val="5"/>
    </w:lvl>
  </w:abstractNum>
  <w:abstractNum w:abstractNumId="49">
    <w:nsid w:val="67906F60"/>
    <w:multiLevelType w:val="hybridMultilevel"/>
    <w:lvl w:ilvl="0">
      <w:lvlJc w:val="left"/>
      <w:lvlText w:val="%1"/>
      <w:numFmt w:val="lowerLetter"/>
      <w:start w:val="1"/>
    </w:lvl>
    <w:lvl w:ilvl="1">
      <w:lvlJc w:val="left"/>
      <w:lvlText w:val="(%2)"/>
      <w:numFmt w:val="lowerRoman"/>
      <w:start w:val="14"/>
    </w:lvl>
  </w:abstractNum>
  <w:abstractNum w:abstractNumId="50">
    <w:nsid w:val="10DB9DAA"/>
    <w:multiLevelType w:val="hybridMultilevel"/>
    <w:lvl w:ilvl="0">
      <w:lvlJc w:val="left"/>
      <w:lvlText w:val="(%1)"/>
      <w:numFmt w:val="lowerLetter"/>
      <w:start w:val="2"/>
    </w:lvl>
    <w:lvl w:ilvl="1">
      <w:lvlJc w:val="left"/>
      <w:lvlText w:val="%2"/>
      <w:numFmt w:val="lowerRoman"/>
      <w:start w:val="1"/>
    </w:lvl>
  </w:abstractNum>
  <w:abstractNum w:abstractNumId="51">
    <w:nsid w:val="697D2D2"/>
    <w:multiLevelType w:val="hybridMultilevel"/>
    <w:lvl w:ilvl="0">
      <w:lvlJc w:val="left"/>
      <w:lvlText w:val="(%1)"/>
      <w:numFmt w:val="lowerLetter"/>
      <w:start w:val="3"/>
    </w:lvl>
  </w:abstractNum>
  <w:abstractNum w:abstractNumId="52">
    <w:nsid w:val="6D68AB2"/>
    <w:multiLevelType w:val="hybridMultilevel"/>
    <w:lvl w:ilvl="0">
      <w:lvlJc w:val="left"/>
      <w:lvlText w:val="%1"/>
      <w:numFmt w:val="lowerLetter"/>
      <w:start w:val="1"/>
    </w:lvl>
    <w:lvl w:ilvl="1">
      <w:lvlJc w:val="left"/>
      <w:lvlText w:val="(%2)"/>
      <w:numFmt w:val="lowerLetter"/>
      <w:start w:val="1"/>
    </w:lvl>
  </w:abstractNum>
  <w:abstractNum w:abstractNumId="53">
    <w:nsid w:val="3A966CD0"/>
    <w:multiLevelType w:val="hybridMultilevel"/>
    <w:lvl w:ilvl="0">
      <w:lvlJc w:val="left"/>
      <w:lvlText w:val="(%1)"/>
      <w:numFmt w:val="lowerLetter"/>
      <w:start w:val="35"/>
    </w:lvl>
    <w:lvl w:ilvl="1">
      <w:lvlJc w:val="left"/>
      <w:lvlText w:val="%2"/>
      <w:numFmt w:val="lowerLetter"/>
      <w:start w:val="1"/>
    </w:lvl>
  </w:abstractNum>
  <w:abstractNum w:abstractNumId="54">
    <w:nsid w:val="63F37E85"/>
    <w:multiLevelType w:val="hybridMultilevel"/>
    <w:lvl w:ilvl="0">
      <w:lvlJc w:val="left"/>
      <w:lvlText w:val="(%1)"/>
      <w:numFmt w:val="lowerLetter"/>
      <w:start w:val="3"/>
    </w:lvl>
  </w:abstractNum>
  <w:abstractNum w:abstractNumId="55">
    <w:nsid w:val="5895F5FA"/>
    <w:multiLevelType w:val="hybridMultilevel"/>
    <w:lvl w:ilvl="0">
      <w:lvlJc w:val="left"/>
      <w:lvlText w:val="(%1)"/>
      <w:numFmt w:val="lowerLetter"/>
      <w:start w:val="5"/>
    </w:lvl>
  </w:abstractNum>
  <w:abstractNum w:abstractNumId="56">
    <w:nsid w:val="38A5D054"/>
    <w:multiLevelType w:val="hybridMultilevel"/>
    <w:lvl w:ilvl="0">
      <w:lvlJc w:val="left"/>
      <w:lvlText w:val="(%1)"/>
      <w:numFmt w:val="lowerRoman"/>
      <w:start w:val="3"/>
    </w:lvl>
  </w:abstractNum>
  <w:abstractNum w:abstractNumId="57">
    <w:nsid w:val="F3F09D8"/>
    <w:multiLevelType w:val="hybridMultilevel"/>
    <w:lvl w:ilvl="0">
      <w:lvlJc w:val="left"/>
      <w:lvlText w:val="(%1)"/>
      <w:numFmt w:val="lowerLetter"/>
      <w:start w:val="1"/>
    </w:lvl>
  </w:abstractNum>
  <w:abstractNum w:abstractNumId="58">
    <w:nsid w:val="4B793735"/>
    <w:multiLevelType w:val="hybridMultilevel"/>
    <w:lvl w:ilvl="0">
      <w:lvlJc w:val="left"/>
      <w:lvlText w:val="(%1)"/>
      <w:numFmt w:val="lowerLetter"/>
      <w:start w:val="3"/>
    </w:lvl>
    <w:lvl w:ilvl="1">
      <w:lvlJc w:val="left"/>
      <w:lvlText w:val="(%2)"/>
      <w:numFmt w:val="lowerRoman"/>
      <w:start w:val="1"/>
    </w:lvl>
  </w:abstractNum>
  <w:abstractNum w:abstractNumId="59">
    <w:nsid w:val="4A10B4E8"/>
    <w:multiLevelType w:val="hybridMultilevel"/>
    <w:lvl w:ilvl="0">
      <w:lvlJc w:val="left"/>
      <w:lvlText w:val="(%1)"/>
      <w:numFmt w:val="lowerRoman"/>
      <w:start w:val="3"/>
    </w:lvl>
  </w:abstractNum>
  <w:abstractNum w:abstractNumId="60">
    <w:nsid w:val="43D3BCD4"/>
    <w:multiLevelType w:val="hybridMultilevel"/>
    <w:lvl w:ilvl="0">
      <w:lvlJc w:val="left"/>
      <w:lvlText w:val="(%1)"/>
      <w:numFmt w:val="lowerLetter"/>
      <w:start w:val="1"/>
    </w:lvl>
    <w:lvl w:ilvl="1">
      <w:lvlJc w:val="left"/>
      <w:lvlText w:val="(%2)"/>
      <w:numFmt w:val="lowerRoman"/>
      <w:start w:val="1"/>
    </w:lvl>
  </w:abstractNum>
  <w:abstractNum w:abstractNumId="61">
    <w:nsid w:val="4C2A7166"/>
    <w:multiLevelType w:val="hybridMultilevel"/>
    <w:lvl w:ilvl="0">
      <w:lvlJc w:val="left"/>
      <w:lvlText w:val="%1"/>
      <w:numFmt w:val="decimal"/>
      <w:start w:val="1"/>
    </w:lvl>
    <w:lvl w:ilvl="1">
      <w:lvlJc w:val="left"/>
      <w:lvlText w:val="(%2)"/>
      <w:numFmt w:val="lowerRoman"/>
      <w:start w:val="3"/>
    </w:lvl>
  </w:abstractNum>
  <w:abstractNum w:abstractNumId="62">
    <w:nsid w:val="2E534A82"/>
    <w:multiLevelType w:val="hybridMultilevel"/>
    <w:lvl w:ilvl="0">
      <w:lvlJc w:val="left"/>
      <w:lvlText w:val="(%1)"/>
      <w:numFmt w:val="decimal"/>
      <w:start w:val="5"/>
    </w:lvl>
    <w:lvl w:ilvl="1">
      <w:lvlJc w:val="left"/>
      <w:lvlText w:val="(%2)"/>
      <w:numFmt w:val="lowerRoman"/>
      <w:start w:val="5"/>
    </w:lvl>
  </w:abstractNum>
  <w:abstractNum w:abstractNumId="63">
    <w:nsid w:val="26F2D364"/>
    <w:multiLevelType w:val="hybridMultilevel"/>
    <w:lvl w:ilvl="0">
      <w:lvlJc w:val="left"/>
      <w:lvlText w:val="(%1)"/>
      <w:numFmt w:val="lowerRoman"/>
      <w:start w:val="11"/>
    </w:lvl>
  </w:abstractNum>
  <w:abstractNum w:abstractNumId="64">
    <w:nsid w:val="71C1AF98"/>
    <w:multiLevelType w:val="hybridMultilevel"/>
    <w:lvl w:ilvl="0">
      <w:lvlJc w:val="left"/>
      <w:lvlText w:val="(%1)"/>
      <w:numFmt w:val="lowerRoman"/>
      <w:start w:val="13"/>
    </w:lvl>
  </w:abstractNum>
  <w:abstractNum w:abstractNumId="65">
    <w:nsid w:val="3D00B9D9"/>
    <w:multiLevelType w:val="hybridMultilevel"/>
    <w:lvl w:ilvl="0">
      <w:lvlJc w:val="left"/>
      <w:lvlText w:val="(%1)"/>
      <w:numFmt w:val="lowerLetter"/>
      <w:start w:val="4"/>
    </w:lvl>
  </w:abstractNum>
  <w:abstractNum w:abstractNumId="66">
    <w:nsid w:val="15BCABA8"/>
    <w:multiLevelType w:val="hybridMultilevel"/>
    <w:lvl w:ilvl="0">
      <w:lvlJc w:val="left"/>
      <w:lvlText w:val="(%1)"/>
      <w:numFmt w:val="lowerLetter"/>
      <w:start w:val="13"/>
    </w:lvl>
  </w:abstractNum>
  <w:abstractNum w:abstractNumId="67">
    <w:nsid w:val="4E0B9A87"/>
    <w:multiLevelType w:val="hybridMultilevel"/>
    <w:lvl w:ilvl="0">
      <w:lvlJc w:val="left"/>
      <w:lvlText w:val="%1"/>
      <w:numFmt w:val="decimal"/>
      <w:start w:val="1"/>
    </w:lvl>
    <w:lvl w:ilvl="1">
      <w:lvlJc w:val="left"/>
      <w:lvlText w:val="(%2)"/>
      <w:numFmt w:val="lowerLetter"/>
      <w:start w:val="15"/>
    </w:lvl>
  </w:abstractNum>
  <w:abstractNum w:abstractNumId="68">
    <w:nsid w:val="434BAE75"/>
    <w:multiLevelType w:val="hybridMultilevel"/>
    <w:lvl w:ilvl="0">
      <w:lvlJc w:val="left"/>
      <w:lvlText w:val="(%1)"/>
      <w:numFmt w:val="decimal"/>
      <w:start w:val="2"/>
    </w:lvl>
    <w:lvl w:ilvl="1">
      <w:lvlJc w:val="left"/>
      <w:lvlText w:val="(%2)"/>
      <w:numFmt w:val="lowerLetter"/>
      <w:start w:val="16"/>
    </w:lvl>
  </w:abstractNum>
  <w:abstractNum w:abstractNumId="69">
    <w:nsid w:val="4F38F265"/>
    <w:multiLevelType w:val="hybridMultilevel"/>
    <w:lvl w:ilvl="0">
      <w:lvlJc w:val="left"/>
      <w:lvlText w:val="(%1)"/>
      <w:numFmt w:val="decimal"/>
      <w:start w:val="2"/>
    </w:lvl>
    <w:lvl w:ilvl="1">
      <w:lvlJc w:val="left"/>
      <w:lvlText w:val="(%2)"/>
      <w:numFmt w:val="lowerLetter"/>
      <w:start w:val="17"/>
    </w:lvl>
  </w:abstractNum>
  <w:abstractNum w:abstractNumId="70">
    <w:nsid w:val="4C502870"/>
    <w:multiLevelType w:val="hybridMultilevel"/>
    <w:lvl w:ilvl="0">
      <w:lvlJc w:val="left"/>
      <w:lvlText w:val="%1"/>
      <w:numFmt w:val="upperLetter"/>
      <w:start w:val="1"/>
    </w:lvl>
    <w:lvl w:ilvl="1">
      <w:lvlJc w:val="left"/>
      <w:lvlText w:val="(%2)"/>
      <w:numFmt w:val="lowerLetter"/>
      <w:start w:val="20"/>
    </w:lvl>
  </w:abstractNum>
  <w:abstractNum w:abstractNumId="71">
    <w:nsid w:val="1DE8725A"/>
    <w:multiLevelType w:val="hybridMultilevel"/>
    <w:lvl w:ilvl="0">
      <w:lvlJc w:val="left"/>
      <w:lvlText w:val="(%1)"/>
      <w:numFmt w:val="upperLetter"/>
      <w:start w:val="1"/>
    </w:lvl>
    <w:lvl w:ilvl="1">
      <w:lvlJc w:val="left"/>
      <w:lvlText w:val="(%2)"/>
      <w:numFmt w:val="lowerLetter"/>
      <w:start w:val="26"/>
    </w:lvl>
  </w:abstractNum>
  <w:abstractNum w:abstractNumId="72">
    <w:nsid w:val="6A37288A"/>
    <w:multiLevelType w:val="hybridMultilevel"/>
    <w:lvl w:ilvl="0">
      <w:lvlJc w:val="left"/>
      <w:lvlText w:val="(%1)"/>
      <w:numFmt w:val="lowerLetter"/>
      <w:start w:val="25"/>
    </w:lvl>
  </w:abstractNum>
  <w:abstractNum w:abstractNumId="73">
    <w:nsid w:val="8F8B73F"/>
    <w:multiLevelType w:val="hybridMultilevel"/>
    <w:lvl w:ilvl="0">
      <w:lvlJc w:val="left"/>
      <w:lvlText w:val="(%1)"/>
      <w:numFmt w:val="lowerLetter"/>
      <w:start w:val="27"/>
    </w:lvl>
  </w:abstractNum>
  <w:abstractNum w:abstractNumId="74">
    <w:nsid w:val="CA6B462"/>
    <w:multiLevelType w:val="hybridMultilevel"/>
    <w:lvl w:ilvl="0">
      <w:lvlJc w:val="left"/>
      <w:lvlText w:val="(%1)"/>
      <w:numFmt w:val="lowerLetter"/>
      <w:start w:val="28"/>
    </w:lvl>
  </w:abstractNum>
  <w:abstractNum w:abstractNumId="75">
    <w:nsid w:val="763CB680"/>
    <w:multiLevelType w:val="hybridMultilevel"/>
    <w:lvl w:ilvl="0">
      <w:lvlJc w:val="left"/>
      <w:lvlText w:val="(%1)"/>
      <w:numFmt w:val="lowerLetter"/>
      <w:start w:val="2"/>
    </w:lvl>
  </w:abstractNum>
  <w:abstractNum w:abstractNumId="76">
    <w:nsid w:val="15B71329"/>
    <w:multiLevelType w:val="hybridMultilevel"/>
    <w:lvl w:ilvl="0">
      <w:lvlJc w:val="left"/>
      <w:lvlText w:val="(%1)"/>
      <w:numFmt w:val="lowerRoman"/>
      <w:start w:val="1"/>
    </w:lvl>
  </w:abstractNum>
  <w:abstractNum w:abstractNumId="77">
    <w:nsid w:val="3DA97044"/>
    <w:multiLevelType w:val="hybridMultilevel"/>
    <w:lvl w:ilvl="0">
      <w:lvlJc w:val="left"/>
      <w:lvlText w:val="(%1)"/>
      <w:numFmt w:val="lowerLetter"/>
      <w:start w:val="5"/>
    </w:lvl>
  </w:abstractNum>
  <w:abstractNum w:abstractNumId="78">
    <w:nsid w:val="1CDCE2DE"/>
    <w:multiLevelType w:val="hybridMultilevel"/>
    <w:lvl w:ilvl="0">
      <w:lvlJc w:val="left"/>
      <w:lvlText w:val="(%1)"/>
      <w:numFmt w:val="lowerLetter"/>
      <w:start w:val="1"/>
    </w:lvl>
  </w:abstractNum>
  <w:abstractNum w:abstractNumId="79">
    <w:nsid w:val="69D3947C"/>
    <w:multiLevelType w:val="hybridMultilevel"/>
    <w:lvl w:ilvl="0">
      <w:lvlJc w:val="left"/>
      <w:lvlText w:val="(%1)"/>
      <w:numFmt w:val="lowerLetter"/>
      <w:start w:val="9"/>
    </w:lvl>
  </w:abstractNum>
  <w:abstractNum w:abstractNumId="80">
    <w:nsid w:val="2539DFA5"/>
    <w:multiLevelType w:val="hybridMultilevel"/>
    <w:lvl w:ilvl="0">
      <w:lvlJc w:val="left"/>
      <w:lvlText w:val="(%1)"/>
      <w:numFmt w:val="lowerLetter"/>
      <w:start w:val="13"/>
    </w:lvl>
  </w:abstractNum>
  <w:abstractNum w:abstractNumId="81">
    <w:nsid w:val="2DB88089"/>
    <w:multiLevelType w:val="hybridMultilevel"/>
    <w:lvl w:ilvl="0">
      <w:lvlJc w:val="left"/>
      <w:lvlText w:val="(%1)"/>
      <w:numFmt w:val="upperLetter"/>
      <w:start w:val="1"/>
    </w:lvl>
  </w:abstractNum>
  <w:abstractNum w:abstractNumId="82">
    <w:nsid w:val="706B674E"/>
    <w:multiLevelType w:val="hybridMultilevel"/>
    <w:lvl w:ilvl="0">
      <w:lvlJc w:val="left"/>
      <w:lvlText w:val="(%1)"/>
      <w:numFmt w:val="upperLetter"/>
      <w:start w:val="2"/>
    </w:lvl>
  </w:abstractNum>
  <w:abstractNum w:abstractNumId="83">
    <w:nsid w:val="2C106A57"/>
    <w:multiLevelType w:val="hybridMultilevel"/>
    <w:lvl w:ilvl="0">
      <w:lvlJc w:val="left"/>
      <w:lvlText w:val="(%1)"/>
      <w:numFmt w:val="upperLetter"/>
      <w:start w:val="2"/>
    </w:lvl>
  </w:abstractNum>
  <w:abstractNum w:abstractNumId="84">
    <w:nsid w:val="684EED59"/>
    <w:multiLevelType w:val="hybridMultilevel"/>
    <w:lvl w:ilvl="0">
      <w:lvlJc w:val="left"/>
      <w:lvlText w:val="(%1)"/>
      <w:numFmt w:val="lowerLetter"/>
      <w:start w:val="1"/>
    </w:lvl>
  </w:abstractNum>
  <w:abstractNum w:abstractNumId="85">
    <w:nsid w:val="545EE5D3"/>
    <w:multiLevelType w:val="hybridMultilevel"/>
    <w:lvl w:ilvl="0">
      <w:lvlJc w:val="left"/>
      <w:lvlText w:val="(%1)"/>
      <w:numFmt w:val="lowerLetter"/>
      <w:start w:val="18"/>
    </w:lvl>
  </w:abstractNum>
  <w:abstractNum w:abstractNumId="86">
    <w:nsid w:val="4A66051"/>
    <w:multiLevelType w:val="hybridMultilevel"/>
    <w:lvl w:ilvl="0">
      <w:lvlJc w:val="left"/>
      <w:lvlText w:val="(%1)"/>
      <w:numFmt w:val="lowerLetter"/>
      <w:start w:val="19"/>
    </w:lvl>
  </w:abstractNum>
  <w:abstractNum w:abstractNumId="87">
    <w:nsid w:val="20F4BDAD"/>
    <w:multiLevelType w:val="hybridMultilevel"/>
    <w:lvl w:ilvl="0">
      <w:lvlJc w:val="left"/>
      <w:lvlText w:val="(%1)"/>
      <w:numFmt w:val="lowerLetter"/>
      <w:start w:val="1"/>
    </w:lvl>
  </w:abstractNum>
  <w:abstractNum w:abstractNumId="88">
    <w:nsid w:val="639DEFAC"/>
    <w:multiLevelType w:val="hybridMultilevel"/>
    <w:lvl w:ilvl="0">
      <w:lvlJc w:val="left"/>
      <w:lvlText w:val="(%1)"/>
      <w:numFmt w:val="lowerLetter"/>
      <w:start w:val="1"/>
    </w:lvl>
    <w:lvl w:ilvl="1">
      <w:lvlJc w:val="left"/>
      <w:lvlText w:val="(%2)"/>
      <w:numFmt w:val="lowerRoman"/>
      <w:start w:val="1"/>
    </w:lvl>
  </w:abstractNum>
  <w:abstractNum w:abstractNumId="89">
    <w:nsid w:val="501F9786"/>
    <w:multiLevelType w:val="hybridMultilevel"/>
    <w:lvl w:ilvl="0">
      <w:lvlJc w:val="left"/>
      <w:lvlText w:val="(%1)"/>
      <w:numFmt w:val="lowerRoman"/>
      <w:start w:val="3"/>
    </w:lvl>
  </w:abstractNum>
  <w:abstractNum w:abstractNumId="90">
    <w:nsid w:val="6B057295"/>
    <w:multiLevelType w:val="hybridMultilevel"/>
    <w:lvl w:ilvl="0">
      <w:lvlJc w:val="left"/>
      <w:lvlText w:val="(%1)"/>
      <w:numFmt w:val="lowerLetter"/>
      <w:start w:val="1"/>
    </w:lvl>
    <w:lvl w:ilvl="1">
      <w:lvlJc w:val="left"/>
      <w:lvlText w:val="(%2)"/>
      <w:numFmt w:val="lowerRoman"/>
      <w:start w:val="1"/>
    </w:lvl>
  </w:abstractNum>
  <w:abstractNum w:abstractNumId="91">
    <w:nsid w:val="2771AC80"/>
    <w:multiLevelType w:val="hybridMultilevel"/>
    <w:lvl w:ilvl="0">
      <w:lvlJc w:val="left"/>
      <w:lvlText w:val="%1"/>
      <w:numFmt w:val="lowerLetter"/>
      <w:start w:val="1"/>
    </w:lvl>
    <w:lvl w:ilvl="1">
      <w:lvlJc w:val="left"/>
      <w:lvlText w:val="(%2)"/>
      <w:numFmt w:val="lowerRoman"/>
      <w:start w:val="5"/>
    </w:lvl>
  </w:abstractNum>
  <w:abstractNum w:abstractNumId="92">
    <w:nsid w:val="1C4A08EC"/>
    <w:multiLevelType w:val="hybridMultilevel"/>
    <w:lvl w:ilvl="0">
      <w:lvlJc w:val="left"/>
      <w:lvlText w:val="(%1)"/>
      <w:numFmt w:val="lowerLetter"/>
      <w:start w:val="2"/>
    </w:lvl>
    <w:lvl w:ilvl="1">
      <w:lvlJc w:val="left"/>
      <w:lvlText w:val="%2"/>
      <w:numFmt w:val="lowerRoman"/>
      <w:start w:val="1"/>
    </w:lvl>
  </w:abstractNum>
  <w:abstractNum w:abstractNumId="93">
    <w:nsid w:val="1958BD17"/>
    <w:multiLevelType w:val="hybridMultilevel"/>
    <w:lvl w:ilvl="0">
      <w:lvlJc w:val="left"/>
      <w:lvlText w:val="(%1)"/>
      <w:numFmt w:val="lowerRoman"/>
      <w:start w:val="2"/>
    </w:lvl>
  </w:abstractNum>
  <w:abstractNum w:abstractNumId="94">
    <w:nsid w:val="4E647FE4"/>
    <w:multiLevelType w:val="hybridMultilevel"/>
    <w:lvl w:ilvl="0">
      <w:lvlJc w:val="left"/>
      <w:lvlText w:val="%1"/>
      <w:numFmt w:val="lowerLetter"/>
      <w:start w:val="1"/>
    </w:lvl>
    <w:lvl w:ilvl="1">
      <w:lvlJc w:val="left"/>
      <w:lvlText w:val="(%2)"/>
      <w:numFmt w:val="lowerLetter"/>
      <w:start w:val="3"/>
    </w:lvl>
  </w:abstractNum>
  <w:abstractNum w:abstractNumId="95">
    <w:nsid w:val="E0BB885"/>
    <w:multiLevelType w:val="hybridMultilevel"/>
    <w:lvl w:ilvl="0">
      <w:lvlJc w:val="left"/>
      <w:lvlText w:val="(%1)"/>
      <w:numFmt w:val="lowerLetter"/>
      <w:start w:val="9"/>
    </w:lvl>
    <w:lvl w:ilvl="1">
      <w:lvlJc w:val="left"/>
      <w:lvlText w:val="%2"/>
      <w:numFmt w:val="lowerLetter"/>
      <w:start w:val="1"/>
    </w:lvl>
  </w:abstractNum>
  <w:abstractNum w:abstractNumId="96">
    <w:nsid w:val="565976F1"/>
    <w:multiLevelType w:val="hybridMultilevel"/>
    <w:lvl w:ilvl="0">
      <w:lvlJc w:val="left"/>
      <w:lvlText w:val="(%1)"/>
      <w:numFmt w:val="lowerLetter"/>
      <w:start w:val="6"/>
    </w:lvl>
  </w:abstractNum>
  <w:abstractNum w:abstractNumId="97">
    <w:nsid w:val="64212B8C"/>
    <w:multiLevelType w:val="hybridMultilevel"/>
    <w:lvl w:ilvl="0">
      <w:lvlJc w:val="left"/>
      <w:lvlText w:val="(%1)"/>
      <w:numFmt w:val="lowerLetter"/>
      <w:start w:val="7"/>
    </w:lvl>
  </w:abstractNum>
  <w:abstractNum w:abstractNumId="98">
    <w:nsid w:val="5C17530C"/>
    <w:multiLevelType w:val="hybridMultilevel"/>
    <w:lvl w:ilvl="0">
      <w:lvlJc w:val="left"/>
      <w:lvlText w:val="(%1)"/>
      <w:numFmt w:val="lowerLetter"/>
      <w:start w:val="13"/>
    </w:lvl>
  </w:abstractNum>
  <w:abstractNum w:abstractNumId="99">
    <w:nsid w:val="19A52566"/>
    <w:multiLevelType w:val="hybridMultilevel"/>
    <w:lvl w:ilvl="0">
      <w:lvlJc w:val="left"/>
      <w:lvlText w:val="(%1)"/>
      <w:numFmt w:val="lowerLetter"/>
      <w:start w:val="3"/>
    </w:lvl>
  </w:abstractNum>
  <w:abstractNum w:abstractNumId="100">
    <w:nsid w:val="335A1DF1"/>
    <w:multiLevelType w:val="hybridMultilevel"/>
    <w:lvl w:ilvl="0">
      <w:lvlJc w:val="left"/>
      <w:lvlText w:val="(%1)"/>
      <w:numFmt w:val="upperLetter"/>
      <w:start w:val="2"/>
    </w:lvl>
  </w:abstractNum>
  <w:abstractNum w:abstractNumId="101">
    <w:nsid w:val="28677B7C"/>
    <w:multiLevelType w:val="hybridMultilevel"/>
    <w:lvl w:ilvl="0">
      <w:lvlJc w:val="left"/>
      <w:lvlText w:val="(%1)"/>
      <w:numFmt w:val="lowerLetter"/>
      <w:start w:val="15"/>
    </w:lvl>
  </w:abstractNum>
  <w:abstractNum w:abstractNumId="102">
    <w:nsid w:val="378D97C0"/>
    <w:multiLevelType w:val="hybridMultilevel"/>
    <w:lvl w:ilvl="0">
      <w:lvlJc w:val="left"/>
      <w:lvlText w:val="(%1)"/>
      <w:numFmt w:val="lowerLetter"/>
      <w:start w:val="1"/>
    </w:lvl>
  </w:abstractNum>
  <w:abstractNum w:abstractNumId="103">
    <w:nsid w:val="1D91467C"/>
    <w:multiLevelType w:val="hybridMultilevel"/>
    <w:lvl w:ilvl="0">
      <w:lvlJc w:val="left"/>
      <w:lvlText w:val="(%1)"/>
      <w:numFmt w:val="lowerLetter"/>
      <w:start w:val="1"/>
    </w:lvl>
  </w:abstractNum>
  <w:abstractNum w:abstractNumId="104">
    <w:nsid w:val="316032BB"/>
    <w:multiLevelType w:val="hybridMultilevel"/>
    <w:lvl w:ilvl="0">
      <w:lvlJc w:val="left"/>
      <w:lvlText w:val="(%1)"/>
      <w:numFmt w:val="lowerLetter"/>
      <w:start w:val="11"/>
    </w:lvl>
    <w:lvl w:ilvl="1">
      <w:lvlJc w:val="left"/>
      <w:lvlText w:val="(%2)"/>
      <w:numFmt w:val="lowerRoman"/>
      <w:start w:val="1"/>
    </w:lvl>
  </w:abstractNum>
  <w:abstractNum w:abstractNumId="105">
    <w:nsid w:val="44344C22"/>
    <w:multiLevelType w:val="hybridMultilevel"/>
    <w:lvl w:ilvl="0">
      <w:lvlJc w:val="left"/>
      <w:lvlText w:val="(%1)"/>
      <w:numFmt w:val="lowerLetter"/>
      <w:start w:val="13"/>
    </w:lvl>
  </w:abstractNum>
  <w:abstractNum w:abstractNumId="106">
    <w:nsid w:val="13CDFCFC"/>
    <w:multiLevelType w:val="hybridMultilevel"/>
    <w:lvl w:ilvl="0">
      <w:lvlJc w:val="left"/>
      <w:lvlText w:val="(%1)"/>
      <w:numFmt w:val="lowerLetter"/>
      <w:start w:val="14"/>
    </w:lvl>
  </w:abstractNum>
  <w:abstractNum w:abstractNumId="107">
    <w:nsid w:val="471745E4"/>
    <w:multiLevelType w:val="hybridMultilevel"/>
    <w:lvl w:ilvl="0">
      <w:lvlJc w:val="left"/>
      <w:lvlText w:val="(%1)"/>
      <w:numFmt w:val="lowerLetter"/>
      <w:start w:val="1"/>
    </w:lvl>
  </w:abstractNum>
  <w:abstractNum w:abstractNumId="108">
    <w:nsid w:val="1DDBC66"/>
    <w:multiLevelType w:val="hybridMultilevel"/>
    <w:lvl w:ilvl="0">
      <w:lvlJc w:val="left"/>
      <w:lvlText w:val="(%1)"/>
      <w:numFmt w:val="lowerLetter"/>
      <w:start w:val="3"/>
    </w:lvl>
  </w:abstractNum>
  <w:abstractNum w:abstractNumId="109">
    <w:nsid w:val="30AADFDA"/>
    <w:multiLevelType w:val="hybridMultilevel"/>
    <w:lvl w:ilvl="0">
      <w:lvlJc w:val="left"/>
      <w:lvlText w:val="(%1)"/>
      <w:numFmt w:val="lowerLetter"/>
      <w:start w:val="1"/>
    </w:lvl>
  </w:abstractNum>
  <w:abstractNum w:abstractNumId="110">
    <w:nsid w:val="30EADA61"/>
    <w:multiLevelType w:val="hybridMultilevel"/>
    <w:lvl w:ilvl="0">
      <w:lvlJc w:val="left"/>
      <w:lvlText w:val="(%1)"/>
      <w:numFmt w:val="lowerLetter"/>
      <w:start w:val="3"/>
    </w:lvl>
  </w:abstractNum>
  <w:abstractNum w:abstractNumId="111">
    <w:nsid w:val="27179C0B"/>
    <w:multiLevelType w:val="hybridMultilevel"/>
    <w:lvl w:ilvl="0">
      <w:lvlJc w:val="left"/>
      <w:lvlText w:val="(%1)"/>
      <w:numFmt w:val="lowerLetter"/>
      <w:start w:val="1"/>
    </w:lvl>
  </w:abstractNum>
  <w:abstractNum w:abstractNumId="112">
    <w:nsid w:val="5E636063"/>
    <w:multiLevelType w:val="hybridMultilevel"/>
    <w:lvl w:ilvl="0">
      <w:lvlJc w:val="left"/>
      <w:lvlText w:val="(%1)"/>
      <w:numFmt w:val="lowerLetter"/>
      <w:start w:val="2"/>
    </w:lvl>
  </w:abstractNum>
  <w:abstractNum w:abstractNumId="113">
    <w:nsid w:val="215641AF"/>
    <w:multiLevelType w:val="hybridMultilevel"/>
    <w:lvl w:ilvl="0">
      <w:lvlJc w:val="left"/>
      <w:lvlText w:val="(%1)"/>
      <w:numFmt w:val="lowerLetter"/>
      <w:start w:val="6"/>
    </w:lvl>
  </w:abstractNum>
  <w:abstractNum w:abstractNumId="114">
    <w:nsid w:val="53280662"/>
    <w:multiLevelType w:val="hybridMultilevel"/>
    <w:lvl w:ilvl="0">
      <w:lvlJc w:val="left"/>
      <w:lvlText w:val="(%1)"/>
      <w:numFmt w:val="lowerLetter"/>
      <w:start w:val="1"/>
    </w:lvl>
    <w:lvl w:ilvl="1">
      <w:lvlJc w:val="left"/>
      <w:lvlText w:val="(%2)"/>
      <w:numFmt w:val="lowerLetter"/>
      <w:start w:val="9"/>
    </w:lvl>
  </w:abstractNum>
  <w:abstractNum w:abstractNumId="115">
    <w:nsid w:val="46B24DBC"/>
    <w:multiLevelType w:val="hybridMultilevel"/>
    <w:lvl w:ilvl="0">
      <w:lvlJc w:val="left"/>
      <w:lvlText w:val="(%1)"/>
      <w:numFmt w:val="lowerRoman"/>
      <w:start w:val="2"/>
    </w:lvl>
  </w:abstractNum>
  <w:abstractNum w:abstractNumId="116">
    <w:nsid w:val="75B52783"/>
    <w:multiLevelType w:val="hybridMultilevel"/>
    <w:lvl w:ilvl="0">
      <w:lvlJc w:val="left"/>
      <w:lvlText w:val="(%1)"/>
      <w:numFmt w:val="lowerLetter"/>
      <w:start w:val="2"/>
    </w:lvl>
  </w:abstractNum>
  <w:abstractNum w:abstractNumId="117">
    <w:nsid w:val="57CE66B4"/>
    <w:multiLevelType w:val="hybridMultilevel"/>
    <w:lvl w:ilvl="0">
      <w:lvlJc w:val="left"/>
      <w:lvlText w:val="(%1)"/>
      <w:numFmt w:val="lowerLetter"/>
      <w:start w:val="1"/>
    </w:lvl>
  </w:abstractNum>
  <w:abstractNum w:abstractNumId="118">
    <w:nsid w:val="67A70B69"/>
    <w:multiLevelType w:val="hybridMultilevel"/>
    <w:lvl w:ilvl="0">
      <w:lvlJc w:val="left"/>
      <w:lvlText w:val="(%1)"/>
      <w:numFmt w:val="lowerLetter"/>
      <w:start w:val="6"/>
    </w:lvl>
  </w:abstractNum>
  <w:abstractNum w:abstractNumId="119">
    <w:nsid w:val="5953172F"/>
    <w:multiLevelType w:val="hybridMultilevel"/>
    <w:lvl w:ilvl="0">
      <w:lvlJc w:val="left"/>
      <w:lvlText w:val="(%1)"/>
      <w:numFmt w:val="lowerLetter"/>
      <w:start w:val="1"/>
    </w:lvl>
  </w:abstractNum>
  <w:abstractNum w:abstractNumId="120">
    <w:nsid w:val="27EDFE3A"/>
    <w:multiLevelType w:val="hybridMultilevel"/>
    <w:lvl w:ilvl="0">
      <w:lvlJc w:val="left"/>
      <w:lvlText w:val="(%1)"/>
      <w:numFmt w:val="lowerLetter"/>
      <w:start w:val="1"/>
    </w:lvl>
  </w:abstractNum>
  <w:abstractNum w:abstractNumId="121">
    <w:nsid w:val="52AC7DFF"/>
    <w:multiLevelType w:val="hybridMultilevel"/>
    <w:lvl w:ilvl="0">
      <w:lvlJc w:val="left"/>
      <w:lvlText w:val="(%1)"/>
      <w:numFmt w:val="lowerRoman"/>
      <w:start w:val="2"/>
    </w:lvl>
  </w:abstractNum>
  <w:abstractNum w:abstractNumId="122">
    <w:nsid w:val="C4C3AF"/>
    <w:multiLevelType w:val="hybridMultilevel"/>
    <w:lvl w:ilvl="0">
      <w:lvlJc w:val="left"/>
      <w:lvlText w:val="(%1)"/>
      <w:numFmt w:val="lowerLetter"/>
      <w:start w:val="1"/>
    </w:lvl>
  </w:abstractNum>
  <w:abstractNum w:abstractNumId="123">
    <w:nsid w:val="44380727"/>
    <w:multiLevelType w:val="hybridMultilevel"/>
    <w:lvl w:ilvl="0">
      <w:lvlJc w:val="left"/>
      <w:lvlText w:val="(%1)"/>
      <w:numFmt w:val="lowerLetter"/>
      <w:start w:val="3"/>
    </w:lvl>
  </w:abstractNum>
  <w:abstractNum w:abstractNumId="124">
    <w:nsid w:val="6C053B16"/>
    <w:multiLevelType w:val="hybridMultilevel"/>
    <w:lvl w:ilvl="0">
      <w:lvlJc w:val="left"/>
      <w:lvlText w:val="(%1)"/>
      <w:numFmt w:val="lowerLetter"/>
      <w:start w:val="1"/>
    </w:lvl>
  </w:abstractNum>
  <w:abstractNum w:abstractNumId="125">
    <w:nsid w:val="4F294393"/>
    <w:multiLevelType w:val="hybridMultilevel"/>
    <w:lvl w:ilvl="0">
      <w:lvlJc w:val="left"/>
      <w:lvlText w:val="%1"/>
      <w:numFmt w:val="lowerLetter"/>
      <w:start w:val="1"/>
    </w:lvl>
    <w:lvl w:ilvl="1">
      <w:lvlJc w:val="left"/>
      <w:lvlText w:val="(%2)"/>
      <w:numFmt w:val="lowerLetter"/>
      <w:start w:val="9"/>
    </w:lvl>
  </w:abstractNum>
  <w:abstractNum w:abstractNumId="126">
    <w:nsid w:val="5243BFAC"/>
    <w:multiLevelType w:val="hybridMultilevel"/>
    <w:lvl w:ilvl="0">
      <w:lvlJc w:val="left"/>
      <w:lvlText w:val="(%1)"/>
      <w:numFmt w:val="lowerLetter"/>
      <w:start w:val="2"/>
    </w:lvl>
    <w:lvl w:ilvl="1">
      <w:lvlJc w:val="left"/>
      <w:lvlText w:val="%2"/>
      <w:numFmt w:val="lowerLetter"/>
      <w:start w:val="1"/>
    </w:lvl>
  </w:abstractNum>
  <w:abstractNum w:abstractNumId="127">
    <w:nsid w:val="425EB207"/>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28">
    <w:nsid w:val="334A6F1F"/>
    <w:multiLevelType w:val="hybridMultilevel"/>
    <w:lvl w:ilvl="0">
      <w:lvlJc w:val="left"/>
      <w:lvlText w:val="(%1)"/>
      <w:numFmt w:val="lowerLetter"/>
      <w:start w:val="5"/>
    </w:lvl>
  </w:abstractNum>
  <w:abstractNum w:abstractNumId="129">
    <w:nsid w:val="2E5B12B8"/>
    <w:multiLevelType w:val="hybridMultilevel"/>
    <w:lvl w:ilvl="0">
      <w:lvlJc w:val="left"/>
      <w:lvlText w:val="(%1)"/>
      <w:numFmt w:val="lowerLetter"/>
      <w:start w:val="8"/>
    </w:lvl>
  </w:abstractNum>
  <w:abstractNum w:abstractNumId="130">
    <w:nsid w:val="5C03D76D"/>
    <w:multiLevelType w:val="hybridMultilevel"/>
    <w:lvl w:ilvl="0">
      <w:lvlJc w:val="left"/>
      <w:lvlText w:val="(%1)"/>
      <w:numFmt w:val="lowerRoman"/>
      <w:start w:val="1"/>
    </w:lvl>
  </w:abstractNum>
  <w:abstractNum w:abstractNumId="131">
    <w:nsid w:val="66A48D11"/>
    <w:multiLevelType w:val="hybridMultilevel"/>
    <w:lvl w:ilvl="0">
      <w:lvlJc w:val="left"/>
      <w:lvlText w:val="(%1)"/>
      <w:numFmt w:val="lowerRoman"/>
      <w:start w:val="1"/>
    </w:lvl>
    <w:lvl w:ilvl="1">
      <w:lvlJc w:val="left"/>
      <w:lvlText w:val="(%2)"/>
      <w:numFmt w:val="lowerRoman"/>
      <w:start w:val="1"/>
    </w:lvl>
  </w:abstractNum>
  <w:abstractNum w:abstractNumId="132">
    <w:nsid w:val="56C28E34"/>
    <w:multiLevelType w:val="hybridMultilevel"/>
    <w:lvl w:ilvl="0">
      <w:lvlJc w:val="left"/>
      <w:lvlText w:val="(%1)"/>
      <w:numFmt w:val="lowerLetter"/>
      <w:start w:val="10"/>
    </w:lvl>
  </w:abstractNum>
  <w:abstractNum w:abstractNumId="133">
    <w:nsid w:val="13916F2D"/>
    <w:multiLevelType w:val="hybridMultilevel"/>
    <w:lvl w:ilvl="0">
      <w:lvlJc w:val="left"/>
      <w:lvlText w:val="(%1)"/>
      <w:numFmt w:val="lowerLetter"/>
      <w:start w:val="1"/>
    </w:lvl>
  </w:abstractNum>
  <w:abstractNum w:abstractNumId="134">
    <w:nsid w:val="435D38D"/>
    <w:multiLevelType w:val="hybridMultilevel"/>
    <w:lvl w:ilvl="0">
      <w:lvlJc w:val="left"/>
      <w:lvlText w:val="(%1)"/>
      <w:numFmt w:val="lowerLetter"/>
      <w:start w:val="2"/>
    </w:lvl>
  </w:abstractNum>
  <w:abstractNum w:abstractNumId="135">
    <w:nsid w:val="822C0EF"/>
    <w:multiLevelType w:val="hybridMultilevel"/>
    <w:lvl w:ilvl="0">
      <w:lvlJc w:val="left"/>
      <w:lvlText w:val="(%1)"/>
      <w:numFmt w:val="lowerLetter"/>
      <w:start w:val="1"/>
    </w:lvl>
  </w:abstractNum>
  <w:abstractNum w:abstractNumId="136">
    <w:nsid w:val="57C5BB4F"/>
    <w:multiLevelType w:val="hybridMultilevel"/>
    <w:lvl w:ilvl="0">
      <w:lvlJc w:val="left"/>
      <w:lvlText w:val="(%1)"/>
      <w:numFmt w:val="lowerLetter"/>
      <w:start w:val="1"/>
    </w:lvl>
  </w:abstractNum>
  <w:abstractNum w:abstractNumId="137">
    <w:nsid w:val="1803D089"/>
    <w:multiLevelType w:val="hybridMultilevel"/>
    <w:lvl w:ilvl="0">
      <w:lvlJc w:val="left"/>
      <w:lvlText w:val="(%1)"/>
      <w:numFmt w:val="lowerLetter"/>
      <w:start w:val="1"/>
    </w:lvl>
    <w:lvl w:ilvl="1">
      <w:lvlJc w:val="left"/>
      <w:lvlText w:val="(%2)"/>
      <w:numFmt w:val="upperLetter"/>
      <w:start w:val="1"/>
    </w:lvl>
  </w:abstractNum>
  <w:abstractNum w:abstractNumId="138">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39">
    <w:nsid w:val="59A377B6"/>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40">
    <w:nsid w:val="48AEB06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1">
    <w:nsid w:val="24E135"/>
    <w:multiLevelType w:val="hybridMultilevel"/>
    <w:lvl w:ilvl="0">
      <w:lvlJc w:val="left"/>
      <w:lvlText w:val="%1"/>
      <w:numFmt w:val="lowerLetter"/>
      <w:start w:val="1"/>
    </w:lvl>
    <w:lvl w:ilvl="1">
      <w:lvlJc w:val="left"/>
      <w:lvlText w:val="(%2)"/>
      <w:numFmt w:val="lowerLetter"/>
      <w:start w:val="9"/>
    </w:lvl>
  </w:abstractNum>
  <w:abstractNum w:abstractNumId="142">
    <w:nsid w:val="BB13C1"/>
    <w:multiLevelType w:val="hybridMultilevel"/>
    <w:lvl w:ilvl="0">
      <w:lvlJc w:val="left"/>
      <w:lvlText w:val="(%1)"/>
      <w:numFmt w:val="lowerLetter"/>
      <w:start w:val="3"/>
    </w:lvl>
    <w:lvl w:ilvl="1">
      <w:lvlJc w:val="left"/>
      <w:lvlText w:val="%2"/>
      <w:numFmt w:val="lowerLetter"/>
      <w:start w:val="1"/>
    </w:lvl>
  </w:abstractNum>
  <w:abstractNum w:abstractNumId="143">
    <w:nsid w:val="271210C7"/>
    <w:multiLevelType w:val="hybridMultilevel"/>
    <w:lvl w:ilvl="0">
      <w:lvlJc w:val="left"/>
      <w:lvlText w:val="(%1)"/>
      <w:numFmt w:val="lowerLetter"/>
      <w:start w:val="1"/>
    </w:lvl>
    <w:lvl w:ilvl="1">
      <w:lvlJc w:val="left"/>
      <w:lvlText w:val="(%2)"/>
      <w:numFmt w:val="lowerRoman"/>
      <w:start w:val="1"/>
    </w:lvl>
  </w:abstractNum>
  <w:abstractNum w:abstractNumId="144">
    <w:nsid w:val="217B22E4"/>
    <w:multiLevelType w:val="hybridMultilevel"/>
    <w:lvl w:ilvl="0">
      <w:lvlJc w:val="left"/>
      <w:lvlText w:val="%1"/>
      <w:numFmt w:val="lowerLetter"/>
      <w:start w:val="1"/>
    </w:lvl>
    <w:lvl w:ilvl="1">
      <w:lvlJc w:val="left"/>
      <w:lvlText w:val="(%2)"/>
      <w:numFmt w:val="lowerLetter"/>
      <w:start w:val="61"/>
    </w:lvl>
  </w:abstractNum>
  <w:abstractNum w:abstractNumId="145">
    <w:nsid w:val="53E31A24"/>
    <w:multiLevelType w:val="hybridMultilevel"/>
    <w:lvl w:ilvl="0">
      <w:lvlJc w:val="left"/>
      <w:lvlText w:val="(%1)"/>
      <w:numFmt w:val="lowerLetter"/>
      <w:start w:val="2"/>
    </w:lvl>
    <w:lvl w:ilvl="1">
      <w:lvlJc w:val="left"/>
      <w:lvlText w:val="(%2)"/>
      <w:numFmt w:val="lowerLetter"/>
      <w:start w:val="9"/>
    </w:lvl>
  </w:abstractNum>
  <w:abstractNum w:abstractNumId="146">
    <w:nsid w:val="6DC45E83"/>
    <w:multiLevelType w:val="hybridMultilevel"/>
    <w:lvl w:ilvl="0">
      <w:lvlJc w:val="left"/>
      <w:lvlText w:val="(%1)"/>
      <w:numFmt w:val="lowerRoman"/>
      <w:start w:val="2"/>
    </w:lvl>
    <w:lvl w:ilvl="1">
      <w:lvlJc w:val="left"/>
      <w:lvlText w:val="(%2)"/>
      <w:numFmt w:val="upperLetter"/>
      <w:start w:val="1"/>
    </w:lvl>
  </w:abstractNum>
  <w:abstractNum w:abstractNumId="147">
    <w:nsid w:val="17304A67"/>
    <w:multiLevelType w:val="hybridMultilevel"/>
    <w:lvl w:ilvl="0">
      <w:lvlJc w:val="left"/>
      <w:lvlText w:val="%1"/>
      <w:numFmt w:val="lowerRoman"/>
      <w:start w:val="1"/>
    </w:lvl>
    <w:lvl w:ilvl="1">
      <w:lvlJc w:val="left"/>
      <w:lvlText w:val="(%2)"/>
      <w:numFmt w:val="upperLetter"/>
      <w:start w:val="3"/>
    </w:lvl>
  </w:abstractNum>
  <w:abstractNum w:abstractNumId="148">
    <w:nsid w:val="2BB180D8"/>
    <w:multiLevelType w:val="hybridMultilevel"/>
    <w:lvl w:ilvl="0">
      <w:lvlJc w:val="left"/>
      <w:lvlText w:val="(%1)"/>
      <w:numFmt w:val="lowerRoman"/>
      <w:start w:val="3"/>
    </w:lvl>
    <w:lvl w:ilvl="1">
      <w:lvlJc w:val="left"/>
      <w:lvlText w:val="%2"/>
      <w:numFmt w:val="upperLetter"/>
      <w:start w:val="1"/>
    </w:lvl>
  </w:abstractNum>
  <w:abstractNum w:abstractNumId="149">
    <w:nsid w:val="556B69ED"/>
    <w:multiLevelType w:val="hybridMultilevel"/>
    <w:lvl w:ilvl="0">
      <w:lvlJc w:val="left"/>
      <w:lvlText w:val="(%1)"/>
      <w:numFmt w:val="lowerRoman"/>
      <w:start w:val="4"/>
    </w:lvl>
    <w:lvl w:ilvl="1">
      <w:lvlJc w:val="left"/>
      <w:lvlText w:val="(%2)"/>
      <w:numFmt w:val="upperLetter"/>
      <w:start w:val="1"/>
    </w:lvl>
  </w:abstractNum>
  <w:abstractNum w:abstractNumId="150">
    <w:nsid w:val="70836196"/>
    <w:multiLevelType w:val="hybridMultilevel"/>
    <w:lvl w:ilvl="0">
      <w:lvlJc w:val="left"/>
      <w:lvlText w:val="%1"/>
      <w:numFmt w:val="lowerRoman"/>
      <w:start w:val="1"/>
    </w:lvl>
    <w:lvl w:ilvl="1">
      <w:lvlJc w:val="left"/>
      <w:lvlText w:val="(%2)"/>
      <w:numFmt w:val="upperLetter"/>
      <w:start w:val="2"/>
    </w:lvl>
  </w:abstractNum>
  <w:abstractNum w:abstractNumId="151">
    <w:nsid w:val="539F7F12"/>
    <w:multiLevelType w:val="hybridMultilevel"/>
    <w:lvl w:ilvl="0">
      <w:lvlJc w:val="left"/>
      <w:lvlText w:val="(%1)"/>
      <w:numFmt w:val="lowerRoman"/>
      <w:start w:val="5"/>
    </w:lvl>
    <w:lvl w:ilvl="1">
      <w:lvlJc w:val="left"/>
      <w:lvlText w:val="%2"/>
      <w:numFmt w:val="upperLetter"/>
      <w:start w:val="1"/>
    </w:lvl>
  </w:abstractNum>
  <w:abstractNum w:abstractNumId="152">
    <w:nsid w:val="2817E7EC"/>
    <w:multiLevelType w:val="hybridMultilevel"/>
    <w:lvl w:ilvl="0">
      <w:lvlJc w:val="left"/>
      <w:lvlText w:val="(%1)"/>
      <w:numFmt w:val="lowerRoman"/>
      <w:start w:val="3"/>
    </w:lvl>
    <w:lvl w:ilvl="1">
      <w:lvlJc w:val="left"/>
      <w:lvlText w:val="(%2)"/>
      <w:numFmt w:val="lowerRoman"/>
      <w:start w:val="6"/>
    </w:lvl>
    <w:lvl w:ilvl="2">
      <w:lvlJc w:val="left"/>
      <w:lvlText w:val="(%3)"/>
      <w:numFmt w:val="upperLetter"/>
      <w:start w:val="1"/>
    </w:lvl>
  </w:abstractNum>
  <w:abstractNum w:abstractNumId="153">
    <w:nsid w:val="71482545"/>
    <w:multiLevelType w:val="hybridMultilevel"/>
    <w:lvl w:ilvl="0">
      <w:lvlJc w:val="left"/>
      <w:lvlText w:val="(%1)"/>
      <w:numFmt w:val="lowerRoman"/>
      <w:start w:val="8"/>
    </w:lvl>
  </w:abstractNum>
  <w:abstractNum w:abstractNumId="154">
    <w:nsid w:val="17D78639"/>
    <w:multiLevelType w:val="hybridMultilevel"/>
    <w:lvl w:ilvl="0">
      <w:lvlJc w:val="left"/>
      <w:lvlText w:val="(%1)"/>
      <w:numFmt w:val="lowerLetter"/>
      <w:start w:val="1"/>
    </w:lvl>
  </w:abstractNum>
  <w:abstractNum w:abstractNumId="155">
    <w:nsid w:val="141D2302"/>
    <w:multiLevelType w:val="hybridMultilevel"/>
    <w:lvl w:ilvl="0">
      <w:lvlJc w:val="left"/>
      <w:lvlText w:val="(%1)"/>
      <w:numFmt w:val="lowerLetter"/>
      <w:start w:val="6"/>
    </w:lvl>
  </w:abstractNum>
  <w:abstractNum w:abstractNumId="156">
    <w:nsid w:val="407168D8"/>
    <w:multiLevelType w:val="hybridMultilevel"/>
    <w:lvl w:ilvl="0">
      <w:lvlJc w:val="left"/>
      <w:lvlText w:val="(%1)"/>
      <w:numFmt w:val="lowerLetter"/>
      <w:start w:val="1"/>
    </w:lvl>
  </w:abstractNum>
  <w:abstractNum w:abstractNumId="157">
    <w:nsid w:val="6A1B45E5"/>
    <w:multiLevelType w:val="hybridMultilevel"/>
    <w:lvl w:ilvl="0">
      <w:lvlJc w:val="left"/>
      <w:lvlText w:val="(%1)"/>
      <w:numFmt w:val="lowerLetter"/>
      <w:start w:val="1"/>
    </w:lvl>
  </w:abstractNum>
  <w:abstractNum w:abstractNumId="158">
    <w:nsid w:val="567BD50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59">
    <w:nsid w:val="73BBD7F8"/>
    <w:multiLevelType w:val="hybridMultilevel"/>
    <w:lvl w:ilvl="0">
      <w:lvlJc w:val="left"/>
      <w:lvlText w:val="(%1)"/>
      <w:numFmt w:val="lowerLetter"/>
      <w:start w:val="2"/>
    </w:lvl>
    <w:lvl w:ilvl="1">
      <w:lvlJc w:val="left"/>
      <w:lvlText w:val="(%2)"/>
      <w:numFmt w:val="lowerRoman"/>
      <w:start w:val="1"/>
    </w:lvl>
  </w:abstractNum>
  <w:abstractNum w:abstractNumId="160">
    <w:nsid w:val="1876589D"/>
    <w:multiLevelType w:val="hybridMultilevel"/>
    <w:lvl w:ilvl="0">
      <w:lvlJc w:val="left"/>
      <w:lvlText w:val="(%1)"/>
      <w:numFmt w:val="lowerRoman"/>
      <w:start w:val="5"/>
    </w:lvl>
  </w:abstractNum>
  <w:abstractNum w:abstractNumId="161">
    <w:nsid w:val="327FAC77"/>
    <w:multiLevelType w:val="hybridMultilevel"/>
    <w:lvl w:ilvl="0">
      <w:lvlJc w:val="left"/>
      <w:lvlText w:val="(%1)"/>
      <w:numFmt w:val="lowerLetter"/>
      <w:start w:val="1"/>
    </w:lvl>
    <w:lvl w:ilvl="1">
      <w:lvlJc w:val="left"/>
      <w:lvlText w:val="(%2)"/>
      <w:numFmt w:val="lowerRoman"/>
      <w:start w:val="1"/>
    </w:lvl>
  </w:abstractNum>
  <w:abstractNum w:abstractNumId="162">
    <w:nsid w:val="5A606509"/>
    <w:multiLevelType w:val="hybridMultilevel"/>
    <w:lvl w:ilvl="0">
      <w:lvlJc w:val="left"/>
      <w:lvlText w:val="(%1)"/>
      <w:numFmt w:val="lowerLetter"/>
      <w:start w:val="2"/>
    </w:lvl>
  </w:abstractNum>
  <w:abstractNum w:abstractNumId="163">
    <w:nsid w:val="6F38E6D1"/>
    <w:multiLevelType w:val="hybridMultilevel"/>
    <w:lvl w:ilvl="0">
      <w:lvlJc w:val="left"/>
      <w:lvlText w:val="(%1)"/>
      <w:numFmt w:val="lowerLetter"/>
      <w:start w:val="3"/>
    </w:lvl>
  </w:abstractNum>
  <w:abstractNum w:abstractNumId="164">
    <w:nsid w:val="46111BA5"/>
    <w:multiLevelType w:val="hybridMultilevel"/>
    <w:lvl w:ilvl="0">
      <w:lvlJc w:val="left"/>
      <w:lvlText w:val="(%1)"/>
      <w:numFmt w:val="lowerLetter"/>
      <w:start w:val="1"/>
    </w:lvl>
  </w:abstractNum>
  <w:abstractNum w:abstractNumId="165">
    <w:nsid w:val="5E963896"/>
    <w:multiLevelType w:val="hybridMultilevel"/>
    <w:lvl w:ilvl="0">
      <w:lvlJc w:val="left"/>
      <w:lvlText w:val="(%1)"/>
      <w:numFmt w:val="lowerLetter"/>
      <w:start w:val="2"/>
    </w:lvl>
    <w:lvl w:ilvl="1">
      <w:lvlJc w:val="left"/>
      <w:lvlText w:val="(%2)"/>
      <w:numFmt w:val="lowerLetter"/>
      <w:start w:val="9"/>
    </w:lvl>
  </w:abstractNum>
  <w:abstractNum w:abstractNumId="166">
    <w:nsid w:val="775BA7C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67">
    <w:nsid w:val="1DD6D6F4"/>
    <w:multiLevelType w:val="hybridMultilevel"/>
    <w:lvl w:ilvl="0">
      <w:lvlJc w:val="left"/>
      <w:lvlText w:val="(%1)"/>
      <w:numFmt w:val="lowerLetter"/>
      <w:start w:val="7"/>
    </w:lvl>
  </w:abstractNum>
  <w:abstractNum w:abstractNumId="168">
    <w:nsid w:val="769A091F"/>
    <w:multiLevelType w:val="hybridMultilevel"/>
    <w:lvl w:ilvl="0">
      <w:lvlJc w:val="left"/>
      <w:lvlText w:val="(%1)"/>
      <w:numFmt w:val="lowerLetter"/>
      <w:start w:val="1"/>
    </w:lvl>
    <w:lvl w:ilvl="1">
      <w:lvlJc w:val="left"/>
      <w:lvlText w:val="(%2)"/>
      <w:numFmt w:val="lowerRoman"/>
      <w:start w:val="1"/>
    </w:lvl>
  </w:abstractNum>
  <w:abstractNum w:abstractNumId="169">
    <w:nsid w:val="4695AE95"/>
    <w:multiLevelType w:val="hybridMultilevel"/>
    <w:lvl w:ilvl="0">
      <w:lvlJc w:val="left"/>
      <w:lvlText w:val="%1"/>
      <w:numFmt w:val="lowerLetter"/>
      <w:start w:val="1"/>
    </w:lvl>
    <w:lvl w:ilvl="1">
      <w:lvlJc w:val="left"/>
      <w:lvlText w:val="(%2)"/>
      <w:numFmt w:val="lowerRoman"/>
      <w:start w:val="3"/>
    </w:lvl>
  </w:abstractNum>
  <w:abstractNum w:abstractNumId="170">
    <w:nsid w:val="777A4EAA"/>
    <w:multiLevelType w:val="hybridMultilevel"/>
    <w:lvl w:ilvl="0">
      <w:lvlJc w:val="left"/>
      <w:lvlText w:val="(%1)"/>
      <w:numFmt w:val="lowerLetter"/>
      <w:start w:val="3"/>
    </w:lvl>
    <w:lvl w:ilvl="1">
      <w:lvlJc w:val="left"/>
      <w:lvlText w:val="(%2)"/>
      <w:numFmt w:val="lowerRoman"/>
      <w:start w:val="1"/>
    </w:lvl>
  </w:abstractNum>
  <w:abstractNum w:abstractNumId="171">
    <w:nsid w:val="3F48B982"/>
    <w:multiLevelType w:val="hybridMultilevel"/>
    <w:lvl w:ilvl="0">
      <w:lvlJc w:val="left"/>
      <w:lvlText w:val="%1"/>
      <w:numFmt w:val="lowerLetter"/>
      <w:start w:val="1"/>
    </w:lvl>
    <w:lvl w:ilvl="1">
      <w:lvlJc w:val="left"/>
      <w:lvlText w:val="(%2)"/>
      <w:numFmt w:val="lowerLetter"/>
      <w:start w:val="35"/>
    </w:lvl>
  </w:abstractNum>
  <w:abstractNum w:abstractNumId="172">
    <w:nsid w:val="46BA8FCA"/>
    <w:multiLevelType w:val="hybridMultilevel"/>
    <w:lvl w:ilvl="0">
      <w:lvlJc w:val="left"/>
      <w:lvlText w:val="(%1)"/>
      <w:numFmt w:val="lowerLetter"/>
      <w:start w:val="5"/>
    </w:lvl>
    <w:lvl w:ilvl="1">
      <w:lvlJc w:val="left"/>
      <w:lvlText w:val="%2"/>
      <w:numFmt w:val="lowerLetter"/>
      <w:start w:val="1"/>
    </w:lvl>
  </w:abstractNum>
  <w:abstractNum w:abstractNumId="173">
    <w:nsid w:val="7835626C"/>
    <w:multiLevelType w:val="hybridMultilevel"/>
    <w:lvl w:ilvl="0">
      <w:lvlJc w:val="left"/>
      <w:lvlText w:val="(%1)"/>
      <w:numFmt w:val="lowerLetter"/>
      <w:start w:val="1"/>
    </w:lvl>
  </w:abstractNum>
  <w:abstractNum w:abstractNumId="174">
    <w:nsid w:val="665ACA49"/>
    <w:multiLevelType w:val="hybridMultilevel"/>
    <w:lvl w:ilvl="0">
      <w:lvlJc w:val="left"/>
      <w:lvlText w:val="(%1)"/>
      <w:numFmt w:val="lowerLetter"/>
      <w:start w:val="1"/>
    </w:lvl>
  </w:abstractNum>
  <w:abstractNum w:abstractNumId="175">
    <w:nsid w:val="6835B2AE"/>
    <w:multiLevelType w:val="hybridMultilevel"/>
    <w:lvl w:ilvl="0">
      <w:lvlJc w:val="left"/>
      <w:lvlText w:val="(%1)"/>
      <w:numFmt w:val="lowerLetter"/>
      <w:start w:val="2"/>
    </w:lvl>
    <w:lvl w:ilvl="1">
      <w:lvlJc w:val="left"/>
      <w:lvlText w:val="(%2)"/>
      <w:numFmt w:val="lowerLetter"/>
      <w:start w:val="9"/>
    </w:lvl>
  </w:abstractNum>
  <w:abstractNum w:abstractNumId="176">
    <w:nsid w:val="4C187C90"/>
    <w:multiLevelType w:val="hybridMultilevel"/>
    <w:lvl w:ilvl="0">
      <w:lvlJc w:val="left"/>
      <w:lvlText w:val="%1"/>
      <w:numFmt w:val="upperLetter"/>
      <w:start w:val="1"/>
    </w:lvl>
    <w:lvl w:ilvl="1">
      <w:lvlJc w:val="left"/>
      <w:lvlText w:val="(%2)"/>
      <w:numFmt w:val="lowerRoman"/>
      <w:start w:val="2"/>
    </w:lvl>
  </w:abstractNum>
  <w:abstractNum w:abstractNumId="177">
    <w:nsid w:val="541F28CD"/>
    <w:multiLevelType w:val="hybridMultilevel"/>
    <w:lvl w:ilvl="0">
      <w:lvlJc w:val="left"/>
      <w:lvlText w:val="(%1)"/>
      <w:numFmt w:val="upperLetter"/>
      <w:start w:val="2"/>
    </w:lvl>
    <w:lvl w:ilvl="1">
      <w:lvlJc w:val="left"/>
      <w:lvlText w:val="(%2)"/>
      <w:numFmt w:val="lowerRoman"/>
      <w:start w:val="3"/>
    </w:lvl>
  </w:abstractNum>
  <w:abstractNum w:abstractNumId="178">
    <w:nsid w:val="7F65FD16"/>
    <w:multiLevelType w:val="hybridMultilevel"/>
    <w:lvl w:ilvl="0">
      <w:lvlJc w:val="left"/>
      <w:lvlText w:val="(%1)"/>
      <w:numFmt w:val="lowerLetter"/>
      <w:start w:val="5"/>
    </w:lvl>
  </w:abstractNum>
  <w:abstractNum w:abstractNumId="179">
    <w:nsid w:val="77C9FD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0">
    <w:nsid w:val="298A92BA"/>
    <w:multiLevelType w:val="hybridMultilevel"/>
    <w:lvl w:ilvl="0">
      <w:lvlJc w:val="left"/>
      <w:lvlText w:val="%1"/>
      <w:numFmt w:val="lowerRoman"/>
      <w:start w:val="1"/>
    </w:lvl>
    <w:lvl w:ilvl="1">
      <w:lvlJc w:val="left"/>
      <w:lvlText w:val="(%2)"/>
      <w:numFmt w:val="lowerRoman"/>
      <w:start w:val="5"/>
    </w:lvl>
  </w:abstractNum>
  <w:abstractNum w:abstractNumId="181">
    <w:nsid w:val="6FE95EAC"/>
    <w:multiLevelType w:val="hybridMultilevel"/>
    <w:lvl w:ilvl="0">
      <w:lvlJc w:val="left"/>
      <w:lvlText w:val="(%1)"/>
      <w:numFmt w:val="lowerRoman"/>
      <w:start w:val="10"/>
    </w:lvl>
    <w:lvl w:ilvl="1">
      <w:lvlJc w:val="left"/>
      <w:lvlText w:val="(%2)"/>
      <w:numFmt w:val="lowerRoman"/>
      <w:start w:val="11"/>
    </w:lvl>
  </w:abstractNum>
  <w:abstractNum w:abstractNumId="182">
    <w:nsid w:val="4B697C7A"/>
    <w:multiLevelType w:val="hybridMultilevel"/>
    <w:lvl w:ilvl="0">
      <w:lvlJc w:val="left"/>
      <w:lvlText w:val="%1"/>
      <w:numFmt w:val="lowerLetter"/>
      <w:start w:val="1"/>
    </w:lvl>
    <w:lvl w:ilvl="1">
      <w:lvlJc w:val="left"/>
      <w:lvlText w:val="(%2)"/>
      <w:numFmt w:val="lowerRoman"/>
      <w:start w:val="15"/>
    </w:lvl>
  </w:abstractNum>
  <w:abstractNum w:abstractNumId="183">
    <w:nsid w:val="51A27AA6"/>
    <w:multiLevelType w:val="hybridMultilevel"/>
    <w:lvl w:ilvl="0">
      <w:lvlJc w:val="left"/>
      <w:lvlText w:val="(%1)"/>
      <w:numFmt w:val="lowerLetter"/>
      <w:start w:val="2"/>
    </w:lvl>
    <w:lvl w:ilvl="1">
      <w:lvlJc w:val="left"/>
      <w:lvlText w:val="(%2)"/>
      <w:numFmt w:val="lowerRoman"/>
      <w:start w:val="1"/>
    </w:lvl>
  </w:abstractNum>
  <w:abstractNum w:abstractNumId="184">
    <w:nsid w:val="613183F2"/>
    <w:multiLevelType w:val="hybridMultilevel"/>
    <w:lvl w:ilvl="0">
      <w:lvlJc w:val="left"/>
      <w:lvlText w:val="%1"/>
      <w:numFmt w:val="lowerLetter"/>
      <w:start w:val="1"/>
    </w:lvl>
    <w:lvl w:ilvl="1">
      <w:lvlJc w:val="left"/>
      <w:lvlText w:val="(%2)"/>
      <w:numFmt w:val="lowerLetter"/>
      <w:start w:val="5"/>
    </w:lvl>
  </w:abstractNum>
  <w:abstractNum w:abstractNumId="185">
    <w:nsid w:val="634102B4"/>
    <w:multiLevelType w:val="hybridMultilevel"/>
    <w:lvl w:ilvl="0">
      <w:lvlJc w:val="left"/>
      <w:lvlText w:val="(%1)"/>
      <w:numFmt w:val="lowerLetter"/>
      <w:start w:val="9"/>
    </w:lvl>
    <w:lvl w:ilvl="1">
      <w:lvlJc w:val="left"/>
      <w:lvlText w:val="(%2)"/>
      <w:numFmt w:val="lowerLetter"/>
      <w:start w:val="9"/>
    </w:lvl>
  </w:abstractNum>
  <w:abstractNum w:abstractNumId="186">
    <w:nsid w:val="65BF9DA8"/>
    <w:multiLevelType w:val="hybridMultilevel"/>
    <w:lvl w:ilvl="0">
      <w:lvlJc w:val="left"/>
      <w:lvlText w:val="(%1)"/>
      <w:numFmt w:val="lowerLetter"/>
      <w:start w:val="1"/>
    </w:lvl>
  </w:abstractNum>
  <w:abstractNum w:abstractNumId="187">
    <w:nsid w:val="21A2ECCA"/>
    <w:multiLevelType w:val="hybridMultilevel"/>
    <w:lvl w:ilvl="0">
      <w:lvlJc w:val="left"/>
      <w:lvlText w:val="(%1)"/>
      <w:numFmt w:val="lowerRoman"/>
      <w:start w:val="1"/>
    </w:lvl>
  </w:abstractNum>
  <w:abstractNum w:abstractNumId="188">
    <w:nsid w:val="4D5C4899"/>
    <w:multiLevelType w:val="hybridMultilevel"/>
    <w:lvl w:ilvl="0">
      <w:lvlJc w:val="left"/>
      <w:lvlText w:val="(%1)"/>
      <w:numFmt w:val="lowerRoman"/>
      <w:start w:val="2"/>
    </w:lvl>
  </w:abstractNum>
  <w:abstractNum w:abstractNumId="189">
    <w:nsid w:val="3C3B72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0"/>
    </w:lvl>
  </w:abstractNum>
  <w:abstractNum w:abstractNumId="190">
    <w:nsid w:val="155EC4C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1">
    <w:nsid w:val="65D2A137"/>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92">
    <w:nsid w:val="6EBB1F2A"/>
    <w:multiLevelType w:val="hybridMultilevel"/>
    <w:lvl w:ilvl="0">
      <w:lvlJc w:val="left"/>
      <w:lvlText w:val="(%1)"/>
      <w:numFmt w:val="lowerLetter"/>
      <w:start w:val="1"/>
    </w:lvl>
  </w:abstractNum>
  <w:abstractNum w:abstractNumId="193">
    <w:nsid w:val="6FBF29CB"/>
    <w:multiLevelType w:val="hybridMultilevel"/>
    <w:lvl w:ilvl="0">
      <w:lvlJc w:val="left"/>
      <w:lvlText w:val="(%1)"/>
      <w:numFmt w:val="lowerLetter"/>
      <w:start w:val="1"/>
    </w:lvl>
  </w:abstractNum>
  <w:abstractNum w:abstractNumId="194">
    <w:nsid w:val="550B8808"/>
    <w:multiLevelType w:val="hybridMultilevel"/>
    <w:lvl w:ilvl="0">
      <w:lvlJc w:val="left"/>
      <w:lvlText w:val="(%1)"/>
      <w:numFmt w:val="lowerLetter"/>
      <w:start w:val="1"/>
    </w:lvl>
  </w:abstractNum>
  <w:abstractNum w:abstractNumId="195">
    <w:nsid w:val="34CC3ACF"/>
    <w:multiLevelType w:val="hybridMultilevel"/>
    <w:lvl w:ilvl="0">
      <w:lvlJc w:val="left"/>
      <w:lvlText w:val="(%1)"/>
      <w:numFmt w:val="lowerLetter"/>
      <w:start w:val="1"/>
    </w:lvl>
  </w:abstractNum>
  <w:abstractNum w:abstractNumId="196">
    <w:nsid w:val="4E556261"/>
    <w:multiLevelType w:val="hybridMultilevel"/>
    <w:lvl w:ilvl="0">
      <w:lvlJc w:val="left"/>
      <w:lvlText w:val="(%1)"/>
      <w:numFmt w:val="lowerLetter"/>
      <w:start w:val="1"/>
    </w:lvl>
  </w:abstractNum>
  <w:abstractNum w:abstractNumId="197">
    <w:nsid w:val="4C672FC9"/>
    <w:multiLevelType w:val="hybridMultilevel"/>
    <w:lvl w:ilvl="0">
      <w:lvlJc w:val="left"/>
      <w:lvlText w:val="(%1)"/>
      <w:numFmt w:val="upperLetter"/>
      <w:start w:val="1"/>
    </w:lvl>
  </w:abstractNum>
  <w:abstractNum w:abstractNumId="198">
    <w:nsid w:val="52A311C3"/>
    <w:multiLevelType w:val="hybridMultilevel"/>
    <w:lvl w:ilvl="0">
      <w:lvlJc w:val="left"/>
      <w:lvlText w:val="(%1)"/>
      <w:numFmt w:val="lowerLetter"/>
      <w:start w:val="1"/>
    </w:lvl>
  </w:abstractNum>
  <w:abstractNum w:abstractNumId="199">
    <w:nsid w:val="44EF6B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0">
    <w:nsid w:val="12FCDE5E"/>
    <w:multiLevelType w:val="hybridMultilevel"/>
    <w:lvl w:ilvl="0">
      <w:lvlJc w:val="left"/>
      <w:lvlText w:val="%1"/>
      <w:numFmt w:val="lowerLetter"/>
      <w:start w:val="1"/>
    </w:lvl>
    <w:lvl w:ilvl="1">
      <w:lvlJc w:val="left"/>
      <w:lvlText w:val="(%2)"/>
      <w:numFmt w:val="lowerLetter"/>
      <w:start w:val="35"/>
    </w:lvl>
  </w:abstractNum>
  <w:abstractNum w:abstractNumId="201">
    <w:nsid w:val="4A1D606E"/>
    <w:multiLevelType w:val="hybridMultilevel"/>
    <w:lvl w:ilvl="0">
      <w:lvlJc w:val="left"/>
      <w:lvlText w:val="(%1)"/>
      <w:numFmt w:val="lowerLetter"/>
      <w:start w:val="5"/>
    </w:lvl>
    <w:lvl w:ilvl="1">
      <w:lvlJc w:val="left"/>
      <w:lvlText w:val="%2"/>
      <w:numFmt w:val="lowerLetter"/>
      <w:start w:val="1"/>
    </w:lvl>
  </w:abstractNum>
  <w:abstractNum w:abstractNumId="202">
    <w:nsid w:val="4382503"/>
    <w:multiLevelType w:val="hybridMultilevel"/>
    <w:lvl w:ilvl="0">
      <w:lvlJc w:val="left"/>
      <w:lvlText w:val="(%1)"/>
      <w:numFmt w:val="lowerLetter"/>
      <w:start w:val="15"/>
    </w:lvl>
  </w:abstractNum>
  <w:abstractNum w:abstractNumId="203">
    <w:nsid w:val="59B76E28"/>
    <w:multiLevelType w:val="hybridMultilevel"/>
    <w:lvl w:ilvl="0">
      <w:lvlJc w:val="left"/>
      <w:lvlText w:val="(%1)"/>
      <w:numFmt w:val="lowerLetter"/>
      <w:start w:val="1"/>
    </w:lvl>
  </w:abstractNum>
  <w:abstractNum w:abstractNumId="204">
    <w:nsid w:val="4252C2DA"/>
    <w:multiLevelType w:val="hybridMultilevel"/>
    <w:lvl w:ilvl="0">
      <w:lvlJc w:val="left"/>
      <w:lvlText w:val="(%1)"/>
      <w:numFmt w:val="lowerLetter"/>
      <w:start w:val="1"/>
    </w:lvl>
  </w:abstractNum>
  <w:abstractNum w:abstractNumId="205">
    <w:nsid w:val="6A92EF4C"/>
    <w:multiLevelType w:val="hybridMultilevel"/>
    <w:lvl w:ilvl="0">
      <w:lvlJc w:val="left"/>
      <w:lvlText w:val="(%1)"/>
      <w:numFmt w:val="lowerLetter"/>
      <w:start w:val="6"/>
    </w:lvl>
  </w:abstractNum>
  <w:abstractNum w:abstractNumId="206">
    <w:nsid w:val="41ED20D7"/>
    <w:multiLevelType w:val="hybridMultilevel"/>
    <w:lvl w:ilvl="0">
      <w:lvlJc w:val="left"/>
      <w:lvlText w:val="(%1)"/>
      <w:numFmt w:val="upperLetter"/>
      <w:start w:val="2"/>
    </w:lvl>
  </w:abstractNum>
  <w:abstractNum w:abstractNumId="207">
    <w:nsid w:val="E6B3F6A"/>
    <w:multiLevelType w:val="hybridMultilevel"/>
    <w:lvl w:ilvl="0">
      <w:lvlJc w:val="left"/>
      <w:lvlText w:val="(%1)"/>
      <w:numFmt w:val="lowerLetter"/>
      <w:start w:val="25"/>
    </w:lvl>
  </w:abstractNum>
  <w:abstractNum w:abstractNumId="208">
    <w:nsid w:val="3EB21819"/>
    <w:multiLevelType w:val="hybridMultilevel"/>
    <w:lvl w:ilvl="0">
      <w:lvlJc w:val="left"/>
      <w:lvlText w:val="(%1)"/>
      <w:numFmt w:val="upperLetter"/>
      <w:start w:val="2"/>
    </w:lvl>
  </w:abstractNum>
  <w:abstractNum w:abstractNumId="209">
    <w:nsid w:val="41531DED"/>
    <w:multiLevelType w:val="hybridMultilevel"/>
    <w:lvl w:ilvl="0">
      <w:lvlJc w:val="left"/>
      <w:lvlText w:val="(%1)"/>
      <w:numFmt w:val="upperLetter"/>
      <w:start w:val="1"/>
    </w:lvl>
  </w:abstractNum>
  <w:abstractNum w:abstractNumId="210">
    <w:nsid w:val="6353CD2"/>
    <w:multiLevelType w:val="hybridMultilevel"/>
    <w:lvl w:ilvl="0">
      <w:lvlJc w:val="left"/>
      <w:lvlText w:val="%1"/>
      <w:numFmt w:val="upperLetter"/>
      <w:start w:val="1"/>
    </w:lvl>
    <w:lvl w:ilvl="1">
      <w:lvlJc w:val="left"/>
      <w:lvlText w:val="(%2)"/>
      <w:numFmt w:val="lowerLetter"/>
      <w:start w:val="1"/>
    </w:lvl>
  </w:abstractNum>
  <w:abstractNum w:abstractNumId="211">
    <w:nsid w:val="683CAAD3"/>
    <w:multiLevelType w:val="hybridMultilevel"/>
    <w:lvl w:ilvl="0">
      <w:lvlJc w:val="left"/>
      <w:lvlText w:val="(%1)"/>
      <w:numFmt w:val="upperLetter"/>
      <w:start w:val="1"/>
    </w:lvl>
    <w:lvl w:ilvl="1">
      <w:lvlJc w:val="left"/>
      <w:lvlText w:val="(%2)"/>
      <w:numFmt w:val="lowerLetter"/>
      <w:start w:val="2"/>
    </w:lvl>
  </w:abstractNum>
  <w:abstractNum w:abstractNumId="212">
    <w:nsid w:val="313C7C99"/>
    <w:multiLevelType w:val="hybridMultilevel"/>
    <w:lvl w:ilvl="0">
      <w:lvlJc w:val="left"/>
      <w:lvlText w:val="(%1)"/>
      <w:numFmt w:val="lowerLetter"/>
      <w:start w:val="1"/>
    </w:lvl>
  </w:abstractNum>
  <w:abstractNum w:abstractNumId="213">
    <w:nsid w:val="519EB94C"/>
    <w:multiLevelType w:val="hybridMultilevel"/>
    <w:lvl w:ilvl="0">
      <w:lvlJc w:val="left"/>
      <w:lvlText w:val="(%1)"/>
      <w:numFmt w:val="lowerLetter"/>
      <w:start w:val="2"/>
    </w:lvl>
  </w:abstractNum>
  <w:abstractNum w:abstractNumId="214">
    <w:nsid w:val="39DF2579"/>
    <w:multiLevelType w:val="hybridMultilevel"/>
    <w:lvl w:ilvl="0">
      <w:lvlJc w:val="left"/>
      <w:lvlText w:val="(%1)"/>
      <w:numFmt w:val="lowerLetter"/>
      <w:start w:val="1"/>
    </w:lvl>
    <w:lvl w:ilvl="1">
      <w:lvlJc w:val="left"/>
      <w:lvlText w:val="(%2)"/>
      <w:numFmt w:val="lowerLetter"/>
      <w:start w:val="9"/>
    </w:lvl>
  </w:abstractNum>
  <w:abstractNum w:abstractNumId="215">
    <w:nsid w:val="126E008B"/>
    <w:multiLevelType w:val="hybridMultilevel"/>
    <w:lvl w:ilvl="0">
      <w:lvlJc w:val="left"/>
      <w:lvlText w:val="%1"/>
      <w:numFmt w:val="upperLetter"/>
      <w:start w:val="1"/>
    </w:lvl>
    <w:lvl w:ilvl="1">
      <w:lvlJc w:val="left"/>
      <w:lvlText w:val="(%2)"/>
      <w:numFmt w:val="lowerRoman"/>
      <w:start w:val="2"/>
    </w:lvl>
  </w:abstractNum>
  <w:abstractNum w:abstractNumId="216">
    <w:nsid w:val="34DFBC00"/>
    <w:multiLevelType w:val="hybridMultilevel"/>
    <w:lvl w:ilvl="0">
      <w:lvlJc w:val="left"/>
      <w:lvlText w:val="(%1)"/>
      <w:numFmt w:val="upperLetter"/>
      <w:start w:val="1"/>
    </w:lvl>
    <w:lvl w:ilvl="1">
      <w:lvlJc w:val="left"/>
      <w:lvlText w:val="%2"/>
      <w:numFmt w:val="lowerRoman"/>
      <w:start w:val="1"/>
    </w:lvl>
  </w:abstractNum>
  <w:abstractNum w:abstractNumId="217">
    <w:nsid w:val="1F9EC322"/>
    <w:multiLevelType w:val="hybridMultilevel"/>
    <w:lvl w:ilvl="0">
      <w:lvlJc w:val="left"/>
      <w:lvlText w:val="(%1)"/>
      <w:numFmt w:val="lowerRoman"/>
      <w:start w:val="4"/>
    </w:lvl>
  </w:abstractNum>
  <w:abstractNum w:abstractNumId="218">
    <w:nsid w:val="3410ED56"/>
    <w:multiLevelType w:val="hybridMultilevel"/>
    <w:lvl w:ilvl="0">
      <w:lvlJc w:val="left"/>
      <w:lvlText w:val="%1"/>
      <w:numFmt w:val="lowerLetter"/>
      <w:start w:val="1"/>
    </w:lvl>
    <w:lvl w:ilvl="1">
      <w:lvlJc w:val="left"/>
      <w:lvlText w:val="(%2)"/>
      <w:numFmt w:val="lowerRoman"/>
      <w:start w:val="9"/>
    </w:lvl>
  </w:abstractNum>
  <w:abstractNum w:abstractNumId="219">
    <w:nsid w:val="23C049A"/>
    <w:multiLevelType w:val="hybridMultilevel"/>
    <w:lvl w:ilvl="0">
      <w:lvlJc w:val="left"/>
      <w:lvlText w:val="(%1)"/>
      <w:numFmt w:val="lowerLetter"/>
      <w:start w:val="5"/>
    </w:lvl>
    <w:lvl w:ilvl="1">
      <w:lvlJc w:val="left"/>
      <w:lvlText w:val="%2"/>
      <w:numFmt w:val="lowerRoman"/>
      <w:start w:val="1"/>
    </w:lvl>
  </w:abstractNum>
  <w:abstractNum w:abstractNumId="220">
    <w:nsid w:val="5BDA35D4"/>
    <w:multiLevelType w:val="hybridMultilevel"/>
    <w:lvl w:ilvl="0">
      <w:lvlJc w:val="left"/>
      <w:lvlText w:val="(%1)"/>
      <w:numFmt w:val="lowerLetter"/>
      <w:start w:val="1"/>
    </w:lvl>
  </w:abstractNum>
  <w:abstractNum w:abstractNumId="221">
    <w:nsid w:val="496FB218"/>
    <w:multiLevelType w:val="hybridMultilevel"/>
    <w:lvl w:ilvl="0">
      <w:lvlJc w:val="left"/>
      <w:lvlText w:val="(%1)"/>
      <w:numFmt w:val="lowerLetter"/>
      <w:start w:val="1"/>
    </w:lvl>
  </w:abstractNum>
  <w:abstractNum w:abstractNumId="222">
    <w:nsid w:val="680EA5D1"/>
    <w:multiLevelType w:val="hybridMultilevel"/>
    <w:lvl w:ilvl="0">
      <w:lvlJc w:val="left"/>
      <w:lvlText w:val="(%1)"/>
      <w:numFmt w:val="lowerLetter"/>
      <w:start w:val="4"/>
    </w:lvl>
  </w:abstractNum>
  <w:abstractNum w:abstractNumId="223">
    <w:nsid w:val="4A9554FE"/>
    <w:multiLevelType w:val="hybridMultilevel"/>
    <w:lvl w:ilvl="0">
      <w:lvlJc w:val="left"/>
      <w:lvlText w:val="(%1)"/>
      <w:numFmt w:val="lowerLetter"/>
      <w:start w:val="35"/>
    </w:lvl>
    <w:lvl w:ilvl="1">
      <w:lvlJc w:val="left"/>
      <w:lvlText w:val="(%2)"/>
      <w:numFmt w:val="lowerLetter"/>
      <w:start w:val="7"/>
    </w:lvl>
  </w:abstractNum>
  <w:abstractNum w:abstractNumId="224">
    <w:nsid w:val="392EDBE4"/>
    <w:multiLevelType w:val="hybridMultilevel"/>
    <w:lvl w:ilvl="0">
      <w:lvlJc w:val="left"/>
      <w:lvlText w:val="(%1)"/>
      <w:numFmt w:val="lowerLetter"/>
      <w:start w:val="35"/>
    </w:lvl>
    <w:lvl w:ilvl="1">
      <w:lvlJc w:val="left"/>
      <w:lvlText w:val="(%2)"/>
      <w:numFmt w:val="lowerLetter"/>
      <w:start w:val="13"/>
    </w:lvl>
  </w:abstractNum>
  <w:abstractNum w:abstractNumId="225">
    <w:nsid w:val="3D1A2DD9"/>
    <w:multiLevelType w:val="hybridMultilevel"/>
    <w:lvl w:ilvl="0">
      <w:lvlJc w:val="left"/>
      <w:lvlText w:val="(%1)"/>
      <w:numFmt w:val="lowerLetter"/>
      <w:start w:val="14"/>
    </w:lvl>
  </w:abstractNum>
  <w:abstractNum w:abstractNumId="226">
    <w:nsid w:val="7F618FCD"/>
    <w:multiLevelType w:val="hybridMultilevel"/>
    <w:lvl w:ilvl="0">
      <w:lvlJc w:val="left"/>
      <w:lvlText w:val="(%1)"/>
      <w:numFmt w:val="lowerLetter"/>
      <w:start w:val="27"/>
    </w:lvl>
  </w:abstractNum>
  <w:abstractNum w:abstractNumId="227">
    <w:nsid w:val="7843E45"/>
    <w:multiLevelType w:val="hybridMultilevel"/>
    <w:lvl w:ilvl="0">
      <w:lvlJc w:val="left"/>
      <w:lvlText w:val="(%1)"/>
      <w:numFmt w:val="lowerLetter"/>
      <w:start w:val="1"/>
    </w:lvl>
  </w:abstractNum>
  <w:abstractNum w:abstractNumId="228">
    <w:nsid w:val="9815DA3"/>
    <w:multiLevelType w:val="hybridMultilevel"/>
    <w:lvl w:ilvl="0">
      <w:lvlJc w:val="left"/>
      <w:lvlText w:val="(%1)"/>
      <w:numFmt w:val="lowerLetter"/>
      <w:start w:val="5"/>
    </w:lvl>
    <w:lvl w:ilvl="1">
      <w:lvlJc w:val="left"/>
      <w:lvlText w:val="(%2)"/>
      <w:numFmt w:val="lowerLetter"/>
      <w:start w:val="9"/>
    </w:lvl>
  </w:abstractNum>
  <w:abstractNum w:abstractNumId="229">
    <w:nsid w:val="5204A191"/>
    <w:multiLevelType w:val="hybridMultilevel"/>
    <w:lvl w:ilvl="0">
      <w:lvlJc w:val="left"/>
      <w:lvlText w:val="%1"/>
      <w:numFmt w:val="lowerLetter"/>
      <w:start w:val="1"/>
    </w:lvl>
    <w:lvl w:ilvl="1">
      <w:lvlJc w:val="left"/>
      <w:lvlText w:val="(%2)"/>
      <w:numFmt w:val="lowerLetter"/>
      <w:start w:val="35"/>
    </w:lvl>
  </w:abstractNum>
  <w:abstractNum w:abstractNumId="230">
    <w:nsid w:val="4C73A9C6"/>
    <w:multiLevelType w:val="hybridMultilevel"/>
    <w:lvl w:ilvl="0">
      <w:lvlJc w:val="left"/>
      <w:lvlText w:val="(%1)"/>
      <w:numFmt w:val="lowerLetter"/>
      <w:start w:val="15"/>
    </w:lvl>
    <w:lvl w:ilvl="1">
      <w:lvlJc w:val="left"/>
      <w:lvlText w:val="(%2)"/>
      <w:numFmt w:val="lowerLetter"/>
      <w:start w:val="9"/>
    </w:lvl>
  </w:abstractNum>
  <w:abstractNum w:abstractNumId="231">
    <w:nsid w:val="1C7E3C01"/>
    <w:multiLevelType w:val="hybridMultilevel"/>
    <w:lvl w:ilvl="0">
      <w:lvlJc w:val="left"/>
      <w:lvlText w:val="%1"/>
      <w:numFmt w:val="upperLetter"/>
      <w:start w:val="1"/>
    </w:lvl>
    <w:lvl w:ilvl="1">
      <w:lvlJc w:val="left"/>
      <w:lvlText w:val="(%2)"/>
      <w:numFmt w:val="lowerRoman"/>
      <w:start w:val="2"/>
    </w:lvl>
  </w:abstractNum>
  <w:abstractNum w:abstractNumId="232">
    <w:nsid w:val="1C2201FF"/>
    <w:multiLevelType w:val="hybridMultilevel"/>
    <w:lvl w:ilvl="0">
      <w:lvlJc w:val="left"/>
      <w:lvlText w:val="(%1)"/>
      <w:numFmt w:val="upperLetter"/>
      <w:start w:val="2"/>
    </w:lvl>
    <w:lvl w:ilvl="1">
      <w:lvlJc w:val="left"/>
      <w:lvlText w:val="(%2)"/>
      <w:numFmt w:val="lowerRoman"/>
      <w:start w:val="3"/>
    </w:lvl>
  </w:abstractNum>
  <w:abstractNum w:abstractNumId="233">
    <w:nsid w:val="50ABCEC9"/>
    <w:multiLevelType w:val="hybridMultilevel"/>
    <w:lvl w:ilvl="0">
      <w:lvlJc w:val="left"/>
      <w:lvlText w:val="%1"/>
      <w:numFmt w:val="lowerLetter"/>
      <w:start w:val="1"/>
    </w:lvl>
    <w:lvl w:ilvl="1">
      <w:lvlJc w:val="left"/>
      <w:lvlText w:val="(%2)"/>
      <w:numFmt w:val="lowerLetter"/>
      <w:start w:val="22"/>
    </w:lvl>
  </w:abstractNum>
  <w:abstractNum w:abstractNumId="234">
    <w:nsid w:val="7635AA2A"/>
    <w:multiLevelType w:val="hybridMultilevel"/>
    <w:lvl w:ilvl="0">
      <w:lvlJc w:val="left"/>
      <w:lvlText w:val="(%1)"/>
      <w:numFmt w:val="lowerLetter"/>
      <w:start w:val="25"/>
    </w:lvl>
    <w:lvl w:ilvl="1">
      <w:lvlJc w:val="left"/>
      <w:lvlText w:val="%2"/>
      <w:numFmt w:val="lowerLetter"/>
      <w:start w:val="1"/>
    </w:lvl>
  </w:abstractNum>
  <w:abstractNum w:abstractNumId="235">
    <w:nsid w:val="5E74C4D9"/>
    <w:multiLevelType w:val="hybridMultilevel"/>
    <w:lvl w:ilvl="0">
      <w:lvlJc w:val="left"/>
      <w:lvlText w:val="%1"/>
      <w:numFmt w:val="lowerLetter"/>
      <w:start w:val="1"/>
    </w:lvl>
    <w:lvl w:ilvl="1">
      <w:lvlJc w:val="left"/>
      <w:lvlText w:val="(%2)"/>
      <w:numFmt w:val="lowerRoman"/>
      <w:start w:val="6"/>
    </w:lvl>
  </w:abstractNum>
  <w:abstractNum w:abstractNumId="236">
    <w:nsid w:val="3B3EBE15"/>
    <w:multiLevelType w:val="hybridMultilevel"/>
    <w:lvl w:ilvl="0">
      <w:lvlJc w:val="left"/>
      <w:lvlText w:val="(%1)"/>
      <w:numFmt w:val="lowerLetter"/>
      <w:start w:val="17"/>
    </w:lvl>
    <w:lvl w:ilvl="1">
      <w:lvlJc w:val="left"/>
      <w:lvlText w:val="%2"/>
      <w:numFmt w:val="lowerRoman"/>
      <w:start w:val="1"/>
    </w:lvl>
  </w:abstractNum>
  <w:abstractNum w:abstractNumId="237">
    <w:nsid w:val="3822CB01"/>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238">
    <w:nsid w:val="6CE00443"/>
    <w:multiLevelType w:val="hybridMultilevel"/>
    <w:lvl w:ilvl="0">
      <w:lvlJc w:val="left"/>
      <w:lvlText w:val="(%1)"/>
      <w:numFmt w:val="lowerLetter"/>
      <w:start w:val="27"/>
    </w:lvl>
  </w:abstractNum>
  <w:abstractNum w:abstractNumId="239">
    <w:nsid w:val="79F0D62F"/>
    <w:multiLevelType w:val="hybridMultilevel"/>
    <w:lvl w:ilvl="0">
      <w:lvlJc w:val="left"/>
      <w:lvlText w:val="(%1)"/>
      <w:numFmt w:val="lowerLetter"/>
      <w:start w:val="1"/>
    </w:lvl>
  </w:abstractNum>
  <w:abstractNum w:abstractNumId="240">
    <w:nsid w:val="7975E8EE"/>
    <w:multiLevelType w:val="hybridMultilevel"/>
    <w:lvl w:ilvl="0">
      <w:lvlJc w:val="left"/>
      <w:lvlText w:val="(%1)"/>
      <w:numFmt w:val="lowerLetter"/>
      <w:start w:val="4"/>
    </w:lvl>
  </w:abstractNum>
  <w:abstractNum w:abstractNumId="241">
    <w:nsid w:val="73154115"/>
    <w:multiLevelType w:val="hybridMultilevel"/>
    <w:lvl w:ilvl="0">
      <w:lvlJc w:val="left"/>
      <w:lvlText w:val="(%1)"/>
      <w:numFmt w:val="lowerRoman"/>
      <w:start w:val="2"/>
    </w:lvl>
    <w:lvl w:ilvl="1">
      <w:lvlJc w:val="left"/>
      <w:lvlText w:val="(%2)"/>
      <w:numFmt w:val="lowerLetter"/>
      <w:start w:val="12"/>
    </w:lvl>
  </w:abstractNum>
  <w:abstractNum w:abstractNumId="242">
    <w:nsid w:val="622D8102"/>
    <w:multiLevelType w:val="hybridMultilevel"/>
    <w:lvl w:ilvl="0">
      <w:lvlJc w:val="left"/>
      <w:lvlText w:val="(%1)"/>
      <w:numFmt w:val="lowerLetter"/>
      <w:start w:val="17"/>
    </w:lvl>
  </w:abstractNum>
  <w:abstractNum w:abstractNumId="243">
    <w:nsid w:val="2AB26587"/>
    <w:multiLevelType w:val="hybridMultilevel"/>
    <w:lvl w:ilvl="0">
      <w:lvlJc w:val="left"/>
      <w:lvlText w:val="(%1)"/>
      <w:numFmt w:val="lowerLetter"/>
      <w:start w:val="27"/>
    </w:lvl>
  </w:abstractNum>
  <w:abstractNum w:abstractNumId="244">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5">
    <w:nsid w:val="1C0CA67C"/>
    <w:multiLevelType w:val="hybridMultilevel"/>
    <w:lvl w:ilvl="0">
      <w:lvlJc w:val="left"/>
      <w:lvlText w:val="(%1)"/>
      <w:numFmt w:val="upperLetter"/>
      <w:start w:val="2"/>
    </w:lvl>
  </w:abstractNum>
  <w:abstractNum w:abstractNumId="246">
    <w:nsid w:val="3D206613"/>
    <w:multiLevelType w:val="hybridMultilevel"/>
    <w:lvl w:ilvl="0">
      <w:lvlJc w:val="left"/>
      <w:lvlText w:val="(%1)"/>
      <w:numFmt w:val="upperLetter"/>
      <w:start w:val="7"/>
    </w:lvl>
  </w:abstractNum>
  <w:abstractNum w:abstractNumId="247">
    <w:nsid w:val="7993B662"/>
    <w:multiLevelType w:val="hybridMultilevel"/>
    <w:lvl w:ilvl="0">
      <w:lvlJc w:val="left"/>
      <w:lvlText w:val="(%1)"/>
      <w:numFmt w:val="lowerRoman"/>
      <w:start w:val="2"/>
    </w:lvl>
    <w:lvl w:ilvl="1">
      <w:lvlJc w:val="left"/>
      <w:lvlText w:val="(%2)"/>
      <w:numFmt w:val="upperLetter"/>
      <w:start w:val="1"/>
    </w:lvl>
  </w:abstractNum>
  <w:abstractNum w:abstractNumId="248">
    <w:nsid w:val="3BAB699E"/>
    <w:multiLevelType w:val="hybridMultilevel"/>
    <w:lvl w:ilvl="0">
      <w:lvlJc w:val="left"/>
      <w:lvlText w:val="(%1)"/>
      <w:numFmt w:val="lowerRoman"/>
      <w:start w:val="5"/>
    </w:lvl>
  </w:abstractNum>
  <w:abstractNum w:abstractNumId="249">
    <w:nsid w:val="71315369"/>
    <w:multiLevelType w:val="hybridMultilevel"/>
    <w:lvl w:ilvl="0">
      <w:lvlJc w:val="left"/>
      <w:lvlText w:val="(%1)"/>
      <w:numFmt w:val="lowerLetter"/>
      <w:start w:val="2"/>
    </w:lvl>
    <w:lvl w:ilvl="1">
      <w:lvlJc w:val="left"/>
      <w:lvlText w:val="(%2)"/>
      <w:numFmt w:val="lowerRoman"/>
      <w:start w:val="1"/>
    </w:lvl>
  </w:abstractNum>
  <w:abstractNum w:abstractNumId="250">
    <w:nsid w:val="7BCFBAFC"/>
    <w:multiLevelType w:val="hybridMultilevel"/>
    <w:lvl w:ilvl="0">
      <w:lvlJc w:val="left"/>
      <w:lvlText w:val="(%1)"/>
      <w:numFmt w:val="lowerLetter"/>
      <w:start w:val="1"/>
    </w:lvl>
  </w:abstractNum>
  <w:abstractNum w:abstractNumId="251">
    <w:nsid w:val="17859F72"/>
    <w:multiLevelType w:val="hybridMultilevel"/>
    <w:lvl w:ilvl="0">
      <w:lvlJc w:val="left"/>
      <w:lvlText w:val="(%1)"/>
      <w:numFmt w:val="lowerLetter"/>
      <w:start w:val="14"/>
    </w:lvl>
  </w:abstractNum>
  <w:abstractNum w:abstractNumId="252">
    <w:nsid w:val="3AA10581"/>
    <w:multiLevelType w:val="hybridMultilevel"/>
    <w:lvl w:ilvl="0">
      <w:lvlJc w:val="left"/>
      <w:lvlText w:val="(%1)"/>
      <w:numFmt w:val="lowerLetter"/>
      <w:start w:val="1"/>
    </w:lvl>
  </w:abstractNum>
  <w:abstractNum w:abstractNumId="253">
    <w:nsid w:val="63DE60CD"/>
    <w:multiLevelType w:val="hybridMultilevel"/>
    <w:lvl w:ilvl="0">
      <w:lvlJc w:val="left"/>
      <w:lvlText w:val="(%1)"/>
      <w:numFmt w:val="lowerRoman"/>
      <w:start w:val="4"/>
    </w:lvl>
    <w:lvl w:ilvl="1">
      <w:lvlJc w:val="left"/>
      <w:lvlText w:val="(%2)"/>
      <w:numFmt w:val="lowerLetter"/>
      <w:start w:val="3"/>
    </w:lvl>
  </w:abstractNum>
  <w:abstractNum w:abstractNumId="254">
    <w:nsid w:val="621AF471"/>
    <w:multiLevelType w:val="hybridMultilevel"/>
    <w:lvl w:ilvl="0">
      <w:lvlJc w:val="left"/>
      <w:lvlText w:val="(%1)"/>
      <w:numFmt w:val="lowerLetter"/>
      <w:start w:val="6"/>
    </w:lvl>
  </w:abstractNum>
  <w:abstractNum w:abstractNumId="255">
    <w:nsid w:val="73CFE165"/>
    <w:multiLevelType w:val="hybridMultilevel"/>
    <w:lvl w:ilvl="0">
      <w:lvlJc w:val="left"/>
      <w:lvlText w:val="(%1)"/>
      <w:numFmt w:val="lowerLetter"/>
      <w:start w:val="15"/>
    </w:lvl>
    <w:lvl w:ilvl="1">
      <w:lvlJc w:val="left"/>
      <w:lvlText w:val="(%2)"/>
      <w:numFmt w:val="lowerRoman"/>
      <w:start w:val="1"/>
    </w:lvl>
  </w:abstractNum>
  <w:abstractNum w:abstractNumId="256">
    <w:nsid w:val="20F88EA6"/>
    <w:multiLevelType w:val="hybridMultilevel"/>
    <w:lvl w:ilvl="0">
      <w:lvlJc w:val="left"/>
      <w:lvlText w:val="(%1)"/>
      <w:numFmt w:val="lowerLetter"/>
      <w:start w:val="23"/>
    </w:lvl>
  </w:abstractNum>
  <w:abstractNum w:abstractNumId="257">
    <w:nsid w:val="617C843E"/>
    <w:multiLevelType w:val="hybridMultilevel"/>
    <w:lvl w:ilvl="0">
      <w:lvlJc w:val="left"/>
      <w:lvlText w:val="(%1)"/>
      <w:numFmt w:val="lowerLetter"/>
      <w:start w:val="27"/>
    </w:lvl>
  </w:abstractNum>
  <w:abstractNum w:abstractNumId="258">
    <w:nsid w:val="7B541FAB"/>
    <w:multiLevelType w:val="hybridMultilevel"/>
    <w:lvl w:ilvl="0">
      <w:lvlJc w:val="left"/>
      <w:lvlText w:val="(%1)"/>
      <w:numFmt w:val="lowerLetter"/>
      <w:start w:val="25"/>
    </w:lvl>
  </w:abstractNum>
  <w:abstractNum w:abstractNumId="259">
    <w:nsid w:val="2A79EC49"/>
    <w:multiLevelType w:val="hybridMultilevel"/>
    <w:lvl w:ilvl="0">
      <w:lvlJc w:val="left"/>
      <w:lvlText w:val="(%1)"/>
      <w:numFmt w:val="lowerLetter"/>
      <w:start w:val="1"/>
    </w:lvl>
    <w:lvl w:ilvl="1">
      <w:lvlJc w:val="left"/>
      <w:lvlText w:val="(%2)"/>
      <w:numFmt w:val="lowerRoman"/>
      <w:start w:val="1"/>
    </w:lvl>
  </w:abstractNum>
  <w:abstractNum w:abstractNumId="260">
    <w:nsid w:val="338125C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1">
    <w:nsid w:val="47C7C971"/>
    <w:multiLevelType w:val="hybridMultilevel"/>
    <w:lvl w:ilvl="0">
      <w:lvlJc w:val="left"/>
      <w:lvlText w:val="(%1)"/>
      <w:numFmt w:val="upperLetter"/>
      <w:start w:val="4"/>
    </w:lvl>
  </w:abstractNum>
  <w:abstractNum w:abstractNumId="262">
    <w:nsid w:val="46F8284B"/>
    <w:multiLevelType w:val="hybridMultilevel"/>
    <w:lvl w:ilvl="0">
      <w:lvlJc w:val="left"/>
      <w:lvlText w:val="%1"/>
      <w:numFmt w:val="lowerLetter"/>
      <w:start w:val="1"/>
    </w:lvl>
    <w:lvl w:ilvl="1">
      <w:lvlJc w:val="left"/>
      <w:lvlText w:val="(%2)"/>
      <w:numFmt w:val="lowerLetter"/>
      <w:start w:val="61"/>
    </w:lvl>
  </w:abstractNum>
  <w:abstractNum w:abstractNumId="263">
    <w:nsid w:val="4FA327CE"/>
    <w:multiLevelType w:val="hybridMultilevel"/>
    <w:lvl w:ilvl="0">
      <w:lvlJc w:val="left"/>
      <w:lvlText w:val="(%1)"/>
      <w:numFmt w:val="lowerLetter"/>
      <w:start w:val="9"/>
    </w:lvl>
    <w:lvl w:ilvl="1">
      <w:lvlJc w:val="left"/>
      <w:lvlText w:val="%2"/>
      <w:numFmt w:val="lowerLetter"/>
      <w:start w:val="1"/>
    </w:lvl>
  </w:abstractNum>
  <w:abstractNum w:abstractNumId="264">
    <w:nsid w:val="1873983A"/>
    <w:multiLevelType w:val="hybridMultilevel"/>
    <w:lvl w:ilvl="0">
      <w:lvlJc w:val="left"/>
      <w:lvlText w:val="(%1)"/>
      <w:numFmt w:val="lowerLetter"/>
      <w:start w:val="18"/>
    </w:lvl>
  </w:abstractNum>
  <w:abstractNum w:abstractNumId="265">
    <w:nsid w:val="3D2DD275"/>
    <w:multiLevelType w:val="hybridMultilevel"/>
    <w:lvl w:ilvl="0">
      <w:lvlJc w:val="left"/>
      <w:lvlText w:val="(%1)"/>
      <w:numFmt w:val="lowerLetter"/>
      <w:start w:val="27"/>
    </w:lvl>
  </w:abstractNum>
  <w:abstractNum w:abstractNumId="266">
    <w:nsid w:val="2E17ECA7"/>
    <w:multiLevelType w:val="hybridMultilevel"/>
    <w:lvl w:ilvl="0">
      <w:lvlJc w:val="left"/>
      <w:lvlText w:val="(%1)"/>
      <w:numFmt w:val="lowerLetter"/>
      <w:start w:val="1"/>
    </w:lvl>
  </w:abstractNum>
  <w:abstractNum w:abstractNumId="267">
    <w:nsid w:val="53B2564F"/>
    <w:multiLevelType w:val="hybridMultilevel"/>
    <w:lvl w:ilvl="0">
      <w:lvlJc w:val="left"/>
      <w:lvlText w:val="(%1)"/>
      <w:numFmt w:val="lowerRoman"/>
      <w:start w:val="4"/>
    </w:lvl>
    <w:lvl w:ilvl="1">
      <w:lvlJc w:val="left"/>
      <w:lvlText w:val="(%2)"/>
      <w:numFmt w:val="lowerLetter"/>
      <w:start w:val="2"/>
    </w:lvl>
  </w:abstractNum>
  <w:abstractNum w:abstractNumId="268">
    <w:nsid w:val="75509D76"/>
    <w:multiLevelType w:val="hybridMultilevel"/>
    <w:lvl w:ilvl="0">
      <w:lvlJc w:val="left"/>
      <w:lvlText w:val="(%1)"/>
      <w:numFmt w:val="lowerLetter"/>
      <w:start w:val="1"/>
    </w:lvl>
  </w:abstractNum>
  <w:abstractNum w:abstractNumId="269">
    <w:nsid w:val="1AF7F0EA"/>
    <w:multiLevelType w:val="hybridMultilevel"/>
    <w:lvl w:ilvl="0">
      <w:lvlJc w:val="left"/>
      <w:lvlText w:val="(%1)"/>
      <w:numFmt w:val="lowerRoman"/>
      <w:start w:val="1"/>
    </w:lvl>
  </w:abstractNum>
  <w:abstractNum w:abstractNumId="270">
    <w:nsid w:val="4DA32C7E"/>
    <w:multiLevelType w:val="hybridMultilevel"/>
    <w:lvl w:ilvl="0">
      <w:lvlJc w:val="left"/>
      <w:lvlText w:val="(%1)"/>
      <w:numFmt w:val="lowerLetter"/>
      <w:start w:val="1"/>
    </w:lvl>
  </w:abstractNum>
  <w:abstractNum w:abstractNumId="271">
    <w:nsid w:val="6EC6866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72">
    <w:nsid w:val="E0D31FF"/>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73">
    <w:nsid w:val="2FD0AD8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74">
    <w:nsid w:val="1978EBEB"/>
    <w:multiLevelType w:val="hybridMultilevel"/>
    <w:lvl w:ilvl="0">
      <w:lvlJc w:val="left"/>
      <w:lvlText w:val="(%1)"/>
      <w:numFmt w:val="lowerLetter"/>
      <w:start w:val="5"/>
    </w:lvl>
  </w:abstractNum>
  <w:abstractNum w:abstractNumId="275">
    <w:nsid w:val="52C12C61"/>
    <w:multiLevelType w:val="hybridMultilevel"/>
    <w:lvl w:ilvl="0">
      <w:lvlJc w:val="left"/>
      <w:lvlText w:val="(%1)"/>
      <w:numFmt w:val="lowerLetter"/>
      <w:start w:val="10"/>
    </w:lvl>
  </w:abstractNum>
  <w:abstractNum w:abstractNumId="276">
    <w:nsid w:val="4BDD53FD"/>
    <w:multiLevelType w:val="hybridMultilevel"/>
    <w:lvl w:ilvl="0">
      <w:lvlJc w:val="left"/>
      <w:lvlText w:val="(%1)"/>
      <w:numFmt w:val="lowerLetter"/>
      <w:start w:val="1"/>
    </w:lvl>
  </w:abstractNum>
  <w:abstractNum w:abstractNumId="277">
    <w:nsid w:val="569951FE"/>
    <w:multiLevelType w:val="hybridMultilevel"/>
    <w:lvl w:ilvl="0">
      <w:lvlJc w:val="left"/>
      <w:lvlText w:val="(%1)"/>
      <w:numFmt w:val="lowerLetter"/>
      <w:start w:val="4"/>
    </w:lvl>
  </w:abstractNum>
  <w:abstractNum w:abstractNumId="278">
    <w:nsid w:val="4C54E2C3"/>
    <w:multiLevelType w:val="hybridMultilevel"/>
    <w:lvl w:ilvl="0">
      <w:lvlJc w:val="left"/>
      <w:lvlText w:val="(%1)"/>
      <w:numFmt w:val="lowerLetter"/>
      <w:start w:val="1"/>
    </w:lvl>
  </w:abstractNum>
  <w:abstractNum w:abstractNumId="279">
    <w:nsid w:val="788BD9B"/>
    <w:multiLevelType w:val="hybridMultilevel"/>
    <w:lvl w:ilvl="0">
      <w:lvlJc w:val="left"/>
      <w:lvlText w:val="(%1)"/>
      <w:numFmt w:val="lowerLetter"/>
      <w:start w:val="3"/>
    </w:lvl>
  </w:abstractNum>
  <w:abstractNum w:abstractNumId="280">
    <w:nsid w:val="47CAA567"/>
    <w:multiLevelType w:val="hybridMultilevel"/>
    <w:lvl w:ilvl="0">
      <w:lvlJc w:val="left"/>
      <w:lvlText w:val="(%1)"/>
      <w:numFmt w:val="lowerLetter"/>
      <w:start w:val="1"/>
    </w:lvl>
  </w:abstractNum>
  <w:abstractNum w:abstractNumId="281">
    <w:nsid w:val="48249DBF"/>
    <w:multiLevelType w:val="hybridMultilevel"/>
    <w:lvl w:ilvl="0">
      <w:lvlJc w:val="left"/>
      <w:lvlText w:val="(%1)"/>
      <w:numFmt w:val="lowerLetter"/>
      <w:start w:val="3"/>
    </w:lvl>
  </w:abstractNum>
  <w:abstractNum w:abstractNumId="282">
    <w:nsid w:val="1F0E5D0D"/>
    <w:multiLevelType w:val="hybridMultilevel"/>
    <w:lvl w:ilvl="0">
      <w:lvlJc w:val="left"/>
      <w:lvlText w:val="%1"/>
      <w:numFmt w:val="upperLetter"/>
      <w:start w:val="1"/>
    </w:lvl>
    <w:lvl w:ilvl="1">
      <w:lvlJc w:val="left"/>
      <w:lvlText w:val="(%2)"/>
      <w:numFmt w:val="lowerLetter"/>
      <w:start w:val="1"/>
    </w:lvl>
  </w:abstractNum>
  <w:abstractNum w:abstractNumId="283">
    <w:nsid w:val="26BAAE9"/>
    <w:multiLevelType w:val="hybridMultilevel"/>
    <w:lvl w:ilvl="0">
      <w:lvlJc w:val="left"/>
      <w:lvlText w:val="(%1)"/>
      <w:numFmt w:val="upperLetter"/>
      <w:start w:val="1"/>
    </w:lvl>
    <w:lvl w:ilvl="1">
      <w:lvlJc w:val="left"/>
      <w:lvlText w:val="%2"/>
      <w:numFmt w:val="lowerLetter"/>
      <w:start w:val="1"/>
    </w:lvl>
  </w:abstractNum>
  <w:abstractNum w:abstractNumId="284">
    <w:nsid w:val="2C02FE8C"/>
    <w:multiLevelType w:val="hybridMultilevel"/>
    <w:lvl w:ilvl="0">
      <w:lvlJc w:val="left"/>
      <w:lvlText w:val="(%1)"/>
      <w:numFmt w:val="lowerLetter"/>
      <w:start w:val="3"/>
    </w:lvl>
  </w:abstractNum>
  <w:abstractNum w:abstractNumId="285">
    <w:nsid w:val="129517E"/>
    <w:multiLevelType w:val="hybridMultilevel"/>
    <w:lvl w:ilvl="0">
      <w:lvlJc w:val="left"/>
      <w:lvlText w:val="(%1)"/>
      <w:numFmt w:val="lowerLetter"/>
      <w:start w:val="1"/>
    </w:lvl>
  </w:abstractNum>
  <w:abstractNum w:abstractNumId="286">
    <w:nsid w:val="763B8C4E"/>
    <w:multiLevelType w:val="hybridMultilevel"/>
    <w:lvl w:ilvl="0">
      <w:lvlJc w:val="left"/>
      <w:lvlText w:val="(%1)"/>
      <w:numFmt w:val="lowerLetter"/>
      <w:start w:val="1"/>
    </w:lvl>
    <w:lvl w:ilvl="1">
      <w:lvlJc w:val="left"/>
      <w:lvlText w:val="(%2)"/>
      <w:numFmt w:val="lowerRoman"/>
      <w:start w:val="1"/>
    </w:lvl>
  </w:abstractNum>
  <w:abstractNum w:abstractNumId="287">
    <w:nsid w:val="4CFB8D32"/>
    <w:multiLevelType w:val="hybridMultilevel"/>
    <w:lvl w:ilvl="0">
      <w:lvlJc w:val="left"/>
      <w:lvlText w:val="(%1)"/>
      <w:numFmt w:val="lowerRoman"/>
      <w:start w:val="4"/>
    </w:lvl>
  </w:abstractNum>
  <w:abstractNum w:abstractNumId="288">
    <w:nsid w:val="62A5D5BD"/>
    <w:multiLevelType w:val="hybridMultilevel"/>
    <w:lvl w:ilvl="0">
      <w:lvlJc w:val="left"/>
      <w:lvlText w:val="(%1)"/>
      <w:numFmt w:val="lowerLetter"/>
      <w:start w:val="2"/>
    </w:lvl>
  </w:abstractNum>
  <w:abstractNum w:abstractNumId="289">
    <w:nsid w:val="718FABF9"/>
    <w:multiLevelType w:val="hybridMultilevel"/>
    <w:lvl w:ilvl="0">
      <w:lvlJc w:val="left"/>
      <w:lvlText w:val="(%1)"/>
      <w:numFmt w:val="lowerLetter"/>
      <w:start w:val="1"/>
    </w:lvl>
  </w:abstractNum>
  <w:abstractNum w:abstractNumId="290">
    <w:nsid w:val="7775797C"/>
    <w:multiLevelType w:val="hybridMultilevel"/>
    <w:lvl w:ilvl="0">
      <w:lvlJc w:val="left"/>
      <w:lvlText w:val="(%1)"/>
      <w:numFmt w:val="upperLetter"/>
      <w:start w:val="1"/>
    </w:lvl>
    <w:lvl w:ilvl="1">
      <w:lvlJc w:val="left"/>
      <w:lvlText w:val="(%2)"/>
      <w:numFmt w:val="decimal"/>
      <w:start w:val="1"/>
    </w:lvl>
  </w:abstractNum>
  <w:abstractNum w:abstractNumId="291">
    <w:nsid w:val="1626F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292">
    <w:nsid w:val="395775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293">
    <w:nsid w:val="3E6DA1C7"/>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294">
    <w:nsid w:val="65CA235B"/>
    <w:multiLevelType w:val="hybridMultilevel"/>
    <w:lvl w:ilvl="0">
      <w:lvlJc w:val="left"/>
      <w:lvlText w:val="(%1)"/>
      <w:numFmt w:val="upperLetter"/>
      <w:start w:val="2"/>
    </w:lvl>
  </w:abstractNum>
  <w:abstractNum w:abstractNumId="295">
    <w:nsid w:val="51CB0DA4"/>
    <w:multiLevelType w:val="hybridMultilevel"/>
    <w:lvl w:ilvl="0">
      <w:lvlJc w:val="left"/>
      <w:lvlText w:val="%1"/>
      <w:numFmt w:val="lowerRoman"/>
      <w:start w:val="1"/>
    </w:lvl>
    <w:lvl w:ilvl="1">
      <w:lvlJc w:val="left"/>
      <w:lvlText w:val="(%2)"/>
      <w:numFmt w:val="upperLetter"/>
      <w:start w:val="10"/>
    </w:lvl>
  </w:abstractNum>
  <w:abstractNum w:abstractNumId="296">
    <w:nsid w:val="7B9B743C"/>
    <w:multiLevelType w:val="hybridMultilevel"/>
    <w:lvl w:ilvl="0">
      <w:lvlJc w:val="left"/>
      <w:lvlText w:val="(%1)"/>
      <w:numFmt w:val="lowerRoman"/>
      <w:start w:val="2"/>
    </w:lvl>
    <w:lvl w:ilvl="1">
      <w:lvlJc w:val="left"/>
      <w:lvlText w:val="(%2)"/>
      <w:numFmt w:val="upperLetter"/>
      <w:start w:val="1"/>
    </w:lvl>
  </w:abstractNum>
  <w:abstractNum w:abstractNumId="297">
    <w:nsid w:val="13E21002"/>
    <w:multiLevelType w:val="hybridMultilevel"/>
    <w:lvl w:ilvl="0">
      <w:lvlJc w:val="left"/>
      <w:lvlText w:val="(%1)"/>
      <w:numFmt w:val="lowerLetter"/>
      <w:start w:val="26"/>
    </w:lvl>
    <w:lvl w:ilvl="1">
      <w:lvlJc w:val="left"/>
      <w:lvlText w:val="(%2)"/>
      <w:numFmt w:val="upperLetter"/>
      <w:start w:val="7"/>
    </w:lvl>
  </w:abstractNum>
  <w:abstractNum w:abstractNumId="298">
    <w:nsid w:val="257D63F4"/>
    <w:multiLevelType w:val="hybridMultilevel"/>
    <w:lvl w:ilvl="0">
      <w:lvlJc w:val="left"/>
      <w:lvlText w:val="(%1)"/>
      <w:numFmt w:val="upperLetter"/>
      <w:start w:val="10"/>
    </w:lvl>
  </w:abstractNum>
  <w:abstractNum w:abstractNumId="299">
    <w:nsid w:val="70EC11B2"/>
    <w:multiLevelType w:val="hybridMultilevel"/>
    <w:lvl w:ilvl="0">
      <w:lvlJc w:val="left"/>
      <w:lvlText w:val="(%1)"/>
      <w:numFmt w:val="lowerLetter"/>
      <w:start w:val="4"/>
    </w:lvl>
    <w:lvl w:ilvl="1">
      <w:lvlJc w:val="left"/>
      <w:lvlText w:val="(%2)"/>
      <w:numFmt w:val="lowerRoman"/>
      <w:start w:val="1"/>
    </w:lvl>
  </w:abstractNum>
  <w:abstractNum w:abstractNumId="300">
    <w:nsid w:val="2EDA00ED"/>
    <w:multiLevelType w:val="hybridMultilevel"/>
    <w:lvl w:ilvl="0">
      <w:lvlJc w:val="left"/>
      <w:lvlText w:val="%1"/>
      <w:numFmt w:val="lowerLetter"/>
      <w:start w:val="1"/>
    </w:lvl>
    <w:lvl w:ilvl="1">
      <w:lvlJc w:val="left"/>
      <w:lvlText w:val="(%2)"/>
      <w:numFmt w:val="lowerRoman"/>
      <w:start w:val="5"/>
    </w:lvl>
  </w:abstractNum>
  <w:abstractNum w:abstractNumId="301">
    <w:nsid w:val="73209072"/>
    <w:multiLevelType w:val="hybridMultilevel"/>
    <w:lvl w:ilvl="0">
      <w:lvlJc w:val="left"/>
      <w:lvlText w:val="(%1)"/>
      <w:numFmt w:val="lowerLetter"/>
      <w:start w:val="5"/>
    </w:lvl>
    <w:lvl w:ilvl="1">
      <w:lvlJc w:val="left"/>
      <w:lvlText w:val="(%2)"/>
      <w:numFmt w:val="lowerRoman"/>
      <w:start w:val="1"/>
    </w:lvl>
  </w:abstractNum>
  <w:abstractNum w:abstractNumId="302">
    <w:nsid w:val="5FB29816"/>
    <w:multiLevelType w:val="hybridMultilevel"/>
    <w:lvl w:ilvl="0">
      <w:lvlJc w:val="left"/>
      <w:lvlText w:val="(%1)"/>
      <w:numFmt w:val="lowerRoman"/>
      <w:start w:val="2"/>
    </w:lvl>
  </w:abstractNum>
  <w:abstractNum w:abstractNumId="303">
    <w:nsid w:val="3CE732EC"/>
    <w:multiLevelType w:val="hybridMultilevel"/>
    <w:lvl w:ilvl="0">
      <w:lvlJc w:val="left"/>
      <w:lvlText w:val="(%1)"/>
      <w:numFmt w:val="lowerLetter"/>
      <w:start w:val="1"/>
    </w:lvl>
  </w:abstractNum>
  <w:abstractNum w:abstractNumId="304">
    <w:nsid w:val="22F13DF3"/>
    <w:multiLevelType w:val="hybridMultilevel"/>
    <w:lvl w:ilvl="0">
      <w:lvlJc w:val="left"/>
      <w:lvlText w:val="(%1)"/>
      <w:numFmt w:val="lowerLetter"/>
      <w:start w:val="35"/>
    </w:lvl>
    <w:lvl w:ilvl="1">
      <w:lvlJc w:val="left"/>
      <w:lvlText w:val="(%2)"/>
      <w:numFmt w:val="lowerLetter"/>
      <w:start w:val="3"/>
    </w:lvl>
  </w:abstractNum>
  <w:abstractNum w:abstractNumId="305">
    <w:nsid w:val="792B8401"/>
    <w:multiLevelType w:val="hybridMultilevel"/>
    <w:lvl w:ilvl="0">
      <w:lvlJc w:val="left"/>
      <w:lvlText w:val="(%1)"/>
      <w:numFmt w:val="lowerLetter"/>
      <w:start w:val="1"/>
    </w:lvl>
  </w:abstractNum>
  <w:abstractNum w:abstractNumId="306">
    <w:nsid w:val="FA85F4D"/>
    <w:multiLevelType w:val="hybridMultilevel"/>
    <w:lvl w:ilvl="0">
      <w:lvlJc w:val="left"/>
      <w:lvlText w:val="(%1)"/>
      <w:numFmt w:val="lowerLetter"/>
      <w:start w:val="2"/>
    </w:lvl>
    <w:lvl w:ilvl="1">
      <w:lvlJc w:val="left"/>
      <w:lvlText w:val="(%2)"/>
      <w:numFmt w:val="upperLetter"/>
      <w:start w:val="1"/>
    </w:lvl>
  </w:abstractNum>
  <w:abstractNum w:abstractNumId="307">
    <w:nsid w:val="6ECE91F0"/>
    <w:multiLevelType w:val="hybridMultilevel"/>
    <w:lvl w:ilvl="0">
      <w:lvlJc w:val="left"/>
      <w:lvlText w:val="(%1)"/>
      <w:numFmt w:val="lowerLetter"/>
      <w:start w:val="25"/>
    </w:lvl>
    <w:lvl w:ilvl="1">
      <w:lvlJc w:val="left"/>
      <w:lvlText w:val="(%2)"/>
      <w:numFmt w:val="upperLetter"/>
      <w:start w:val="2"/>
    </w:lvl>
  </w:abstractNum>
  <w:abstractNum w:abstractNumId="308">
    <w:nsid w:val="4FC4D600"/>
    <w:multiLevelType w:val="hybridMultilevel"/>
    <w:lvl w:ilvl="0">
      <w:lvlJc w:val="left"/>
      <w:lvlText w:val="(%1)"/>
      <w:numFmt w:val="lowerRoman"/>
      <w:start w:val="1"/>
    </w:lvl>
    <w:lvl w:ilvl="1">
      <w:lvlJc w:val="left"/>
      <w:lvlText w:val="(%2)"/>
      <w:numFmt w:val="upperLetter"/>
      <w:start w:val="1"/>
    </w:lvl>
  </w:abstractNum>
  <w:abstractNum w:abstractNumId="309">
    <w:nsid w:val="5BFD4210"/>
    <w:multiLevelType w:val="hybridMultilevel"/>
    <w:lvl w:ilvl="0">
      <w:lvlJc w:val="left"/>
      <w:lvlText w:val="%1"/>
      <w:numFmt w:val="lowerRoman"/>
      <w:start w:val="1"/>
    </w:lvl>
    <w:lvl w:ilvl="1">
      <w:lvlJc w:val="left"/>
      <w:lvlText w:val="(%2)"/>
      <w:numFmt w:val="upperLetter"/>
      <w:start w:val="4"/>
    </w:lvl>
  </w:abstractNum>
  <w:abstractNum w:abstractNumId="310">
    <w:nsid w:val="76574F8B"/>
    <w:multiLevelType w:val="hybridMultilevel"/>
    <w:lvl w:ilvl="0">
      <w:lvlJc w:val="left"/>
      <w:lvlText w:val="(%1)"/>
      <w:numFmt w:val="lowerRoman"/>
      <w:start w:val="2"/>
    </w:lvl>
    <w:lvl w:ilvl="1">
      <w:lvlJc w:val="left"/>
      <w:lvlText w:val="%2"/>
      <w:numFmt w:val="upperLetter"/>
      <w:start w:val="1"/>
    </w:lvl>
  </w:abstractNum>
  <w:abstractNum w:abstractNumId="311">
    <w:nsid w:val="178F7B67"/>
    <w:multiLevelType w:val="hybridMultilevel"/>
    <w:lvl w:ilvl="0">
      <w:lvlJc w:val="left"/>
      <w:lvlText w:val="%1"/>
      <w:numFmt w:val="lowerLetter"/>
      <w:start w:val="1"/>
    </w:lvl>
    <w:lvl w:ilvl="1">
      <w:lvlJc w:val="left"/>
      <w:lvlText w:val="(%2)"/>
      <w:numFmt w:val="lowerLetter"/>
      <w:start w:val="3"/>
    </w:lvl>
  </w:abstractNum>
  <w:abstractNum w:abstractNumId="312">
    <w:nsid w:val="2421DFCF"/>
    <w:multiLevelType w:val="hybridMultilevel"/>
    <w:lvl w:ilvl="0">
      <w:lvlJc w:val="left"/>
      <w:lvlText w:val="(%1)"/>
      <w:numFmt w:val="lowerLetter"/>
      <w:start w:val="25"/>
    </w:lvl>
    <w:lvl w:ilvl="1">
      <w:lvlJc w:val="left"/>
      <w:lvlText w:val="%2"/>
      <w:numFmt w:val="lowerLetter"/>
      <w:start w:val="1"/>
    </w:lvl>
  </w:abstractNum>
  <w:abstractNum w:abstractNumId="313">
    <w:nsid w:val="1565AC99"/>
    <w:multiLevelType w:val="hybridMultilevel"/>
    <w:lvl w:ilvl="0">
      <w:lvlJc w:val="left"/>
      <w:lvlText w:val="(%1)"/>
      <w:numFmt w:val="lowerRoman"/>
      <w:start w:val="1"/>
    </w:lvl>
  </w:abstractNum>
  <w:abstractNum w:abstractNumId="314">
    <w:nsid w:val="19FB2650"/>
    <w:multiLevelType w:val="hybridMultilevel"/>
    <w:lvl w:ilvl="0">
      <w:lvlJc w:val="left"/>
      <w:lvlText w:val="(%1)"/>
      <w:numFmt w:val="lowerLetter"/>
      <w:start w:val="4"/>
    </w:lvl>
    <w:lvl w:ilvl="1">
      <w:lvlJc w:val="left"/>
      <w:lvlText w:val="(%2)"/>
      <w:numFmt w:val="lowerLetter"/>
      <w:start w:val="9"/>
    </w:lvl>
  </w:abstractNum>
  <w:abstractNum w:abstractNumId="315">
    <w:nsid w:val="5024DE5B"/>
    <w:multiLevelType w:val="hybridMultilevel"/>
    <w:lvl w:ilvl="0">
      <w:lvlJc w:val="left"/>
      <w:lvlText w:val="(%1)"/>
      <w:numFmt w:val="lowerLetter"/>
      <w:start w:val="6"/>
    </w:lvl>
    <w:lvl w:ilvl="1">
      <w:lvlJc w:val="left"/>
      <w:lvlText w:val="(%2)"/>
      <w:numFmt w:val="lowerLetter"/>
      <w:start w:val="9"/>
    </w:lvl>
  </w:abstractNum>
  <w:abstractNum w:abstractNumId="316">
    <w:nsid w:val="168EFE17"/>
    <w:multiLevelType w:val="hybridMultilevel"/>
    <w:lvl w:ilvl="0">
      <w:lvlJc w:val="left"/>
      <w:lvlText w:val="%1"/>
      <w:numFmt w:val="lowerLetter"/>
      <w:start w:val="1"/>
    </w:lvl>
    <w:lvl w:ilvl="1">
      <w:lvlJc w:val="left"/>
      <w:lvlText w:val="(%2)"/>
      <w:numFmt w:val="lowerLetter"/>
      <w:start w:val="35"/>
    </w:lvl>
  </w:abstractNum>
  <w:abstractNum w:abstractNumId="317">
    <w:nsid w:val="1036B29F"/>
    <w:multiLevelType w:val="hybridMultilevel"/>
    <w:lvl w:ilvl="0">
      <w:lvlJc w:val="left"/>
      <w:lvlText w:val="(%1)"/>
      <w:numFmt w:val="lowerLetter"/>
      <w:start w:val="7"/>
    </w:lvl>
    <w:lvl w:ilvl="1">
      <w:lvlJc w:val="left"/>
      <w:lvlText w:val="(%2)"/>
      <w:numFmt w:val="lowerLetter"/>
      <w:start w:val="9"/>
    </w:lvl>
  </w:abstractNum>
  <w:abstractNum w:abstractNumId="318">
    <w:nsid w:val="1D206B8E"/>
    <w:multiLevelType w:val="hybridMultilevel"/>
    <w:lvl w:ilvl="0">
      <w:lvlJc w:val="left"/>
      <w:lvlText w:val="(%1)"/>
      <w:numFmt w:val="lowerRoman"/>
      <w:start w:val="2"/>
    </w:lvl>
    <w:lvl w:ilvl="1">
      <w:lvlJc w:val="left"/>
      <w:lvlText w:val="(%2)"/>
      <w:numFmt w:val="upperLetter"/>
      <w:start w:val="1"/>
    </w:lvl>
  </w:abstractNum>
  <w:abstractNum w:abstractNumId="319">
    <w:nsid w:val="7934D3D4"/>
    <w:multiLevelType w:val="hybridMultilevel"/>
    <w:lvl w:ilvl="0">
      <w:lvlJc w:val="left"/>
      <w:lvlText w:val="(%1)"/>
      <w:numFmt w:val="lowerRoman"/>
      <w:start w:val="7"/>
    </w:lvl>
  </w:abstractNum>
  <w:abstractNum w:abstractNumId="320">
    <w:nsid w:val="1C65E98"/>
    <w:multiLevelType w:val="hybridMultilevel"/>
    <w:lvl w:ilvl="0">
      <w:lvlJc w:val="left"/>
      <w:lvlText w:val="(%1)"/>
      <w:numFmt w:val="lowerLetter"/>
      <w:start w:val="1"/>
    </w:lvl>
  </w:abstractNum>
  <w:abstractNum w:abstractNumId="321">
    <w:nsid w:val="1495E50A"/>
    <w:multiLevelType w:val="hybridMultilevel"/>
    <w:lvl w:ilvl="0">
      <w:lvlJc w:val="left"/>
      <w:lvlText w:val="(%1)"/>
      <w:numFmt w:val="lowerLetter"/>
      <w:start w:val="3"/>
    </w:lvl>
  </w:abstractNum>
  <w:abstractNum w:abstractNumId="322">
    <w:nsid w:val="F5BCF61"/>
    <w:multiLevelType w:val="hybridMultilevel"/>
    <w:lvl w:ilvl="0">
      <w:lvlJc w:val="left"/>
      <w:lvlText w:val="(%1)"/>
      <w:numFmt w:val="lowerLetter"/>
      <w:start w:val="1"/>
    </w:lvl>
  </w:abstractNum>
  <w:abstractNum w:abstractNumId="323">
    <w:nsid w:val="3B1DD403"/>
    <w:multiLevelType w:val="hybridMultilevel"/>
    <w:lvl w:ilvl="0">
      <w:lvlJc w:val="left"/>
      <w:lvlText w:val="(%1)"/>
      <w:numFmt w:val="lowerLetter"/>
      <w:start w:val="8"/>
    </w:lvl>
  </w:abstractNum>
  <w:abstractNum w:abstractNumId="324">
    <w:nsid w:val="530386D1"/>
    <w:multiLevelType w:val="hybridMultilevel"/>
    <w:lvl w:ilvl="0">
      <w:lvlJc w:val="left"/>
      <w:lvlText w:val="(%1)"/>
      <w:numFmt w:val="lowerLetter"/>
      <w:start w:val="1"/>
    </w:lvl>
    <w:lvl w:ilvl="1">
      <w:lvlJc w:val="left"/>
      <w:lvlText w:val="(%2)"/>
      <w:numFmt w:val="lowerRoman"/>
      <w:start w:val="1"/>
    </w:lvl>
  </w:abstractNum>
  <w:abstractNum w:abstractNumId="325">
    <w:nsid w:val="7525F2BC"/>
    <w:multiLevelType w:val="hybridMultilevel"/>
    <w:lvl w:ilvl="0">
      <w:lvlJc w:val="left"/>
      <w:lvlText w:val="(%1)"/>
      <w:numFmt w:val="lowerLetter"/>
      <w:start w:val="1"/>
    </w:lvl>
  </w:abstractNum>
  <w:abstractNum w:abstractNumId="326">
    <w:nsid w:val="CE8E1A7"/>
    <w:multiLevelType w:val="hybridMultilevel"/>
    <w:lvl w:ilvl="0">
      <w:lvlJc w:val="left"/>
      <w:lvlText w:val="(%1)"/>
      <w:numFmt w:val="lowerLetter"/>
      <w:start w:val="4"/>
    </w:lvl>
  </w:abstractNum>
  <w:abstractNum w:abstractNumId="327">
    <w:nsid w:val="4E9EFB0D"/>
    <w:multiLevelType w:val="hybridMultilevel"/>
    <w:lvl w:ilvl="0">
      <w:lvlJc w:val="left"/>
      <w:lvlText w:val="(%1)"/>
      <w:numFmt w:val="lowerLetter"/>
      <w:start w:val="1"/>
    </w:lvl>
  </w:abstractNum>
  <w:abstractNum w:abstractNumId="328">
    <w:nsid w:val="90802BE"/>
    <w:multiLevelType w:val="hybridMultilevel"/>
    <w:lvl w:ilvl="0">
      <w:lvlJc w:val="left"/>
      <w:lvlText w:val="(%1)"/>
      <w:numFmt w:val="lowerRoman"/>
      <w:start w:val="1"/>
    </w:lvl>
  </w:abstractNum>
  <w:abstractNum w:abstractNumId="329">
    <w:nsid w:val="3266459B"/>
    <w:multiLevelType w:val="hybridMultilevel"/>
    <w:lvl w:ilvl="0">
      <w:lvlJc w:val="left"/>
      <w:lvlText w:val="%1."/>
      <w:numFmt w:val="decimal"/>
      <w:start w:val="1"/>
    </w:lvl>
    <w:lvl w:ilvl="1">
      <w:lvlJc w:val="left"/>
      <w:lvlText w:val="(%2)"/>
      <w:numFmt w:val="lowerLetter"/>
      <w:start w:val="1"/>
    </w:lvl>
  </w:abstractNum>
  <w:abstractNum w:abstractNumId="330">
    <w:nsid w:val="3F8B0CBF"/>
    <w:multiLevelType w:val="hybridMultilevel"/>
    <w:lvl w:ilvl="0">
      <w:lvlJc w:val="left"/>
      <w:lvlText w:val="1"/>
      <w:numFmt w:val="bullet"/>
      <w:start w:val="1"/>
    </w:lvl>
  </w:abstractNum>
  <w:abstractNum w:abstractNumId="331">
    <w:nsid w:val="37E203AB"/>
    <w:multiLevelType w:val="hybridMultilevel"/>
    <w:lvl w:ilvl="0">
      <w:lvlJc w:val="left"/>
      <w:lvlText w:val="%1."/>
      <w:numFmt w:val="decimal"/>
      <w:start w:val="3"/>
    </w:lvl>
    <w:lvl w:ilvl="1">
      <w:lvlJc w:val="left"/>
      <w:lvlText w:val="(%2)"/>
      <w:numFmt w:val="lowerLetter"/>
      <w:start w:val="1"/>
    </w:lvl>
  </w:abstractNum>
  <w:abstractNum w:abstractNumId="332">
    <w:nsid w:val="2586D60E"/>
    <w:multiLevelType w:val="hybridMultilevel"/>
    <w:lvl w:ilvl="0">
      <w:lvlJc w:val="left"/>
      <w:lvlText w:val="2"/>
      <w:numFmt w:val="bullet"/>
      <w:start w:val="1"/>
    </w:lvl>
  </w:abstractNum>
  <w:abstractNum w:abstractNumId="333">
    <w:nsid w:val="1F3DA4D5"/>
    <w:multiLevelType w:val="hybridMultilevel"/>
    <w:lvl w:ilvl="0">
      <w:lvlJc w:val="left"/>
      <w:lvlText w:val="%1."/>
      <w:numFmt w:val="decimal"/>
      <w:start w:val="5"/>
    </w:lvl>
    <w:lvl w:ilvl="1">
      <w:lvlJc w:val="left"/>
      <w:lvlText w:val="(%2)"/>
      <w:numFmt w:val="lowerLetter"/>
      <w:start w:val="1"/>
    </w:lvl>
  </w:abstractNum>
  <w:abstractNum w:abstractNumId="334">
    <w:nsid w:val="74C93698"/>
    <w:multiLevelType w:val="hybridMultilevel"/>
    <w:lvl w:ilvl="0">
      <w:lvlJc w:val="left"/>
      <w:lvlText w:val="(%1)"/>
      <w:numFmt w:val="lowerLetter"/>
      <w:start w:val="7"/>
    </w:lvl>
  </w:abstractNum>
  <w:abstractNum w:abstractNumId="335">
    <w:nsid w:val="48781401"/>
    <w:multiLevelType w:val="hybridMultilevel"/>
    <w:lvl w:ilvl="0">
      <w:lvlJc w:val="left"/>
      <w:lvlText w:val="(%1)"/>
      <w:numFmt w:val="decimal"/>
      <w:start w:val="20"/>
    </w:lvl>
  </w:abstractNum>
  <w:abstractNum w:abstractNumId="336">
    <w:nsid w:val="186928D6"/>
    <w:multiLevelType w:val="hybridMultilevel"/>
    <w:lvl w:ilvl="0">
      <w:lvlJc w:val="left"/>
      <w:lvlText w:val="%1."/>
      <w:numFmt w:val="decimal"/>
      <w:start w:val="1"/>
    </w:lvl>
    <w:lvl w:ilvl="1">
      <w:lvlJc w:val="left"/>
      <w:lvlText w:val="(%2)"/>
      <w:numFmt w:val="lowerLetter"/>
      <w:start w:val="1"/>
    </w:lvl>
  </w:abstractNum>
  <w:abstractNum w:abstractNumId="337">
    <w:nsid w:val="47195E5"/>
    <w:multiLevelType w:val="hybridMultilevel"/>
    <w:lvl w:ilvl="0">
      <w:lvlJc w:val="left"/>
      <w:lvlText w:val="%1."/>
      <w:numFmt w:val="decimal"/>
      <w:start w:val="3"/>
    </w:lvl>
    <w:lvl w:ilvl="1">
      <w:lvlJc w:val="left"/>
      <w:lvlText w:val="(%2)"/>
      <w:numFmt w:val="lowerLetter"/>
      <w:start w:val="1"/>
    </w:lvl>
  </w:abstractNum>
  <w:abstractNum w:abstractNumId="338">
    <w:nsid w:val="3746A5F2"/>
    <w:multiLevelType w:val="hybridMultilevel"/>
    <w:lvl w:ilvl="0">
      <w:lvlJc w:val="left"/>
      <w:lvlText w:val="%1."/>
      <w:numFmt w:val="decimal"/>
      <w:start w:val="5"/>
    </w:lvl>
    <w:lvl w:ilvl="1">
      <w:lvlJc w:val="left"/>
      <w:lvlText w:val="(%2)"/>
      <w:numFmt w:val="lowerLetter"/>
      <w:start w:val="1"/>
    </w:lvl>
  </w:abstractNum>
  <w:abstractNum w:abstractNumId="339">
    <w:nsid w:val="682DFED6"/>
    <w:multiLevelType w:val="hybridMultilevel"/>
    <w:lvl w:ilvl="0">
      <w:lvlJc w:val="left"/>
      <w:lvlText w:val="(%1)"/>
      <w:numFmt w:val="lowerLetter"/>
      <w:start w:val="7"/>
    </w:lvl>
  </w:abstractNum>
  <w:abstractNum w:abstractNumId="340">
    <w:nsid w:val="606ED7F6"/>
    <w:multiLevelType w:val="hybridMultilevel"/>
    <w:lvl w:ilvl="0">
      <w:lvlJc w:val="left"/>
      <w:lvlText w:val="%1."/>
      <w:numFmt w:val="decimal"/>
      <w:start w:val="1"/>
    </w:lvl>
    <w:lvl w:ilvl="1">
      <w:lvlJc w:val="left"/>
      <w:lvlText w:val="(%2)"/>
      <w:numFmt w:val="lowerLetter"/>
      <w:start w:val="1"/>
    </w:lvl>
  </w:abstractNum>
  <w:abstractNum w:abstractNumId="341">
    <w:nsid w:val="2D9DF57D"/>
    <w:multiLevelType w:val="hybridMultilevel"/>
    <w:lvl w:ilvl="0">
      <w:lvlJc w:val="left"/>
      <w:lvlText w:val="%1."/>
      <w:numFmt w:val="decimal"/>
      <w:start w:val="1"/>
    </w:lvl>
    <w:lvl w:ilvl="1">
      <w:lvlJc w:val="left"/>
      <w:lvlText w:val="(%2)"/>
      <w:numFmt w:val="lowerLetter"/>
      <w:start w:val="1"/>
    </w:lvl>
  </w:abstractNum>
  <w:abstractNum w:abstractNumId="342">
    <w:nsid w:val="7FBD7A3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2"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25" Type="http://schemas.openxmlformats.org/officeDocument/2006/relationships/hyperlink" Target="https://www.sec.gov/Archives/edgar/data/1789940/000119312521293207/d212487dex31.htm" TargetMode="External"/><Relationship Id="rId126" Type="http://schemas.openxmlformats.org/officeDocument/2006/relationships/hyperlink" Target="https://www.sec.gov/Archives/edgar/data/1789940/000119312521293207/d212487dex32.htm" TargetMode="External"/><Relationship Id="rId127" Type="http://schemas.openxmlformats.org/officeDocument/2006/relationships/hyperlink" Target="https://www.sec.gov/Archives/edgar/data/1789940/000119312521266418/d177756dex41.htm" TargetMode="External"/><Relationship Id="rId128" Type="http://schemas.openxmlformats.org/officeDocument/2006/relationships/hyperlink" Target="https://www.sec.gov/Archives/edgar/data/1789940/000178994022000012/firstwatch-registrationr.htm" TargetMode="External"/><Relationship Id="rId129" Type="http://schemas.openxmlformats.org/officeDocument/2006/relationships/hyperlink" Target="https://www.sec.gov/Archives/edgar/data/1789940/000178994022000012/exhibit43descriptionofcapi.htm" TargetMode="External"/><Relationship Id="rId130" Type="http://schemas.openxmlformats.org/officeDocument/2006/relationships/hyperlink" Target="https://www.sec.gov/Archives/edgar/data/1789940/000119312521293207/d212487dex101.htm" TargetMode="External"/><Relationship Id="rId131" Type="http://schemas.openxmlformats.org/officeDocument/2006/relationships/hyperlink" Target="https://www.sec.gov/Archives/edgar/data/1789940/000119312521266418/d177756dex101a.htm" TargetMode="External"/><Relationship Id="rId133" Type="http://schemas.openxmlformats.org/officeDocument/2006/relationships/hyperlink" Target="https://www.sec.gov/Archives/edgar/data/1789940/000119312521266418/d177756dex101b.htm" TargetMode="External"/><Relationship Id="rId134" Type="http://schemas.openxmlformats.org/officeDocument/2006/relationships/hyperlink" Target="https://www.sec.gov/Archives/edgar/data/1789940/000119312521266418/d177756dex101c.htm" TargetMode="External"/><Relationship Id="rId135" Type="http://schemas.openxmlformats.org/officeDocument/2006/relationships/hyperlink" Target="https://www.sec.gov/Archives/edgar/data/1789940/000119312521266418/d177756dex101d.htm" TargetMode="External"/><Relationship Id="rId136" Type="http://schemas.openxmlformats.org/officeDocument/2006/relationships/hyperlink" Target="https://www.sec.gov/Archives/edgar/data/1789940/000119312521266418/d177756dex101e.htm" TargetMode="External"/><Relationship Id="rId137" Type="http://schemas.openxmlformats.org/officeDocument/2006/relationships/hyperlink" Target="https://www.sec.gov/Archives/edgar/data/1789940/000178994022000005/exh101-tomassoemploymentag.htm" TargetMode="External"/><Relationship Id="rId138" Type="http://schemas.openxmlformats.org/officeDocument/2006/relationships/hyperlink" Target="https://www.sec.gov/Archives/edgar/data/1789940/000119312521266418/d177756dex104.htm" TargetMode="External"/><Relationship Id="rId139" Type="http://schemas.openxmlformats.org/officeDocument/2006/relationships/hyperlink" Target="https://www.sec.gov/Archives/edgar/data/1789940/000119312521266418/d177756dex108.htm" TargetMode="External"/><Relationship Id="rId140" Type="http://schemas.openxmlformats.org/officeDocument/2006/relationships/hyperlink" Target="https://www.sec.gov/Archives/edgar/data/1789940/000178994022000012/firstwatchofferletter-ho.htm" TargetMode="External"/><Relationship Id="rId141" Type="http://schemas.openxmlformats.org/officeDocument/2006/relationships/hyperlink" Target="https://www.sec.gov/Archives/edgar/data/1789940/000119312521266418/d177756dex103.htm" TargetMode="External"/><Relationship Id="rId142" Type="http://schemas.openxmlformats.org/officeDocument/2006/relationships/hyperlink" Target="https://www.sec.gov/Archives/edgar/data/1789940/000178994022000012/exhibit109firstwatch-202.htm" TargetMode="External"/><Relationship Id="rId143" Type="http://schemas.openxmlformats.org/officeDocument/2006/relationships/hyperlink" Target="https://www.sec.gov/Archives/edgar/data/1789940/000178994022000012/a1010optionawardagreement.htm" TargetMode="External"/><Relationship Id="rId144" Type="http://schemas.openxmlformats.org/officeDocument/2006/relationships/hyperlink" Target="https://www.sec.gov/Archives/edgar/data/1789940/000119312521266418/d177756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2023-03-07T06:16:25Z</dcterms:created>
  <dcterms:modified xsi:type="dcterms:W3CDTF">2023-03-07T06:16:25Z</dcterms:modified>
</cp:coreProperties>
</file>